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spacing w:line="3247" w:lineRule="exact"/>
        <w:ind w:left="39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1461280" cy="20619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61280" cy="2061972"/>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52" w:lineRule="auto" w:before="83"/>
        <w:ind w:left="3348" w:right="329" w:hanging="2017"/>
        <w:jc w:val="left"/>
        <w:rPr>
          <w:rFonts w:ascii="黑体" w:hAnsi="黑体" w:cs="黑体" w:eastAsia="黑体" w:hint="default"/>
          <w:sz w:val="52"/>
          <w:szCs w:val="52"/>
        </w:rPr>
      </w:pPr>
      <w:r>
        <w:rPr>
          <w:rFonts w:ascii="黑体" w:hAnsi="黑体" w:cs="黑体" w:eastAsia="黑体" w:hint="default"/>
          <w:spacing w:val="-1"/>
          <w:sz w:val="52"/>
          <w:szCs w:val="52"/>
        </w:rPr>
        <w:t>北京光环新网科技股份有限公司</w:t>
      </w:r>
      <w:r>
        <w:rPr>
          <w:rFonts w:ascii="黑体" w:hAnsi="黑体" w:cs="黑体" w:eastAsia="黑体" w:hint="default"/>
          <w:spacing w:val="-244"/>
          <w:sz w:val="52"/>
          <w:szCs w:val="52"/>
        </w:rPr>
        <w:t> </w:t>
      </w:r>
      <w:r>
        <w:rPr>
          <w:rFonts w:ascii="黑体" w:hAnsi="黑体" w:cs="黑体" w:eastAsia="黑体" w:hint="default"/>
          <w:spacing w:val="-244"/>
          <w:sz w:val="52"/>
          <w:szCs w:val="52"/>
        </w:rPr>
      </w:r>
      <w:r>
        <w:rPr>
          <w:rFonts w:ascii="黑体" w:hAnsi="黑体" w:cs="黑体" w:eastAsia="黑体" w:hint="default"/>
          <w:sz w:val="52"/>
          <w:szCs w:val="52"/>
        </w:rPr>
        <w:t>2014</w:t>
      </w:r>
      <w:r>
        <w:rPr>
          <w:rFonts w:ascii="黑体" w:hAnsi="黑体" w:cs="黑体" w:eastAsia="黑体" w:hint="default"/>
          <w:spacing w:val="-130"/>
          <w:sz w:val="52"/>
          <w:szCs w:val="52"/>
        </w:rPr>
        <w:t> </w:t>
      </w:r>
      <w:r>
        <w:rPr>
          <w:rFonts w:ascii="黑体" w:hAnsi="黑体" w:cs="黑体" w:eastAsia="黑体" w:hint="default"/>
          <w:sz w:val="52"/>
          <w:szCs w:val="52"/>
        </w:rPr>
        <w:t>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9"/>
        <w:rPr>
          <w:rFonts w:ascii="黑体" w:hAnsi="黑体" w:cs="黑体" w:eastAsia="黑体" w:hint="default"/>
          <w:sz w:val="68"/>
          <w:szCs w:val="68"/>
        </w:rPr>
      </w:pPr>
    </w:p>
    <w:p>
      <w:pPr>
        <w:spacing w:line="264" w:lineRule="auto" w:before="0"/>
        <w:ind w:left="3513" w:right="2859" w:firstLine="0"/>
        <w:jc w:val="left"/>
        <w:rPr>
          <w:rFonts w:ascii="黑体" w:hAnsi="黑体" w:cs="黑体" w:eastAsia="黑体" w:hint="default"/>
          <w:sz w:val="28"/>
          <w:szCs w:val="28"/>
        </w:rPr>
      </w:pPr>
      <w:r>
        <w:rPr>
          <w:rFonts w:ascii="黑体" w:hAnsi="黑体" w:cs="黑体" w:eastAsia="黑体" w:hint="default"/>
          <w:sz w:val="28"/>
          <w:szCs w:val="28"/>
        </w:rPr>
        <w:t>证券代码：</w:t>
      </w:r>
      <w:r>
        <w:rPr>
          <w:rFonts w:ascii="黑体" w:hAnsi="黑体" w:cs="黑体" w:eastAsia="黑体" w:hint="default"/>
          <w:sz w:val="28"/>
          <w:szCs w:val="28"/>
        </w:rPr>
        <w:t>300383</w:t>
      </w:r>
      <w:r>
        <w:rPr>
          <w:rFonts w:ascii="黑体" w:hAnsi="黑体" w:cs="黑体" w:eastAsia="黑体" w:hint="default"/>
          <w:w w:val="100"/>
          <w:sz w:val="28"/>
          <w:szCs w:val="28"/>
        </w:rPr>
        <w:t> </w:t>
      </w:r>
      <w:r>
        <w:rPr>
          <w:rFonts w:ascii="黑体" w:hAnsi="黑体" w:cs="黑体" w:eastAsia="黑体" w:hint="default"/>
          <w:sz w:val="28"/>
          <w:szCs w:val="28"/>
        </w:rPr>
        <w:t>证券简称：光环新网</w:t>
      </w:r>
      <w:r>
        <w:rPr>
          <w:rFonts w:ascii="黑体" w:hAnsi="黑体" w:cs="黑体" w:eastAsia="黑体" w:hint="default"/>
          <w:w w:val="100"/>
          <w:sz w:val="28"/>
          <w:szCs w:val="28"/>
        </w:rPr>
        <w:t> </w:t>
      </w:r>
      <w:r>
        <w:rPr>
          <w:rFonts w:ascii="黑体" w:hAnsi="黑体" w:cs="黑体" w:eastAsia="黑体" w:hint="default"/>
          <w:sz w:val="28"/>
          <w:szCs w:val="28"/>
        </w:rPr>
        <w:t>公告编号：</w:t>
      </w:r>
      <w:r>
        <w:rPr>
          <w:rFonts w:ascii="黑体" w:hAnsi="黑体" w:cs="黑体" w:eastAsia="黑体" w:hint="default"/>
          <w:sz w:val="28"/>
          <w:szCs w:val="28"/>
        </w:rPr>
        <w:t>2015-020</w:t>
      </w:r>
      <w:r>
        <w:rPr>
          <w:rFonts w:ascii="黑体" w:hAnsi="黑体" w:cs="黑体" w:eastAsia="黑体" w:hint="default"/>
          <w:w w:val="100"/>
          <w:sz w:val="28"/>
          <w:szCs w:val="28"/>
        </w:rPr>
        <w:t> </w:t>
      </w:r>
      <w:r>
        <w:rPr>
          <w:rFonts w:ascii="黑体" w:hAnsi="黑体" w:cs="黑体" w:eastAsia="黑体" w:hint="default"/>
          <w:sz w:val="28"/>
          <w:szCs w:val="28"/>
        </w:rPr>
        <w:t>公告日期：</w:t>
      </w:r>
      <w:r>
        <w:rPr>
          <w:rFonts w:ascii="黑体" w:hAnsi="黑体" w:cs="黑体" w:eastAsia="黑体" w:hint="default"/>
          <w:sz w:val="28"/>
          <w:szCs w:val="28"/>
        </w:rPr>
        <w:t>2015</w:t>
      </w:r>
      <w:r>
        <w:rPr>
          <w:rFonts w:ascii="黑体" w:hAnsi="黑体" w:cs="黑体" w:eastAsia="黑体" w:hint="default"/>
          <w:spacing w:val="-71"/>
          <w:sz w:val="28"/>
          <w:szCs w:val="28"/>
        </w:rPr>
        <w:t> </w:t>
      </w:r>
      <w:r>
        <w:rPr>
          <w:rFonts w:ascii="黑体" w:hAnsi="黑体" w:cs="黑体" w:eastAsia="黑体" w:hint="default"/>
          <w:sz w:val="28"/>
          <w:szCs w:val="28"/>
        </w:rPr>
        <w:t>年</w:t>
      </w:r>
      <w:r>
        <w:rPr>
          <w:rFonts w:ascii="黑体" w:hAnsi="黑体" w:cs="黑体" w:eastAsia="黑体" w:hint="default"/>
          <w:spacing w:val="-71"/>
          <w:sz w:val="28"/>
          <w:szCs w:val="28"/>
        </w:rPr>
        <w:t> </w:t>
      </w:r>
      <w:r>
        <w:rPr>
          <w:rFonts w:ascii="黑体" w:hAnsi="黑体" w:cs="黑体" w:eastAsia="黑体" w:hint="default"/>
          <w:sz w:val="28"/>
          <w:szCs w:val="28"/>
        </w:rPr>
        <w:t>4</w:t>
      </w:r>
      <w:r>
        <w:rPr>
          <w:rFonts w:ascii="黑体" w:hAnsi="黑体" w:cs="黑体" w:eastAsia="黑体" w:hint="default"/>
          <w:spacing w:val="-72"/>
          <w:sz w:val="28"/>
          <w:szCs w:val="28"/>
        </w:rPr>
        <w:t> </w:t>
      </w:r>
      <w:r>
        <w:rPr>
          <w:rFonts w:ascii="黑体" w:hAnsi="黑体" w:cs="黑体" w:eastAsia="黑体" w:hint="default"/>
          <w:sz w:val="28"/>
          <w:szCs w:val="28"/>
        </w:rPr>
        <w:t>月</w:t>
      </w:r>
      <w:r>
        <w:rPr>
          <w:rFonts w:ascii="黑体" w:hAnsi="黑体" w:cs="黑体" w:eastAsia="黑体" w:hint="default"/>
          <w:spacing w:val="-68"/>
          <w:sz w:val="28"/>
          <w:szCs w:val="28"/>
        </w:rPr>
        <w:t> </w:t>
      </w:r>
      <w:r>
        <w:rPr>
          <w:rFonts w:ascii="黑体" w:hAnsi="黑体" w:cs="黑体" w:eastAsia="黑体" w:hint="default"/>
          <w:sz w:val="28"/>
          <w:szCs w:val="28"/>
        </w:rPr>
        <w:t>20</w:t>
      </w:r>
      <w:r>
        <w:rPr>
          <w:rFonts w:ascii="黑体" w:hAnsi="黑体" w:cs="黑体" w:eastAsia="黑体" w:hint="default"/>
          <w:spacing w:val="-72"/>
          <w:sz w:val="28"/>
          <w:szCs w:val="28"/>
        </w:rPr>
        <w:t> </w:t>
      </w:r>
      <w:r>
        <w:rPr>
          <w:rFonts w:ascii="黑体" w:hAnsi="黑体" w:cs="黑体" w:eastAsia="黑体" w:hint="default"/>
          <w:sz w:val="28"/>
          <w:szCs w:val="28"/>
        </w:rPr>
        <w:t>日</w:t>
      </w:r>
    </w:p>
    <w:p>
      <w:pPr>
        <w:spacing w:after="0" w:line="264" w:lineRule="auto"/>
        <w:jc w:val="left"/>
        <w:rPr>
          <w:rFonts w:ascii="黑体" w:hAnsi="黑体" w:cs="黑体" w:eastAsia="黑体" w:hint="default"/>
          <w:sz w:val="28"/>
          <w:szCs w:val="28"/>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pStyle w:val="Heading1"/>
        <w:spacing w:line="240" w:lineRule="auto"/>
        <w:ind w:left="2802" w:right="329"/>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3"/>
        <w:ind w:left="714" w:right="329"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公司负责人耿殿根、主管会计工作负责人张利军及会计机构负责人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0" w:lineRule="exact" w:before="0"/>
        <w:ind w:left="152" w:right="329"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张利军声明：保证年度报告中财务报告的真实、准确、完整。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748" w:right="374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6</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31</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66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75</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78</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rPr>
              <w:tab/>
              <w:t>152</w:t>
            </w:r>
          </w:hyperlink>
        </w:p>
        <w:p>
          <w:pPr/>
          <w:r>
            <w:fldChar w:fldCharType="end"/>
          </w:r>
        </w:p>
      </w:sdtContent>
    </w:sdt>
    <w:p>
      <w:pPr>
        <w:spacing w:after="0"/>
        <w:sectPr>
          <w:pgSz w:w="11910" w:h="16840"/>
          <w:pgMar w:header="745" w:footer="979" w:top="1060" w:bottom="1160" w:left="980" w:right="980"/>
        </w:sectPr>
      </w:pPr>
    </w:p>
    <w:p>
      <w:pPr>
        <w:spacing w:before="945"/>
        <w:ind w:left="3748" w:right="374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百汇达、控股股东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北京百汇达投资管理有限公司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光环恒通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北京光环恒通数字技术有限公司，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月已注销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光环金网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光环云谷科技有限公司，前身为廊坊开发区华瑞信通网络技术有限公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西安博凯、博凯创达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亚太中立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北京亚太中立信息技术有限公司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光环有限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北京光环新网数字技术有限公司（公司前身）</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明月光学</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2"/>
              <w:jc w:val="left"/>
              <w:rPr>
                <w:rFonts w:ascii="宋体" w:hAnsi="宋体" w:cs="宋体" w:eastAsia="宋体" w:hint="default"/>
                <w:sz w:val="18"/>
                <w:szCs w:val="18"/>
              </w:rPr>
            </w:pPr>
            <w:r>
              <w:rPr>
                <w:rFonts w:ascii="宋体" w:hAnsi="宋体" w:cs="宋体" w:eastAsia="宋体" w:hint="default"/>
                <w:sz w:val="18"/>
                <w:szCs w:val="18"/>
              </w:rPr>
              <w:t>上海明月光学有限公司，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月更名为光环新网（上海）信息服</w:t>
            </w:r>
            <w:r>
              <w:rPr>
                <w:rFonts w:ascii="宋体" w:hAnsi="宋体" w:cs="宋体" w:eastAsia="宋体" w:hint="default"/>
                <w:sz w:val="18"/>
                <w:szCs w:val="18"/>
              </w:rPr>
              <w:t> 务有限公司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pacing w:val="-92"/>
                <w:sz w:val="18"/>
                <w:szCs w:val="18"/>
              </w:rPr>
              <w:t>》、</w:t>
            </w:r>
            <w:r>
              <w:rPr>
                <w:rFonts w:ascii="宋体" w:hAnsi="宋体" w:cs="宋体" w:eastAsia="宋体" w:hint="default"/>
                <w:sz w:val="18"/>
                <w:szCs w:val="18"/>
              </w:rPr>
              <w:t>《章程》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IDC</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9"/>
              <w:jc w:val="left"/>
              <w:rPr>
                <w:rFonts w:ascii="宋体" w:hAnsi="宋体" w:cs="宋体" w:eastAsia="宋体" w:hint="default"/>
                <w:sz w:val="18"/>
                <w:szCs w:val="18"/>
              </w:rPr>
            </w:pPr>
            <w:r>
              <w:rPr>
                <w:rFonts w:ascii="宋体" w:hAnsi="宋体" w:cs="宋体" w:eastAsia="宋体" w:hint="default"/>
                <w:sz w:val="18"/>
                <w:szCs w:val="18"/>
              </w:rPr>
              <w:t>互联网数据中心业务（</w:t>
            </w:r>
            <w:r>
              <w:rPr>
                <w:rFonts w:ascii="Times New Roman" w:hAnsi="Times New Roman" w:cs="Times New Roman" w:eastAsia="Times New Roman" w:hint="default"/>
                <w:sz w:val="18"/>
                <w:szCs w:val="18"/>
              </w:rPr>
              <w:t>Internet </w:t>
            </w:r>
            <w:r>
              <w:rPr>
                <w:rFonts w:ascii="Times New Roman" w:hAnsi="Times New Roman" w:cs="Times New Roman" w:eastAsia="Times New Roman" w:hint="default"/>
                <w:spacing w:val="-1"/>
                <w:w w:val="99"/>
                <w:sz w:val="18"/>
                <w:szCs w:val="18"/>
              </w:rPr>
              <w:t>Data </w:t>
            </w:r>
            <w:r>
              <w:rPr>
                <w:rFonts w:ascii="Times New Roman" w:hAnsi="Times New Roman" w:cs="Times New Roman" w:eastAsia="Times New Roman" w:hint="default"/>
                <w:spacing w:val="-5"/>
                <w:sz w:val="18"/>
                <w:szCs w:val="18"/>
              </w:rPr>
              <w:t>Center</w:t>
            </w:r>
            <w:r>
              <w:rPr>
                <w:rFonts w:ascii="宋体" w:hAnsi="宋体" w:cs="宋体" w:eastAsia="宋体" w:hint="default"/>
                <w:spacing w:val="-5"/>
                <w:sz w:val="18"/>
                <w:szCs w:val="18"/>
              </w:rPr>
              <w:t>），主要包括服务器托管、</w:t>
            </w:r>
            <w:r>
              <w:rPr>
                <w:rFonts w:ascii="宋体" w:hAnsi="宋体" w:cs="宋体" w:eastAsia="宋体" w:hint="default"/>
                <w:sz w:val="18"/>
                <w:szCs w:val="18"/>
              </w:rPr>
              <w:t> 租用、运维以及网络接入服务的业务。</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宽带接入、</w:t>
            </w:r>
            <w:r>
              <w:rPr>
                <w:rFonts w:ascii="Times New Roman" w:hAnsi="Times New Roman" w:cs="Times New Roman" w:eastAsia="Times New Roman" w:hint="default"/>
                <w:sz w:val="18"/>
                <w:szCs w:val="18"/>
              </w:rPr>
              <w:t>ISP</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主要指通过电话线、电缆、光纤等各种传输手段向用户提供将计算机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或者其他终端设备接入互联网的服务。</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亚马逊</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亚马逊公司（</w:t>
            </w:r>
            <w:r>
              <w:rPr>
                <w:rFonts w:ascii="Times New Roman" w:hAnsi="Times New Roman" w:cs="Times New Roman" w:eastAsia="Times New Roman" w:hint="default"/>
                <w:w w:val="99"/>
                <w:sz w:val="18"/>
                <w:szCs w:val="18"/>
              </w:rPr>
              <w:t>N</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SD</w:t>
            </w:r>
            <w:r>
              <w:rPr>
                <w:rFonts w:ascii="Times New Roman" w:hAnsi="Times New Roman" w:cs="Times New Roman" w:eastAsia="Times New Roman" w:hint="default"/>
                <w:spacing w:val="-1"/>
                <w:w w:val="99"/>
                <w:sz w:val="18"/>
                <w:szCs w:val="18"/>
              </w:rPr>
              <w:t>AQ</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AMZ</w:t>
            </w:r>
            <w:r>
              <w:rPr>
                <w:rFonts w:ascii="Times New Roman" w:hAnsi="Times New Roman" w:cs="Times New Roman" w:eastAsia="Times New Roman" w:hint="default"/>
                <w:spacing w:val="-1"/>
                <w:w w:val="99"/>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t>，是美国最大网络电子商</w:t>
            </w:r>
            <w:r>
              <w:rPr>
                <w:rFonts w:ascii="宋体" w:hAnsi="宋体" w:cs="宋体" w:eastAsia="宋体" w:hint="default"/>
                <w:spacing w:val="2"/>
                <w:sz w:val="18"/>
                <w:szCs w:val="18"/>
              </w:rPr>
              <w:t>务</w:t>
            </w:r>
            <w:r>
              <w:rPr>
                <w:rFonts w:ascii="宋体" w:hAnsi="宋体" w:cs="宋体" w:eastAsia="宋体" w:hint="default"/>
                <w:sz w:val="18"/>
                <w:szCs w:val="18"/>
              </w:rPr>
              <w:t>公司，</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年收购了中国的卓越网</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凯迪迪爱</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北京凯迪迪爱通信技术有限公司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当当网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北京当当网信息技术有限公司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凡客诚品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凡客诚品（北京）科技有限公司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6"/>
                <w:sz w:val="18"/>
              </w:rPr>
              <w:t>AWS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亚马逊的公有云服务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AWS</w:t>
            </w:r>
            <w:r>
              <w:rPr>
                <w:rFonts w:ascii="宋体" w:hAnsi="宋体" w:cs="宋体" w:eastAsia="宋体" w:hint="default"/>
                <w:sz w:val="18"/>
                <w:szCs w:val="18"/>
              </w:rPr>
              <w:t>（</w:t>
            </w:r>
            <w:r>
              <w:rPr>
                <w:rFonts w:ascii="Times New Roman" w:hAnsi="Times New Roman" w:cs="Times New Roman" w:eastAsia="Times New Roman" w:hint="default"/>
                <w:sz w:val="18"/>
                <w:szCs w:val="18"/>
              </w:rPr>
              <w:t>Amazon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Services</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125" w:right="329"/>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329"/>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5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300383</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Sinnet Technology Co.,</w:t>
            </w:r>
            <w:r>
              <w:rPr>
                <w:rFonts w:ascii="Times New Roman"/>
                <w:spacing w:val="-27"/>
                <w:sz w:val="18"/>
              </w:rPr>
              <w:t> </w:t>
            </w:r>
            <w:r>
              <w:rPr>
                <w:rFonts w:ascii="Times New Roman"/>
                <w:sz w:val="18"/>
              </w:rPr>
              <w:t>Ltd</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Sinnet</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北京市门头沟区石龙经济开发区永安路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单元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1301</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102300</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2A</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100027</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www.sinnet.com.cn</w:t>
              </w:r>
            </w:hyperlink>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ind w:right="329"/>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陈静</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2A</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2A</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010-64183433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010-64183433</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010-64181819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010-64181819</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1"/>
        <w:rPr>
          <w:rFonts w:ascii="宋体" w:hAnsi="宋体" w:cs="宋体" w:eastAsia="宋体" w:hint="default"/>
          <w:b/>
          <w:bCs/>
          <w:sz w:val="18"/>
          <w:szCs w:val="18"/>
        </w:rPr>
      </w:pPr>
    </w:p>
    <w:p>
      <w:pPr>
        <w:pStyle w:val="Heading2"/>
        <w:spacing w:line="240" w:lineRule="auto"/>
        <w:ind w:right="329"/>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证券时报、上海证券报、中国证券报</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ind w:right="329"/>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北京市东城区东环 广场大厦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企合京总副字第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013802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由中外合资企业变 更为内资企业并增 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北京市门头沟区门 头沟路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1100001114216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11010970000692100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北京市门头沟区门 头沟路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1100001114216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11010970000692100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北京市门头沟区门 头沟路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1100001114216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11010970000692100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北京市门头沟区门 头沟路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1100001114216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11010970000692100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北京市门头沟区门 头沟路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1100001114216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11010970000692100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北京市门头沟区门 头沟路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1100001114216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11010970000692100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经营地址变更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北京市门头沟区石 龙工业开发区龙园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1101091114216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11010970000692100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9"/>
                <w:sz w:val="18"/>
                <w:szCs w:val="18"/>
              </w:rPr>
              <w:t>经营范围、董事会变</w:t>
            </w:r>
            <w:r>
              <w:rPr>
                <w:rFonts w:ascii="宋体" w:hAnsi="宋体" w:cs="宋体" w:eastAsia="宋体" w:hint="default"/>
                <w:sz w:val="18"/>
                <w:szCs w:val="18"/>
              </w:rPr>
              <w:t> 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北京市门头沟区石 龙工业开发区龙园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1101091114216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整体变更为股份有 </w:t>
            </w:r>
            <w:r>
              <w:rPr>
                <w:rFonts w:ascii="宋体" w:hAnsi="宋体" w:cs="宋体" w:eastAsia="宋体" w:hint="default"/>
                <w:spacing w:val="-9"/>
                <w:sz w:val="18"/>
                <w:szCs w:val="18"/>
              </w:rPr>
              <w:t>限公司、经营地址变</w:t>
            </w:r>
            <w:r>
              <w:rPr>
                <w:rFonts w:ascii="宋体" w:hAnsi="宋体" w:cs="宋体" w:eastAsia="宋体" w:hint="default"/>
                <w:sz w:val="18"/>
                <w:szCs w:val="18"/>
              </w:rPr>
              <w:t> 更、增加注册资本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北京市门头沟区石 龙南路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110109001142161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北京市门头沟区石 龙南路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110109001142161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北京市门头沟区石 龙南路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110109001142161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北京市门头沟区石 龙南路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110109001142161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股权转让及增加注 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北京市门头沟区石 龙南路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110109001142161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经营地址变更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北京市门头沟区石 龙经济技术开发区 永安路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110109001142161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214"/>
              <w:jc w:val="right"/>
              <w:rPr>
                <w:rFonts w:ascii="Times New Roman" w:hAnsi="Times New Roman" w:cs="Times New Roman" w:eastAsia="Times New Roman" w:hint="default"/>
                <w:sz w:val="18"/>
                <w:szCs w:val="18"/>
              </w:rPr>
            </w:pPr>
            <w:r>
              <w:rPr>
                <w:rFonts w:ascii="Times New Roman"/>
                <w:spacing w:val="-1"/>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24" w:right="0"/>
              <w:jc w:val="left"/>
              <w:rPr>
                <w:rFonts w:ascii="Times New Roman" w:hAnsi="Times New Roman" w:cs="Times New Roman" w:eastAsia="Times New Roman" w:hint="default"/>
                <w:sz w:val="18"/>
                <w:szCs w:val="18"/>
              </w:rPr>
            </w:pPr>
            <w:r>
              <w:rPr>
                <w:rFonts w:ascii="Times New Roman"/>
                <w:sz w:val="18"/>
              </w:rPr>
              <w:t>70000692-1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北京市门头沟区石 龙经济技术开发区 永安路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110109001142161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70000692-1</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北京市门头沟区石 龙经济技术开发区 永安路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110109001142161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110109700006921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70000692-1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9.860001pt;margin-top:350.977997pt;width:87.65pt;height:27.95pt;mso-position-horizontal-relative:page;mso-position-vertical-relative:page;z-index:-1029424" coordorigin="3797,7020" coordsize="1753,559">
            <v:group style="position:absolute;left:3808;top:7031;width:2;height:392" coordorigin="3808,7031" coordsize="2,392">
              <v:shape style="position:absolute;left:3808;top:7031;width:2;height:392" coordorigin="3808,7031" coordsize="0,392" path="m3808,7031l3808,7422e" filled="false" stroked="true" strokeweight="1.104pt" strokecolor="#ffffff">
                <v:path arrowok="t"/>
              </v:shape>
            </v:group>
            <v:group style="position:absolute;left:3797;top:7422;width:1753;height:156" coordorigin="3797,7422" coordsize="1753,156">
              <v:shape style="position:absolute;left:3797;top:7422;width:1753;height:156" coordorigin="3797,7422" coordsize="1753,156" path="m3797,7578l5550,7578,5550,7422,3797,7422,3797,7578xe" filled="true" fillcolor="#ffffff" stroked="false">
                <v:path arrowok="t"/>
                <v:fill type="solid"/>
              </v:shape>
            </v:group>
            <v:group style="position:absolute;left:3819;top:7031;width:1709;height:392" coordorigin="3819,7031" coordsize="1709,392">
              <v:shape style="position:absolute;left:3819;top:7031;width:1709;height:392" coordorigin="3819,7031" coordsize="1709,392" path="m3819,7422l5528,7422,5528,7031,3819,7031,3819,7422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329"/>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329"/>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t>公司是否因会计政策变更及会计差错更正等追溯调整或重述以前年度会计数据</w:t>
      </w:r>
    </w:p>
    <w:p>
      <w:pPr>
        <w:pStyle w:val="BodyText"/>
        <w:spacing w:line="240" w:lineRule="auto" w:before="117"/>
        <w:ind w:right="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34"/>
        <w:gridCol w:w="393"/>
        <w:gridCol w:w="1383"/>
        <w:gridCol w:w="1762"/>
        <w:gridCol w:w="1765"/>
        <w:gridCol w:w="1622"/>
      </w:tblGrid>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434,543,129.87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308,149,551.59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242,229,505.09</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247,699,370.31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163,589,335.22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123,144,598.66</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112,430,954.71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78,706,045.92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65,411,713.42</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112,488,747.71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78,968,514.81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42.45%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65,480,720.74</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95,184,364.67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67,264,610.13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55,381,999.94</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93"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95,143,603.22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67,041,511.57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55,323,343.72</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149,158,802.05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101,444,223.30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75,231,614.19</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1.6426</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15.12%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24.67%</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24.21%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24.64%</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608" w:right="0"/>
              <w:jc w:val="left"/>
              <w:rPr>
                <w:rFonts w:ascii="Times New Roman" w:hAnsi="Times New Roman" w:cs="Times New Roman" w:eastAsia="Times New Roman" w:hint="default"/>
                <w:sz w:val="18"/>
                <w:szCs w:val="18"/>
              </w:rPr>
            </w:pPr>
            <w:r>
              <w:rPr>
                <w:rFonts w:ascii="Times New Roman"/>
                <w:sz w:val="18"/>
              </w:rPr>
              <w:t>109,160,000.00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45,800,000.00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138.34%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45,800,000.00</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862,742,216.89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451,812,272.85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309,841,307.92</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164,667,289.73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143,357,599.77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58,880,777.68</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697,584,575.04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307,965,940.37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250,960,530.24</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6.7241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5.4795</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89"/>
        <w:jc w:val="left"/>
        <w:rPr>
          <w:b w:val="0"/>
          <w:bCs w:val="0"/>
        </w:rPr>
      </w:pPr>
      <w:r>
        <w:rPr/>
        <w:t>二、非经常性损益的项目及金额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-137,461.29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-32,942.68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69,185.00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-96,050.00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17,031.55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39,370.33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10,351.10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40,761.45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223,098.56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58,656.22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89"/>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7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7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11"/>
        <w:rPr>
          <w:rFonts w:ascii="宋体" w:hAnsi="宋体" w:cs="宋体" w:eastAsia="宋体" w:hint="default"/>
          <w:sz w:val="21"/>
          <w:szCs w:val="21"/>
        </w:rPr>
      </w:pPr>
    </w:p>
    <w:p>
      <w:pPr>
        <w:pStyle w:val="Heading2"/>
        <w:spacing w:line="240" w:lineRule="auto" w:before="0"/>
        <w:ind w:right="89"/>
        <w:jc w:val="left"/>
        <w:rPr>
          <w:b w:val="0"/>
          <w:bCs w:val="0"/>
        </w:rPr>
      </w:pPr>
      <w:r>
        <w:rPr/>
        <w:t>三、重大风险提示</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513" w:right="89" w:hanging="361"/>
        <w:jc w:val="left"/>
      </w:pPr>
      <w:r>
        <w:rPr>
          <w:rFonts w:ascii="Times New Roman" w:hAnsi="Times New Roman" w:cs="Times New Roman" w:eastAsia="Times New Roman" w:hint="default"/>
        </w:rPr>
        <w:t>1</w:t>
      </w:r>
      <w:r>
        <w:rPr/>
        <w:t>、毛利率下降风险 </w:t>
      </w:r>
      <w:r>
        <w:rPr>
          <w:spacing w:val="-1"/>
        </w:rPr>
        <w:t>截至报告期末，公司毛利率为</w:t>
      </w:r>
      <w:r>
        <w:rPr>
          <w:rFonts w:ascii="Times New Roman" w:hAnsi="Times New Roman" w:cs="Times New Roman" w:eastAsia="Times New Roman" w:hint="default"/>
          <w:spacing w:val="-1"/>
        </w:rPr>
        <w:t>43.00%</w:t>
      </w:r>
      <w:r>
        <w:rPr>
          <w:spacing w:val="-1"/>
        </w:rPr>
        <w:t>，较去年同期下降</w:t>
      </w:r>
      <w:r>
        <w:rPr>
          <w:rFonts w:ascii="Times New Roman" w:hAnsi="Times New Roman" w:cs="Times New Roman" w:eastAsia="Times New Roman" w:hint="default"/>
          <w:spacing w:val="-1"/>
        </w:rPr>
        <w:t>3.91%</w:t>
      </w:r>
      <w:r>
        <w:rPr>
          <w:spacing w:val="-1"/>
        </w:rPr>
        <w:t>。报告期内，公司严格控制成本、加大营销力度，有效地</w:t>
      </w:r>
    </w:p>
    <w:p>
      <w:pPr>
        <w:pStyle w:val="BodyText"/>
        <w:spacing w:line="300" w:lineRule="auto" w:before="13"/>
        <w:ind w:right="89"/>
        <w:jc w:val="left"/>
      </w:pPr>
      <w:r>
        <w:rPr/>
        <w:t>提高了公司光纤城域网资源的使用效率，</w:t>
      </w:r>
      <w:r>
        <w:rPr>
          <w:rFonts w:ascii="Times New Roman" w:hAnsi="Times New Roman" w:cs="Times New Roman" w:eastAsia="Times New Roman" w:hint="default"/>
        </w:rPr>
        <w:t>ISP</w:t>
      </w:r>
      <w:r>
        <w:rPr/>
        <w:t>业务收入取得</w:t>
      </w:r>
      <w:r>
        <w:rPr>
          <w:rFonts w:ascii="Times New Roman" w:hAnsi="Times New Roman" w:cs="Times New Roman" w:eastAsia="Times New Roman" w:hint="default"/>
        </w:rPr>
        <w:t>9.08%</w:t>
      </w:r>
      <w:r>
        <w:rPr/>
        <w:t>增长，毛利率取得</w:t>
      </w:r>
      <w:r>
        <w:rPr>
          <w:rFonts w:ascii="Times New Roman" w:hAnsi="Times New Roman" w:cs="Times New Roman" w:eastAsia="Times New Roman" w:hint="default"/>
        </w:rPr>
        <w:t>6.01%</w:t>
      </w:r>
      <w:r>
        <w:rPr/>
        <w:t>的增长，毛利率下滑趋势得到有效 控制。截至报告期末，公司燕郊机房已全部竣工，因</w:t>
      </w:r>
      <w:r>
        <w:rPr>
          <w:rFonts w:ascii="Times New Roman" w:hAnsi="Times New Roman" w:cs="Times New Roman" w:eastAsia="Times New Roman" w:hint="default"/>
        </w:rPr>
        <w:t>IDC</w:t>
      </w:r>
      <w:r>
        <w:rPr/>
        <w:t>及其增值业务固定成本增加较为明显，</w:t>
      </w:r>
      <w:r>
        <w:rPr>
          <w:rFonts w:ascii="Times New Roman" w:hAnsi="Times New Roman" w:cs="Times New Roman" w:eastAsia="Times New Roman" w:hint="default"/>
        </w:rPr>
        <w:t>IDC</w:t>
      </w:r>
      <w:r>
        <w:rPr/>
        <w:t>业务毛利率下降</w:t>
      </w:r>
      <w:r>
        <w:rPr>
          <w:rFonts w:ascii="Times New Roman" w:hAnsi="Times New Roman" w:cs="Times New Roman" w:eastAsia="Times New Roman" w:hint="default"/>
        </w:rPr>
        <w:t>7.34%</w:t>
      </w:r>
      <w:r>
        <w:rPr/>
        <w:t>。 另外，两项主营业务宽带接入服务和</w:t>
      </w:r>
      <w:r>
        <w:rPr>
          <w:rFonts w:ascii="Times New Roman" w:hAnsi="Times New Roman" w:cs="Times New Roman" w:eastAsia="Times New Roman" w:hint="default"/>
        </w:rPr>
        <w:t>IDC</w:t>
      </w:r>
      <w:r>
        <w:rPr/>
        <w:t>及其增值服务业务发展的不均衡性也导致公司主营业务综合毛利率呈下滑趋势。未 来随着公司业务规模的扩大和竞争的日益激烈，预计毛利率水平将面临继续下降风险。</w:t>
      </w:r>
    </w:p>
    <w:p>
      <w:pPr>
        <w:pStyle w:val="BodyText"/>
        <w:spacing w:line="319" w:lineRule="auto" w:before="31"/>
        <w:ind w:right="189" w:firstLine="360"/>
        <w:jc w:val="both"/>
      </w:pPr>
      <w:r>
        <w:rPr>
          <w:spacing w:val="-2"/>
        </w:rPr>
        <w:t>公司将进一步完善营销制度，通过各种积极有效的方式激发销售队伍的斗志和潜力，进一步开拓细分市场，努力扩大市</w:t>
      </w:r>
      <w:r>
        <w:rPr/>
        <w:t> </w:t>
      </w:r>
      <w:r>
        <w:rPr>
          <w:spacing w:val="-2"/>
        </w:rPr>
        <w:t>场份额。针对上海云计算基地项目，为减少因项目建设周期过长对公司业绩的影响，公司拟采用分模块建设的方式，实行分</w:t>
      </w:r>
      <w:r>
        <w:rPr>
          <w:spacing w:val="-63"/>
        </w:rPr>
        <w:t> </w:t>
      </w:r>
      <w:r>
        <w:rPr>
          <w:spacing w:val="-63"/>
        </w:rPr>
      </w:r>
      <w:r>
        <w:rPr>
          <w:spacing w:val="-2"/>
        </w:rPr>
        <w:t>批投产。另外，公司将从控制成本入手，严格执行预算制度，全员提倡节俭风气，努力降低各项成本，积极应对毛利率下降</w:t>
      </w:r>
      <w:r>
        <w:rPr>
          <w:spacing w:val="-68"/>
        </w:rPr>
        <w:t> </w:t>
      </w:r>
      <w:r>
        <w:rPr>
          <w:spacing w:val="-68"/>
        </w:rPr>
      </w:r>
      <w:r>
        <w:rPr/>
        <w:t>风险。</w:t>
      </w:r>
    </w:p>
    <w:p>
      <w:pPr>
        <w:pStyle w:val="BodyText"/>
        <w:spacing w:line="300" w:lineRule="auto" w:before="17"/>
        <w:ind w:left="513" w:right="89" w:hanging="361"/>
        <w:jc w:val="left"/>
      </w:pPr>
      <w:r>
        <w:rPr>
          <w:rFonts w:ascii="Times New Roman" w:hAnsi="Times New Roman" w:cs="Times New Roman" w:eastAsia="Times New Roman" w:hint="default"/>
        </w:rPr>
        <w:t>2</w:t>
      </w:r>
      <w:r>
        <w:rPr/>
        <w:t>、未来整体经营业绩下滑风险 </w:t>
      </w:r>
      <w:r>
        <w:rPr>
          <w:spacing w:val="-2"/>
        </w:rPr>
        <w:t>公司历来紧跟行业发展趋势，力争保持公司在行业细分领域的竞争优势，但未来随着市场竞争的日益加剧以及行业环境</w:t>
      </w:r>
    </w:p>
    <w:p>
      <w:pPr>
        <w:pStyle w:val="BodyText"/>
        <w:spacing w:line="316" w:lineRule="auto" w:before="31"/>
        <w:ind w:left="513" w:right="89" w:hanging="361"/>
        <w:jc w:val="left"/>
      </w:pPr>
      <w:r>
        <w:rPr/>
        <w:t>的不断变化，公司整体经营业绩仍可能出现一定下滑。 </w:t>
      </w:r>
      <w:r>
        <w:rPr>
          <w:spacing w:val="-2"/>
        </w:rPr>
        <w:t>报告期内，公司积极推进募集资金投资项目及由子公司光环云谷实施建设的燕郊机房的建设进程。报告期内，为抓住云</w:t>
      </w:r>
    </w:p>
    <w:p>
      <w:pPr>
        <w:pStyle w:val="BodyText"/>
        <w:spacing w:line="316" w:lineRule="auto"/>
        <w:ind w:right="191"/>
        <w:jc w:val="both"/>
      </w:pPr>
      <w:r>
        <w:rPr>
          <w:spacing w:val="-2"/>
        </w:rPr>
        <w:t>计算、大数据的发展契机，进一步提升募集资金的使用效率与募投项目的实施质量，公司计划在上海嘉定地区建设绿色云计</w:t>
      </w:r>
      <w:r>
        <w:rPr>
          <w:spacing w:val="-65"/>
        </w:rPr>
        <w:t> </w:t>
      </w:r>
      <w:r>
        <w:rPr>
          <w:spacing w:val="-65"/>
        </w:rPr>
      </w:r>
      <w:r>
        <w:rPr>
          <w:spacing w:val="-2"/>
        </w:rPr>
        <w:t>算基地项目。上述项目完成后，将有助于提高公司的总体运营能力和整体竞争实力，扩大业务辐射范围，进一步提高公司的</w:t>
      </w:r>
      <w:r>
        <w:rPr>
          <w:spacing w:val="-65"/>
        </w:rPr>
        <w:t> </w:t>
      </w:r>
      <w:r>
        <w:rPr>
          <w:spacing w:val="-65"/>
        </w:rPr>
      </w:r>
      <w:r>
        <w:rPr/>
        <w:t>行业竞争力，力争保持业绩稳步增长。</w:t>
      </w:r>
    </w:p>
    <w:p>
      <w:pPr>
        <w:pStyle w:val="BodyText"/>
        <w:spacing w:line="300" w:lineRule="auto"/>
        <w:ind w:left="513" w:right="258" w:hanging="361"/>
        <w:jc w:val="left"/>
      </w:pPr>
      <w:r>
        <w:rPr>
          <w:rFonts w:ascii="Times New Roman" w:hAnsi="Times New Roman" w:cs="Times New Roman" w:eastAsia="Times New Roman" w:hint="default"/>
        </w:rPr>
        <w:t>3</w:t>
      </w:r>
      <w:r>
        <w:rPr/>
        <w:t>、客户集中度较高的风险 截至报告期末，公司前五名客户合计销售金额占当期销售总额的</w:t>
      </w:r>
      <w:r>
        <w:rPr>
          <w:rFonts w:ascii="Times New Roman" w:hAnsi="Times New Roman" w:cs="Times New Roman" w:eastAsia="Times New Roman" w:hint="default"/>
        </w:rPr>
        <w:t>49.47%</w:t>
      </w:r>
      <w:r>
        <w:rPr/>
        <w:t>，公司客户集中度较高，如果前五大客户因为</w:t>
      </w:r>
    </w:p>
    <w:p>
      <w:pPr>
        <w:pStyle w:val="BodyText"/>
        <w:spacing w:line="240" w:lineRule="auto" w:before="13"/>
        <w:ind w:right="89"/>
        <w:jc w:val="left"/>
      </w:pPr>
      <w:r>
        <w:rPr/>
        <w:t>经营策略或者其他因素发生不利于本公司的情况，将会对公司的业务经营造成一定的影响。</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2" w:lineRule="auto" w:before="44"/>
        <w:ind w:right="89" w:firstLine="360"/>
        <w:jc w:val="left"/>
      </w:pPr>
      <w:r>
        <w:rPr>
          <w:spacing w:val="-2"/>
        </w:rPr>
        <w:t>多年来公司始终坚持</w:t>
      </w:r>
      <w:r>
        <w:rPr>
          <w:rFonts w:ascii="Times New Roman" w:hAnsi="Times New Roman" w:cs="Times New Roman" w:eastAsia="Times New Roman" w:hint="default"/>
          <w:spacing w:val="-2"/>
        </w:rPr>
        <w:t>“</w:t>
      </w:r>
      <w:r>
        <w:rPr>
          <w:spacing w:val="-2"/>
        </w:rPr>
        <w:t>我们为您想得更多</w:t>
      </w:r>
      <w:r>
        <w:rPr>
          <w:rFonts w:ascii="Times New Roman" w:hAnsi="Times New Roman" w:cs="Times New Roman" w:eastAsia="Times New Roman" w:hint="default"/>
          <w:spacing w:val="-2"/>
        </w:rPr>
        <w:t>”</w:t>
      </w:r>
      <w:r>
        <w:rPr>
          <w:spacing w:val="-2"/>
        </w:rPr>
        <w:t>的服务理念，不断提升服务品质，为客户提供</w:t>
      </w:r>
      <w:r>
        <w:rPr>
          <w:rFonts w:ascii="Times New Roman" w:hAnsi="Times New Roman" w:cs="Times New Roman" w:eastAsia="Times New Roman" w:hint="default"/>
          <w:spacing w:val="-2"/>
        </w:rPr>
        <w:t>7×24</w:t>
      </w:r>
      <w:r>
        <w:rPr>
          <w:spacing w:val="-2"/>
        </w:rPr>
        <w:t>小时无间断的服务保障。公</w:t>
      </w:r>
      <w:r>
        <w:rPr/>
        <w:t> </w:t>
      </w:r>
      <w:r>
        <w:rPr>
          <w:spacing w:val="-4"/>
        </w:rPr>
        <w:t>司建立了完善系统的故障快速响应机制，保障故障发现及时、处理快速；定期客户体验回访制度使得公司及时了解客户需求，</w:t>
      </w:r>
      <w:r>
        <w:rPr>
          <w:spacing w:val="-44"/>
        </w:rPr>
        <w:t> </w:t>
      </w:r>
      <w:r>
        <w:rPr>
          <w:spacing w:val="-44"/>
        </w:rPr>
      </w:r>
      <w:r>
        <w:rPr>
          <w:spacing w:val="-2"/>
        </w:rPr>
        <w:t>快速做出相应调整，最大限度提升客户满意度。针对大客户公司专门配备了具有丰富市场和客服经验的人员，为大客户提供</w:t>
      </w:r>
      <w:r>
        <w:rPr>
          <w:spacing w:val="-63"/>
        </w:rPr>
        <w:t> </w:t>
      </w:r>
      <w:r>
        <w:rPr>
          <w:spacing w:val="-63"/>
        </w:rPr>
      </w:r>
      <w:r>
        <w:rPr/>
        <w:t>全方位高品质的服务。随着大客户数量及合同额的不断增加，公司业绩增长将得到有力保障。</w:t>
      </w:r>
    </w:p>
    <w:p>
      <w:pPr>
        <w:pStyle w:val="BodyText"/>
        <w:spacing w:line="300" w:lineRule="auto" w:before="22"/>
        <w:ind w:left="513" w:right="258" w:hanging="361"/>
        <w:jc w:val="left"/>
      </w:pPr>
      <w:r>
        <w:rPr>
          <w:rFonts w:ascii="Times New Roman" w:hAnsi="Times New Roman" w:cs="Times New Roman" w:eastAsia="Times New Roman" w:hint="default"/>
        </w:rPr>
        <w:t>4</w:t>
      </w:r>
      <w:r>
        <w:rPr/>
        <w:t>、供应商比较集中的风险 截至报告期末，公司前五名供应商合计采购额占公司当期采购总额的比重为</w:t>
      </w:r>
      <w:r>
        <w:rPr>
          <w:rFonts w:ascii="Times New Roman" w:hAnsi="Times New Roman" w:cs="Times New Roman" w:eastAsia="Times New Roman" w:hint="default"/>
        </w:rPr>
        <w:t>59.11%</w:t>
      </w:r>
      <w:r>
        <w:rPr/>
        <w:t>，如果公司主要供应商因为经营策</w:t>
      </w:r>
    </w:p>
    <w:p>
      <w:pPr>
        <w:pStyle w:val="BodyText"/>
        <w:spacing w:line="316" w:lineRule="auto" w:before="13"/>
        <w:ind w:left="513" w:right="89" w:hanging="361"/>
        <w:jc w:val="left"/>
      </w:pPr>
      <w:r>
        <w:rPr/>
        <w:t>略或者其他因素发生不利于本公司的情况，将会对公司的业务经营造成一定的影响。 </w:t>
      </w:r>
      <w:r>
        <w:rPr>
          <w:spacing w:val="-2"/>
        </w:rPr>
        <w:t>多年来公司一直与各主要供应商保持着长期良好的合作关系，按照科学客观的评价体系定期对现有供应商各项指标进行</w:t>
      </w:r>
    </w:p>
    <w:p>
      <w:pPr>
        <w:pStyle w:val="BodyText"/>
        <w:spacing w:line="316" w:lineRule="auto"/>
        <w:ind w:right="193"/>
        <w:jc w:val="both"/>
      </w:pPr>
      <w:r>
        <w:rPr>
          <w:spacing w:val="-2"/>
        </w:rPr>
        <w:t>评估，及时调整优化采购策略。针对重点采购项目，采取分类别招标机制，选择最具性价比的供货商。同时公司的采购部门</w:t>
      </w:r>
      <w:r>
        <w:rPr>
          <w:spacing w:val="-67"/>
        </w:rPr>
        <w:t> </w:t>
      </w:r>
      <w:r>
        <w:rPr>
          <w:spacing w:val="-67"/>
        </w:rPr>
      </w:r>
      <w:r>
        <w:rPr>
          <w:spacing w:val="-2"/>
        </w:rPr>
        <w:t>积极与市场上同类供应商接洽联系，建立了完善的供应商数据库，掌握最新市场动态，在努力寻求性价比最高的产品供应同</w:t>
      </w:r>
      <w:r>
        <w:rPr>
          <w:spacing w:val="-66"/>
        </w:rPr>
        <w:t> </w:t>
      </w:r>
      <w:r>
        <w:rPr>
          <w:spacing w:val="-66"/>
        </w:rPr>
      </w:r>
      <w:r>
        <w:rPr/>
        <w:t>时，有效地避免了对单一供应商的过度依赖。</w:t>
      </w:r>
    </w:p>
    <w:p>
      <w:pPr>
        <w:pStyle w:val="BodyText"/>
        <w:spacing w:line="300" w:lineRule="auto"/>
        <w:ind w:left="441" w:right="89" w:hanging="289"/>
        <w:jc w:val="left"/>
      </w:pPr>
      <w:r>
        <w:rPr>
          <w:rFonts w:ascii="Times New Roman" w:hAnsi="Times New Roman" w:cs="Times New Roman" w:eastAsia="Times New Roman" w:hint="default"/>
        </w:rPr>
        <w:t>5</w:t>
      </w:r>
      <w:r>
        <w:rPr/>
        <w:t>、技术更新较快风险 </w:t>
      </w:r>
      <w:r>
        <w:rPr>
          <w:spacing w:val="-1"/>
        </w:rPr>
        <w:t>互联网及其相关应用的高速发展要求公司的核心技术具备快速更新能力，如果由于投资不足等因素导致不能及时更新技</w:t>
      </w:r>
    </w:p>
    <w:p>
      <w:pPr>
        <w:pStyle w:val="BodyText"/>
        <w:spacing w:line="316" w:lineRule="auto" w:before="31"/>
        <w:ind w:right="190"/>
        <w:jc w:val="both"/>
      </w:pPr>
      <w:r>
        <w:rPr>
          <w:spacing w:val="-2"/>
        </w:rPr>
        <w:t>术、满足客户技术要求，将对公司的竞争力产生不利影响。同时，公司的核心技术研发不可避免地依赖专业人才，特别是核</w:t>
      </w:r>
      <w:r>
        <w:rPr>
          <w:spacing w:val="-67"/>
        </w:rPr>
        <w:t> </w:t>
      </w:r>
      <w:r>
        <w:rPr>
          <w:spacing w:val="-67"/>
        </w:rPr>
      </w:r>
      <w:r>
        <w:rPr>
          <w:spacing w:val="-2"/>
        </w:rPr>
        <w:t>心技术人员。如果公司的核心技术人员流失，将导致以专有技术为主的核心技术流失或泄密，将可能会给公司的生产经营造</w:t>
      </w:r>
      <w:r>
        <w:rPr>
          <w:spacing w:val="-63"/>
        </w:rPr>
        <w:t> </w:t>
      </w:r>
      <w:r>
        <w:rPr>
          <w:spacing w:val="-63"/>
        </w:rPr>
      </w:r>
      <w:r>
        <w:rPr/>
        <w:t>成重大影响。</w:t>
      </w:r>
    </w:p>
    <w:p>
      <w:pPr>
        <w:pStyle w:val="BodyText"/>
        <w:spacing w:line="309" w:lineRule="auto"/>
        <w:ind w:right="89" w:firstLine="288"/>
        <w:jc w:val="left"/>
      </w:pPr>
      <w:r>
        <w:rPr/>
        <w:t>报告期内，为了防止技术更新风险及项目专有技术流失或泄密，公司持续加大研发投入，针对不断变化的市场需求，加 </w:t>
      </w:r>
      <w:r>
        <w:rPr>
          <w:spacing w:val="-3"/>
        </w:rPr>
        <w:t>强在业务响应和需求定制化方面的及时性和灵活性，增强公司在</w:t>
      </w:r>
      <w:r>
        <w:rPr>
          <w:rFonts w:ascii="Times New Roman" w:hAnsi="Times New Roman" w:cs="Times New Roman" w:eastAsia="Times New Roman" w:hint="default"/>
          <w:spacing w:val="-3"/>
        </w:rPr>
        <w:t>IDC</w:t>
      </w:r>
      <w:r>
        <w:rPr>
          <w:spacing w:val="-3"/>
        </w:rPr>
        <w:t>领域的核心竞争力；同时通过提高核心技术人员的待遇，</w:t>
      </w:r>
      <w:r>
        <w:rPr>
          <w:spacing w:val="-43"/>
        </w:rPr>
        <w:t> </w:t>
      </w:r>
      <w:r>
        <w:rPr>
          <w:spacing w:val="-43"/>
        </w:rPr>
      </w:r>
      <w:r>
        <w:rPr/>
        <w:t>加大人才引进与培养、扩充所需人才，增强员工凝聚力。</w:t>
      </w:r>
    </w:p>
    <w:p>
      <w:pPr>
        <w:pStyle w:val="BodyText"/>
        <w:spacing w:line="240" w:lineRule="auto" w:before="24"/>
        <w:ind w:right="0"/>
        <w:jc w:val="both"/>
      </w:pPr>
      <w:r>
        <w:rPr>
          <w:rFonts w:ascii="Times New Roman" w:hAnsi="Times New Roman" w:cs="Times New Roman" w:eastAsia="Times New Roman" w:hint="default"/>
        </w:rPr>
        <w:t>6</w:t>
      </w:r>
      <w:r>
        <w:rPr/>
        <w:t>、管理风险</w:t>
      </w:r>
    </w:p>
    <w:p>
      <w:pPr>
        <w:pStyle w:val="BodyText"/>
        <w:spacing w:line="319" w:lineRule="auto" w:before="63"/>
        <w:ind w:right="189" w:firstLine="360"/>
        <w:jc w:val="both"/>
      </w:pPr>
      <w:r>
        <w:rPr>
          <w:spacing w:val="-2"/>
        </w:rPr>
        <w:t>随着公司经营规模和业务范围的不断扩大，组织架构日益复杂，对公司管理的要求也越来越高。针对可能出现的管理风</w:t>
      </w:r>
      <w:r>
        <w:rPr/>
        <w:t> </w:t>
      </w:r>
      <w:r>
        <w:rPr>
          <w:spacing w:val="-2"/>
        </w:rPr>
        <w:t>险，报告期内，公司严格遵守各项法律法规，完善法人治理结构，规范公司运作体系，加强内部控制，提高公司管理层的管</w:t>
      </w:r>
      <w:r>
        <w:rPr>
          <w:spacing w:val="-68"/>
        </w:rPr>
        <w:t> </w:t>
      </w:r>
      <w:r>
        <w:rPr>
          <w:spacing w:val="-68"/>
        </w:rPr>
      </w:r>
      <w:r>
        <w:rPr/>
        <w:t>理水平和决策能力，不断完善现有管理体系。</w:t>
      </w:r>
    </w:p>
    <w:p>
      <w:pPr>
        <w:spacing w:after="0" w:line="319"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5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13"/>
        <w:jc w:val="left"/>
        <w:rPr>
          <w:b w:val="0"/>
          <w:bCs w:val="0"/>
        </w:rPr>
      </w:pPr>
      <w:r>
        <w:rPr/>
        <w:t>一、管理层讨论与分析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13" w:firstLine="360"/>
        <w:jc w:val="left"/>
      </w:pPr>
      <w:r>
        <w:rPr>
          <w:rFonts w:ascii="宋体" w:hAnsi="宋体" w:cs="宋体" w:eastAsia="宋体" w:hint="default"/>
          <w:spacing w:val="-2"/>
        </w:rPr>
        <w:t>2014</w:t>
      </w:r>
      <w:r>
        <w:rPr>
          <w:spacing w:val="-2"/>
        </w:rPr>
        <w:t>年公司积极贯彻落实企业发展战略及年度经营计划，秉承“想客户所想、做客户所要”的经营和服务理念，以市场</w:t>
      </w:r>
      <w:r>
        <w:rPr/>
        <w:t> </w:t>
      </w:r>
      <w:r>
        <w:rPr>
          <w:spacing w:val="-2"/>
        </w:rPr>
        <w:t>需求为导向，以互联网技术发展为基础，大力推进云计算数据中心建设，朝着成为国内一流的互联网综合服务提供商的发展</w:t>
      </w:r>
      <w:r>
        <w:rPr>
          <w:spacing w:val="-63"/>
        </w:rPr>
        <w:t> </w:t>
      </w:r>
      <w:r>
        <w:rPr>
          <w:spacing w:val="-63"/>
        </w:rPr>
      </w:r>
      <w:r>
        <w:rPr>
          <w:spacing w:val="-2"/>
        </w:rPr>
        <w:t>目标迈进了扎实的一步。报告期内，公司继续加强市场开拓力度，努力提升客户服务品质，不断强化自身核心竞争力，较好</w:t>
      </w:r>
      <w:r>
        <w:rPr>
          <w:spacing w:val="-67"/>
        </w:rPr>
        <w:t> </w:t>
      </w:r>
      <w:r>
        <w:rPr>
          <w:spacing w:val="-67"/>
        </w:rPr>
      </w:r>
      <w:r>
        <w:rPr>
          <w:spacing w:val="-2"/>
        </w:rPr>
        <w:t>地完成了公司</w:t>
      </w:r>
      <w:r>
        <w:rPr>
          <w:rFonts w:ascii="宋体" w:hAnsi="宋体" w:cs="宋体" w:eastAsia="宋体" w:hint="default"/>
          <w:spacing w:val="-2"/>
        </w:rPr>
        <w:t>2014</w:t>
      </w:r>
      <w:r>
        <w:rPr>
          <w:spacing w:val="-2"/>
        </w:rPr>
        <w:t>年度各项经营指标，公司业绩稳定增长。报告期内实现营业收入</w:t>
      </w:r>
      <w:r>
        <w:rPr>
          <w:rFonts w:ascii="宋体" w:hAnsi="宋体" w:cs="宋体" w:eastAsia="宋体" w:hint="default"/>
          <w:spacing w:val="-2"/>
        </w:rPr>
        <w:t>43,454.31</w:t>
      </w:r>
      <w:r>
        <w:rPr>
          <w:spacing w:val="-2"/>
        </w:rPr>
        <w:t>万元，比上年同期增长</w:t>
      </w:r>
      <w:r>
        <w:rPr>
          <w:rFonts w:ascii="宋体" w:hAnsi="宋体" w:cs="宋体" w:eastAsia="宋体" w:hint="default"/>
          <w:spacing w:val="-2"/>
        </w:rPr>
        <w:t>41.02%</w:t>
      </w:r>
      <w:r>
        <w:rPr>
          <w:spacing w:val="-2"/>
        </w:rPr>
        <w:t>；</w:t>
      </w:r>
      <w:r>
        <w:rPr>
          <w:spacing w:val="-52"/>
        </w:rPr>
        <w:t> </w:t>
      </w:r>
      <w:r>
        <w:rPr>
          <w:spacing w:val="-4"/>
        </w:rPr>
        <w:t>利润总额</w:t>
      </w:r>
      <w:r>
        <w:rPr>
          <w:rFonts w:ascii="宋体" w:hAnsi="宋体" w:cs="宋体" w:eastAsia="宋体" w:hint="default"/>
          <w:spacing w:val="-4"/>
        </w:rPr>
        <w:t>11,248.87</w:t>
      </w:r>
      <w:r>
        <w:rPr>
          <w:spacing w:val="-4"/>
        </w:rPr>
        <w:t>万元，比上年同期增长</w:t>
      </w:r>
      <w:r>
        <w:rPr>
          <w:rFonts w:ascii="宋体" w:hAnsi="宋体" w:cs="宋体" w:eastAsia="宋体" w:hint="default"/>
          <w:spacing w:val="-4"/>
        </w:rPr>
        <w:t>42.45%</w:t>
      </w:r>
      <w:r>
        <w:rPr>
          <w:spacing w:val="-4"/>
        </w:rPr>
        <w:t>；实现归属于上市公司股东的净利润</w:t>
      </w:r>
      <w:r>
        <w:rPr>
          <w:rFonts w:ascii="宋体" w:hAnsi="宋体" w:cs="宋体" w:eastAsia="宋体" w:hint="default"/>
          <w:spacing w:val="-4"/>
        </w:rPr>
        <w:t>9,518.44</w:t>
      </w:r>
      <w:r>
        <w:rPr>
          <w:spacing w:val="-4"/>
        </w:rPr>
        <w:t>万元，比上年同期增长</w:t>
      </w:r>
      <w:r>
        <w:rPr>
          <w:rFonts w:ascii="宋体" w:hAnsi="宋体" w:cs="宋体" w:eastAsia="宋体" w:hint="default"/>
          <w:spacing w:val="-4"/>
        </w:rPr>
        <w:t>41.51%</w:t>
      </w:r>
      <w:r>
        <w:rPr>
          <w:spacing w:val="-4"/>
        </w:rPr>
        <w:t>。</w:t>
      </w:r>
    </w:p>
    <w:p>
      <w:pPr>
        <w:pStyle w:val="BodyText"/>
        <w:spacing w:line="240" w:lineRule="auto" w:before="17"/>
        <w:ind w:left="513" w:right="113"/>
        <w:jc w:val="left"/>
      </w:pPr>
      <w:r>
        <w:rPr/>
        <w:t>报告期内，公司根据企业发展战略及年度经营计划，积极推进各项工作顺利开展。</w:t>
      </w:r>
    </w:p>
    <w:p>
      <w:pPr>
        <w:pStyle w:val="BodyText"/>
        <w:spacing w:line="316" w:lineRule="auto" w:before="76"/>
        <w:ind w:right="113" w:firstLine="360"/>
        <w:jc w:val="left"/>
      </w:pPr>
      <w:r>
        <w:rPr>
          <w:rFonts w:ascii="宋体" w:hAnsi="宋体" w:cs="宋体" w:eastAsia="宋体" w:hint="default"/>
          <w:b/>
          <w:bCs/>
        </w:rPr>
        <w:t>市场营销方面</w:t>
      </w:r>
      <w:r>
        <w:rPr>
          <w:rFonts w:ascii="宋体" w:hAnsi="宋体" w:cs="宋体" w:eastAsia="宋体" w:hint="default"/>
          <w:b/>
          <w:bCs/>
          <w:spacing w:val="86"/>
        </w:rPr>
        <w:t> </w:t>
      </w:r>
      <w:r>
        <w:rPr>
          <w:rFonts w:ascii="宋体" w:hAnsi="宋体" w:cs="宋体" w:eastAsia="宋体" w:hint="default"/>
        </w:rPr>
        <w:t>2014</w:t>
      </w:r>
      <w:r>
        <w:rPr/>
        <w:t>年，随着电子商务的蓬勃发展、互联网金融进一步普及、移动</w:t>
      </w:r>
      <w:r>
        <w:rPr>
          <w:rFonts w:ascii="宋体" w:hAnsi="宋体" w:cs="宋体" w:eastAsia="宋体" w:hint="default"/>
        </w:rPr>
        <w:t>4G</w:t>
      </w:r>
      <w:r>
        <w:rPr/>
        <w:t>技术的推广及云计算产业的兴起， </w:t>
      </w:r>
      <w:r>
        <w:rPr>
          <w:spacing w:val="-2"/>
        </w:rPr>
        <w:t>互联网行业继续保持快速增长。报告期内，公司围绕</w:t>
      </w:r>
      <w:r>
        <w:rPr>
          <w:rFonts w:ascii="宋体" w:hAnsi="宋体" w:cs="宋体" w:eastAsia="宋体" w:hint="default"/>
          <w:spacing w:val="-2"/>
        </w:rPr>
        <w:t>2014</w:t>
      </w:r>
      <w:r>
        <w:rPr>
          <w:spacing w:val="-2"/>
        </w:rPr>
        <w:t>年度经营计划，顺应互联网发展趋势，继续充实营销网络与营销体</w:t>
      </w:r>
      <w:r>
        <w:rPr>
          <w:spacing w:val="-60"/>
        </w:rPr>
        <w:t> </w:t>
      </w:r>
      <w:r>
        <w:rPr>
          <w:spacing w:val="-60"/>
        </w:rPr>
      </w:r>
      <w:r>
        <w:rPr>
          <w:spacing w:val="-2"/>
        </w:rPr>
        <w:t>系的建设，不断深化内功，努力挖潜，加强销售团队的管理和培训，完善各项营销制度，优化全程服务环节，重点落实并维</w:t>
      </w:r>
      <w:r>
        <w:rPr>
          <w:spacing w:val="-68"/>
        </w:rPr>
        <w:t> </w:t>
      </w:r>
      <w:r>
        <w:rPr>
          <w:spacing w:val="-68"/>
        </w:rPr>
      </w:r>
      <w:r>
        <w:rPr>
          <w:spacing w:val="-2"/>
        </w:rPr>
        <w:t>护大客户营销工作，营销业绩和客户满意度得到较大的提升。在老客户的服务合同不断增加的同时，公司还在大型新客户拓</w:t>
      </w:r>
      <w:r>
        <w:rPr>
          <w:spacing w:val="-63"/>
        </w:rPr>
        <w:t> </w:t>
      </w:r>
      <w:r>
        <w:rPr>
          <w:spacing w:val="-63"/>
        </w:rPr>
      </w:r>
      <w:r>
        <w:rPr/>
        <w:t>展方面取得较好成绩。报告期内，公司</w:t>
      </w:r>
      <w:r>
        <w:rPr>
          <w:rFonts w:ascii="宋体" w:hAnsi="宋体" w:cs="宋体" w:eastAsia="宋体" w:hint="default"/>
        </w:rPr>
        <w:t>IDC</w:t>
      </w:r>
      <w:r>
        <w:rPr/>
        <w:t>及</w:t>
      </w:r>
      <w:r>
        <w:rPr>
          <w:rFonts w:ascii="宋体" w:hAnsi="宋体" w:cs="宋体" w:eastAsia="宋体" w:hint="default"/>
        </w:rPr>
        <w:t>ISP</w:t>
      </w:r>
      <w:r>
        <w:rPr/>
        <w:t>两项主营业务实现营业收入</w:t>
      </w:r>
      <w:r>
        <w:rPr>
          <w:rFonts w:ascii="宋体" w:hAnsi="宋体" w:cs="宋体" w:eastAsia="宋体" w:hint="default"/>
        </w:rPr>
        <w:t>35,791.33</w:t>
      </w:r>
      <w:r>
        <w:rPr/>
        <w:t>万元、</w:t>
      </w:r>
      <w:r>
        <w:rPr>
          <w:rFonts w:ascii="宋体" w:hAnsi="宋体" w:cs="宋体" w:eastAsia="宋体" w:hint="default"/>
        </w:rPr>
        <w:t>7,003.76</w:t>
      </w:r>
      <w:r>
        <w:rPr/>
        <w:t>万元，分别较去年同 期增长</w:t>
      </w:r>
      <w:r>
        <w:rPr>
          <w:rFonts w:ascii="宋体" w:hAnsi="宋体" w:cs="宋体" w:eastAsia="宋体" w:hint="default"/>
        </w:rPr>
        <w:t>53.51%</w:t>
      </w:r>
      <w:r>
        <w:rPr/>
        <w:t>、</w:t>
      </w:r>
      <w:r>
        <w:rPr>
          <w:rFonts w:ascii="宋体" w:hAnsi="宋体" w:cs="宋体" w:eastAsia="宋体" w:hint="default"/>
        </w:rPr>
        <w:t>9.08%</w:t>
      </w:r>
      <w:r>
        <w:rPr/>
        <w:t>。同时公司还取得了中国</w:t>
      </w:r>
      <w:r>
        <w:rPr>
          <w:rFonts w:ascii="宋体" w:hAnsi="宋体" w:cs="宋体" w:eastAsia="宋体" w:hint="default"/>
        </w:rPr>
        <w:t>IDC</w:t>
      </w:r>
      <w:r>
        <w:rPr/>
        <w:t>产业年度大典组委会颁发的“</w:t>
      </w:r>
      <w:r>
        <w:rPr>
          <w:rFonts w:ascii="宋体" w:hAnsi="宋体" w:cs="宋体" w:eastAsia="宋体" w:hint="default"/>
        </w:rPr>
        <w:t>2014</w:t>
      </w:r>
      <w:r>
        <w:rPr/>
        <w:t>年度中国</w:t>
      </w:r>
      <w:r>
        <w:rPr>
          <w:rFonts w:ascii="宋体" w:hAnsi="宋体" w:cs="宋体" w:eastAsia="宋体" w:hint="default"/>
        </w:rPr>
        <w:t>IDC</w:t>
      </w:r>
      <w:r>
        <w:rPr/>
        <w:t>产业先锋企业奖”等诸多 荣誉。</w:t>
      </w:r>
    </w:p>
    <w:p>
      <w:pPr>
        <w:pStyle w:val="BodyText"/>
        <w:spacing w:line="316" w:lineRule="auto"/>
        <w:ind w:right="105" w:firstLine="360"/>
        <w:jc w:val="left"/>
      </w:pPr>
      <w:r>
        <w:rPr>
          <w:rFonts w:ascii="宋体" w:hAnsi="宋体" w:cs="宋体" w:eastAsia="宋体" w:hint="default"/>
          <w:b/>
          <w:bCs/>
        </w:rPr>
        <w:t>技术研发方面</w:t>
      </w:r>
      <w:r>
        <w:rPr>
          <w:rFonts w:ascii="宋体" w:hAnsi="宋体" w:cs="宋体" w:eastAsia="宋体" w:hint="default"/>
          <w:b/>
          <w:bCs/>
          <w:spacing w:val="33"/>
        </w:rPr>
        <w:t> </w:t>
      </w:r>
      <w:r>
        <w:rPr/>
        <w:t>作为高新技术企业，公司高度重视技术研发与技术创新。公司一方面继续加大研发投入，积极推进募投 </w:t>
      </w:r>
      <w:r>
        <w:rPr>
          <w:spacing w:val="-2"/>
        </w:rPr>
        <w:t>项目互联网技术研发中心扩建项目的建设；另一方面，不断完善研发团队建设，在大力引进各类专业技术人员的同时，继续</w:t>
      </w:r>
      <w:r>
        <w:rPr>
          <w:spacing w:val="-64"/>
        </w:rPr>
        <w:t> </w:t>
      </w:r>
      <w:r>
        <w:rPr>
          <w:spacing w:val="-64"/>
        </w:rPr>
      </w:r>
      <w:r>
        <w:rPr>
          <w:spacing w:val="-2"/>
        </w:rPr>
        <w:t>完善研发激励机制，从而持续增强技术储备并进一步优化人才结构。报告期内，公司研发计划顺利进行，针对云计算、网络</w:t>
      </w:r>
      <w:r>
        <w:rPr>
          <w:spacing w:val="-66"/>
        </w:rPr>
        <w:t> </w:t>
      </w:r>
      <w:r>
        <w:rPr>
          <w:spacing w:val="-66"/>
        </w:rPr>
      </w:r>
      <w:r>
        <w:rPr>
          <w:spacing w:val="-2"/>
        </w:rPr>
        <w:t>优化、节能环保技术方面持续进行深入研发。尤其在云计算平台研发方面，公司积极联手专业合作伙伴，完成了云主机服务</w:t>
      </w:r>
      <w:r>
        <w:rPr>
          <w:spacing w:val="-65"/>
        </w:rPr>
        <w:t> </w:t>
      </w:r>
      <w:r>
        <w:rPr>
          <w:spacing w:val="-65"/>
        </w:rPr>
      </w:r>
      <w:r>
        <w:rPr>
          <w:spacing w:val="-3"/>
        </w:rPr>
        <w:t>的技术开发工作，目前已进入平台测试阶段。另外公司研发的云计算管理软件模块取得了云计算管理系统</w:t>
      </w:r>
      <w:r>
        <w:rPr>
          <w:rFonts w:ascii="宋体" w:hAnsi="宋体" w:cs="宋体" w:eastAsia="宋体" w:hint="default"/>
          <w:spacing w:val="-3"/>
        </w:rPr>
        <w:t>V1.0</w:t>
      </w:r>
      <w:r>
        <w:rPr>
          <w:spacing w:val="-3"/>
        </w:rPr>
        <w:t>等软件著作权，</w:t>
      </w:r>
      <w:r>
        <w:rPr/>
        <w:t> 公司综合云计算服务平台被北京市科学技术委员会认定为“北京市国际科技合作基地”。</w:t>
      </w:r>
    </w:p>
    <w:p>
      <w:pPr>
        <w:pStyle w:val="BodyText"/>
        <w:spacing w:line="319" w:lineRule="auto"/>
        <w:ind w:right="203" w:firstLine="360"/>
        <w:jc w:val="left"/>
      </w:pPr>
      <w:r>
        <w:rPr>
          <w:rFonts w:ascii="宋体" w:hAnsi="宋体" w:cs="宋体" w:eastAsia="宋体" w:hint="default"/>
          <w:b/>
          <w:bCs/>
        </w:rPr>
        <w:t>项目建设方面</w:t>
      </w:r>
      <w:r>
        <w:rPr>
          <w:rFonts w:ascii="宋体" w:hAnsi="宋体" w:cs="宋体" w:eastAsia="宋体" w:hint="default"/>
          <w:b/>
          <w:bCs/>
          <w:spacing w:val="86"/>
        </w:rPr>
        <w:t> </w:t>
      </w:r>
      <w:r>
        <w:rPr/>
        <w:t>为顺应</w:t>
      </w:r>
      <w:r>
        <w:rPr>
          <w:rFonts w:ascii="宋体" w:hAnsi="宋体" w:cs="宋体" w:eastAsia="宋体" w:hint="default"/>
        </w:rPr>
        <w:t>IDC</w:t>
      </w:r>
      <w:r>
        <w:rPr/>
        <w:t>市场发展需求，提高公司服务能力，公司在上市之前已利用自有资金对募投项目进行了先期 </w:t>
      </w:r>
      <w:r>
        <w:rPr>
          <w:spacing w:val="-2"/>
        </w:rPr>
        <w:t>建设。报告期内，公司进一步加快了募投项目建设进度，继续推进募投项目的实施和建设。截止</w:t>
      </w:r>
      <w:r>
        <w:rPr>
          <w:rFonts w:ascii="宋体" w:hAnsi="宋体" w:cs="宋体" w:eastAsia="宋体" w:hint="default"/>
          <w:spacing w:val="-2"/>
        </w:rPr>
        <w:t>2014</w:t>
      </w:r>
      <w:r>
        <w:rPr>
          <w:spacing w:val="-2"/>
        </w:rPr>
        <w:t>年底，“互联网数据服</w:t>
      </w:r>
      <w:r>
        <w:rPr>
          <w:spacing w:val="-62"/>
        </w:rPr>
        <w:t> </w:t>
      </w:r>
      <w:r>
        <w:rPr>
          <w:spacing w:val="-62"/>
        </w:rPr>
      </w:r>
      <w:r>
        <w:rPr>
          <w:spacing w:val="-2"/>
        </w:rPr>
        <w:t>务一体化平台二期工程”项目的投资进度达到</w:t>
      </w:r>
      <w:r>
        <w:rPr>
          <w:rFonts w:ascii="宋体" w:hAnsi="宋体" w:cs="宋体" w:eastAsia="宋体" w:hint="default"/>
          <w:spacing w:val="-2"/>
        </w:rPr>
        <w:t>78.76%</w:t>
      </w:r>
      <w:r>
        <w:rPr>
          <w:spacing w:val="-2"/>
        </w:rPr>
        <w:t>，“互联网技术研发中心扩建”项目投资进度为</w:t>
      </w:r>
      <w:r>
        <w:rPr>
          <w:rFonts w:ascii="宋体" w:hAnsi="宋体" w:cs="宋体" w:eastAsia="宋体" w:hint="default"/>
          <w:spacing w:val="-2"/>
        </w:rPr>
        <w:t>34.32%</w:t>
      </w:r>
      <w:r>
        <w:rPr>
          <w:spacing w:val="-2"/>
        </w:rPr>
        <w:t>，变更“宽带接</w:t>
      </w:r>
      <w:r>
        <w:rPr>
          <w:spacing w:val="-59"/>
        </w:rPr>
        <w:t> </w:t>
      </w:r>
      <w:r>
        <w:rPr>
          <w:spacing w:val="-59"/>
        </w:rPr>
      </w:r>
      <w:r>
        <w:rPr>
          <w:spacing w:val="-2"/>
        </w:rPr>
        <w:t>入服务拓展项目”并以该项目剩余资金顺利完成了对上海明月光学有限公司（现已更名为光环新网（上海）信息服务有限公</w:t>
      </w:r>
      <w:r>
        <w:rPr>
          <w:spacing w:val="-64"/>
        </w:rPr>
        <w:t> </w:t>
      </w:r>
      <w:r>
        <w:rPr>
          <w:spacing w:val="-64"/>
        </w:rPr>
      </w:r>
      <w:r>
        <w:rPr/>
        <w:t>司）</w:t>
      </w:r>
      <w:r>
        <w:rPr>
          <w:rFonts w:ascii="宋体" w:hAnsi="宋体" w:cs="宋体" w:eastAsia="宋体" w:hint="default"/>
        </w:rPr>
        <w:t>100%</w:t>
      </w:r>
      <w:r>
        <w:rPr/>
        <w:t>股权的收购。与此同时，为适应</w:t>
      </w:r>
      <w:r>
        <w:rPr>
          <w:rFonts w:ascii="宋体" w:hAnsi="宋体" w:cs="宋体" w:eastAsia="宋体" w:hint="default"/>
        </w:rPr>
        <w:t>IDC</w:t>
      </w:r>
      <w:r>
        <w:rPr/>
        <w:t>迅速发展的市场行情，响应国家京津冀一体化发展战略，公司积极加快由子公 司光环云谷实施建设的燕郊云计算基地的建设步伐。截至报告期末，该项目首期已基本竣工，报告期内实现收入</w:t>
      </w:r>
      <w:r>
        <w:rPr>
          <w:rFonts w:ascii="宋体" w:hAnsi="宋体" w:cs="宋体" w:eastAsia="宋体" w:hint="default"/>
        </w:rPr>
        <w:t>5,222.51 </w:t>
      </w:r>
      <w:r>
        <w:rPr/>
        <w:t>万元。</w:t>
      </w:r>
    </w:p>
    <w:p>
      <w:pPr>
        <w:pStyle w:val="BodyText"/>
        <w:spacing w:line="316" w:lineRule="auto" w:before="17"/>
        <w:ind w:right="208" w:firstLine="360"/>
        <w:jc w:val="both"/>
      </w:pPr>
      <w:r>
        <w:rPr>
          <w:rFonts w:ascii="宋体" w:hAnsi="宋体" w:cs="宋体" w:eastAsia="宋体" w:hint="default"/>
          <w:b/>
          <w:bCs/>
        </w:rPr>
        <w:t>投资并购方面</w:t>
      </w:r>
      <w:r>
        <w:rPr>
          <w:rFonts w:ascii="宋体" w:hAnsi="宋体" w:cs="宋体" w:eastAsia="宋体" w:hint="default"/>
          <w:b/>
          <w:bCs/>
          <w:spacing w:val="4"/>
        </w:rPr>
        <w:t> </w:t>
      </w:r>
      <w:r>
        <w:rPr/>
        <w:t>据资料显示，</w:t>
      </w:r>
      <w:r>
        <w:rPr>
          <w:rFonts w:ascii="宋体" w:hAnsi="宋体" w:cs="宋体" w:eastAsia="宋体" w:hint="default"/>
        </w:rPr>
        <w:t>2008-2013</w:t>
      </w:r>
      <w:r>
        <w:rPr/>
        <w:t>年中国</w:t>
      </w:r>
      <w:r>
        <w:rPr>
          <w:rFonts w:ascii="宋体" w:hAnsi="宋体" w:cs="宋体" w:eastAsia="宋体" w:hint="default"/>
        </w:rPr>
        <w:t>IDC</w:t>
      </w:r>
      <w:r>
        <w:rPr/>
        <w:t>市场规模增长接近</w:t>
      </w:r>
      <w:r>
        <w:rPr>
          <w:rFonts w:ascii="宋体" w:hAnsi="宋体" w:cs="宋体" w:eastAsia="宋体" w:hint="default"/>
        </w:rPr>
        <w:t>6</w:t>
      </w:r>
      <w:r>
        <w:rPr/>
        <w:t>倍，年均增长超过</w:t>
      </w:r>
      <w:r>
        <w:rPr>
          <w:rFonts w:ascii="宋体" w:hAnsi="宋体" w:cs="宋体" w:eastAsia="宋体" w:hint="default"/>
        </w:rPr>
        <w:t>30%</w:t>
      </w:r>
      <w:r>
        <w:rPr/>
        <w:t>，云计算、大数据业务的发 展、互联网客户需求的增加等因素拉动了市场的增长，中国的 </w:t>
      </w:r>
      <w:r>
        <w:rPr>
          <w:rFonts w:ascii="宋体" w:hAnsi="宋体" w:cs="宋体" w:eastAsia="宋体" w:hint="default"/>
        </w:rPr>
        <w:t>IDC </w:t>
      </w:r>
      <w:r>
        <w:rPr/>
        <w:t>行业正在经历第三个高速增长期。公司致力发展成为国 </w:t>
      </w:r>
      <w:r>
        <w:rPr>
          <w:spacing w:val="-2"/>
        </w:rPr>
        <w:t>内一流的互联网综合服务提供商，为实现这一战略目标，公司必须根据行业发展及市场需求，适时扩展互联网数据中心服务</w:t>
      </w:r>
      <w:r>
        <w:rPr>
          <w:spacing w:val="-66"/>
        </w:rPr>
        <w:t> </w:t>
      </w:r>
      <w:r>
        <w:rPr>
          <w:spacing w:val="-66"/>
        </w:rPr>
      </w:r>
      <w:r>
        <w:rPr>
          <w:spacing w:val="-2"/>
        </w:rPr>
        <w:t>规模，不断优化数据中心的区域布局。为实现公司全国性的业务发展战略，增强公司业务能力，公司收购了上海明月光学有</w:t>
      </w:r>
      <w:r>
        <w:rPr>
          <w:spacing w:val="-64"/>
        </w:rPr>
        <w:t> </w:t>
      </w:r>
      <w:r>
        <w:rPr>
          <w:spacing w:val="-64"/>
        </w:rPr>
      </w:r>
      <w:r>
        <w:rPr>
          <w:spacing w:val="-2"/>
        </w:rPr>
        <w:t>限公司（现已更名为光环新网（上海）信息服务有限公司）</w:t>
      </w:r>
      <w:r>
        <w:rPr>
          <w:rFonts w:ascii="宋体" w:hAnsi="宋体" w:cs="宋体" w:eastAsia="宋体" w:hint="default"/>
          <w:spacing w:val="-2"/>
        </w:rPr>
        <w:t>100%</w:t>
      </w:r>
      <w:r>
        <w:rPr>
          <w:spacing w:val="-2"/>
        </w:rPr>
        <w:t>股权，其厂房、办公楼将被建设为数据中心，为公司开拓华</w:t>
      </w:r>
      <w:r>
        <w:rPr>
          <w:spacing w:val="-66"/>
        </w:rPr>
        <w:t> </w:t>
      </w:r>
      <w:r>
        <w:rPr>
          <w:spacing w:val="-66"/>
        </w:rPr>
      </w:r>
      <w:r>
        <w:rPr/>
        <w:t>东地区互联网综合服务市场提供重要保障。</w:t>
      </w:r>
    </w:p>
    <w:p>
      <w:pPr>
        <w:pStyle w:val="BodyText"/>
        <w:spacing w:line="319" w:lineRule="auto"/>
        <w:ind w:right="131" w:firstLine="360"/>
        <w:jc w:val="both"/>
      </w:pPr>
      <w:r>
        <w:rPr>
          <w:rFonts w:ascii="宋体" w:hAnsi="宋体" w:cs="宋体" w:eastAsia="宋体" w:hint="default"/>
          <w:b/>
          <w:bCs/>
        </w:rPr>
        <w:t>公司治理方面</w:t>
      </w:r>
      <w:r>
        <w:rPr>
          <w:rFonts w:ascii="宋体" w:hAnsi="宋体" w:cs="宋体" w:eastAsia="宋体" w:hint="default"/>
          <w:b/>
          <w:bCs/>
          <w:spacing w:val="30"/>
        </w:rPr>
        <w:t> </w:t>
      </w:r>
      <w:r>
        <w:rPr>
          <w:spacing w:val="-3"/>
        </w:rPr>
        <w:t>为优化公司治理，提高工作效率，加强公司各部门的规范化、标准化运作，公司不断探索并完善公司法</w:t>
      </w:r>
      <w:r>
        <w:rPr/>
        <w:t> </w:t>
      </w:r>
      <w:r>
        <w:rPr>
          <w:spacing w:val="-2"/>
        </w:rPr>
        <w:t>人治理结构，实现公司合理有序运营。报告期内，公司通过对管理层的部分岗位调整，优化管理结构，实现战略布局，提升</w:t>
      </w:r>
      <w:r>
        <w:rPr>
          <w:spacing w:val="-68"/>
        </w:rPr>
        <w:t> </w:t>
      </w:r>
      <w:r>
        <w:rPr>
          <w:spacing w:val="-68"/>
        </w:rPr>
      </w:r>
      <w:r>
        <w:rPr/>
        <w:t>了工作效率；公司根据法律法规及证监会等相关政策要求对《公司章程》、《股东大会议事规则》、《董事会议事规则》、</w:t>
      </w:r>
    </w:p>
    <w:p>
      <w:pPr>
        <w:pStyle w:val="BodyText"/>
        <w:spacing w:line="240" w:lineRule="auto" w:before="17"/>
        <w:ind w:right="0"/>
        <w:jc w:val="left"/>
      </w:pPr>
      <w:r>
        <w:rPr/>
        <w:t>《对外投资管理制度》、《对外担保管理制度》、《募集资金使用管理制度》、《总裁工作细则》等各项制度进行了全面的</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pStyle w:val="BodyText"/>
        <w:spacing w:line="316" w:lineRule="auto" w:before="44"/>
        <w:ind w:right="210"/>
        <w:jc w:val="both"/>
      </w:pPr>
      <w:r>
        <w:rPr/>
        <w:t>审核修订和完善，</w:t>
      </w:r>
      <w:r>
        <w:rPr>
          <w:spacing w:val="1"/>
        </w:rPr>
        <w:t> </w:t>
      </w:r>
      <w:r>
        <w:rPr/>
        <w:t>在制度层面强化了公司治理的规范有序，确保公司健康、稳定的发展；为了更好地维护中小股东权益，</w:t>
      </w:r>
      <w:r>
        <w:rPr/>
        <w:t> </w:t>
      </w:r>
      <w:r>
        <w:rPr>
          <w:spacing w:val="-2"/>
        </w:rPr>
        <w:t>公司逐步健全投资机构的调研制度，高度重视与广大股东的互动交流，积极推进投资者沟通平台的完善，促进公司与投资者</w:t>
      </w:r>
      <w:r>
        <w:rPr>
          <w:spacing w:val="-63"/>
        </w:rPr>
        <w:t> </w:t>
      </w:r>
      <w:r>
        <w:rPr>
          <w:spacing w:val="-63"/>
        </w:rPr>
      </w:r>
      <w:r>
        <w:rPr/>
        <w:t>之间建立长期、稳定的互动关系。</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1</w:t>
      </w:r>
      <w:r>
        <w:rPr/>
        <w:t>）概述</w:t>
      </w:r>
    </w:p>
    <w:p>
      <w:pPr>
        <w:pStyle w:val="BodyText"/>
        <w:spacing w:line="321" w:lineRule="auto" w:before="103"/>
        <w:ind w:right="113" w:firstLine="360"/>
        <w:jc w:val="left"/>
      </w:pPr>
      <w:r>
        <w:rPr>
          <w:spacing w:val="-2"/>
        </w:rPr>
        <w:t>报告期内，公司业绩实现较大增长，实现营业收入</w:t>
      </w:r>
      <w:r>
        <w:rPr>
          <w:rFonts w:ascii="Times New Roman" w:hAnsi="Times New Roman" w:cs="Times New Roman" w:eastAsia="Times New Roman" w:hint="default"/>
          <w:spacing w:val="-2"/>
        </w:rPr>
        <w:t>43,454.31</w:t>
      </w:r>
      <w:r>
        <w:rPr>
          <w:rFonts w:ascii="Times New Roman" w:hAnsi="Times New Roman" w:cs="Times New Roman" w:eastAsia="Times New Roman" w:hint="default"/>
          <w:spacing w:val="19"/>
        </w:rPr>
        <w:t> </w:t>
      </w:r>
      <w:r>
        <w:rPr>
          <w:spacing w:val="-2"/>
        </w:rPr>
        <w:t>万元，比上年同期增长</w:t>
      </w:r>
      <w:r>
        <w:rPr>
          <w:rFonts w:ascii="Times New Roman" w:hAnsi="Times New Roman" w:cs="Times New Roman" w:eastAsia="Times New Roman" w:hint="default"/>
          <w:spacing w:val="-2"/>
        </w:rPr>
        <w:t>41.02%</w:t>
      </w:r>
      <w:r>
        <w:rPr>
          <w:spacing w:val="-2"/>
        </w:rPr>
        <w:t>，利润总额为</w:t>
      </w:r>
      <w:r>
        <w:rPr>
          <w:rFonts w:ascii="Times New Roman" w:hAnsi="Times New Roman" w:cs="Times New Roman" w:eastAsia="Times New Roman" w:hint="default"/>
          <w:spacing w:val="-2"/>
        </w:rPr>
        <w:t>11,248.87</w:t>
      </w:r>
      <w:r>
        <w:rPr>
          <w:spacing w:val="-2"/>
        </w:rPr>
        <w:t>万元，</w:t>
      </w:r>
      <w:r>
        <w:rPr/>
        <w:t> 比上年同期增长</w:t>
      </w:r>
      <w:r>
        <w:rPr>
          <w:rFonts w:ascii="Times New Roman" w:hAnsi="Times New Roman" w:cs="Times New Roman" w:eastAsia="Times New Roman" w:hint="default"/>
        </w:rPr>
        <w:t>42.45%</w:t>
      </w:r>
      <w:r>
        <w:rPr/>
        <w:t>，归属于上市公司股东的净利润为</w:t>
      </w:r>
      <w:r>
        <w:rPr>
          <w:spacing w:val="-19"/>
        </w:rPr>
        <w:t> </w:t>
      </w:r>
      <w:r>
        <w:rPr>
          <w:rFonts w:ascii="Times New Roman" w:hAnsi="Times New Roman" w:cs="Times New Roman" w:eastAsia="Times New Roman" w:hint="default"/>
        </w:rPr>
        <w:t>9,518.44</w:t>
      </w:r>
      <w:r>
        <w:rPr/>
        <w:t>万元，比上年同期增长</w:t>
      </w:r>
      <w:r>
        <w:rPr>
          <w:rFonts w:ascii="Times New Roman" w:hAnsi="Times New Roman" w:cs="Times New Roman" w:eastAsia="Times New Roman" w:hint="default"/>
        </w:rPr>
        <w:t>41.51%</w:t>
      </w:r>
      <w:r>
        <w:rPr/>
        <w:t>。 </w:t>
      </w: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3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both"/>
      </w:pPr>
      <w:r>
        <w:rPr>
          <w:rFonts w:ascii="Times New Roman" w:hAnsi="Times New Roman" w:cs="Times New Roman" w:eastAsia="Times New Roman" w:hint="default"/>
        </w:rPr>
        <w:t>3</w:t>
      </w:r>
      <w:r>
        <w:rPr/>
        <w:t>）收入</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434,543,129.87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308,149,551.59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41.02%</w:t>
            </w:r>
          </w:p>
        </w:tc>
      </w:tr>
    </w:tbl>
    <w:p>
      <w:pPr>
        <w:pStyle w:val="BodyText"/>
        <w:spacing w:line="240" w:lineRule="auto" w:before="49"/>
        <w:ind w:right="113"/>
        <w:jc w:val="left"/>
      </w:pPr>
      <w:r>
        <w:rPr/>
        <w:t>驱动收入变化的因素</w:t>
      </w:r>
    </w:p>
    <w:p>
      <w:pPr>
        <w:pStyle w:val="BodyText"/>
        <w:spacing w:line="300" w:lineRule="auto" w:before="115"/>
        <w:ind w:right="239"/>
        <w:jc w:val="left"/>
      </w:pPr>
      <w:r>
        <w:rPr/>
        <w:t>报告期内</w:t>
      </w:r>
      <w:r>
        <w:rPr>
          <w:rFonts w:ascii="Times New Roman" w:hAnsi="Times New Roman" w:cs="Times New Roman" w:eastAsia="Times New Roman" w:hint="default"/>
        </w:rPr>
        <w:t>IDC</w:t>
      </w:r>
      <w:r>
        <w:rPr/>
        <w:t>及其增值服务收入为</w:t>
      </w:r>
      <w:r>
        <w:rPr>
          <w:rFonts w:ascii="Times New Roman" w:hAnsi="Times New Roman" w:cs="Times New Roman" w:eastAsia="Times New Roman" w:hint="default"/>
        </w:rPr>
        <w:t>357,913,286.18</w:t>
      </w:r>
      <w:r>
        <w:rPr/>
        <w:t>元，上年同期</w:t>
      </w:r>
      <w:r>
        <w:rPr>
          <w:rFonts w:ascii="Times New Roman" w:hAnsi="Times New Roman" w:cs="Times New Roman" w:eastAsia="Times New Roman" w:hint="default"/>
        </w:rPr>
        <w:t>233,159,030.66</w:t>
      </w:r>
      <w:r>
        <w:rPr/>
        <w:t>元，同比增长</w:t>
      </w:r>
      <w:r>
        <w:rPr>
          <w:rFonts w:ascii="Times New Roman" w:hAnsi="Times New Roman" w:cs="Times New Roman" w:eastAsia="Times New Roman" w:hint="default"/>
        </w:rPr>
        <w:t>53.51%</w:t>
      </w:r>
      <w:r>
        <w:rPr/>
        <w:t>，主要原因为公司燕郊机 房及亦庄机房的销量增长。</w:t>
      </w:r>
    </w:p>
    <w:p>
      <w:pPr>
        <w:pStyle w:val="BodyText"/>
        <w:spacing w:line="240" w:lineRule="auto" w:before="72"/>
        <w:ind w:right="113"/>
        <w:jc w:val="left"/>
      </w:pPr>
      <w:r>
        <w:rPr/>
        <w:t>公司实物销售收入是否大于劳务收入</w:t>
      </w:r>
    </w:p>
    <w:p>
      <w:pPr>
        <w:pStyle w:val="BodyText"/>
        <w:spacing w:line="340" w:lineRule="auto" w:before="115"/>
        <w:ind w:right="7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pStyle w:val="BodyText"/>
        <w:spacing w:line="338" w:lineRule="auto" w:before="41"/>
        <w:ind w:left="513" w:right="20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公司及子公司光环云谷与某公司及其关联公司（因公司与其签署有保密协议，不便公布具体名称）的</w:t>
      </w:r>
      <w:r>
        <w:rPr>
          <w:rFonts w:ascii="宋体" w:hAnsi="宋体" w:cs="宋体" w:eastAsia="宋体" w:hint="default"/>
        </w:rPr>
        <w:t>IDC</w:t>
      </w:r>
      <w:r>
        <w:rPr/>
        <w:t>及其增值服务</w:t>
      </w:r>
    </w:p>
    <w:p>
      <w:pPr>
        <w:pStyle w:val="BodyText"/>
        <w:spacing w:line="316" w:lineRule="auto" w:before="2"/>
        <w:ind w:left="513" w:right="203" w:hanging="361"/>
        <w:jc w:val="left"/>
      </w:pPr>
      <w:r>
        <w:rPr/>
        <w:t>订单总金额累计为</w:t>
      </w:r>
      <w:r>
        <w:rPr>
          <w:rFonts w:ascii="宋体" w:hAnsi="宋体" w:cs="宋体" w:eastAsia="宋体" w:hint="default"/>
        </w:rPr>
        <w:t>50,378</w:t>
      </w:r>
      <w:r>
        <w:rPr/>
        <w:t>万元，报告期内履行金额为</w:t>
      </w:r>
      <w:r>
        <w:rPr>
          <w:rFonts w:ascii="宋体" w:hAnsi="宋体" w:cs="宋体" w:eastAsia="宋体" w:hint="default"/>
        </w:rPr>
        <w:t>12,105</w:t>
      </w:r>
      <w:r>
        <w:rPr/>
        <w:t>万元，尚未履行金额为</w:t>
      </w:r>
      <w:r>
        <w:rPr>
          <w:rFonts w:ascii="宋体" w:hAnsi="宋体" w:cs="宋体" w:eastAsia="宋体" w:hint="default"/>
        </w:rPr>
        <w:t>19,079</w:t>
      </w:r>
      <w:r>
        <w:rPr/>
        <w:t>万元。 公司与中国移动通信集团北京有限公司的</w:t>
      </w:r>
      <w:r>
        <w:rPr>
          <w:rFonts w:ascii="宋体" w:hAnsi="宋体" w:cs="宋体" w:eastAsia="宋体" w:hint="default"/>
        </w:rPr>
        <w:t>IDC</w:t>
      </w:r>
      <w:r>
        <w:rPr/>
        <w:t>及其增值服务订单总金额为</w:t>
      </w:r>
      <w:r>
        <w:rPr>
          <w:rFonts w:ascii="宋体" w:hAnsi="宋体" w:cs="宋体" w:eastAsia="宋体" w:hint="default"/>
        </w:rPr>
        <w:t>57,533</w:t>
      </w:r>
      <w:r>
        <w:rPr/>
        <w:t>万元，报告期内履行金额为</w:t>
      </w:r>
      <w:r>
        <w:rPr>
          <w:rFonts w:ascii="宋体" w:hAnsi="宋体" w:cs="宋体" w:eastAsia="宋体" w:hint="default"/>
        </w:rPr>
        <w:t>6806</w:t>
      </w:r>
      <w:r>
        <w:rPr/>
        <w:t>万元，</w:t>
      </w:r>
    </w:p>
    <w:p>
      <w:pPr>
        <w:pStyle w:val="BodyText"/>
        <w:spacing w:line="360" w:lineRule="auto"/>
        <w:ind w:right="7494"/>
        <w:jc w:val="left"/>
      </w:pPr>
      <w:r>
        <w:rPr/>
        <w:t>尚未履行金额为</w:t>
      </w:r>
      <w:r>
        <w:rPr>
          <w:rFonts w:ascii="宋体" w:hAnsi="宋体" w:cs="宋体" w:eastAsia="宋体" w:hint="default"/>
        </w:rPr>
        <w:t>44,027</w:t>
      </w:r>
      <w:r>
        <w:rPr/>
        <w:t>万元。 数量分散的订单情况</w:t>
      </w:r>
    </w:p>
    <w:p>
      <w:pPr>
        <w:pStyle w:val="BodyText"/>
        <w:spacing w:line="338" w:lineRule="auto" w:before="27"/>
        <w:ind w:left="513" w:right="1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除上述重大订单外，截至报告期末，公司及子公司在手订单总数为</w:t>
      </w:r>
      <w:r>
        <w:rPr>
          <w:rFonts w:ascii="宋体" w:hAnsi="宋体" w:cs="宋体" w:eastAsia="宋体" w:hint="default"/>
          <w:spacing w:val="-2"/>
        </w:rPr>
        <w:t>2,306</w:t>
      </w:r>
      <w:r>
        <w:rPr>
          <w:spacing w:val="-2"/>
        </w:rPr>
        <w:t>个，尚未履行金额为</w:t>
      </w:r>
      <w:r>
        <w:rPr>
          <w:rFonts w:ascii="宋体" w:hAnsi="宋体" w:cs="宋体" w:eastAsia="宋体" w:hint="default"/>
          <w:spacing w:val="-2"/>
        </w:rPr>
        <w:t>12,113.40</w:t>
      </w:r>
      <w:r>
        <w:rPr>
          <w:spacing w:val="-2"/>
        </w:rPr>
        <w:t>万元。其中宽带</w:t>
      </w:r>
    </w:p>
    <w:p>
      <w:pPr>
        <w:pStyle w:val="BodyText"/>
        <w:spacing w:line="360" w:lineRule="auto" w:before="2"/>
        <w:ind w:right="113"/>
        <w:jc w:val="left"/>
      </w:pPr>
      <w:r>
        <w:rPr>
          <w:spacing w:val="-3"/>
        </w:rPr>
        <w:t>接入订单数量为</w:t>
      </w:r>
      <w:r>
        <w:rPr>
          <w:rFonts w:ascii="宋体" w:hAnsi="宋体" w:cs="宋体" w:eastAsia="宋体" w:hint="default"/>
          <w:spacing w:val="-3"/>
        </w:rPr>
        <w:t>1,431</w:t>
      </w:r>
      <w:r>
        <w:rPr>
          <w:spacing w:val="-3"/>
        </w:rPr>
        <w:t>个，尚未履行金额为</w:t>
      </w:r>
      <w:r>
        <w:rPr>
          <w:rFonts w:ascii="宋体" w:hAnsi="宋体" w:cs="宋体" w:eastAsia="宋体" w:hint="default"/>
          <w:spacing w:val="-3"/>
        </w:rPr>
        <w:t>3,972.6</w:t>
      </w:r>
      <w:r>
        <w:rPr>
          <w:spacing w:val="-3"/>
        </w:rPr>
        <w:t>万元；</w:t>
      </w:r>
      <w:r>
        <w:rPr>
          <w:rFonts w:ascii="宋体" w:hAnsi="宋体" w:cs="宋体" w:eastAsia="宋体" w:hint="default"/>
          <w:spacing w:val="-3"/>
        </w:rPr>
        <w:t>IDC</w:t>
      </w:r>
      <w:r>
        <w:rPr>
          <w:spacing w:val="-3"/>
        </w:rPr>
        <w:t>及其增值服务订单数量为</w:t>
      </w:r>
      <w:r>
        <w:rPr>
          <w:rFonts w:ascii="宋体" w:hAnsi="宋体" w:cs="宋体" w:eastAsia="宋体" w:hint="default"/>
          <w:spacing w:val="-3"/>
        </w:rPr>
        <w:t>875</w:t>
      </w:r>
      <w:r>
        <w:rPr>
          <w:spacing w:val="-3"/>
        </w:rPr>
        <w:t>个，尚未履行金额为</w:t>
      </w:r>
      <w:r>
        <w:rPr>
          <w:rFonts w:ascii="宋体" w:hAnsi="宋体" w:cs="宋体" w:eastAsia="宋体" w:hint="default"/>
          <w:spacing w:val="-3"/>
        </w:rPr>
        <w:t>8,140.80</w:t>
      </w:r>
      <w:r>
        <w:rPr>
          <w:spacing w:val="-3"/>
        </w:rPr>
        <w:t>万元。</w:t>
      </w:r>
      <w:r>
        <w:rPr>
          <w:spacing w:val="-69"/>
        </w:rPr>
        <w:t> </w:t>
      </w:r>
      <w:r>
        <w:rPr>
          <w:spacing w:val="-69"/>
        </w:rPr>
      </w:r>
      <w:r>
        <w:rPr/>
        <w:t>公司报告期内产品或服务发生重大变化或调整有关情况</w:t>
      </w:r>
    </w:p>
    <w:p>
      <w:pPr>
        <w:pStyle w:val="BodyText"/>
        <w:spacing w:line="240" w:lineRule="auto" w:before="27"/>
        <w:ind w:right="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
        <w:jc w:val="left"/>
      </w:pPr>
      <w:r>
        <w:rPr>
          <w:rFonts w:ascii="Times New Roman" w:hAnsi="Times New Roman" w:cs="Times New Roman" w:eastAsia="Times New Roman" w:hint="default"/>
        </w:rPr>
        <w:t>4</w:t>
      </w:r>
      <w:r>
        <w:rPr/>
        <w:t>）成本</w:t>
      </w:r>
    </w:p>
    <w:p>
      <w:pPr>
        <w:pStyle w:val="BodyText"/>
        <w:spacing w:line="240" w:lineRule="auto" w:before="103"/>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9,870,845.49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8,880,685.18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34,794,859.60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36,666,087.13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维修及物料消耗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7,333,400.18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16,818,940.27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87,012,647.27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28,419,227.90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机房电费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64,088,509.77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49,279,665.68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机房租金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8,847,400.51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2,182,537.89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4,209,612.81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31,542,094.68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21,342,191.17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247,699,370.31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163,589,335.22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51.41%</w:t>
            </w:r>
          </w:p>
        </w:tc>
      </w:tr>
    </w:tbl>
    <w:p>
      <w:pPr>
        <w:pStyle w:val="BodyText"/>
        <w:spacing w:line="240" w:lineRule="auto" w:before="49"/>
        <w:ind w:right="329"/>
        <w:jc w:val="left"/>
      </w:pPr>
      <w:r>
        <w:rPr>
          <w:rFonts w:ascii="Times New Roman" w:hAnsi="Times New Roman" w:cs="Times New Roman" w:eastAsia="Times New Roman" w:hint="default"/>
        </w:rPr>
        <w:t>5</w:t>
      </w:r>
      <w:r>
        <w:rPr/>
        <w:t>）费用</w:t>
      </w:r>
    </w:p>
    <w:p>
      <w:pPr>
        <w:pStyle w:val="BodyText"/>
        <w:spacing w:line="240" w:lineRule="auto" w:before="101"/>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17,821,544.04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17,908,878.70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50,505,213.80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35,224,584.36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主要是人工成本和研发投入的增加。</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-917,219.81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1,639,934.13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本期偿还银行贷款。</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17,302,763.63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11,705,171.97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主要原因是利润总额的增加。</w:t>
            </w:r>
          </w:p>
        </w:tc>
      </w:tr>
    </w:tbl>
    <w:p>
      <w:pPr>
        <w:pStyle w:val="BodyText"/>
        <w:spacing w:line="240" w:lineRule="auto" w:before="49"/>
        <w:ind w:right="329"/>
        <w:jc w:val="left"/>
      </w:pPr>
      <w:r>
        <w:rPr>
          <w:rFonts w:ascii="Times New Roman" w:hAnsi="Times New Roman" w:cs="Times New Roman" w:eastAsia="Times New Roman" w:hint="default"/>
        </w:rPr>
        <w:t>6</w:t>
      </w:r>
      <w:r>
        <w:rPr/>
        <w:t>）研发投入</w:t>
      </w:r>
    </w:p>
    <w:p>
      <w:pPr>
        <w:pStyle w:val="BodyText"/>
        <w:spacing w:line="340" w:lineRule="auto" w:before="101"/>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报告期内，公司围绕战略发展方向，按照年初制定的研发计划，针对云计算、网络优化、节能环保技术方面继续进行深</w:t>
      </w:r>
    </w:p>
    <w:p>
      <w:pPr>
        <w:pStyle w:val="BodyText"/>
        <w:spacing w:line="240" w:lineRule="auto" w:before="1"/>
        <w:ind w:right="329"/>
        <w:jc w:val="left"/>
      </w:pPr>
      <w:r>
        <w:rPr/>
        <w:t>入研发。</w:t>
      </w:r>
    </w:p>
    <w:p>
      <w:pPr>
        <w:pStyle w:val="BodyText"/>
        <w:spacing w:line="316" w:lineRule="auto" w:before="76"/>
        <w:ind w:right="0" w:firstLine="360"/>
        <w:jc w:val="left"/>
      </w:pPr>
      <w:r>
        <w:rPr>
          <w:spacing w:val="-2"/>
        </w:rPr>
        <w:t>报告期内，公司完成了</w:t>
      </w:r>
      <w:r>
        <w:rPr>
          <w:rFonts w:ascii="宋体" w:hAnsi="宋体" w:cs="宋体" w:eastAsia="宋体" w:hint="default"/>
          <w:spacing w:val="-2"/>
        </w:rPr>
        <w:t>IAAS</w:t>
      </w:r>
      <w:r>
        <w:rPr>
          <w:spacing w:val="-2"/>
        </w:rPr>
        <w:t>架构云计算平台的建设，其中云主机服务平台进入了公测阶段。针对云计算的管理软件模块</w:t>
      </w:r>
      <w:r>
        <w:rPr/>
        <w:t> 公司提交了软件著作权申请，并通过中华人民共和国国家版权局审核，新增</w:t>
      </w:r>
      <w:r>
        <w:rPr>
          <w:rFonts w:ascii="宋体" w:hAnsi="宋体" w:cs="宋体" w:eastAsia="宋体" w:hint="default"/>
        </w:rPr>
        <w:t>1</w:t>
      </w:r>
      <w:r>
        <w:rPr/>
        <w:t>项软件著作权，具体情况如下：</w:t>
      </w:r>
    </w:p>
    <w:tbl>
      <w:tblPr>
        <w:tblW w:w="0" w:type="auto"/>
        <w:jc w:val="left"/>
        <w:tblInd w:w="145" w:type="dxa"/>
        <w:tblLayout w:type="fixed"/>
        <w:tblCellMar>
          <w:top w:w="0" w:type="dxa"/>
          <w:left w:w="0" w:type="dxa"/>
          <w:bottom w:w="0" w:type="dxa"/>
          <w:right w:w="0" w:type="dxa"/>
        </w:tblCellMar>
        <w:tblLook w:val="01E0"/>
      </w:tblPr>
      <w:tblGrid>
        <w:gridCol w:w="860"/>
        <w:gridCol w:w="2518"/>
        <w:gridCol w:w="2273"/>
        <w:gridCol w:w="1608"/>
        <w:gridCol w:w="1270"/>
      </w:tblGrid>
      <w:tr>
        <w:trPr>
          <w:trHeight w:val="353" w:hRule="exact"/>
        </w:trPr>
        <w:tc>
          <w:tcPr>
            <w:tcW w:w="8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1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22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10"/>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160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27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登记日</w:t>
            </w:r>
          </w:p>
        </w:tc>
      </w:tr>
      <w:tr>
        <w:trPr>
          <w:trHeight w:val="355"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sz w:val="18"/>
              </w:rPr>
              <w:t>1</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云计算管理系统</w:t>
            </w:r>
            <w:r>
              <w:rPr>
                <w:rFonts w:ascii="宋体" w:hAnsi="宋体" w:cs="宋体" w:eastAsia="宋体" w:hint="default"/>
                <w:sz w:val="18"/>
                <w:szCs w:val="18"/>
              </w:rPr>
              <w:t>V1.0</w:t>
            </w:r>
          </w:p>
        </w:tc>
        <w:tc>
          <w:tcPr>
            <w:tcW w:w="2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宋体" w:hAnsi="宋体" w:cs="宋体" w:eastAsia="宋体" w:hint="default"/>
                <w:sz w:val="18"/>
                <w:szCs w:val="18"/>
              </w:rPr>
              <w:t>0724192</w:t>
            </w:r>
            <w:r>
              <w:rPr>
                <w:rFonts w:ascii="宋体" w:hAnsi="宋体" w:cs="宋体" w:eastAsia="宋体" w:hint="default"/>
                <w:sz w:val="18"/>
                <w:szCs w:val="18"/>
              </w:rPr>
              <w:t>号</w:t>
            </w:r>
          </w:p>
        </w:tc>
        <w:tc>
          <w:tcPr>
            <w:tcW w:w="16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2014SR054948</w:t>
            </w:r>
          </w:p>
        </w:tc>
        <w:tc>
          <w:tcPr>
            <w:tcW w:w="12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2014-05-06</w:t>
            </w:r>
          </w:p>
        </w:tc>
      </w:tr>
    </w:tbl>
    <w:p>
      <w:pPr>
        <w:pStyle w:val="BodyText"/>
        <w:spacing w:line="316" w:lineRule="auto"/>
        <w:ind w:left="513" w:right="0"/>
        <w:jc w:val="left"/>
      </w:pPr>
      <w:r>
        <w:rPr/>
        <w:t>同时，公司对</w:t>
      </w:r>
      <w:r>
        <w:rPr>
          <w:rFonts w:ascii="宋体" w:hAnsi="宋体" w:cs="宋体" w:eastAsia="宋体" w:hint="default"/>
        </w:rPr>
        <w:t>CDN</w:t>
      </w:r>
      <w:r>
        <w:rPr/>
        <w:t>系统进行了持续研发，增强了缓存节点的文件处理效率，提高了</w:t>
      </w:r>
      <w:r>
        <w:rPr>
          <w:rFonts w:ascii="宋体" w:hAnsi="宋体" w:cs="宋体" w:eastAsia="宋体" w:hint="default"/>
        </w:rPr>
        <w:t>CDN</w:t>
      </w:r>
      <w:r>
        <w:rPr/>
        <w:t>服务性能。 </w:t>
      </w:r>
      <w:r>
        <w:rPr>
          <w:spacing w:val="-2"/>
        </w:rPr>
        <w:t>在节能减排方面，公司针对冰蓄冷系统、磁悬浮离心机组制冷系统和单机柜制冷系统等节能技术进行了预研，</w:t>
      </w:r>
      <w:r>
        <w:rPr>
          <w:rFonts w:ascii="宋体" w:hAnsi="宋体" w:cs="宋体" w:eastAsia="宋体" w:hint="default"/>
          <w:spacing w:val="-2"/>
        </w:rPr>
        <w:t>2015</w:t>
      </w:r>
      <w:r>
        <w:rPr>
          <w:spacing w:val="-2"/>
        </w:rPr>
        <w:t>年将</w:t>
      </w:r>
    </w:p>
    <w:p>
      <w:pPr>
        <w:pStyle w:val="BodyText"/>
        <w:spacing w:line="360" w:lineRule="auto"/>
        <w:ind w:right="6174"/>
        <w:jc w:val="left"/>
      </w:pPr>
      <w:r>
        <w:rPr/>
        <w:t>选择部分节能技术进行实测。 近三年公司研发投入金额及占营业收入的比例</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17,496,873.92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14,126,695.82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10,827,412.16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329"/>
        <w:jc w:val="left"/>
      </w:pPr>
      <w:r>
        <w:rPr/>
        <w:t>研发投入资本化率大幅变动的原因及其合理性说明</w:t>
      </w:r>
    </w:p>
    <w:p>
      <w:pPr>
        <w:pStyle w:val="BodyText"/>
        <w:spacing w:line="240" w:lineRule="auto" w:before="115"/>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329"/>
        <w:jc w:val="left"/>
      </w:pPr>
      <w:r>
        <w:rPr>
          <w:rFonts w:ascii="Times New Roman" w:hAnsi="Times New Roman" w:cs="Times New Roman" w:eastAsia="Times New Roman" w:hint="default"/>
        </w:rPr>
        <w:t>7</w:t>
      </w:r>
      <w:r>
        <w:rPr/>
        <w:t>）现金流</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463,707,228.33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334,209,163.50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314,548,426.28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232,764,940.20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35.14%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149,158,802.05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101,444,223.30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1,525.00%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230,156,778.03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133,907,285.81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71.88%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-230,150,278.03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-133,906,885.81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71.87%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382,889,569.43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57,402,418.46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567.03%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101,955,645.05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11,942,373.76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753.73%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280,933,924.38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45,460,044.70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517.98%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199,942,448.40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12,997,382.19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1,438.33%</w:t>
            </w:r>
          </w:p>
        </w:tc>
      </w:tr>
    </w:tbl>
    <w:p>
      <w:pPr>
        <w:pStyle w:val="BodyText"/>
        <w:spacing w:line="240" w:lineRule="auto" w:before="49"/>
        <w:ind w:right="329"/>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19" w:lineRule="auto" w:before="103"/>
        <w:ind w:right="20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经营活动现金流入比上期增长</w:t>
      </w:r>
      <w:r>
        <w:rPr>
          <w:rFonts w:ascii="Times New Roman" w:hAnsi="Times New Roman" w:cs="Times New Roman" w:eastAsia="Times New Roman" w:hint="default"/>
        </w:rPr>
        <w:t>38.75%</w:t>
      </w:r>
      <w:r>
        <w:rPr/>
        <w:t>，主要原因为报告期收入增长，收款增加所致。 经营活动现金流出比上期增长</w:t>
      </w:r>
      <w:r>
        <w:rPr>
          <w:rFonts w:ascii="Times New Roman" w:hAnsi="Times New Roman" w:cs="Times New Roman" w:eastAsia="Times New Roman" w:hint="default"/>
        </w:rPr>
        <w:t>35.14%</w:t>
      </w:r>
      <w:r>
        <w:rPr/>
        <w:t>，主要原因为报告期收入增长，相应成本增长支付现金所致。</w:t>
      </w:r>
    </w:p>
    <w:p>
      <w:pPr>
        <w:pStyle w:val="BodyText"/>
        <w:spacing w:line="300" w:lineRule="auto" w:before="0"/>
        <w:ind w:right="219"/>
        <w:jc w:val="left"/>
      </w:pPr>
      <w:r>
        <w:rPr/>
        <w:t>投资活动现金流出比上期增长</w:t>
      </w:r>
      <w:r>
        <w:rPr>
          <w:rFonts w:ascii="Times New Roman" w:hAnsi="Times New Roman" w:cs="Times New Roman" w:eastAsia="Times New Roman" w:hint="default"/>
        </w:rPr>
        <w:t>71.88%</w:t>
      </w:r>
      <w:r>
        <w:rPr/>
        <w:t>，主要原因为机房建设投入及收购上海明月光学有限公司（现已更名为光环新网（上 海）信息服务有限公司）股权。</w:t>
      </w:r>
    </w:p>
    <w:p>
      <w:pPr>
        <w:pStyle w:val="BodyText"/>
        <w:spacing w:line="319" w:lineRule="auto" w:before="31"/>
        <w:ind w:right="3549"/>
        <w:jc w:val="left"/>
      </w:pPr>
      <w:r>
        <w:rPr/>
        <w:t>筹资活动现金流入比上期增长</w:t>
      </w:r>
      <w:r>
        <w:rPr>
          <w:rFonts w:ascii="Times New Roman" w:hAnsi="Times New Roman" w:cs="Times New Roman" w:eastAsia="Times New Roman" w:hint="default"/>
        </w:rPr>
        <w:t>567.03%</w:t>
      </w:r>
      <w:r>
        <w:rPr/>
        <w:t>，主要原因是公司发行股票募集资金。 筹资活动现金流出比上期增长</w:t>
      </w:r>
      <w:r>
        <w:rPr>
          <w:rFonts w:ascii="Times New Roman" w:hAnsi="Times New Roman" w:cs="Times New Roman" w:eastAsia="Times New Roman" w:hint="default"/>
        </w:rPr>
        <w:t>753.73%</w:t>
      </w:r>
      <w:r>
        <w:rPr/>
        <w:t>，主要原因是偿还银行贷款及支付利息。 报告期内公司经营活动的现金流量与本年度净利润存在重大差异的原因说明</w:t>
      </w:r>
    </w:p>
    <w:p>
      <w:pPr>
        <w:pStyle w:val="BodyText"/>
        <w:spacing w:line="348" w:lineRule="auto" w:before="58"/>
        <w:ind w:right="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报告期内，公司经营活动的现金流量与本年度净利润存在差异的主要原因为折旧摊销及部分采购未在当期付款所致。 </w:t>
      </w:r>
      <w:r>
        <w:rPr>
          <w:rFonts w:ascii="Times New Roman" w:hAnsi="Times New Roman" w:cs="Times New Roman" w:eastAsia="Times New Roman" w:hint="default"/>
        </w:rPr>
        <w:t>8</w:t>
      </w:r>
      <w:r>
        <w:rPr/>
        <w:t>）公司主要供应商、客户情况</w:t>
      </w:r>
    </w:p>
    <w:p>
      <w:pPr>
        <w:pStyle w:val="BodyText"/>
        <w:spacing w:line="240" w:lineRule="auto" w:before="14"/>
        <w:ind w:right="329"/>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214,926,781.85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49.47%</w:t>
            </w:r>
          </w:p>
        </w:tc>
      </w:tr>
    </w:tbl>
    <w:p>
      <w:pPr>
        <w:pStyle w:val="BodyText"/>
        <w:spacing w:line="240" w:lineRule="auto" w:before="49"/>
        <w:ind w:right="329"/>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118,550,822.60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59.11%</w:t>
            </w:r>
          </w:p>
        </w:tc>
      </w:tr>
    </w:tbl>
    <w:p>
      <w:pPr>
        <w:pStyle w:val="BodyText"/>
        <w:spacing w:line="240" w:lineRule="auto" w:before="49"/>
        <w:ind w:right="329"/>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4"/>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329"/>
        <w:jc w:val="left"/>
      </w:pPr>
      <w:r>
        <w:rPr>
          <w:rFonts w:ascii="Times New Roman" w:hAnsi="Times New Roman" w:cs="Times New Roman" w:eastAsia="Times New Roman" w:hint="default"/>
        </w:rPr>
        <w:t>9</w:t>
      </w:r>
      <w:r>
        <w:rPr/>
        <w:t>）公司未来发展与规划延续至报告期的说明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329"/>
        <w:jc w:val="left"/>
      </w:pPr>
      <w:r>
        <w:rPr/>
        <w:t>首次公开发行招股说明书中披露的未来发展与规划在本报告期的实施情况</w:t>
      </w:r>
    </w:p>
    <w:p>
      <w:pPr>
        <w:pStyle w:val="BodyText"/>
        <w:spacing w:line="343" w:lineRule="auto" w:before="117"/>
        <w:ind w:right="2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详见本报告第四节董事会报告之</w:t>
      </w:r>
      <w:r>
        <w:rPr>
          <w:rFonts w:ascii="Times New Roman" w:hAnsi="Times New Roman" w:cs="Times New Roman" w:eastAsia="Times New Roman" w:hint="default"/>
        </w:rPr>
        <w:t>“</w:t>
      </w:r>
      <w:r>
        <w:rPr/>
        <w:t>一、管理层讨论与分析</w:t>
      </w:r>
      <w:r>
        <w:rPr>
          <w:rFonts w:ascii="Times New Roman" w:hAnsi="Times New Roman" w:cs="Times New Roman" w:eastAsia="Times New Roman" w:hint="default"/>
        </w:rPr>
        <w:t>1</w:t>
      </w:r>
      <w:r>
        <w:rPr/>
        <w:t>、报告期内主要业务回顾</w:t>
      </w:r>
      <w:r>
        <w:rPr>
          <w:rFonts w:ascii="Times New Roman" w:hAnsi="Times New Roman" w:cs="Times New Roman" w:eastAsia="Times New Roman" w:hint="default"/>
        </w:rPr>
        <w:t>”</w:t>
      </w:r>
      <w:r>
        <w:rPr/>
        <w:t>的相关内容。 前期披露的发展战略和经营计划在报告期内的进展情况 详见本报告第四节董事会报告之</w:t>
      </w:r>
      <w:r>
        <w:rPr>
          <w:rFonts w:ascii="Times New Roman" w:hAnsi="Times New Roman" w:cs="Times New Roman" w:eastAsia="Times New Roman" w:hint="default"/>
        </w:rPr>
        <w:t>“</w:t>
      </w:r>
      <w:r>
        <w:rPr/>
        <w:t>一、管理层讨论与分析</w:t>
      </w:r>
      <w:r>
        <w:rPr>
          <w:rFonts w:ascii="Times New Roman" w:hAnsi="Times New Roman" w:cs="Times New Roman" w:eastAsia="Times New Roman" w:hint="default"/>
        </w:rPr>
        <w:t>1</w:t>
      </w:r>
      <w:r>
        <w:rPr/>
        <w:t>、报告期内主要业务回顾</w:t>
      </w:r>
      <w:r>
        <w:rPr>
          <w:rFonts w:ascii="Times New Roman" w:hAnsi="Times New Roman" w:cs="Times New Roman" w:eastAsia="Times New Roman" w:hint="default"/>
        </w:rPr>
        <w:t>”</w:t>
      </w:r>
      <w:r>
        <w:rPr/>
        <w:t>的相关内容。 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5"/>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29"/>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329"/>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427,950,898.72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185,627,018.69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6,592,231.15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1,216,740.87</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互联网宽带接入服务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70,037,612.54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23,614,831.47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357,913,286.18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162,012,187.22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6,592,231.15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1,216,740.87</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382,317,995.39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168,966,298.48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52,225,134.48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18,045,926.14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-168,465.06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18"/>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980"/>
          <w:cols w:num="2" w:equalWidth="0">
            <w:col w:w="3499" w:space="5421"/>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427,950,898.72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242,323,880.03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70,037,612.54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46,422,781.07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357,913,286.18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195,901,098.96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382,317,995.39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213,351,696.91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52,225,134.48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34,179,208.34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18"/>
        <w:jc w:val="left"/>
      </w:pPr>
      <w:r>
        <w:rPr>
          <w:rFonts w:ascii="Times New Roman" w:hAnsi="Times New Roman" w:cs="Times New Roman" w:eastAsia="Times New Roman" w:hint="default"/>
        </w:rPr>
        <w:t>3</w:t>
      </w:r>
      <w:r>
        <w:rPr/>
        <w:t>）公司主营业务数据统计口径在报告期发生调整的情况下，公司最近</w:t>
      </w:r>
      <w:r>
        <w:rPr>
          <w:spacing w:val="-44"/>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33" w:right="0"/>
        <w:jc w:val="left"/>
      </w:pPr>
      <w:r>
        <w:rPr/>
        <w:t>单位：元</w:t>
      </w:r>
    </w:p>
    <w:p>
      <w:pPr>
        <w:spacing w:after="0" w:line="240" w:lineRule="auto"/>
        <w:jc w:val="left"/>
        <w:sectPr>
          <w:type w:val="continuous"/>
          <w:pgSz w:w="11910" w:h="16840"/>
          <w:pgMar w:top="1060" w:bottom="1160" w:left="980" w:right="980"/>
          <w:cols w:num="2" w:equalWidth="0">
            <w:col w:w="9066" w:space="40"/>
            <w:col w:w="84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401" w:hRule="exact"/>
        </w:trPr>
        <w:tc>
          <w:tcPr>
            <w:tcW w:w="960" w:type="dxa"/>
            <w:vMerge w:val="restart"/>
            <w:tcBorders>
              <w:top w:val="single" w:sz="4" w:space="0" w:color="000000"/>
              <w:left w:val="single" w:sz="4" w:space="0" w:color="000000"/>
              <w:right w:val="single" w:sz="4" w:space="0" w:color="000000"/>
            </w:tcBorders>
            <w:shd w:val="clear" w:color="auto" w:fill="D2D2D2"/>
          </w:tcPr>
          <w:p>
            <w:pPr/>
          </w:p>
        </w:tc>
        <w:tc>
          <w:tcPr>
            <w:tcW w:w="28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3" w:hRule="exact"/>
        </w:trPr>
        <w:tc>
          <w:tcPr>
            <w:tcW w:w="960"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1"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297,364,256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225,098,757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166,609,984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156,926,478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107,088,692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80,490,413.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51.69%</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10,785,294.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17,130,747.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5,583,343.6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6,662,857.1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16,055,906.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2,820,105.3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49.49%</w:t>
            </w: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互联网宽带 接入服务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64,205,226.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80,634,565.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87,318,171.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42,720,263.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42,800,465.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50.98%</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 值服务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233,159,030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144,464,191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79,291,813.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110,512,951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64,368,428.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37,689,947.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52.47%</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10,785,294.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17,130,747.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5,583,343.6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6,662,857.1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16,055,906.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2,820,105.3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49.49%</w:t>
            </w: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286,738,921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242,165,587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172,002,444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151,717,249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123,000,598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83,310,518.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51.62%</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21,410,629.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63,918.00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190,884.00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11,872,086.</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144,000.00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-125.29%</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329"/>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238,977,816.1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27.70%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43,035,367.79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9.53%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18.17%</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公司的经营积累、以及银行贷款和募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集资金的增加。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43,948,945.46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5.09%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26,234,509.89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5.81%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-0.72%</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及增值服务的增长导致应收账款 的增长。</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1,146,459.61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792,312.00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362,391,308.3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244,563,716.06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燕郊机房完工，在建工程结转固定资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产导致增加。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14,321,931.77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24,057,718.20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329"/>
        <w:jc w:val="left"/>
      </w:pPr>
      <w:r>
        <w:rPr>
          <w:rFonts w:ascii="Times New Roman" w:hAnsi="Times New Roman" w:cs="Times New Roman" w:eastAsia="Times New Roman" w:hint="default"/>
        </w:rPr>
        <w:t>2</w:t>
      </w:r>
      <w:r>
        <w:rPr/>
        <w:t>）负债项目重大变动情况</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8"/>
        <w:gridCol w:w="1175"/>
        <w:gridCol w:w="1053"/>
        <w:gridCol w:w="1206"/>
        <w:gridCol w:w="1041"/>
        <w:gridCol w:w="808"/>
        <w:gridCol w:w="2919"/>
      </w:tblGrid>
      <w:tr>
        <w:trPr>
          <w:trHeight w:val="380" w:hRule="exact"/>
        </w:trPr>
        <w:tc>
          <w:tcPr>
            <w:tcW w:w="135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8"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3"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25" w:right="76"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1"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25" w:right="64"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053"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1" w:type="dxa"/>
            <w:vMerge/>
            <w:tcBorders>
              <w:left w:val="single" w:sz="4" w:space="0" w:color="000000"/>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42,396,232.54</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4.91%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56,912,418.46</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12.60%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-7.69%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rFonts w:ascii="Times New Roman" w:hAnsi="Times New Roman" w:cs="Times New Roman" w:eastAsia="Times New Roman" w:hint="default"/>
        </w:rPr>
        <w:t>3</w:t>
      </w:r>
      <w:r>
        <w:rPr/>
        <w:t>）以公允价值计量的资产和负债</w:t>
      </w:r>
    </w:p>
    <w:p>
      <w:pPr>
        <w:pStyle w:val="BodyText"/>
        <w:spacing w:line="240" w:lineRule="auto" w:before="10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报告期内，公司积极推进项目建设，不断优化战略布局，进一步提升了公司在</w:t>
      </w:r>
      <w:r>
        <w:rPr>
          <w:rFonts w:ascii="Times New Roman" w:hAnsi="Times New Roman" w:cs="Times New Roman" w:eastAsia="Times New Roman" w:hint="default"/>
          <w:spacing w:val="-1"/>
        </w:rPr>
        <w:t>IDC</w:t>
      </w:r>
      <w:r>
        <w:rPr>
          <w:spacing w:val="-1"/>
        </w:rPr>
        <w:t>业务方面的整体竞争实力。由子公司</w:t>
      </w:r>
    </w:p>
    <w:p>
      <w:pPr>
        <w:pStyle w:val="BodyText"/>
        <w:spacing w:line="230" w:lineRule="exact" w:before="0"/>
        <w:ind w:right="0"/>
        <w:jc w:val="both"/>
      </w:pPr>
      <w:r>
        <w:rPr/>
        <w:t>光环云谷负责建设的</w:t>
      </w:r>
      <w:r>
        <w:rPr>
          <w:rFonts w:ascii="Times New Roman" w:hAnsi="Times New Roman" w:cs="Times New Roman" w:eastAsia="Times New Roman" w:hint="default"/>
        </w:rPr>
        <w:t>“</w:t>
      </w:r>
      <w:r>
        <w:rPr/>
        <w:t>光环新网绿色信息化产业园区（燕郊）一期</w:t>
      </w:r>
      <w:r>
        <w:rPr>
          <w:rFonts w:ascii="Times New Roman" w:hAnsi="Times New Roman" w:cs="Times New Roman" w:eastAsia="Times New Roman" w:hint="default"/>
        </w:rPr>
        <w:t>”</w:t>
      </w:r>
      <w:r>
        <w:rPr/>
        <w:t>（燕郊机房）项目建设进展顺利，截至报告期末已全部竣</w:t>
      </w:r>
    </w:p>
    <w:p>
      <w:pPr>
        <w:pStyle w:val="BodyText"/>
        <w:spacing w:line="304" w:lineRule="auto" w:before="63"/>
        <w:ind w:right="150"/>
        <w:jc w:val="both"/>
      </w:pPr>
      <w:r>
        <w:rPr>
          <w:spacing w:val="-2"/>
        </w:rPr>
        <w:t>工，预计</w:t>
      </w:r>
      <w:r>
        <w:rPr>
          <w:rFonts w:ascii="Times New Roman" w:hAnsi="Times New Roman" w:cs="Times New Roman" w:eastAsia="Times New Roman" w:hint="default"/>
          <w:spacing w:val="-2"/>
        </w:rPr>
        <w:t>2015</w:t>
      </w:r>
      <w:r>
        <w:rPr>
          <w:spacing w:val="-2"/>
        </w:rPr>
        <w:t>年将全面投入使用。同时公司积极推进募投项目</w:t>
      </w:r>
      <w:r>
        <w:rPr>
          <w:rFonts w:ascii="Times New Roman" w:hAnsi="Times New Roman" w:cs="Times New Roman" w:eastAsia="Times New Roman" w:hint="default"/>
          <w:spacing w:val="-2"/>
        </w:rPr>
        <w:t>“</w:t>
      </w:r>
      <w:r>
        <w:rPr>
          <w:spacing w:val="-2"/>
        </w:rPr>
        <w:t>互联网数据服务一体化平台二期工程</w:t>
      </w:r>
      <w:r>
        <w:rPr>
          <w:rFonts w:ascii="Times New Roman" w:hAnsi="Times New Roman" w:cs="Times New Roman" w:eastAsia="Times New Roman" w:hint="default"/>
          <w:spacing w:val="-2"/>
        </w:rPr>
        <w:t>”</w:t>
      </w:r>
      <w:r>
        <w:rPr>
          <w:spacing w:val="-2"/>
        </w:rPr>
        <w:t>未尽项目的建设，预计</w:t>
      </w:r>
      <w:r>
        <w:rPr>
          <w:spacing w:val="-44"/>
        </w:rPr>
        <w:t> </w:t>
      </w:r>
      <w:r>
        <w:rPr>
          <w:spacing w:val="-44"/>
        </w:rPr>
      </w:r>
      <w:r>
        <w:rPr/>
        <w:t>该项目将于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月底竣工并投入使用。另一方面，为顺应</w:t>
      </w:r>
      <w:r>
        <w:rPr>
          <w:rFonts w:ascii="Times New Roman" w:hAnsi="Times New Roman" w:cs="Times New Roman" w:eastAsia="Times New Roman" w:hint="default"/>
        </w:rPr>
        <w:t>IDC</w:t>
      </w:r>
      <w:r>
        <w:rPr/>
        <w:t>迅速发展的市场行情，抓住云计算、大数据的发展契机， 落实公司全国战略发展布局，公司收购了上海明月光学有限公司（现已更名为光环新网（上海）信息服务有限公司）</w:t>
      </w:r>
      <w:r>
        <w:rPr>
          <w:rFonts w:ascii="Times New Roman" w:hAnsi="Times New Roman" w:cs="Times New Roman" w:eastAsia="Times New Roman" w:hint="default"/>
        </w:rPr>
        <w:t>100% </w:t>
      </w:r>
      <w:r>
        <w:rPr>
          <w:spacing w:val="-2"/>
        </w:rPr>
        <w:t>股权，由明月光学负责实施上海嘉定绿色云计算基地项目的建设，目前该项目正处于前期筹划准备阶段。该项目的实施符合</w:t>
      </w:r>
      <w:r>
        <w:rPr>
          <w:spacing w:val="-63"/>
        </w:rPr>
        <w:t> </w:t>
      </w:r>
      <w:r>
        <w:rPr>
          <w:spacing w:val="-63"/>
        </w:rPr>
      </w:r>
      <w:r>
        <w:rPr/>
        <w:t>公司立足北京、面向全国的发展战略，项目建成后将进一步提升公司在华东地区的竞争实力和公司整体运营实力。</w:t>
      </w:r>
    </w:p>
    <w:p>
      <w:pPr>
        <w:pStyle w:val="BodyText"/>
        <w:spacing w:line="307" w:lineRule="auto" w:before="28"/>
        <w:ind w:right="149" w:firstLine="360"/>
        <w:jc w:val="both"/>
      </w:pPr>
      <w:r>
        <w:rPr>
          <w:spacing w:val="-1"/>
        </w:rPr>
        <w:t>报告期内，公司在云计算研发方面取得较大突破，研发出自己的云主机、云存储等</w:t>
      </w:r>
      <w:r>
        <w:rPr>
          <w:rFonts w:ascii="Times New Roman" w:hAnsi="Times New Roman" w:cs="Times New Roman" w:eastAsia="Times New Roman" w:hint="default"/>
          <w:spacing w:val="-1"/>
        </w:rPr>
        <w:t>Iaas</w:t>
      </w:r>
      <w:r>
        <w:rPr>
          <w:spacing w:val="-1"/>
        </w:rPr>
        <w:t>运营服务类云计算产品，目前正</w:t>
      </w:r>
      <w:r>
        <w:rPr/>
        <w:t> </w:t>
      </w:r>
      <w:r>
        <w:rPr>
          <w:spacing w:val="-2"/>
        </w:rPr>
        <w:t>在调试升级阶段。报告期内，公司综合云计算服务平台被北京市科学技术委员会认定为</w:t>
      </w:r>
      <w:r>
        <w:rPr>
          <w:rFonts w:ascii="Times New Roman" w:hAnsi="Times New Roman" w:cs="Times New Roman" w:eastAsia="Times New Roman" w:hint="default"/>
          <w:spacing w:val="-2"/>
        </w:rPr>
        <w:t>“</w:t>
      </w:r>
      <w:r>
        <w:rPr>
          <w:spacing w:val="-2"/>
        </w:rPr>
        <w:t>北京市国际科技合作基地</w:t>
      </w:r>
      <w:r>
        <w:rPr>
          <w:rFonts w:ascii="Times New Roman" w:hAnsi="Times New Roman" w:cs="Times New Roman" w:eastAsia="Times New Roman" w:hint="default"/>
          <w:spacing w:val="-2"/>
        </w:rPr>
        <w:t>”</w:t>
      </w:r>
      <w:r>
        <w:rPr>
          <w:spacing w:val="-2"/>
        </w:rPr>
        <w:t>，未来公</w:t>
      </w:r>
      <w:r>
        <w:rPr>
          <w:spacing w:val="-43"/>
        </w:rPr>
        <w:t> </w:t>
      </w:r>
      <w:r>
        <w:rPr>
          <w:spacing w:val="-43"/>
        </w:rPr>
      </w:r>
      <w:r>
        <w:rPr>
          <w:spacing w:val="-2"/>
        </w:rPr>
        <w:t>司将继续加速进行公有云服务平台建设，研发多种类型的云服务产品以满足客户不同层次的需求，有望成为国内主要的云计</w:t>
      </w:r>
      <w:r>
        <w:rPr>
          <w:spacing w:val="-64"/>
        </w:rPr>
        <w:t> </w:t>
      </w:r>
      <w:r>
        <w:rPr>
          <w:spacing w:val="-64"/>
        </w:rPr>
      </w:r>
      <w:r>
        <w:rPr/>
        <w:t>算服务提供商之一。</w:t>
      </w:r>
    </w:p>
    <w:p>
      <w:pPr>
        <w:pStyle w:val="BodyText"/>
        <w:spacing w:line="300" w:lineRule="auto" w:before="26"/>
        <w:ind w:right="153" w:firstLine="360"/>
        <w:jc w:val="both"/>
      </w:pPr>
      <w:r>
        <w:rPr>
          <w:spacing w:val="-1"/>
        </w:rPr>
        <w:t>多年的数据中心经营使公司积累了丰富的数据中心运营经验，公司的品牌与客户效应不断得到提升，荣获了中国</w:t>
      </w:r>
      <w:r>
        <w:rPr>
          <w:rFonts w:ascii="Times New Roman" w:hAnsi="Times New Roman" w:cs="Times New Roman" w:eastAsia="Times New Roman" w:hint="default"/>
          <w:spacing w:val="-1"/>
        </w:rPr>
        <w:t>IDC</w:t>
      </w:r>
      <w:r>
        <w:rPr>
          <w:spacing w:val="-1"/>
        </w:rPr>
        <w:t>产</w:t>
      </w:r>
      <w:r>
        <w:rPr/>
        <w:t> 业年度大典组委会颁发的</w:t>
      </w:r>
      <w:r>
        <w:rPr>
          <w:rFonts w:ascii="Times New Roman" w:hAnsi="Times New Roman" w:cs="Times New Roman" w:eastAsia="Times New Roman" w:hint="default"/>
        </w:rPr>
        <w:t>“2014</w:t>
      </w:r>
      <w:r>
        <w:rPr/>
        <w:t>年度中国</w:t>
      </w:r>
      <w:r>
        <w:rPr>
          <w:rFonts w:ascii="Times New Roman" w:hAnsi="Times New Roman" w:cs="Times New Roman" w:eastAsia="Times New Roman" w:hint="default"/>
        </w:rPr>
        <w:t>IDC</w:t>
      </w:r>
      <w:r>
        <w:rPr/>
        <w:t>产业先锋企业奖</w:t>
      </w:r>
      <w:r>
        <w:rPr>
          <w:rFonts w:ascii="Times New Roman" w:hAnsi="Times New Roman" w:cs="Times New Roman" w:eastAsia="Times New Roman" w:hint="default"/>
        </w:rPr>
        <w:t>”</w:t>
      </w:r>
      <w:r>
        <w:rPr/>
        <w:t>等诸多荣誉。</w:t>
      </w:r>
    </w:p>
    <w:p>
      <w:pPr>
        <w:pStyle w:val="BodyText"/>
        <w:spacing w:line="300" w:lineRule="auto" w:before="13"/>
        <w:ind w:right="199" w:firstLine="360"/>
        <w:jc w:val="both"/>
      </w:pPr>
      <w:r>
        <w:rPr/>
        <w:t>报告期内，公司被重新认定为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，证书编号为</w:t>
      </w:r>
      <w:r>
        <w:rPr>
          <w:rFonts w:ascii="Times New Roman" w:hAnsi="Times New Roman" w:cs="Times New Roman" w:eastAsia="Times New Roman" w:hint="default"/>
        </w:rPr>
        <w:t>GR201411000555</w:t>
      </w:r>
      <w:r>
        <w:rPr/>
        <w:t>；子公司光环云谷科技有限公司也被认定 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，证书编号为</w:t>
      </w:r>
      <w:r>
        <w:rPr>
          <w:rFonts w:ascii="Times New Roman" w:hAnsi="Times New Roman" w:cs="Times New Roman" w:eastAsia="Times New Roman" w:hint="default"/>
        </w:rPr>
        <w:t>GR201413000164</w:t>
      </w:r>
      <w:r>
        <w:rPr/>
        <w:t>。</w:t>
      </w:r>
    </w:p>
    <w:p>
      <w:pPr>
        <w:pStyle w:val="BodyText"/>
        <w:spacing w:line="309" w:lineRule="auto" w:before="13"/>
        <w:ind w:right="153" w:firstLine="360"/>
        <w:jc w:val="both"/>
      </w:pPr>
      <w:r>
        <w:rPr/>
        <w:t>报告期内公司及子公司新增商标</w:t>
      </w:r>
      <w:r>
        <w:rPr>
          <w:rFonts w:ascii="Times New Roman" w:hAnsi="Times New Roman" w:cs="Times New Roman" w:eastAsia="Times New Roman" w:hint="default"/>
        </w:rPr>
        <w:t>1</w:t>
      </w:r>
      <w:r>
        <w:rPr/>
        <w:t>项，计算机软件著作权</w:t>
      </w:r>
      <w:r>
        <w:rPr>
          <w:rFonts w:ascii="Times New Roman" w:hAnsi="Times New Roman" w:cs="Times New Roman" w:eastAsia="Times New Roman" w:hint="default"/>
        </w:rPr>
        <w:t>1</w:t>
      </w:r>
      <w:r>
        <w:rPr/>
        <w:t>项。截至报告期末，公司及子公司共取得注册商标</w:t>
      </w:r>
      <w:r>
        <w:rPr>
          <w:rFonts w:ascii="Times New Roman" w:hAnsi="Times New Roman" w:cs="Times New Roman" w:eastAsia="Times New Roman" w:hint="default"/>
        </w:rPr>
        <w:t>5</w:t>
      </w:r>
      <w:r>
        <w:rPr/>
        <w:t>项，</w:t>
      </w:r>
      <w:r>
        <w:rPr>
          <w:rFonts w:ascii="Times New Roman" w:hAnsi="Times New Roman" w:cs="Times New Roman" w:eastAsia="Times New Roman" w:hint="default"/>
        </w:rPr>
        <w:t>28</w:t>
      </w:r>
      <w:r>
        <w:rPr/>
        <w:t>项 </w:t>
      </w:r>
      <w:r>
        <w:rPr>
          <w:spacing w:val="-2"/>
        </w:rPr>
        <w:t>计算机软件著作权。上述计算机软件著作权登记证书的取得有利于公司及子公司发挥主导产品的自主知识产权优势，形成持</w:t>
      </w:r>
      <w:r>
        <w:rPr>
          <w:spacing w:val="-64"/>
        </w:rPr>
        <w:t> </w:t>
      </w:r>
      <w:r>
        <w:rPr>
          <w:spacing w:val="-64"/>
        </w:rPr>
      </w:r>
      <w:r>
        <w:rPr/>
        <w:t>续创新机制，保持技术的领先。</w:t>
      </w:r>
    </w:p>
    <w:p>
      <w:pPr>
        <w:pStyle w:val="BodyText"/>
        <w:spacing w:line="240" w:lineRule="auto" w:before="24"/>
        <w:ind w:left="513" w:right="329"/>
        <w:jc w:val="left"/>
      </w:pPr>
      <w:r>
        <w:rPr/>
        <w:t>①截至报告期末，公司注册商标情况如下：</w:t>
      </w:r>
    </w:p>
    <w:p>
      <w:pPr>
        <w:spacing w:line="240" w:lineRule="auto" w:before="3"/>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776"/>
        <w:gridCol w:w="1752"/>
        <w:gridCol w:w="1568"/>
        <w:gridCol w:w="1541"/>
        <w:gridCol w:w="1440"/>
        <w:gridCol w:w="1522"/>
      </w:tblGrid>
      <w:tr>
        <w:trPr>
          <w:trHeight w:val="355" w:hRule="exact"/>
        </w:trPr>
        <w:tc>
          <w:tcPr>
            <w:tcW w:w="7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5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496"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56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sz w:val="18"/>
                <w:szCs w:val="18"/>
              </w:rPr>
              <w:t>注册人</w:t>
            </w:r>
          </w:p>
        </w:tc>
        <w:tc>
          <w:tcPr>
            <w:tcW w:w="154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注册证号</w:t>
            </w:r>
          </w:p>
        </w:tc>
        <w:tc>
          <w:tcPr>
            <w:tcW w:w="144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381" w:right="0"/>
              <w:jc w:val="left"/>
              <w:rPr>
                <w:rFonts w:ascii="宋体" w:hAnsi="宋体" w:cs="宋体" w:eastAsia="宋体" w:hint="default"/>
                <w:sz w:val="18"/>
                <w:szCs w:val="18"/>
              </w:rPr>
            </w:pPr>
            <w:r>
              <w:rPr>
                <w:rFonts w:ascii="宋体" w:hAnsi="宋体" w:cs="宋体" w:eastAsia="宋体" w:hint="default"/>
                <w:sz w:val="18"/>
                <w:szCs w:val="18"/>
              </w:rPr>
              <w:t>有效期限</w:t>
            </w:r>
          </w:p>
        </w:tc>
      </w:tr>
      <w:tr>
        <w:trPr>
          <w:trHeight w:val="1289" w:hRule="exact"/>
        </w:trPr>
        <w:tc>
          <w:tcPr>
            <w:tcW w:w="77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1.</w:t>
            </w:r>
          </w:p>
        </w:tc>
        <w:tc>
          <w:tcPr>
            <w:tcW w:w="17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445" w:lineRule="exact"/>
              <w:ind w:left="323"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678510" cy="28260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678510" cy="282606"/>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tc>
        <w:tc>
          <w:tcPr>
            <w:tcW w:w="15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8547721</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center"/>
              <w:rPr>
                <w:rFonts w:ascii="Times New Roman" w:hAnsi="Times New Roman" w:cs="Times New Roman" w:eastAsia="Times New Roman" w:hint="default"/>
                <w:sz w:val="18"/>
                <w:szCs w:val="18"/>
              </w:rPr>
            </w:pPr>
            <w:r>
              <w:rPr>
                <w:rFonts w:ascii="Times New Roman"/>
                <w:sz w:val="18"/>
              </w:rPr>
              <w:t>2011.08.21-2021.08</w:t>
            </w:r>
          </w:p>
          <w:p>
            <w:pPr>
              <w:pStyle w:val="TableParagraph"/>
              <w:spacing w:line="240" w:lineRule="auto" w:before="105"/>
              <w:ind w:right="6"/>
              <w:jc w:val="center"/>
              <w:rPr>
                <w:rFonts w:ascii="Times New Roman" w:hAnsi="Times New Roman" w:cs="Times New Roman" w:eastAsia="Times New Roman" w:hint="default"/>
                <w:sz w:val="18"/>
                <w:szCs w:val="18"/>
              </w:rPr>
            </w:pPr>
            <w:r>
              <w:rPr>
                <w:rFonts w:ascii="Times New Roman"/>
                <w:sz w:val="18"/>
              </w:rPr>
              <w:t>.20</w:t>
            </w:r>
          </w:p>
        </w:tc>
      </w:tr>
      <w:tr>
        <w:trPr>
          <w:trHeight w:val="977" w:hRule="exact"/>
        </w:trPr>
        <w:tc>
          <w:tcPr>
            <w:tcW w:w="77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7" w:right="0"/>
              <w:jc w:val="center"/>
              <w:rPr>
                <w:rFonts w:ascii="宋体" w:hAnsi="宋体" w:cs="宋体" w:eastAsia="宋体" w:hint="default"/>
                <w:sz w:val="18"/>
                <w:szCs w:val="18"/>
              </w:rPr>
            </w:pPr>
            <w:r>
              <w:rPr>
                <w:rFonts w:ascii="宋体"/>
                <w:sz w:val="18"/>
              </w:rPr>
              <w:t>2.</w:t>
            </w:r>
          </w:p>
        </w:tc>
        <w:tc>
          <w:tcPr>
            <w:tcW w:w="17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457" w:lineRule="exact"/>
              <w:ind w:left="321"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678105" cy="29079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678105" cy="290798"/>
                          </a:xfrm>
                          <a:prstGeom prst="rect">
                            <a:avLst/>
                          </a:prstGeom>
                        </pic:spPr>
                      </pic:pic>
                    </a:graphicData>
                  </a:graphic>
                </wp:inline>
              </w:drawing>
            </w:r>
            <w:r>
              <w:rPr>
                <w:rFonts w:ascii="宋体" w:hAnsi="宋体" w:cs="宋体" w:eastAsia="宋体" w:hint="default"/>
                <w:position w:val="-8"/>
                <w:sz w:val="20"/>
                <w:szCs w:val="20"/>
              </w:rPr>
            </w:r>
          </w:p>
        </w:tc>
        <w:tc>
          <w:tcPr>
            <w:tcW w:w="15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4" w:right="0"/>
              <w:jc w:val="left"/>
              <w:rPr>
                <w:rFonts w:ascii="Times New Roman" w:hAnsi="Times New Roman" w:cs="Times New Roman" w:eastAsia="Times New Roman" w:hint="default"/>
                <w:sz w:val="18"/>
                <w:szCs w:val="18"/>
              </w:rPr>
            </w:pPr>
            <w:r>
              <w:rPr>
                <w:rFonts w:ascii="Times New Roman"/>
                <w:sz w:val="18"/>
              </w:rPr>
              <w:t>8547788</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2011.09.21-2021.09</w:t>
            </w:r>
          </w:p>
          <w:p>
            <w:pPr>
              <w:pStyle w:val="TableParagraph"/>
              <w:spacing w:line="240" w:lineRule="auto" w:before="105"/>
              <w:ind w:right="6"/>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776"/>
        <w:gridCol w:w="1752"/>
        <w:gridCol w:w="1568"/>
        <w:gridCol w:w="1541"/>
        <w:gridCol w:w="1440"/>
        <w:gridCol w:w="1522"/>
      </w:tblGrid>
      <w:tr>
        <w:trPr>
          <w:trHeight w:val="356" w:hRule="exact"/>
        </w:trPr>
        <w:tc>
          <w:tcPr>
            <w:tcW w:w="776" w:type="dxa"/>
            <w:tcBorders>
              <w:top w:val="single" w:sz="6" w:space="0" w:color="000000"/>
              <w:left w:val="single" w:sz="6" w:space="0" w:color="000000"/>
              <w:bottom w:val="single" w:sz="12" w:space="0" w:color="000000"/>
              <w:right w:val="single" w:sz="12" w:space="0" w:color="000000"/>
            </w:tcBorders>
          </w:tcPr>
          <w:p>
            <w:pPr/>
          </w:p>
        </w:tc>
        <w:tc>
          <w:tcPr>
            <w:tcW w:w="1752" w:type="dxa"/>
            <w:tcBorders>
              <w:top w:val="single" w:sz="6" w:space="0" w:color="000000"/>
              <w:left w:val="single" w:sz="12" w:space="0" w:color="000000"/>
              <w:bottom w:val="single" w:sz="12" w:space="0" w:color="000000"/>
              <w:right w:val="single" w:sz="12" w:space="0" w:color="000000"/>
            </w:tcBorders>
          </w:tcPr>
          <w:p>
            <w:pPr/>
          </w:p>
        </w:tc>
        <w:tc>
          <w:tcPr>
            <w:tcW w:w="1568" w:type="dxa"/>
            <w:tcBorders>
              <w:top w:val="single" w:sz="6" w:space="0" w:color="000000"/>
              <w:left w:val="single" w:sz="12" w:space="0" w:color="000000"/>
              <w:bottom w:val="single" w:sz="12" w:space="0" w:color="000000"/>
              <w:right w:val="single" w:sz="12" w:space="0" w:color="000000"/>
            </w:tcBorders>
          </w:tcPr>
          <w:p>
            <w:pPr/>
          </w:p>
        </w:tc>
        <w:tc>
          <w:tcPr>
            <w:tcW w:w="1541" w:type="dxa"/>
            <w:tcBorders>
              <w:top w:val="single" w:sz="6" w:space="0" w:color="000000"/>
              <w:left w:val="single" w:sz="12" w:space="0" w:color="000000"/>
              <w:bottom w:val="single" w:sz="12" w:space="0" w:color="000000"/>
              <w:right w:val="single" w:sz="12" w:space="0" w:color="000000"/>
            </w:tcBorders>
          </w:tcPr>
          <w:p>
            <w:pPr/>
          </w:p>
        </w:tc>
        <w:tc>
          <w:tcPr>
            <w:tcW w:w="1440" w:type="dxa"/>
            <w:tcBorders>
              <w:top w:val="single" w:sz="6" w:space="0" w:color="000000"/>
              <w:left w:val="single" w:sz="12" w:space="0" w:color="000000"/>
              <w:bottom w:val="single" w:sz="12" w:space="0" w:color="000000"/>
              <w:right w:val="single" w:sz="12" w:space="0" w:color="000000"/>
            </w:tcBorders>
          </w:tcPr>
          <w:p>
            <w:pPr/>
          </w:p>
        </w:tc>
        <w:tc>
          <w:tcPr>
            <w:tcW w:w="1522" w:type="dxa"/>
            <w:tcBorders>
              <w:top w:val="single" w:sz="6" w:space="0" w:color="000000"/>
              <w:left w:val="single" w:sz="12" w:space="0" w:color="000000"/>
              <w:bottom w:val="single" w:sz="12" w:space="0" w:color="000000"/>
              <w:right w:val="single" w:sz="12" w:space="0" w:color="000000"/>
            </w:tcBorders>
          </w:tcPr>
          <w:p>
            <w:pPr/>
          </w:p>
        </w:tc>
      </w:tr>
      <w:tr>
        <w:trPr>
          <w:trHeight w:val="1286" w:hRule="exact"/>
        </w:trPr>
        <w:tc>
          <w:tcPr>
            <w:tcW w:w="77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sz w:val="18"/>
              </w:rPr>
              <w:t>3.</w:t>
            </w:r>
          </w:p>
        </w:tc>
        <w:tc>
          <w:tcPr>
            <w:tcW w:w="17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63" w:lineRule="exact"/>
              <w:ind w:left="321"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683831" cy="23050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683831" cy="230504"/>
                          </a:xfrm>
                          <a:prstGeom prst="rect">
                            <a:avLst/>
                          </a:prstGeom>
                        </pic:spPr>
                      </pic:pic>
                    </a:graphicData>
                  </a:graphic>
                </wp:inline>
              </w:drawing>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tc>
        <w:tc>
          <w:tcPr>
            <w:tcW w:w="15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8547609</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center"/>
              <w:rPr>
                <w:rFonts w:ascii="Times New Roman" w:hAnsi="Times New Roman" w:cs="Times New Roman" w:eastAsia="Times New Roman" w:hint="default"/>
                <w:sz w:val="18"/>
                <w:szCs w:val="18"/>
              </w:rPr>
            </w:pPr>
            <w:r>
              <w:rPr>
                <w:rFonts w:ascii="Times New Roman"/>
                <w:sz w:val="18"/>
              </w:rPr>
              <w:t>2011.10.07-2021.10</w:t>
            </w:r>
          </w:p>
          <w:p>
            <w:pPr>
              <w:pStyle w:val="TableParagraph"/>
              <w:spacing w:line="240" w:lineRule="auto" w:before="105"/>
              <w:ind w:right="6"/>
              <w:jc w:val="center"/>
              <w:rPr>
                <w:rFonts w:ascii="Times New Roman" w:hAnsi="Times New Roman" w:cs="Times New Roman" w:eastAsia="Times New Roman" w:hint="default"/>
                <w:sz w:val="18"/>
                <w:szCs w:val="18"/>
              </w:rPr>
            </w:pPr>
            <w:r>
              <w:rPr>
                <w:rFonts w:ascii="Times New Roman"/>
                <w:sz w:val="18"/>
              </w:rPr>
              <w:t>.06</w:t>
            </w:r>
          </w:p>
        </w:tc>
      </w:tr>
      <w:tr>
        <w:trPr>
          <w:trHeight w:val="1289" w:hRule="exact"/>
        </w:trPr>
        <w:tc>
          <w:tcPr>
            <w:tcW w:w="77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sz w:val="18"/>
              </w:rPr>
              <w:t>4.</w:t>
            </w:r>
          </w:p>
        </w:tc>
        <w:tc>
          <w:tcPr>
            <w:tcW w:w="17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457" w:lineRule="exact"/>
              <w:ind w:left="321"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676628" cy="290798"/>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3" cstate="print"/>
                          <a:stretch>
                            <a:fillRect/>
                          </a:stretch>
                        </pic:blipFill>
                        <pic:spPr>
                          <a:xfrm>
                            <a:off x="0" y="0"/>
                            <a:ext cx="676628" cy="290798"/>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tc>
        <w:tc>
          <w:tcPr>
            <w:tcW w:w="15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8547805</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center"/>
              <w:rPr>
                <w:rFonts w:ascii="Times New Roman" w:hAnsi="Times New Roman" w:cs="Times New Roman" w:eastAsia="Times New Roman" w:hint="default"/>
                <w:sz w:val="18"/>
                <w:szCs w:val="18"/>
              </w:rPr>
            </w:pPr>
            <w:r>
              <w:rPr>
                <w:rFonts w:ascii="Times New Roman"/>
                <w:sz w:val="18"/>
              </w:rPr>
              <w:t>2011.08.21-2021.08</w:t>
            </w:r>
          </w:p>
          <w:p>
            <w:pPr>
              <w:pStyle w:val="TableParagraph"/>
              <w:spacing w:line="240" w:lineRule="auto" w:before="105"/>
              <w:ind w:right="6"/>
              <w:jc w:val="center"/>
              <w:rPr>
                <w:rFonts w:ascii="Times New Roman" w:hAnsi="Times New Roman" w:cs="Times New Roman" w:eastAsia="Times New Roman" w:hint="default"/>
                <w:sz w:val="18"/>
                <w:szCs w:val="18"/>
              </w:rPr>
            </w:pPr>
            <w:r>
              <w:rPr>
                <w:rFonts w:ascii="Times New Roman"/>
                <w:sz w:val="18"/>
              </w:rPr>
              <w:t>.20</w:t>
            </w:r>
          </w:p>
        </w:tc>
      </w:tr>
      <w:tr>
        <w:trPr>
          <w:trHeight w:val="1289" w:hRule="exact"/>
        </w:trPr>
        <w:tc>
          <w:tcPr>
            <w:tcW w:w="77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5</w:t>
            </w:r>
          </w:p>
        </w:tc>
        <w:tc>
          <w:tcPr>
            <w:tcW w:w="17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63" w:lineRule="exact"/>
              <w:ind w:left="314"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683831" cy="230504"/>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14" cstate="print"/>
                          <a:stretch>
                            <a:fillRect/>
                          </a:stretch>
                        </pic:blipFill>
                        <pic:spPr>
                          <a:xfrm>
                            <a:off x="0" y="0"/>
                            <a:ext cx="683831" cy="230504"/>
                          </a:xfrm>
                          <a:prstGeom prst="rect">
                            <a:avLst/>
                          </a:prstGeom>
                        </pic:spPr>
                      </pic:pic>
                    </a:graphicData>
                  </a:graphic>
                </wp:inline>
              </w:drawing>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tc>
        <w:tc>
          <w:tcPr>
            <w:tcW w:w="15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8547637</w:t>
            </w:r>
          </w:p>
        </w:tc>
        <w:tc>
          <w:tcPr>
            <w:tcW w:w="14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5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6"/>
              <w:jc w:val="center"/>
              <w:rPr>
                <w:rFonts w:ascii="仿宋" w:hAnsi="仿宋" w:cs="仿宋" w:eastAsia="仿宋" w:hint="default"/>
                <w:sz w:val="18"/>
                <w:szCs w:val="18"/>
              </w:rPr>
            </w:pPr>
            <w:r>
              <w:rPr>
                <w:rFonts w:ascii="仿宋"/>
                <w:sz w:val="18"/>
              </w:rPr>
              <w:t>2014.01.14-2024.</w:t>
            </w:r>
          </w:p>
          <w:p>
            <w:pPr>
              <w:pStyle w:val="TableParagraph"/>
              <w:spacing w:line="240" w:lineRule="auto" w:before="76"/>
              <w:ind w:right="7"/>
              <w:jc w:val="center"/>
              <w:rPr>
                <w:rFonts w:ascii="仿宋" w:hAnsi="仿宋" w:cs="仿宋" w:eastAsia="仿宋" w:hint="default"/>
                <w:sz w:val="18"/>
                <w:szCs w:val="18"/>
              </w:rPr>
            </w:pPr>
            <w:r>
              <w:rPr>
                <w:rFonts w:ascii="仿宋"/>
                <w:sz w:val="18"/>
              </w:rPr>
              <w:t>01.13</w:t>
            </w:r>
          </w:p>
        </w:tc>
      </w:tr>
    </w:tbl>
    <w:p>
      <w:pPr>
        <w:pStyle w:val="BodyText"/>
        <w:spacing w:line="240" w:lineRule="auto" w:before="8"/>
        <w:ind w:left="441" w:right="329"/>
        <w:jc w:val="left"/>
      </w:pPr>
      <w:r>
        <w:rPr/>
        <w:t>②截至报告期末，公司拥有的软件著作权情况如下：</w:t>
      </w:r>
    </w:p>
    <w:p>
      <w:pPr>
        <w:spacing w:line="240" w:lineRule="auto" w:before="3"/>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860"/>
        <w:gridCol w:w="2516"/>
        <w:gridCol w:w="2276"/>
        <w:gridCol w:w="1606"/>
        <w:gridCol w:w="1273"/>
      </w:tblGrid>
      <w:tr>
        <w:trPr>
          <w:trHeight w:val="355" w:hRule="exact"/>
        </w:trPr>
        <w:tc>
          <w:tcPr>
            <w:tcW w:w="8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1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227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160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2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登记日</w:t>
            </w:r>
          </w:p>
        </w:tc>
      </w:tr>
      <w:tr>
        <w:trPr>
          <w:trHeight w:val="662"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784" w:right="134" w:hanging="658"/>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网络性能分析与评价系统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 称</w:t>
            </w:r>
            <w:r>
              <w:rPr>
                <w:rFonts w:ascii="Times New Roman" w:hAnsi="Times New Roman" w:cs="Times New Roman" w:eastAsia="Times New Roman" w:hint="default"/>
                <w:sz w:val="18"/>
                <w:szCs w:val="18"/>
              </w:rPr>
              <w:t>:ims]V1.0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0227403</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2010SR039130</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2010-08-04</w:t>
            </w:r>
          </w:p>
        </w:tc>
      </w:tr>
      <w:tr>
        <w:trPr>
          <w:trHeight w:val="665"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网络实时监控及日志维护系统</w:t>
            </w:r>
          </w:p>
          <w:p>
            <w:pPr>
              <w:pStyle w:val="TableParagraph"/>
              <w:spacing w:line="240" w:lineRule="auto" w:before="118"/>
              <w:ind w:right="7"/>
              <w:jc w:val="center"/>
              <w:rPr>
                <w:rFonts w:ascii="Times New Roman" w:hAnsi="Times New Roman" w:cs="Times New Roman" w:eastAsia="Times New Roman" w:hint="default"/>
                <w:sz w:val="18"/>
                <w:szCs w:val="18"/>
              </w:rPr>
            </w:pPr>
            <w:r>
              <w:rPr>
                <w:rFonts w:ascii="Times New Roman"/>
                <w:sz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0227404</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2010SR039131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2010-08-04</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人事行政管理系统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0216888</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2010SR028615</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2010-06-11</w:t>
            </w:r>
          </w:p>
        </w:tc>
      </w:tr>
      <w:tr>
        <w:trPr>
          <w:trHeight w:val="66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40" w:lineRule="auto" w:before="8"/>
              <w:ind w:left="820" w:right="340" w:hanging="49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公共办公系统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:one office]V1.0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0216896</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2010SR028623</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2010-06-11</w:t>
            </w:r>
          </w:p>
        </w:tc>
      </w:tr>
      <w:tr>
        <w:trPr>
          <w:trHeight w:val="665"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40" w:lineRule="auto" w:before="10"/>
              <w:ind w:left="1060" w:right="154" w:hanging="9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CMS</w:t>
            </w:r>
            <w:r>
              <w:rPr>
                <w:rFonts w:ascii="宋体" w:hAnsi="宋体" w:cs="宋体" w:eastAsia="宋体" w:hint="default"/>
                <w:sz w:val="18"/>
                <w:szCs w:val="18"/>
              </w:rPr>
              <w:t>企业综合管理信息系统 </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0227398</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2010SR039125</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2010-08-04</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6</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0216895</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2010SR028622</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2010-06-11</w:t>
            </w:r>
          </w:p>
        </w:tc>
      </w:tr>
      <w:tr>
        <w:trPr>
          <w:trHeight w:val="662"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城域网节点机房资源管理系统</w:t>
            </w:r>
          </w:p>
          <w:p>
            <w:pPr>
              <w:pStyle w:val="TableParagraph"/>
              <w:spacing w:line="240" w:lineRule="auto" w:before="76"/>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MAN-RCS]V1.35</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20101498</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2008SR25551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5"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789" w:right="77" w:hanging="723"/>
              <w:jc w:val="left"/>
              <w:rPr>
                <w:rFonts w:ascii="Times New Roman" w:hAnsi="Times New Roman" w:cs="Times New Roman" w:eastAsia="Times New Roman" w:hint="default"/>
                <w:sz w:val="18"/>
                <w:szCs w:val="18"/>
              </w:rPr>
            </w:pPr>
            <w:r>
              <w:rPr>
                <w:rFonts w:ascii="宋体" w:hAnsi="宋体" w:cs="宋体" w:eastAsia="宋体" w:hint="default"/>
                <w:sz w:val="18"/>
                <w:szCs w:val="18"/>
              </w:rPr>
              <w:t>高校宽带客户增值业务教务管 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20101503</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2008SR25552</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5"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26" w:right="34" w:firstLine="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ISP&amp;IDC</w:t>
            </w:r>
            <w:r>
              <w:rPr>
                <w:rFonts w:ascii="宋体" w:hAnsi="宋体" w:cs="宋体" w:eastAsia="宋体" w:hint="default"/>
                <w:sz w:val="18"/>
                <w:szCs w:val="18"/>
              </w:rPr>
              <w:t>客户自助站增值服务 系统</w:t>
            </w:r>
            <w:r>
              <w:rPr>
                <w:rFonts w:ascii="Times New Roman" w:hAnsi="Times New Roman" w:cs="Times New Roman" w:eastAsia="Times New Roman" w:hint="default"/>
                <w:sz w:val="18"/>
                <w:szCs w:val="18"/>
              </w:rPr>
              <w:t>V2.99 [</w:t>
            </w:r>
            <w:r>
              <w:rPr>
                <w:rFonts w:ascii="宋体" w:hAnsi="宋体" w:cs="宋体" w:eastAsia="宋体" w:hint="default"/>
                <w:sz w:val="18"/>
                <w:szCs w:val="18"/>
              </w:rPr>
              <w:t>简称：</w:t>
            </w:r>
            <w:r>
              <w:rPr>
                <w:rFonts w:ascii="Times New Roman" w:hAnsi="Times New Roman" w:cs="Times New Roman" w:eastAsia="Times New Roman" w:hint="default"/>
                <w:sz w:val="18"/>
                <w:szCs w:val="18"/>
              </w:rPr>
              <w:t>EASY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WEB]</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20101473</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2008SR25571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2"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宽带网络资源查验及施工系统</w:t>
            </w:r>
          </w:p>
          <w:p>
            <w:pPr>
              <w:pStyle w:val="TableParagraph"/>
              <w:spacing w:line="240" w:lineRule="auto" w:before="7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V5.01[</w:t>
            </w:r>
            <w:r>
              <w:rPr>
                <w:rFonts w:ascii="宋体" w:hAnsi="宋体" w:cs="宋体" w:eastAsia="宋体" w:hint="default"/>
                <w:sz w:val="18"/>
                <w:szCs w:val="18"/>
              </w:rPr>
              <w:t>简称：</w:t>
            </w:r>
            <w:r>
              <w:rPr>
                <w:rFonts w:ascii="Times New Roman" w:hAnsi="Times New Roman" w:cs="Times New Roman" w:eastAsia="Times New Roman" w:hint="default"/>
                <w:sz w:val="18"/>
                <w:szCs w:val="18"/>
              </w:rPr>
              <w:t>BBN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MANAGER]</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20101474</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2008SR25575</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5"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49" w:right="5" w:hanging="555"/>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光环新网资产管理系统</w:t>
            </w:r>
            <w:r>
              <w:rPr>
                <w:rFonts w:ascii="Times New Roman" w:hAnsi="Times New Roman" w:cs="Times New Roman" w:eastAsia="Times New Roman" w:hint="default"/>
                <w:sz w:val="18"/>
                <w:szCs w:val="18"/>
              </w:rPr>
              <w:t>V4.60[</w:t>
            </w:r>
            <w:r>
              <w:rPr>
                <w:rFonts w:ascii="宋体" w:hAnsi="宋体" w:cs="宋体" w:eastAsia="宋体" w:hint="default"/>
                <w:sz w:val="18"/>
                <w:szCs w:val="18"/>
              </w:rPr>
              <w:t>简 称</w:t>
            </w:r>
            <w:r>
              <w:rPr>
                <w:rFonts w:ascii="Times New Roman" w:hAnsi="Times New Roman" w:cs="Times New Roman" w:eastAsia="Times New Roman" w:hint="default"/>
                <w:sz w:val="18"/>
                <w:szCs w:val="18"/>
              </w:rPr>
              <w:t>:SINNET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EAM]</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20101480</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2008SR25577</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1289"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28" w:lineRule="auto" w:before="8"/>
              <w:ind w:left="-5" w:right="1" w:hanging="5"/>
              <w:jc w:val="center"/>
              <w:rPr>
                <w:rFonts w:ascii="Times New Roman" w:hAnsi="Times New Roman" w:cs="Times New Roman" w:eastAsia="Times New Roman" w:hint="default"/>
                <w:sz w:val="18"/>
                <w:szCs w:val="18"/>
              </w:rPr>
            </w:pPr>
            <w:r>
              <w:rPr>
                <w:rFonts w:ascii="宋体" w:hAnsi="宋体" w:cs="宋体" w:eastAsia="宋体" w:hint="default"/>
                <w:sz w:val="18"/>
                <w:szCs w:val="18"/>
              </w:rPr>
              <w:t>互联网数据传输网络监控及故 障管理系统</w:t>
            </w:r>
            <w:r>
              <w:rPr>
                <w:rFonts w:ascii="Times New Roman" w:hAnsi="Times New Roman" w:cs="Times New Roman" w:eastAsia="Times New Roman" w:hint="default"/>
                <w:sz w:val="18"/>
                <w:szCs w:val="18"/>
              </w:rPr>
              <w:t>V2.0[</w:t>
            </w:r>
            <w:r>
              <w:rPr>
                <w:rFonts w:ascii="宋体" w:hAnsi="宋体" w:cs="宋体" w:eastAsia="宋体" w:hint="default"/>
                <w:sz w:val="18"/>
                <w:szCs w:val="18"/>
              </w:rPr>
              <w:t>简称：</w:t>
            </w:r>
            <w:r>
              <w:rPr>
                <w:rFonts w:ascii="Times New Roman" w:hAnsi="Times New Roman" w:cs="Times New Roman" w:eastAsia="Times New Roman" w:hint="default"/>
                <w:sz w:val="18"/>
                <w:szCs w:val="18"/>
              </w:rPr>
              <w:t>SINNET IDC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CONTORL</w:t>
            </w:r>
          </w:p>
          <w:p>
            <w:pPr>
              <w:pStyle w:val="TableParagraph"/>
              <w:spacing w:line="240" w:lineRule="auto" w:before="31"/>
              <w:ind w:right="7"/>
              <w:jc w:val="center"/>
              <w:rPr>
                <w:rFonts w:ascii="Times New Roman" w:hAnsi="Times New Roman" w:cs="Times New Roman" w:eastAsia="Times New Roman" w:hint="default"/>
                <w:sz w:val="18"/>
                <w:szCs w:val="18"/>
              </w:rPr>
            </w:pPr>
            <w:r>
              <w:rPr>
                <w:rFonts w:ascii="Times New Roman"/>
                <w:sz w:val="18"/>
              </w:rPr>
              <w:t>SYSTEM(SICS-1)</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20101472</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2008SR25581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19" w:lineRule="auto" w:before="8"/>
              <w:ind w:left="700" w:right="77" w:hanging="634"/>
              <w:jc w:val="left"/>
              <w:rPr>
                <w:rFonts w:ascii="Times New Roman" w:hAnsi="Times New Roman" w:cs="Times New Roman" w:eastAsia="Times New Roman" w:hint="default"/>
                <w:sz w:val="18"/>
                <w:szCs w:val="18"/>
              </w:rPr>
            </w:pPr>
            <w:r>
              <w:rPr>
                <w:rFonts w:ascii="宋体" w:hAnsi="宋体" w:cs="宋体" w:eastAsia="宋体" w:hint="default"/>
                <w:sz w:val="18"/>
                <w:szCs w:val="18"/>
              </w:rPr>
              <w:t>内容分发网络流媒体后台运维 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0325955</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2011SR062281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2011-09-01</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14</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流媒体</w:t>
            </w:r>
            <w:r>
              <w:rPr>
                <w:rFonts w:ascii="Times New Roman" w:hAnsi="Times New Roman" w:cs="Times New Roman" w:eastAsia="Times New Roman" w:hint="default"/>
                <w:sz w:val="18"/>
                <w:szCs w:val="18"/>
              </w:rPr>
              <w:t>CDN</w:t>
            </w:r>
            <w:r>
              <w:rPr>
                <w:rFonts w:ascii="宋体" w:hAnsi="宋体" w:cs="宋体" w:eastAsia="宋体" w:hint="default"/>
                <w:sz w:val="18"/>
                <w:szCs w:val="18"/>
              </w:rPr>
              <w:t>日志处理分析系统</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0324518</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2011SR060844</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2011-08-26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860"/>
        <w:gridCol w:w="2516"/>
        <w:gridCol w:w="2276"/>
        <w:gridCol w:w="1606"/>
        <w:gridCol w:w="1273"/>
      </w:tblGrid>
      <w:tr>
        <w:trPr>
          <w:trHeight w:val="356" w:hRule="exact"/>
        </w:trPr>
        <w:tc>
          <w:tcPr>
            <w:tcW w:w="860" w:type="dxa"/>
            <w:tcBorders>
              <w:top w:val="single" w:sz="6" w:space="0" w:color="000000"/>
              <w:left w:val="single" w:sz="6" w:space="0" w:color="000000"/>
              <w:bottom w:val="single" w:sz="12" w:space="0" w:color="000000"/>
              <w:right w:val="single" w:sz="12" w:space="0" w:color="000000"/>
            </w:tcBorders>
          </w:tcPr>
          <w:p>
            <w:pPr/>
          </w:p>
        </w:tc>
        <w:tc>
          <w:tcPr>
            <w:tcW w:w="251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0"/>
              <w:ind w:right="7"/>
              <w:jc w:val="center"/>
              <w:rPr>
                <w:rFonts w:ascii="Times New Roman" w:hAnsi="Times New Roman" w:cs="Times New Roman" w:eastAsia="Times New Roman" w:hint="default"/>
                <w:sz w:val="18"/>
                <w:szCs w:val="18"/>
              </w:rPr>
            </w:pPr>
            <w:r>
              <w:rPr>
                <w:rFonts w:ascii="Times New Roman"/>
                <w:sz w:val="18"/>
              </w:rPr>
              <w:t>V1.0</w:t>
            </w:r>
          </w:p>
        </w:tc>
        <w:tc>
          <w:tcPr>
            <w:tcW w:w="2276" w:type="dxa"/>
            <w:tcBorders>
              <w:top w:val="single" w:sz="6" w:space="0" w:color="000000"/>
              <w:left w:val="single" w:sz="12" w:space="0" w:color="000000"/>
              <w:bottom w:val="single" w:sz="12" w:space="0" w:color="000000"/>
              <w:right w:val="single" w:sz="12" w:space="0" w:color="000000"/>
            </w:tcBorders>
          </w:tcPr>
          <w:p>
            <w:pPr/>
          </w:p>
        </w:tc>
        <w:tc>
          <w:tcPr>
            <w:tcW w:w="1606" w:type="dxa"/>
            <w:tcBorders>
              <w:top w:val="single" w:sz="6" w:space="0" w:color="000000"/>
              <w:left w:val="single" w:sz="12" w:space="0" w:color="000000"/>
              <w:bottom w:val="single" w:sz="12" w:space="0" w:color="000000"/>
              <w:right w:val="single" w:sz="12" w:space="0" w:color="000000"/>
            </w:tcBorders>
          </w:tcPr>
          <w:p>
            <w:pPr/>
          </w:p>
        </w:tc>
        <w:tc>
          <w:tcPr>
            <w:tcW w:w="1273" w:type="dxa"/>
            <w:tcBorders>
              <w:top w:val="single" w:sz="6" w:space="0" w:color="000000"/>
              <w:left w:val="single" w:sz="12" w:space="0" w:color="000000"/>
              <w:bottom w:val="single" w:sz="12" w:space="0" w:color="000000"/>
              <w:right w:val="single" w:sz="12" w:space="0" w:color="000000"/>
            </w:tcBorders>
          </w:tcPr>
          <w:p>
            <w:pPr/>
          </w:p>
        </w:tc>
      </w:tr>
      <w:tr>
        <w:trPr>
          <w:trHeight w:val="662"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15</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700" w:right="68" w:hanging="64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内容分发网络文件上传客 户端系统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0324532</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2011SR060858</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2011-08-26</w:t>
            </w:r>
          </w:p>
        </w:tc>
      </w:tr>
      <w:tr>
        <w:trPr>
          <w:trHeight w:val="665"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16</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340" w:lineRule="auto" w:before="10"/>
              <w:ind w:left="1060" w:right="158" w:hanging="9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节点监控管理服务系统 </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0533953</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2013SR028191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2013-03-26</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321"/>
              <w:jc w:val="right"/>
              <w:rPr>
                <w:rFonts w:ascii="Times New Roman" w:hAnsi="Times New Roman" w:cs="Times New Roman" w:eastAsia="Times New Roman" w:hint="default"/>
                <w:sz w:val="18"/>
                <w:szCs w:val="18"/>
              </w:rPr>
            </w:pPr>
            <w:r>
              <w:rPr>
                <w:rFonts w:ascii="Times New Roman"/>
                <w:sz w:val="18"/>
              </w:rPr>
              <w:t>17</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用户流量监控系统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0533954</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2013SR028192</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2013-03-26</w:t>
            </w:r>
          </w:p>
        </w:tc>
      </w:tr>
      <w:tr>
        <w:trPr>
          <w:trHeight w:val="350"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321"/>
              <w:jc w:val="right"/>
              <w:rPr>
                <w:rFonts w:ascii="Times New Roman" w:hAnsi="Times New Roman" w:cs="Times New Roman" w:eastAsia="Times New Roman" w:hint="default"/>
                <w:sz w:val="18"/>
                <w:szCs w:val="18"/>
              </w:rPr>
            </w:pPr>
            <w:r>
              <w:rPr>
                <w:rFonts w:ascii="Times New Roman"/>
                <w:sz w:val="18"/>
              </w:rPr>
              <w:t>18</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自主分发管理系统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0533975</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2013SR028213</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2013-03-26</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right="321"/>
              <w:jc w:val="right"/>
              <w:rPr>
                <w:rFonts w:ascii="Times New Roman" w:hAnsi="Times New Roman" w:cs="Times New Roman" w:eastAsia="Times New Roman" w:hint="default"/>
                <w:sz w:val="18"/>
                <w:szCs w:val="18"/>
              </w:rPr>
            </w:pPr>
            <w:r>
              <w:rPr>
                <w:rFonts w:ascii="Times New Roman"/>
                <w:sz w:val="18"/>
              </w:rPr>
              <w:t>19</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交换机流量监控系统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0628962</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2013SR123200</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2013-11-11</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321"/>
              <w:jc w:val="right"/>
              <w:rPr>
                <w:rFonts w:ascii="Times New Roman" w:hAnsi="Times New Roman" w:cs="Times New Roman" w:eastAsia="Times New Roman" w:hint="default"/>
                <w:sz w:val="18"/>
                <w:szCs w:val="18"/>
              </w:rPr>
            </w:pPr>
            <w:r>
              <w:rPr>
                <w:rFonts w:ascii="Times New Roman"/>
                <w:sz w:val="18"/>
              </w:rPr>
              <w:t>20</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云存储数据软件</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0657933</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2013SR152171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2013-12-20</w:t>
            </w:r>
          </w:p>
        </w:tc>
      </w:tr>
      <w:tr>
        <w:trPr>
          <w:trHeight w:val="351"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321"/>
              <w:jc w:val="right"/>
              <w:rPr>
                <w:rFonts w:ascii="Times New Roman" w:hAnsi="Times New Roman" w:cs="Times New Roman" w:eastAsia="Times New Roman" w:hint="default"/>
                <w:sz w:val="18"/>
                <w:szCs w:val="18"/>
              </w:rPr>
            </w:pPr>
            <w:r>
              <w:rPr>
                <w:rFonts w:ascii="Times New Roman"/>
                <w:sz w:val="18"/>
              </w:rPr>
              <w:t>21</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网络安全备案系统软件</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0658699</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2013SR152937</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right="321"/>
              <w:jc w:val="right"/>
              <w:rPr>
                <w:rFonts w:ascii="Times New Roman" w:hAnsi="Times New Roman" w:cs="Times New Roman" w:eastAsia="Times New Roman" w:hint="default"/>
                <w:sz w:val="18"/>
                <w:szCs w:val="18"/>
              </w:rPr>
            </w:pPr>
            <w:r>
              <w:rPr>
                <w:rFonts w:ascii="Times New Roman"/>
                <w:sz w:val="18"/>
              </w:rPr>
              <w:t>22</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云计算管理系统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0724192</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2014SR054948</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2014-05-06</w:t>
            </w:r>
          </w:p>
        </w:tc>
      </w:tr>
    </w:tbl>
    <w:p>
      <w:pPr>
        <w:pStyle w:val="BodyText"/>
        <w:spacing w:line="240" w:lineRule="auto" w:before="8"/>
        <w:ind w:left="441" w:right="329"/>
        <w:jc w:val="left"/>
      </w:pPr>
      <w:r>
        <w:rPr/>
        <w:t>截至报告期末，子公司光环云谷取得的软件著作权情况如下：</w:t>
      </w:r>
    </w:p>
    <w:p>
      <w:pPr>
        <w:spacing w:line="240" w:lineRule="auto" w:before="3"/>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860"/>
        <w:gridCol w:w="2516"/>
        <w:gridCol w:w="2276"/>
        <w:gridCol w:w="1606"/>
        <w:gridCol w:w="1273"/>
      </w:tblGrid>
      <w:tr>
        <w:trPr>
          <w:trHeight w:val="355" w:hRule="exact"/>
        </w:trPr>
        <w:tc>
          <w:tcPr>
            <w:tcW w:w="8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1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227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160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2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登记日</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宽带业务系统软件</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0657431</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2013SR151669</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2013-12-20</w:t>
            </w:r>
          </w:p>
        </w:tc>
      </w:tr>
      <w:tr>
        <w:trPr>
          <w:trHeight w:val="662"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分发网络节点数据检测系统</w:t>
            </w:r>
          </w:p>
          <w:p>
            <w:pPr>
              <w:pStyle w:val="TableParagraph"/>
              <w:spacing w:line="240" w:lineRule="auto" w:before="118"/>
              <w:ind w:right="7"/>
              <w:jc w:val="center"/>
              <w:rPr>
                <w:rFonts w:ascii="Times New Roman" w:hAnsi="Times New Roman" w:cs="Times New Roman" w:eastAsia="Times New Roman" w:hint="default"/>
                <w:sz w:val="18"/>
                <w:szCs w:val="18"/>
              </w:rPr>
            </w:pPr>
            <w:r>
              <w:rPr>
                <w:rFonts w:ascii="Times New Roman"/>
                <w:sz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0658643</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2013SR152881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网络监控系统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0658833</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2013SR153071</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353"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网络故障管理软件</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0658839</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2013SR153077</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350"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业务数据管理系统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0658846</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2013SR153084</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665" w:hRule="exact"/>
        </w:trPr>
        <w:tc>
          <w:tcPr>
            <w:tcW w:w="8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25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交换机性能监控系统（简称：</w:t>
            </w:r>
          </w:p>
          <w:p>
            <w:pPr>
              <w:pStyle w:val="TableParagraph"/>
              <w:spacing w:line="240" w:lineRule="auto" w:before="76"/>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SIMS</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0659168</w:t>
            </w:r>
            <w:r>
              <w:rPr>
                <w:rFonts w:ascii="宋体" w:hAnsi="宋体" w:cs="宋体" w:eastAsia="宋体" w:hint="default"/>
                <w:sz w:val="18"/>
                <w:szCs w:val="18"/>
              </w:rPr>
              <w:t>号</w:t>
            </w:r>
          </w:p>
        </w:tc>
        <w:tc>
          <w:tcPr>
            <w:tcW w:w="16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2013SR153406</w:t>
            </w:r>
          </w:p>
        </w:tc>
        <w:tc>
          <w:tcPr>
            <w:tcW w:w="12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2013-12-21</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rFonts w:ascii="Times New Roman" w:hAnsi="Times New Roman" w:cs="Times New Roman" w:eastAsia="Times New Roman" w:hint="default"/>
        </w:rPr>
        <w:t>1</w:t>
      </w:r>
      <w:r>
        <w:rPr/>
        <w:t>）对外投资情况</w:t>
      </w:r>
    </w:p>
    <w:p>
      <w:pPr>
        <w:pStyle w:val="BodyText"/>
        <w:spacing w:line="240" w:lineRule="auto" w:before="103"/>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4"/>
        <w:gridCol w:w="1059"/>
        <w:gridCol w:w="670"/>
        <w:gridCol w:w="1594"/>
        <w:gridCol w:w="924"/>
        <w:gridCol w:w="139"/>
        <w:gridCol w:w="1063"/>
        <w:gridCol w:w="929"/>
        <w:gridCol w:w="1058"/>
      </w:tblGrid>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93,800,000.00</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18,292.16%</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2" w:right="70"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5"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027"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pacing w:val="-8"/>
                <w:sz w:val="18"/>
                <w:szCs w:val="18"/>
              </w:rPr>
              <w:t>上海明月光学有限公司（现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已更名为光环新网（上海）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信息服务有限公司）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100.00%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13"/>
                <w:sz w:val="18"/>
                <w:szCs w:val="18"/>
              </w:rPr>
              <w:t>募投资金、自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-359,910.82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pStyle w:val="BodyText"/>
        <w:spacing w:line="240" w:lineRule="auto" w:before="49"/>
        <w:ind w:right="-17"/>
        <w:jc w:val="left"/>
      </w:pPr>
      <w:r>
        <w:rPr/>
        <w:pict>
          <v:group style="position:absolute;margin-left:163.580002pt;margin-top:-36.35828pt;width:84.9pt;height:20.8pt;mso-position-horizontal-relative:page;mso-position-vertical-relative:paragraph;z-index:-1029400" coordorigin="3272,-727" coordsize="1698,416">
            <v:group style="position:absolute;left:3284;top:-715;width:2;height:392" coordorigin="3284,-715" coordsize="2,392">
              <v:shape style="position:absolute;left:3284;top:-715;width:2;height:392" coordorigin="3284,-715" coordsize="0,392" path="m3284,-715l3284,-324e" filled="false" stroked="true" strokeweight="1.2pt" strokecolor="#ffffff">
                <v:path arrowok="t"/>
              </v:shape>
            </v:group>
            <v:group style="position:absolute;left:3296;top:-715;width:1674;height:392" coordorigin="3296,-715" coordsize="1674,392">
              <v:shape style="position:absolute;left:3296;top:-715;width:1674;height:392" coordorigin="3296,-715" coordsize="1674,392" path="m3296,-324l4969,-324,4969,-715,3296,-715,3296,-324xe" filled="true" fillcolor="#ffffff" stroked="false">
                <v:path arrowok="t"/>
                <v:fill type="solid"/>
              </v:shape>
            </v:group>
            <w10:wrap type="none"/>
          </v:group>
        </w:pict>
      </w:r>
      <w:r>
        <w:rPr>
          <w:rFonts w:ascii="Times New Roman" w:hAnsi="Times New Roman" w:cs="Times New Roman" w:eastAsia="Times New Roman" w:hint="default"/>
        </w:rPr>
        <w:t>2</w:t>
      </w:r>
      <w:r>
        <w:rPr/>
        <w:t>）募集资金使用情况</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7"/>
        <w:jc w:val="left"/>
      </w:pPr>
      <w:r>
        <w:rPr>
          <w:rFonts w:ascii="Times New Roman" w:hAnsi="Times New Roman" w:cs="Times New Roman" w:eastAsia="Times New Roman" w:hint="default"/>
        </w:rPr>
        <w:t>1.</w:t>
      </w:r>
      <w:r>
        <w:rPr/>
        <w:t>募集资金总体使用情况</w:t>
      </w:r>
    </w:p>
    <w:p>
      <w:pPr>
        <w:pStyle w:val="BodyText"/>
        <w:spacing w:line="240" w:lineRule="auto" w:before="10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980"/>
          <w:cols w:num="2" w:equalWidth="0">
            <w:col w:w="2091" w:space="6650"/>
            <w:col w:w="120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0"/>
        <w:ind w:left="0" w:right="160"/>
        <w:jc w:val="right"/>
      </w:pPr>
      <w:r>
        <w:rPr/>
        <w:pict>
          <v:shape style="position:absolute;margin-left:56.400002pt;margin-top:-161.228287pt;width:479.3pt;height:247.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31,080.83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14,487.92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25,112.04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9,038.84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9,038.84</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29.08%</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12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日，公司实际使用募集资金投入募投项目共计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25,112.04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万元。其中各募投项目进展情况如下：</w:t>
                        </w:r>
                      </w:p>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互联网数据服务一体化平台二期工程项目总投资</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截至报告期末累计投入</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投入进度</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76</w:t>
                        </w:r>
                        <w:r>
                          <w:rPr>
                            <w:rFonts w:ascii="Times New Roman" w:hAnsi="Times New Roman" w:cs="Times New Roman" w:eastAsia="Times New Roman" w:hint="default"/>
                            <w:sz w:val="18"/>
                            <w:szCs w:val="18"/>
                          </w:rPr>
                          <w:t>%</w:t>
                        </w: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、宽带接入服务拓展项目总投资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万元，截至报告期末累计投入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万元，投入进度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pStyle w:val="TableParagraph"/>
                          <w:spacing w:line="300" w:lineRule="auto" w:before="10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、上海明月光学有限公司（现已更名为光环新网（上海）信息服务有限公司）股权收购项目总投资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9,038.84 </w:t>
                        </w:r>
                        <w:r>
                          <w:rPr>
                            <w:rFonts w:ascii="宋体" w:hAnsi="宋体" w:cs="宋体" w:eastAsia="宋体" w:hint="default"/>
                            <w:sz w:val="18"/>
                            <w:szCs w:val="18"/>
                          </w:rPr>
                          <w:t>万元，截至 报告期末累计投入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8,911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万元，投入进度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98.59%</w:t>
                        </w:r>
                        <w:r>
                          <w:rPr>
                            <w:rFonts w:ascii="宋体" w:hAnsi="宋体" w:cs="宋体" w:eastAsia="宋体" w:hint="default"/>
                            <w:sz w:val="18"/>
                            <w:szCs w:val="18"/>
                          </w:rPr>
                          <w:t>。</w:t>
                        </w:r>
                      </w:p>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、互联网技术研发中心扩建总投资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万元，截至报告期末累计投入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万元，投入进度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34.32%</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980" w:right="980"/>
        </w:sectPr>
      </w:pPr>
    </w:p>
    <w:p>
      <w:pPr>
        <w:pStyle w:val="BodyText"/>
        <w:spacing w:line="240" w:lineRule="auto" w:before="44"/>
        <w:ind w:right="-17"/>
        <w:jc w:val="left"/>
      </w:pPr>
      <w:r>
        <w:rPr>
          <w:rFonts w:ascii="Times New Roman" w:hAnsi="Times New Roman" w:cs="Times New Roman" w:eastAsia="Times New Roman" w:hint="default"/>
        </w:rPr>
        <w:t>2.</w:t>
      </w:r>
      <w:r>
        <w:rPr/>
        <w:t>募集资金承诺项目情况</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980"/>
          <w:cols w:num="2" w:equalWidth="0">
            <w:col w:w="2091" w:space="6650"/>
            <w:col w:w="1209"/>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16"/>
        <w:gridCol w:w="694"/>
        <w:gridCol w:w="767"/>
        <w:gridCol w:w="720"/>
        <w:gridCol w:w="720"/>
        <w:gridCol w:w="723"/>
        <w:gridCol w:w="722"/>
        <w:gridCol w:w="720"/>
        <w:gridCol w:w="722"/>
        <w:gridCol w:w="723"/>
        <w:gridCol w:w="722"/>
        <w:gridCol w:w="722"/>
      </w:tblGrid>
      <w:tr>
        <w:trPr>
          <w:trHeight w:val="1650"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361" w:right="75"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75" w:right="6"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30" w:right="8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41"/>
              <w:jc w:val="left"/>
              <w:rPr>
                <w:rFonts w:ascii="宋体" w:hAnsi="宋体" w:cs="宋体" w:eastAsia="宋体" w:hint="default"/>
                <w:sz w:val="18"/>
                <w:szCs w:val="18"/>
              </w:rPr>
            </w:pPr>
            <w:r>
              <w:rPr>
                <w:rFonts w:ascii="宋体" w:hAnsi="宋体" w:cs="宋体" w:eastAsia="宋体" w:hint="default"/>
                <w:sz w:val="18"/>
                <w:szCs w:val="18"/>
              </w:rPr>
              <w:t>互联网数据服务一 体化平台二期工程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18,629.2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18,629.2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4,047.96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14,672.0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78.76%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7,399.93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10,213.3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8"/>
              <w:jc w:val="center"/>
              <w:rPr>
                <w:rFonts w:ascii="宋体" w:hAnsi="宋体" w:cs="宋体" w:eastAsia="宋体" w:hint="default"/>
                <w:sz w:val="18"/>
                <w:szCs w:val="18"/>
              </w:rPr>
            </w:pPr>
            <w:r>
              <w:rPr>
                <w:rFonts w:ascii="宋体" w:hAnsi="宋体" w:cs="宋体" w:eastAsia="宋体" w:hint="default"/>
                <w:sz w:val="18"/>
                <w:szCs w:val="18"/>
              </w:rPr>
              <w:t>宽带接入服务拓展</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547.16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7,003.76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7,003.76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上海明月光学有限 </w:t>
            </w:r>
            <w:r>
              <w:rPr>
                <w:rFonts w:ascii="宋体" w:hAnsi="宋体" w:cs="宋体" w:eastAsia="宋体" w:hint="default"/>
                <w:spacing w:val="-9"/>
                <w:sz w:val="18"/>
                <w:szCs w:val="18"/>
              </w:rPr>
              <w:t>公司（现已更名为光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环新网（上海）信息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服务有限公司）股权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收购</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9,038.84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9,038.84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8,911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8,911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41"/>
              <w:jc w:val="left"/>
              <w:rPr>
                <w:rFonts w:ascii="宋体" w:hAnsi="宋体" w:cs="宋体" w:eastAsia="宋体" w:hint="default"/>
                <w:sz w:val="18"/>
                <w:szCs w:val="18"/>
              </w:rPr>
            </w:pPr>
            <w:r>
              <w:rPr>
                <w:rFonts w:ascii="宋体" w:hAnsi="宋体" w:cs="宋体" w:eastAsia="宋体" w:hint="default"/>
                <w:sz w:val="18"/>
                <w:szCs w:val="18"/>
              </w:rPr>
              <w:t>互联网技术研发中 心扩建</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981.8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31,076.2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31,076.2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14,487.9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w:t>
            </w:r>
          </w:p>
        </w:tc>
        <w:tc>
          <w:tcPr>
            <w:tcW w:w="723" w:type="dxa"/>
            <w:vMerge w:val="restart"/>
            <w:tcBorders>
              <w:top w:val="single" w:sz="4" w:space="0" w:color="000000"/>
              <w:left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25,112.0</w:t>
            </w: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14,403.6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c>
          <w:tcPr>
            <w:tcW w:w="723" w:type="dxa"/>
            <w:vMerge w:val="restart"/>
            <w:tcBorders>
              <w:top w:val="single" w:sz="4" w:space="0" w:color="000000"/>
              <w:left w:val="single" w:sz="4" w:space="0" w:color="000000"/>
              <w:right w:val="single" w:sz="10"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z w:val="18"/>
              </w:rPr>
              <w:t>17,217.1</w:t>
            </w:r>
          </w:p>
          <w:p>
            <w:pPr>
              <w:pStyle w:val="TableParagraph"/>
              <w:spacing w:line="240" w:lineRule="auto" w:before="103"/>
              <w:ind w:right="13"/>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8"/>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5"/>
              <w:jc w:val="center"/>
              <w:rPr>
                <w:rFonts w:ascii="Times New Roman" w:hAnsi="Times New Roman" w:cs="Times New Roman" w:eastAsia="Times New Roman" w:hint="default"/>
                <w:sz w:val="18"/>
                <w:szCs w:val="18"/>
              </w:rPr>
            </w:pPr>
            <w:r>
              <w:rPr>
                <w:rFonts w:ascii="Times New Roman"/>
                <w:sz w:val="18"/>
              </w:rPr>
              <w:t>--</w:t>
            </w:r>
          </w:p>
        </w:tc>
        <w:tc>
          <w:tcPr>
            <w:tcW w:w="767" w:type="dxa"/>
            <w:vMerge/>
            <w:tcBorders>
              <w:left w:val="single" w:sz="9"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3" w:type="dxa"/>
            <w:vMerge/>
            <w:tcBorders>
              <w:left w:val="single" w:sz="4" w:space="0" w:color="000000"/>
              <w:right w:val="single" w:sz="10"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10" w:space="0" w:color="D2D2D2"/>
              <w:right w:val="single" w:sz="4" w:space="0" w:color="000000"/>
            </w:tcBorders>
          </w:tcPr>
          <w:p>
            <w:pPr/>
          </w:p>
        </w:tc>
        <w:tc>
          <w:tcPr>
            <w:tcW w:w="723" w:type="dxa"/>
            <w:vMerge/>
            <w:tcBorders>
              <w:left w:val="single" w:sz="4" w:space="0" w:color="000000"/>
              <w:right w:val="single" w:sz="10"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vMerge/>
            <w:tcBorders>
              <w:left w:val="single" w:sz="9"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10"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10" w:space="0" w:color="D2D2D2"/>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10"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4pt;height:690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2"/>
                    <w:gridCol w:w="712"/>
                    <w:gridCol w:w="734"/>
                    <w:gridCol w:w="720"/>
                    <w:gridCol w:w="720"/>
                    <w:gridCol w:w="673"/>
                    <w:gridCol w:w="772"/>
                    <w:gridCol w:w="720"/>
                    <w:gridCol w:w="722"/>
                    <w:gridCol w:w="723"/>
                    <w:gridCol w:w="722"/>
                    <w:gridCol w:w="722"/>
                  </w:tblGrid>
                  <w:tr>
                    <w:trPr>
                      <w:trHeight w:val="401"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w:t>
                        </w:r>
                      </w:p>
                    </w:tc>
                    <w:tc>
                      <w:tcPr>
                        <w:tcW w:w="72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81"/>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w:t>
                        </w:r>
                      </w:p>
                    </w:tc>
                    <w:tc>
                      <w:tcPr>
                        <w:tcW w:w="72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vMerge w:val="restart"/>
                        <w:tcBorders>
                          <w:top w:val="single" w:sz="4" w:space="0" w:color="000000"/>
                          <w:left w:val="single" w:sz="10"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31,080.8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25,112.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23"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17,217.1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1"/>
                          <w:jc w:val="right"/>
                          <w:rPr>
                            <w:rFonts w:ascii="Times New Roman" w:hAnsi="Times New Roman" w:cs="Times New Roman" w:eastAsia="Times New Roman" w:hint="default"/>
                            <w:sz w:val="18"/>
                            <w:szCs w:val="18"/>
                          </w:rPr>
                        </w:pPr>
                        <w:r>
                          <w:rPr>
                            <w:rFonts w:ascii="Times New Roman"/>
                            <w:sz w:val="18"/>
                          </w:rPr>
                          <w:t>--</w:t>
                        </w:r>
                      </w:p>
                    </w:tc>
                    <w:tc>
                      <w:tcPr>
                        <w:tcW w:w="734" w:type="dxa"/>
                        <w:vMerge/>
                        <w:tcBorders>
                          <w:left w:val="single" w:sz="10"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3" w:type="dxa"/>
                        <w:vMerge/>
                        <w:tcBorders>
                          <w:left w:val="single" w:sz="4" w:space="0" w:color="000000"/>
                          <w:right w:val="single" w:sz="4" w:space="0" w:color="000000"/>
                        </w:tcBorders>
                      </w:tcPr>
                      <w:p>
                        <w:pPr/>
                      </w:p>
                    </w:tc>
                    <w:tc>
                      <w:tcPr>
                        <w:tcW w:w="772"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61"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772"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806" w:hRule="exact"/>
                    </w:trPr>
                    <w:tc>
                      <w:tcPr>
                        <w:tcW w:w="1632" w:type="dxa"/>
                        <w:tcBorders>
                          <w:top w:val="single" w:sz="4" w:space="0" w:color="000000"/>
                          <w:left w:val="single" w:sz="4" w:space="0" w:color="000000"/>
                          <w:bottom w:val="nil" w:sz="6" w:space="0" w:color="auto"/>
                          <w:right w:val="single" w:sz="14" w:space="0" w:color="FFFFFF"/>
                        </w:tcBorders>
                        <w:shd w:val="clear" w:color="auto" w:fill="D2D2D2"/>
                      </w:tcPr>
                      <w:p>
                        <w:pPr/>
                      </w:p>
                    </w:tc>
                    <w:tc>
                      <w:tcPr>
                        <w:tcW w:w="7941" w:type="dxa"/>
                        <w:gridSpan w:val="11"/>
                        <w:vMerge w:val="restart"/>
                        <w:tcBorders>
                          <w:top w:val="single" w:sz="4" w:space="0" w:color="000000"/>
                          <w:left w:val="single" w:sz="23" w:space="0" w:color="FFFFFF"/>
                          <w:right w:val="single" w:sz="4" w:space="0" w:color="000000"/>
                        </w:tcBorders>
                      </w:tcPr>
                      <w:p>
                        <w:pPr>
                          <w:pStyle w:val="TableParagraph"/>
                          <w:spacing w:line="314" w:lineRule="auto" w:before="51"/>
                          <w:ind w:left="2" w:right="17"/>
                          <w:jc w:val="both"/>
                          <w:rPr>
                            <w:rFonts w:ascii="宋体" w:hAnsi="宋体" w:cs="宋体" w:eastAsia="宋体" w:hint="default"/>
                            <w:sz w:val="18"/>
                            <w:szCs w:val="18"/>
                          </w:rPr>
                        </w:pPr>
                        <w:r>
                          <w:rPr>
                            <w:rFonts w:ascii="宋体" w:hAnsi="宋体" w:cs="宋体" w:eastAsia="宋体" w:hint="default"/>
                            <w:spacing w:val="-1"/>
                            <w:sz w:val="18"/>
                            <w:szCs w:val="18"/>
                          </w:rPr>
                          <w:t>报告期内，公司对城域网进行了部分升级改造，对重要核心路由设备及主干网络进行了必要的更新改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造，从而提高了公司宽带接入服务质量，宽带接入业务实现收入</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7,003.76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万元。因宽带接入服务拓展</w:t>
                        </w:r>
                      </w:p>
                      <w:p>
                        <w:pPr>
                          <w:pStyle w:val="TableParagraph"/>
                          <w:spacing w:line="307" w:lineRule="auto" w:before="1"/>
                          <w:ind w:left="2" w:right="20"/>
                          <w:jc w:val="both"/>
                          <w:rPr>
                            <w:rFonts w:ascii="宋体" w:hAnsi="宋体" w:cs="宋体" w:eastAsia="宋体" w:hint="default"/>
                            <w:sz w:val="18"/>
                            <w:szCs w:val="18"/>
                          </w:rPr>
                        </w:pPr>
                        <w:r>
                          <w:rPr>
                            <w:rFonts w:ascii="宋体" w:hAnsi="宋体" w:cs="宋体" w:eastAsia="宋体" w:hint="default"/>
                            <w:sz w:val="18"/>
                            <w:szCs w:val="18"/>
                          </w:rPr>
                          <w:t>项目的制定时间较早，近几年市场环境发生较大变化，经第二届董事会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年第八次董事会和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年第二次临时股东大会审议通过，同意公司终止“宽带接入服务拓展项目”，变更该项目募集资金投</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向收购上海明月光学有限公司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股权。股权转让完成后，明月光学成为公司的全资子公司，负责 实施上海嘉定绿色云计算基地项目。截至报告期末，公司已支付收购款项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8,911.00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316" w:lineRule="auto" w:before="48"/>
                          <w:ind w:left="2" w:right="20"/>
                          <w:jc w:val="both"/>
                          <w:rPr>
                            <w:rFonts w:ascii="宋体" w:hAnsi="宋体" w:cs="宋体" w:eastAsia="宋体" w:hint="default"/>
                            <w:sz w:val="18"/>
                            <w:szCs w:val="18"/>
                          </w:rPr>
                        </w:pPr>
                        <w:r>
                          <w:rPr>
                            <w:rFonts w:ascii="宋体" w:hAnsi="宋体" w:cs="宋体" w:eastAsia="宋体" w:hint="default"/>
                            <w:spacing w:val="-1"/>
                            <w:sz w:val="18"/>
                            <w:szCs w:val="18"/>
                          </w:rPr>
                          <w:t>报告期内，公司积极推进互联网技术研发中心扩建项目和互联网数据服务一体化平台二期工程未尽项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目的建设，预计该项目将于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日完工并投入使用。</w:t>
                        </w:r>
                      </w:p>
                    </w:tc>
                  </w:tr>
                  <w:tr>
                    <w:trPr>
                      <w:trHeight w:val="1015" w:hRule="exact"/>
                    </w:trPr>
                    <w:tc>
                      <w:tcPr>
                        <w:tcW w:w="1632" w:type="dxa"/>
                        <w:tcBorders>
                          <w:top w:val="nil" w:sz="6" w:space="0" w:color="auto"/>
                          <w:left w:val="single" w:sz="4" w:space="0" w:color="000000"/>
                          <w:bottom w:val="nil" w:sz="6" w:space="0" w:color="auto"/>
                          <w:right w:val="single" w:sz="14" w:space="0" w:color="FFFFFF"/>
                        </w:tcBorders>
                        <w:shd w:val="clear" w:color="auto" w:fill="D2D2D2"/>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41" w:type="dxa"/>
                        <w:gridSpan w:val="11"/>
                        <w:vMerge/>
                        <w:tcBorders>
                          <w:left w:val="single" w:sz="23" w:space="0" w:color="FFFFFF"/>
                          <w:right w:val="single" w:sz="4" w:space="0" w:color="000000"/>
                        </w:tcBorders>
                      </w:tcPr>
                      <w:p>
                        <w:pPr/>
                      </w:p>
                    </w:tc>
                  </w:tr>
                  <w:tr>
                    <w:trPr>
                      <w:trHeight w:val="807" w:hRule="exact"/>
                    </w:trPr>
                    <w:tc>
                      <w:tcPr>
                        <w:tcW w:w="1632" w:type="dxa"/>
                        <w:tcBorders>
                          <w:top w:val="nil" w:sz="6" w:space="0" w:color="auto"/>
                          <w:left w:val="single" w:sz="4" w:space="0" w:color="000000"/>
                          <w:bottom w:val="single" w:sz="4" w:space="0" w:color="000000"/>
                          <w:right w:val="single" w:sz="14" w:space="0" w:color="FFFFFF"/>
                        </w:tcBorders>
                        <w:shd w:val="clear" w:color="auto" w:fill="D2D2D2"/>
                      </w:tcPr>
                      <w:p>
                        <w:pPr/>
                      </w:p>
                    </w:tc>
                    <w:tc>
                      <w:tcPr>
                        <w:tcW w:w="7941" w:type="dxa"/>
                        <w:gridSpan w:val="11"/>
                        <w:vMerge/>
                        <w:tcBorders>
                          <w:left w:val="single" w:sz="23" w:space="0" w:color="FFFFFF"/>
                          <w:bottom w:val="single" w:sz="4" w:space="0" w:color="000000"/>
                          <w:right w:val="single" w:sz="4" w:space="0" w:color="000000"/>
                        </w:tcBorders>
                      </w:tcPr>
                      <w:p>
                        <w:pPr/>
                      </w:p>
                    </w:tc>
                  </w:tr>
                  <w:tr>
                    <w:trPr>
                      <w:trHeight w:val="941"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1" w:type="dxa"/>
                        <w:gridSpan w:val="11"/>
                        <w:vMerge w:val="restart"/>
                        <w:tcBorders>
                          <w:top w:val="single" w:sz="4" w:space="0" w:color="000000"/>
                          <w:left w:val="single" w:sz="10" w:space="0" w:color="D2D2D2"/>
                          <w:right w:val="single" w:sz="4" w:space="0" w:color="000000"/>
                        </w:tcBorders>
                      </w:tcPr>
                      <w:p>
                        <w:pPr>
                          <w:pStyle w:val="TableParagraph"/>
                          <w:spacing w:line="300" w:lineRule="auto" w:before="49"/>
                          <w:ind w:left="19" w:right="19"/>
                          <w:jc w:val="left"/>
                          <w:rPr>
                            <w:rFonts w:ascii="宋体" w:hAnsi="宋体" w:cs="宋体" w:eastAsia="宋体" w:hint="default"/>
                            <w:sz w:val="18"/>
                            <w:szCs w:val="18"/>
                          </w:rPr>
                        </w:pPr>
                        <w:r>
                          <w:rPr>
                            <w:rFonts w:ascii="宋体" w:hAnsi="宋体" w:cs="宋体" w:eastAsia="宋体" w:hint="default"/>
                            <w:sz w:val="18"/>
                            <w:szCs w:val="18"/>
                          </w:rPr>
                          <w:t>为顺应</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迅速发展的市场行情，抓住云计算、大数据的发展契机，落实公司战略发展布局，经公司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年第八次董事会和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年第二次临时股东大会审议通过，同意公司终止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宽带接 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，变更该项目募集资金投向收购上海明月光学有限公司（现已更名为光环新网（上 海）信息服务有限公司）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股权。股权转让完成后，明月光学成为公司的全资子公司，负责实施 上海嘉定绿色云计算基地项目。截至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日，原</w:t>
                        </w:r>
                        <w:r>
                          <w:rPr>
                            <w:rFonts w:ascii="Times New Roman" w:hAnsi="Times New Roman" w:cs="Times New Roman" w:eastAsia="Times New Roman" w:hint="default"/>
                            <w:sz w:val="18"/>
                            <w:szCs w:val="18"/>
                          </w:rPr>
                          <w:t>“</w:t>
                        </w:r>
                        <w:r>
                          <w:rPr>
                            <w:rFonts w:ascii="宋体" w:hAnsi="宋体" w:cs="宋体" w:eastAsia="宋体" w:hint="default"/>
                            <w:sz w:val="18"/>
                            <w:szCs w:val="18"/>
                          </w:rPr>
                          <w:t>宽带接入服务拓展项目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剩余募集资金</w:t>
                        </w:r>
                      </w:p>
                      <w:p>
                        <w:pPr>
                          <w:pStyle w:val="TableParagraph"/>
                          <w:spacing w:line="240" w:lineRule="auto" w:before="1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90,388,396.40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元，账户净损益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902,661.40 </w:t>
                        </w:r>
                        <w:r>
                          <w:rPr>
                            <w:rFonts w:ascii="宋体" w:hAnsi="宋体" w:cs="宋体" w:eastAsia="宋体" w:hint="default"/>
                            <w:spacing w:val="-13"/>
                            <w:sz w:val="18"/>
                            <w:szCs w:val="18"/>
                          </w:rPr>
                          <w:t>元，合计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91,291,057.80 </w:t>
                        </w:r>
                        <w:r>
                          <w:rPr>
                            <w:rFonts w:ascii="宋体" w:hAnsi="宋体" w:cs="宋体" w:eastAsia="宋体" w:hint="default"/>
                            <w:sz w:val="18"/>
                            <w:szCs w:val="18"/>
                          </w:rPr>
                          <w:t>元全部用于收购明月光学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pStyle w:val="TableParagraph"/>
                          <w:spacing w:line="300" w:lineRule="auto" w:before="63"/>
                          <w:ind w:left="19" w:right="20"/>
                          <w:jc w:val="left"/>
                          <w:rPr>
                            <w:rFonts w:ascii="宋体" w:hAnsi="宋体" w:cs="宋体" w:eastAsia="宋体" w:hint="default"/>
                            <w:sz w:val="18"/>
                            <w:szCs w:val="18"/>
                          </w:rPr>
                        </w:pPr>
                        <w:r>
                          <w:rPr>
                            <w:rFonts w:ascii="宋体" w:hAnsi="宋体" w:cs="宋体" w:eastAsia="宋体" w:hint="default"/>
                            <w:sz w:val="18"/>
                            <w:szCs w:val="18"/>
                          </w:rPr>
                          <w:t>截至报告期末，公司已支付收购款项</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8,911.00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万元。上海嘉定绿色云计算基地项目目前正处于筹建阶 段。</w:t>
                        </w:r>
                      </w:p>
                    </w:tc>
                  </w:tr>
                  <w:tr>
                    <w:trPr>
                      <w:trHeight w:val="703"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41" w:type="dxa"/>
                        <w:gridSpan w:val="11"/>
                        <w:vMerge/>
                        <w:tcBorders>
                          <w:left w:val="single" w:sz="10" w:space="0" w:color="D2D2D2"/>
                          <w:right w:val="single" w:sz="4" w:space="0" w:color="000000"/>
                        </w:tcBorders>
                      </w:tcPr>
                      <w:p>
                        <w:pPr/>
                      </w:p>
                    </w:tc>
                  </w:tr>
                  <w:tr>
                    <w:trPr>
                      <w:trHeight w:val="941"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1" w:type="dxa"/>
                        <w:gridSpan w:val="11"/>
                        <w:vMerge/>
                        <w:tcBorders>
                          <w:left w:val="single" w:sz="10" w:space="0" w:color="D2D2D2"/>
                          <w:bottom w:val="single" w:sz="4" w:space="0" w:color="000000"/>
                          <w:right w:val="single" w:sz="4" w:space="0" w:color="000000"/>
                        </w:tcBorders>
                      </w:tcPr>
                      <w:p>
                        <w:pPr/>
                      </w:p>
                    </w:tc>
                  </w:tr>
                  <w:tr>
                    <w:trPr>
                      <w:trHeight w:val="403" w:hRule="exact"/>
                    </w:trPr>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1"/>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41"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7941"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超募资金 </w:t>
                        </w:r>
                        <w:r>
                          <w:rPr>
                            <w:rFonts w:ascii="Times New Roman" w:hAnsi="Times New Roman" w:cs="Times New Roman" w:eastAsia="Times New Roman" w:hint="default"/>
                            <w:sz w:val="18"/>
                            <w:szCs w:val="18"/>
                          </w:rPr>
                          <w:t>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万元，用于补充公司流动资金，截至报告期末暂未使用。</w:t>
                        </w:r>
                      </w:p>
                    </w:tc>
                  </w:tr>
                  <w:tr>
                    <w:trPr>
                      <w:trHeight w:val="252"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1"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3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41" w:type="dxa"/>
                        <w:gridSpan w:val="11"/>
                        <w:vMerge/>
                        <w:tcBorders>
                          <w:left w:val="single" w:sz="10" w:space="0" w:color="D2D2D2"/>
                          <w:bottom w:val="single" w:sz="4" w:space="0" w:color="000000"/>
                          <w:right w:val="single" w:sz="4" w:space="0" w:color="000000"/>
                        </w:tcBorders>
                      </w:tcPr>
                      <w:p>
                        <w:pPr/>
                      </w:p>
                    </w:tc>
                  </w:tr>
                  <w:tr>
                    <w:trPr>
                      <w:trHeight w:val="401" w:hRule="exact"/>
                    </w:trPr>
                    <w:tc>
                      <w:tcPr>
                        <w:tcW w:w="1632" w:type="dxa"/>
                        <w:vMerge/>
                        <w:tcBorders>
                          <w:left w:val="single" w:sz="4" w:space="0" w:color="000000"/>
                          <w:right w:val="single" w:sz="4" w:space="0" w:color="000000"/>
                        </w:tcBorders>
                        <w:shd w:val="clear" w:color="auto" w:fill="D2D2D2"/>
                      </w:tcPr>
                      <w:p>
                        <w:pPr/>
                      </w:p>
                    </w:tc>
                    <w:tc>
                      <w:tcPr>
                        <w:tcW w:w="7941" w:type="dxa"/>
                        <w:gridSpan w:val="11"/>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632" w:type="dxa"/>
                        <w:vMerge/>
                        <w:tcBorders>
                          <w:left w:val="single" w:sz="4" w:space="0" w:color="000000"/>
                          <w:bottom w:val="nil" w:sz="6" w:space="0" w:color="auto"/>
                          <w:right w:val="single" w:sz="4" w:space="0" w:color="000000"/>
                        </w:tcBorders>
                        <w:shd w:val="clear" w:color="auto" w:fill="D2D2D2"/>
                      </w:tcPr>
                      <w:p>
                        <w:pPr/>
                      </w:p>
                    </w:tc>
                    <w:tc>
                      <w:tcPr>
                        <w:tcW w:w="7941" w:type="dxa"/>
                        <w:gridSpan w:val="11"/>
                        <w:vMerge w:val="restart"/>
                        <w:tcBorders>
                          <w:top w:val="single" w:sz="4" w:space="0" w:color="000000"/>
                          <w:left w:val="single" w:sz="10" w:space="0" w:color="D2D2D2"/>
                          <w:right w:val="single" w:sz="4" w:space="0" w:color="000000"/>
                        </w:tcBorders>
                      </w:tcPr>
                      <w:p>
                        <w:pPr/>
                      </w:p>
                    </w:tc>
                  </w:tr>
                  <w:tr>
                    <w:trPr>
                      <w:trHeight w:val="252"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1" w:type="dxa"/>
                        <w:gridSpan w:val="11"/>
                        <w:vMerge/>
                        <w:tcBorders>
                          <w:left w:val="single" w:sz="10" w:space="0" w:color="D2D2D2"/>
                          <w:bottom w:val="single" w:sz="4" w:space="0" w:color="000000"/>
                          <w:right w:val="single" w:sz="4" w:space="0" w:color="000000"/>
                        </w:tcBorders>
                      </w:tcPr>
                      <w:p>
                        <w:pPr/>
                      </w:p>
                    </w:tc>
                  </w:tr>
                  <w:tr>
                    <w:trPr>
                      <w:trHeight w:val="250"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1"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41" w:type="dxa"/>
                        <w:gridSpan w:val="11"/>
                        <w:vMerge/>
                        <w:tcBorders>
                          <w:left w:val="single" w:sz="10" w:space="0" w:color="D2D2D2"/>
                          <w:bottom w:val="single" w:sz="4" w:space="0" w:color="000000"/>
                          <w:right w:val="single" w:sz="4" w:space="0" w:color="000000"/>
                        </w:tcBorders>
                      </w:tcPr>
                      <w:p>
                        <w:pPr/>
                      </w:p>
                    </w:tc>
                  </w:tr>
                  <w:tr>
                    <w:trPr>
                      <w:trHeight w:val="403" w:hRule="exact"/>
                    </w:trPr>
                    <w:tc>
                      <w:tcPr>
                        <w:tcW w:w="1632" w:type="dxa"/>
                        <w:vMerge/>
                        <w:tcBorders>
                          <w:left w:val="single" w:sz="4" w:space="0" w:color="000000"/>
                          <w:right w:val="single" w:sz="4" w:space="0" w:color="000000"/>
                        </w:tcBorders>
                        <w:shd w:val="clear" w:color="auto" w:fill="D2D2D2"/>
                      </w:tcPr>
                      <w:p>
                        <w:pPr/>
                      </w:p>
                    </w:tc>
                    <w:tc>
                      <w:tcPr>
                        <w:tcW w:w="7941" w:type="dxa"/>
                        <w:gridSpan w:val="11"/>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632" w:type="dxa"/>
                        <w:vMerge/>
                        <w:tcBorders>
                          <w:left w:val="single" w:sz="4" w:space="0" w:color="000000"/>
                          <w:bottom w:val="nil" w:sz="6" w:space="0" w:color="auto"/>
                          <w:right w:val="single" w:sz="4" w:space="0" w:color="000000"/>
                        </w:tcBorders>
                        <w:shd w:val="clear" w:color="auto" w:fill="D2D2D2"/>
                      </w:tcPr>
                      <w:p>
                        <w:pPr/>
                      </w:p>
                    </w:tc>
                    <w:tc>
                      <w:tcPr>
                        <w:tcW w:w="7941" w:type="dxa"/>
                        <w:gridSpan w:val="11"/>
                        <w:vMerge w:val="restart"/>
                        <w:tcBorders>
                          <w:top w:val="single" w:sz="4" w:space="0" w:color="000000"/>
                          <w:left w:val="single" w:sz="10" w:space="0" w:color="D2D2D2"/>
                          <w:right w:val="single" w:sz="4" w:space="0" w:color="000000"/>
                        </w:tcBorders>
                      </w:tcPr>
                      <w:p>
                        <w:pPr/>
                      </w:p>
                    </w:tc>
                  </w:tr>
                  <w:tr>
                    <w:trPr>
                      <w:trHeight w:val="250"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1" w:type="dxa"/>
                        <w:gridSpan w:val="11"/>
                        <w:vMerge/>
                        <w:tcBorders>
                          <w:left w:val="single" w:sz="10" w:space="0" w:color="D2D2D2"/>
                          <w:bottom w:val="single" w:sz="4" w:space="0" w:color="000000"/>
                          <w:right w:val="single" w:sz="4" w:space="0" w:color="000000"/>
                        </w:tcBorders>
                      </w:tcPr>
                      <w:p>
                        <w:pPr/>
                      </w:p>
                    </w:tc>
                  </w:tr>
                  <w:tr>
                    <w:trPr>
                      <w:trHeight w:val="207"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1"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16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41" w:type="dxa"/>
                        <w:gridSpan w:val="11"/>
                        <w:vMerge/>
                        <w:tcBorders>
                          <w:left w:val="single" w:sz="10" w:space="0" w:color="D2D2D2"/>
                          <w:bottom w:val="single" w:sz="4" w:space="0" w:color="000000"/>
                          <w:right w:val="single" w:sz="4" w:space="0" w:color="000000"/>
                        </w:tcBorders>
                      </w:tcPr>
                      <w:p>
                        <w:pPr/>
                      </w:p>
                    </w:tc>
                  </w:tr>
                  <w:tr>
                    <w:trPr>
                      <w:trHeight w:val="818" w:hRule="exact"/>
                    </w:trPr>
                    <w:tc>
                      <w:tcPr>
                        <w:tcW w:w="1632" w:type="dxa"/>
                        <w:vMerge/>
                        <w:tcBorders>
                          <w:left w:val="single" w:sz="4" w:space="0" w:color="000000"/>
                          <w:bottom w:val="nil" w:sz="6" w:space="0" w:color="auto"/>
                          <w:right w:val="single" w:sz="4" w:space="0" w:color="000000"/>
                        </w:tcBorders>
                        <w:shd w:val="clear" w:color="auto" w:fill="D2D2D2"/>
                      </w:tcPr>
                      <w:p>
                        <w:pPr/>
                      </w:p>
                    </w:tc>
                    <w:tc>
                      <w:tcPr>
                        <w:tcW w:w="7941"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日，公司第二届董事会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年第三次会议和第二届监事会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年第一次会议审议通</w:t>
                        </w:r>
                      </w:p>
                      <w:p>
                        <w:pPr>
                          <w:pStyle w:val="TableParagraph"/>
                          <w:spacing w:line="240" w:lineRule="auto" w:before="60"/>
                          <w:ind w:left="19" w:right="0"/>
                          <w:jc w:val="left"/>
                          <w:rPr>
                            <w:rFonts w:ascii="宋体" w:hAnsi="宋体" w:cs="宋体" w:eastAsia="宋体" w:hint="default"/>
                            <w:sz w:val="18"/>
                            <w:szCs w:val="18"/>
                          </w:rPr>
                        </w:pPr>
                        <w:r>
                          <w:rPr>
                            <w:rFonts w:ascii="宋体" w:hAnsi="宋体" w:cs="宋体" w:eastAsia="宋体" w:hint="default"/>
                            <w:sz w:val="18"/>
                            <w:szCs w:val="18"/>
                          </w:rPr>
                          <w:t>过，并经独立董事发表独立意见，同意公司使用募集资金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106,241,143.30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元置换预先已投入募集资金</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106,241,143.30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日实施完毕。</w:t>
                        </w:r>
                      </w:p>
                    </w:tc>
                  </w:tr>
                  <w:tr>
                    <w:trPr>
                      <w:trHeight w:val="206"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1" w:type="dxa"/>
                        <w:gridSpan w:val="11"/>
                        <w:vMerge/>
                        <w:tcBorders>
                          <w:left w:val="single" w:sz="10" w:space="0" w:color="D2D2D2"/>
                          <w:bottom w:val="single" w:sz="4" w:space="0" w:color="000000"/>
                          <w:right w:val="single" w:sz="4" w:space="0" w:color="000000"/>
                        </w:tcBorders>
                      </w:tcPr>
                      <w:p>
                        <w:pPr/>
                      </w:p>
                    </w:tc>
                  </w:tr>
                  <w:tr>
                    <w:trPr>
                      <w:trHeight w:val="403" w:hRule="exact"/>
                    </w:trPr>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41"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7941" w:type="dxa"/>
                        <w:gridSpan w:val="11"/>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41"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7941" w:type="dxa"/>
                        <w:gridSpan w:val="11"/>
                        <w:tcBorders>
                          <w:top w:val="single" w:sz="4" w:space="0" w:color="000000"/>
                          <w:left w:val="single" w:sz="10" w:space="0" w:color="D2D2D2"/>
                          <w:bottom w:val="single" w:sz="4" w:space="0" w:color="000000"/>
                          <w:right w:val="single" w:sz="4" w:space="0" w:color="000000"/>
                        </w:tcBorders>
                      </w:tcPr>
                      <w:p>
                        <w:pPr/>
                      </w:p>
                    </w:tc>
                  </w:tr>
                  <w:tr>
                    <w:trPr>
                      <w:trHeight w:val="36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941"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pacing w:val="-1"/>
                            <w:sz w:val="18"/>
                            <w:szCs w:val="18"/>
                          </w:rPr>
                          <w:t>公司已与银行机构、西南证券股份有限签订了募集资金三方监管协议，尚未使用募集资金的存放于专</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53"/>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1"/>
        <w:gridCol w:w="7941"/>
      </w:tblGrid>
      <w:tr>
        <w:trPr>
          <w:trHeight w:val="363"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用账户中。</w:t>
            </w:r>
          </w:p>
        </w:tc>
      </w:tr>
      <w:tr>
        <w:trPr>
          <w:trHeight w:val="102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公司募集资金的使用合理、规范，信息披露及时、准确、完整。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pStyle w:val="BodyText"/>
        <w:spacing w:line="240" w:lineRule="auto" w:before="49"/>
        <w:ind w:right="-17"/>
        <w:jc w:val="left"/>
      </w:pPr>
      <w:r>
        <w:rPr>
          <w:rFonts w:ascii="Times New Roman" w:hAnsi="Times New Roman" w:cs="Times New Roman" w:eastAsia="Times New Roman" w:hint="default"/>
        </w:rPr>
        <w:t>3.</w:t>
      </w:r>
      <w:r>
        <w:rPr/>
        <w:t>募集资金变更项目情况</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980"/>
          <w:cols w:num="2" w:equalWidth="0">
            <w:col w:w="2091" w:space="6650"/>
            <w:col w:w="120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4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40"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z w:val="18"/>
                <w:szCs w:val="18"/>
              </w:rPr>
              <w:t>上海嘉定绿 色云计算基 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宽带接入服 务拓展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9,038.84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8,911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8,911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98.59%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9,038.84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8,911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8,911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27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为顺应</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迅速发展的市场行情，抓住云计算、大数据的发展契机，落实公司战略发 </w:t>
            </w:r>
            <w:r>
              <w:rPr>
                <w:rFonts w:ascii="宋体" w:hAnsi="宋体" w:cs="宋体" w:eastAsia="宋体" w:hint="default"/>
                <w:spacing w:val="-5"/>
                <w:sz w:val="18"/>
                <w:szCs w:val="18"/>
              </w:rPr>
              <w:t>展布局，经公司第二届董事会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年第八次董事会和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年第二次临时股东大会审 议通过，同意公司终止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宽带接入服务拓展项目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，变更该项目募集资金投向收购上海 </w:t>
            </w:r>
            <w:r>
              <w:rPr>
                <w:rFonts w:ascii="宋体" w:hAnsi="宋体" w:cs="宋体" w:eastAsia="宋体" w:hint="default"/>
                <w:spacing w:val="-2"/>
                <w:sz w:val="18"/>
                <w:szCs w:val="18"/>
              </w:rPr>
              <w:t>明月光学有限公司（现已更名为光环新网（上海）信息服务有限公司）</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股权。股</w:t>
            </w:r>
            <w:r>
              <w:rPr>
                <w:rFonts w:ascii="宋体" w:hAnsi="宋体" w:cs="宋体" w:eastAsia="宋体" w:hint="default"/>
                <w:sz w:val="18"/>
                <w:szCs w:val="18"/>
              </w:rPr>
              <w:t> </w:t>
            </w:r>
            <w:r>
              <w:rPr>
                <w:rFonts w:ascii="宋体" w:hAnsi="宋体" w:cs="宋体" w:eastAsia="宋体" w:hint="default"/>
                <w:spacing w:val="-1"/>
                <w:sz w:val="18"/>
                <w:szCs w:val="18"/>
              </w:rPr>
              <w:t>权转让完成后，明月光学成为公司的全资子公司，负责实施上海嘉定绿色云计算基地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项目。目前该项目正处于筹建阶段。该项目的实施符合公司立足北京，面向全国的发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展布局，开拓了京外市场，进一步提升了公司的综合竞争力。</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日，公司已支付收购款项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万元。上海嘉定绿色云计算 基地项目目前正处于筹建阶段。</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pStyle w:val="BodyText"/>
        <w:spacing w:line="240" w:lineRule="auto" w:before="49"/>
        <w:ind w:right="-18"/>
        <w:jc w:val="left"/>
      </w:pPr>
      <w:r>
        <w:rPr>
          <w:rFonts w:ascii="Times New Roman" w:hAnsi="Times New Roman" w:cs="Times New Roman" w:eastAsia="Times New Roman" w:hint="default"/>
        </w:rPr>
        <w:t>3</w:t>
      </w:r>
      <w:r>
        <w:rPr/>
        <w:t>）非募集资金投资的重大项目情况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980"/>
          <w:cols w:num="2" w:equalWidth="0">
            <w:col w:w="2945" w:space="5796"/>
            <w:col w:w="1209"/>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3" w:right="51" w:hanging="361"/>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1"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33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2"/>
              <w:jc w:val="both"/>
              <w:rPr>
                <w:rFonts w:ascii="宋体" w:hAnsi="宋体" w:cs="宋体" w:eastAsia="宋体" w:hint="default"/>
                <w:sz w:val="18"/>
                <w:szCs w:val="18"/>
              </w:rPr>
            </w:pPr>
            <w:r>
              <w:rPr>
                <w:rFonts w:ascii="宋体" w:hAnsi="宋体" w:cs="宋体" w:eastAsia="宋体" w:hint="default"/>
                <w:sz w:val="18"/>
                <w:szCs w:val="18"/>
              </w:rPr>
              <w:t>光环新网绿色 信息化产业园 区（燕郊）一 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20,024.43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上海嘉定绿色 云计算基地项 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54,503.16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2"/>
                <w:sz w:val="18"/>
                <w:szCs w:val="18"/>
              </w:rPr>
              <w:t>http://www.cni</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nfo.com.cn/</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75,403.16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7,883.4</w:t>
            </w:r>
          </w:p>
        </w:tc>
        <w:tc>
          <w:tcPr>
            <w:tcW w:w="11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20,024.43</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1,722.11</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329"/>
        <w:jc w:val="left"/>
      </w:pPr>
      <w:r>
        <w:rPr/>
        <w:t>说明：</w:t>
      </w:r>
    </w:p>
    <w:p>
      <w:pPr>
        <w:pStyle w:val="BodyText"/>
        <w:spacing w:line="240" w:lineRule="auto" w:before="117"/>
        <w:ind w:right="329"/>
        <w:jc w:val="left"/>
      </w:pPr>
      <w:r>
        <w:rPr/>
        <w:t>① 光环新网绿色信息化产业园区（燕郊）一期项目已于 </w:t>
      </w:r>
      <w:r>
        <w:rPr>
          <w:rFonts w:ascii="Times New Roman" w:hAnsi="Times New Roman" w:cs="Times New Roman" w:eastAsia="Times New Roman" w:hint="default"/>
        </w:rPr>
        <w:t>2014  </w:t>
      </w:r>
      <w:r>
        <w:rPr/>
        <w:t>年底全部竣工。</w:t>
      </w:r>
    </w:p>
    <w:p>
      <w:pPr>
        <w:pStyle w:val="BodyText"/>
        <w:spacing w:line="240" w:lineRule="auto" w:before="101"/>
        <w:ind w:right="329"/>
        <w:jc w:val="left"/>
      </w:pPr>
      <w:r>
        <w:rPr/>
        <w:t>②上海嘉定绿色云计算基地项目目前正处于筹建阶段，预计</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年内开工建设。</w:t>
      </w:r>
    </w:p>
    <w:p>
      <w:pPr>
        <w:spacing w:line="240" w:lineRule="auto" w:before="2"/>
        <w:rPr>
          <w:rFonts w:ascii="宋体" w:hAnsi="宋体" w:cs="宋体" w:eastAsia="宋体" w:hint="default"/>
          <w:sz w:val="23"/>
          <w:szCs w:val="23"/>
        </w:rPr>
      </w:pPr>
    </w:p>
    <w:p>
      <w:pPr>
        <w:pStyle w:val="BodyText"/>
        <w:spacing w:line="240" w:lineRule="auto" w:before="0"/>
        <w:ind w:right="329"/>
        <w:jc w:val="left"/>
      </w:pPr>
      <w:r>
        <w:rPr>
          <w:rFonts w:ascii="Times New Roman" w:hAnsi="Times New Roman" w:cs="Times New Roman" w:eastAsia="Times New Roman" w:hint="default"/>
        </w:rPr>
        <w:t>4</w:t>
      </w:r>
      <w:r>
        <w:rPr/>
        <w:t>）持有其他上市公司股权情况</w:t>
      </w:r>
    </w:p>
    <w:p>
      <w:pPr>
        <w:pStyle w:val="BodyText"/>
        <w:spacing w:line="240" w:lineRule="auto" w:before="103"/>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329"/>
        <w:jc w:val="left"/>
      </w:pPr>
      <w:r>
        <w:rPr>
          <w:rFonts w:ascii="Times New Roman" w:hAnsi="Times New Roman" w:cs="Times New Roman" w:eastAsia="Times New Roman" w:hint="default"/>
        </w:rPr>
        <w:t>5</w:t>
      </w:r>
      <w:r>
        <w:rPr/>
        <w:t>）持有金融企业股权情况</w:t>
      </w:r>
    </w:p>
    <w:p>
      <w:pPr>
        <w:pStyle w:val="BodyText"/>
        <w:spacing w:line="350" w:lineRule="auto" w:before="101"/>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0"/>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329"/>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329"/>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980"/>
          <w:cols w:num="2" w:equalWidth="0">
            <w:col w:w="2313" w:space="660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4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0"/>
              <w:jc w:val="both"/>
              <w:rPr>
                <w:rFonts w:ascii="宋体" w:hAnsi="宋体" w:cs="宋体" w:eastAsia="宋体" w:hint="default"/>
                <w:sz w:val="18"/>
                <w:szCs w:val="18"/>
              </w:rPr>
            </w:pPr>
            <w:r>
              <w:rPr>
                <w:rFonts w:ascii="宋体" w:hAnsi="宋体" w:cs="宋体" w:eastAsia="宋体" w:hint="default"/>
                <w:sz w:val="18"/>
                <w:szCs w:val="18"/>
              </w:rPr>
              <w:t>光环云谷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务业、互联</w:t>
            </w:r>
            <w:r>
              <w:rPr>
                <w:rFonts w:ascii="宋体" w:hAnsi="宋体" w:cs="宋体" w:eastAsia="宋体" w:hint="default"/>
                <w:sz w:val="18"/>
                <w:szCs w:val="18"/>
              </w:rPr>
              <w:t> 网和相关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及增值 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224,283,22</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2.01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68,380,237.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52,225,134.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12,050,86</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3.33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10,265,080.2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360" w:lineRule="auto" w:before="49"/>
        <w:ind w:left="513" w:right="0" w:hanging="361"/>
        <w:jc w:val="left"/>
      </w:pPr>
      <w:r>
        <w:rPr/>
        <w:t>主要子公司、参股公司情况说明 </w:t>
      </w:r>
      <w:r>
        <w:rPr>
          <w:spacing w:val="-2"/>
        </w:rPr>
        <w:t>子公司光环云谷科技有限公司建设</w:t>
      </w:r>
      <w:r>
        <w:rPr>
          <w:rFonts w:ascii="Times New Roman" w:hAnsi="Times New Roman" w:cs="Times New Roman" w:eastAsia="Times New Roman" w:hint="default"/>
          <w:spacing w:val="-2"/>
        </w:rPr>
        <w:t>“</w:t>
      </w:r>
      <w:r>
        <w:rPr>
          <w:spacing w:val="-2"/>
        </w:rPr>
        <w:t>光环新网绿色信息化产业园区（燕郊）一期</w:t>
      </w:r>
      <w:r>
        <w:rPr>
          <w:rFonts w:ascii="Times New Roman" w:hAnsi="Times New Roman" w:cs="Times New Roman" w:eastAsia="Times New Roman" w:hint="default"/>
          <w:spacing w:val="-2"/>
        </w:rPr>
        <w:t>”</w:t>
      </w:r>
      <w:r>
        <w:rPr>
          <w:spacing w:val="-2"/>
        </w:rPr>
        <w:t>（即燕郊机房），自</w:t>
      </w:r>
      <w:r>
        <w:rPr>
          <w:rFonts w:ascii="Times New Roman" w:hAnsi="Times New Roman" w:cs="Times New Roman" w:eastAsia="Times New Roman" w:hint="default"/>
          <w:spacing w:val="-2"/>
        </w:rPr>
        <w:t>2013</w:t>
      </w:r>
      <w:r>
        <w:rPr>
          <w:spacing w:val="-2"/>
        </w:rPr>
        <w:t>年下半年部分</w:t>
      </w:r>
    </w:p>
    <w:p>
      <w:pPr>
        <w:pStyle w:val="BodyText"/>
        <w:spacing w:line="212" w:lineRule="exact" w:before="0"/>
        <w:ind w:right="0"/>
        <w:jc w:val="left"/>
      </w:pPr>
      <w:r>
        <w:rPr/>
        <w:t>机房竣工并陆续投入使用，因此</w:t>
      </w:r>
      <w:r>
        <w:rPr>
          <w:rFonts w:ascii="Times New Roman" w:hAnsi="Times New Roman" w:cs="Times New Roman" w:eastAsia="Times New Roman" w:hint="default"/>
        </w:rPr>
        <w:t>2014</w:t>
      </w:r>
      <w:r>
        <w:rPr/>
        <w:t>年度实现净利润较</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47.57%</w:t>
      </w:r>
      <w:r>
        <w:rPr/>
        <w:t>。截至报告期末，燕郊机房已全部竣工，预计</w:t>
      </w:r>
    </w:p>
    <w:p>
      <w:pPr>
        <w:pStyle w:val="BodyText"/>
        <w:spacing w:line="340" w:lineRule="auto" w:before="63"/>
        <w:ind w:right="7074"/>
        <w:jc w:val="left"/>
      </w:pPr>
      <w:r>
        <w:rPr>
          <w:rFonts w:ascii="Times New Roman" w:hAnsi="Times New Roman" w:cs="Times New Roman" w:eastAsia="Times New Roman" w:hint="default"/>
        </w:rPr>
        <w:t>2015</w:t>
      </w:r>
      <w:r>
        <w:rPr/>
        <w:t>年可全部投入使用。 报告期内取得和处置子公司的情况</w:t>
      </w:r>
    </w:p>
    <w:p>
      <w:pPr>
        <w:pStyle w:val="BodyText"/>
        <w:spacing w:line="240" w:lineRule="auto" w:before="39"/>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上海明月光学有限公司（现已 更名为光环新网（上海）信息 服务有限公司）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5"/>
              <w:jc w:val="left"/>
              <w:rPr>
                <w:rFonts w:ascii="宋体" w:hAnsi="宋体" w:cs="宋体" w:eastAsia="宋体" w:hint="default"/>
                <w:sz w:val="18"/>
                <w:szCs w:val="18"/>
              </w:rPr>
            </w:pPr>
            <w:r>
              <w:rPr>
                <w:rFonts w:ascii="宋体" w:hAnsi="宋体" w:cs="宋体" w:eastAsia="宋体" w:hint="default"/>
                <w:sz w:val="18"/>
                <w:szCs w:val="18"/>
              </w:rPr>
              <w:t>建设上海嘉定绿色云计算基 地项目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报告期内无重大影响</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北京光环恒通数字技术有限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优化管理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报告期内无重大影响</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0"/>
        <w:jc w:val="both"/>
        <w:rPr>
          <w:b w:val="0"/>
          <w:bCs w:val="0"/>
        </w:rPr>
      </w:pPr>
      <w:r>
        <w:rPr/>
        <w:t>二、公司未来发展的展望</w:t>
      </w:r>
      <w:r>
        <w:rPr>
          <w:b w:val="0"/>
          <w:bCs w:val="0"/>
        </w:rPr>
      </w:r>
    </w:p>
    <w:p>
      <w:pPr>
        <w:spacing w:line="240" w:lineRule="auto" w:before="6"/>
        <w:rPr>
          <w:rFonts w:ascii="宋体" w:hAnsi="宋体" w:cs="宋体" w:eastAsia="宋体" w:hint="default"/>
          <w:b/>
          <w:bCs/>
          <w:sz w:val="26"/>
          <w:szCs w:val="26"/>
        </w:rPr>
      </w:pPr>
    </w:p>
    <w:p>
      <w:pPr>
        <w:spacing w:line="316" w:lineRule="auto" w:before="0"/>
        <w:ind w:left="513" w:right="3423" w:firstLine="0"/>
        <w:jc w:val="left"/>
        <w:rPr>
          <w:rFonts w:ascii="宋体" w:hAnsi="宋体" w:cs="宋体" w:eastAsia="宋体" w:hint="default"/>
          <w:sz w:val="18"/>
          <w:szCs w:val="18"/>
        </w:rPr>
      </w:pPr>
      <w:r>
        <w:rPr>
          <w:rFonts w:ascii="宋体" w:hAnsi="宋体" w:cs="宋体" w:eastAsia="宋体" w:hint="default"/>
          <w:b/>
          <w:bCs/>
          <w:sz w:val="18"/>
          <w:szCs w:val="18"/>
        </w:rPr>
        <w:t>（一）行业发展趋势</w:t>
      </w:r>
      <w:r>
        <w:rPr>
          <w:rFonts w:ascii="宋体" w:hAnsi="宋体" w:cs="宋体" w:eastAsia="宋体" w:hint="default"/>
          <w:b/>
          <w:bCs/>
          <w:w w:val="99"/>
          <w:sz w:val="18"/>
          <w:szCs w:val="18"/>
        </w:rPr>
        <w:t> </w:t>
      </w:r>
      <w:r>
        <w:rPr>
          <w:rFonts w:ascii="宋体" w:hAnsi="宋体" w:cs="宋体" w:eastAsia="宋体" w:hint="default"/>
          <w:sz w:val="18"/>
          <w:szCs w:val="18"/>
        </w:rPr>
        <w:t>公司所从事的宽带接入服务和</w:t>
      </w:r>
      <w:r>
        <w:rPr>
          <w:rFonts w:ascii="宋体" w:hAnsi="宋体" w:cs="宋体" w:eastAsia="宋体" w:hint="default"/>
          <w:sz w:val="18"/>
          <w:szCs w:val="18"/>
        </w:rPr>
        <w:t>IDC</w:t>
      </w:r>
      <w:r>
        <w:rPr>
          <w:rFonts w:ascii="宋体" w:hAnsi="宋体" w:cs="宋体" w:eastAsia="宋体" w:hint="default"/>
          <w:sz w:val="18"/>
          <w:szCs w:val="18"/>
        </w:rPr>
        <w:t>及其增值服务与互联网行业发展息息相关。</w:t>
      </w:r>
    </w:p>
    <w:p>
      <w:pPr>
        <w:pStyle w:val="BodyText"/>
        <w:spacing w:line="316" w:lineRule="auto"/>
        <w:ind w:right="110" w:firstLine="360"/>
        <w:jc w:val="both"/>
      </w:pPr>
      <w:r>
        <w:rPr/>
        <w:t>中国互联网络信息中心（</w:t>
      </w:r>
      <w:r>
        <w:rPr>
          <w:rFonts w:ascii="宋体" w:hAnsi="宋体" w:cs="宋体" w:eastAsia="宋体" w:hint="default"/>
        </w:rPr>
        <w:t>CNNIC</w:t>
      </w:r>
      <w:r>
        <w:rPr/>
        <w:t>）发布的第</w:t>
      </w:r>
      <w:r>
        <w:rPr>
          <w:rFonts w:ascii="宋体" w:hAnsi="宋体" w:cs="宋体" w:eastAsia="宋体" w:hint="default"/>
        </w:rPr>
        <w:t>35</w:t>
      </w:r>
      <w:r>
        <w:rPr/>
        <w:t>次《中国互联网络发展状况统计报告》显示，截至</w:t>
      </w:r>
      <w:r>
        <w:rPr>
          <w:rFonts w:ascii="宋体" w:hAnsi="宋体" w:cs="宋体" w:eastAsia="宋体" w:hint="default"/>
        </w:rPr>
        <w:t>2014</w:t>
      </w:r>
      <w:r>
        <w:rPr/>
        <w:t>年</w:t>
      </w:r>
      <w:r>
        <w:rPr>
          <w:rFonts w:ascii="宋体" w:hAnsi="宋体" w:cs="宋体" w:eastAsia="宋体" w:hint="default"/>
        </w:rPr>
        <w:t>12</w:t>
      </w:r>
      <w:r>
        <w:rPr/>
        <w:t>月，我国网民 </w:t>
      </w:r>
      <w:r>
        <w:rPr>
          <w:spacing w:val="-2"/>
        </w:rPr>
        <w:t>规模达</w:t>
      </w:r>
      <w:r>
        <w:rPr>
          <w:rFonts w:ascii="宋体" w:hAnsi="宋体" w:cs="宋体" w:eastAsia="宋体" w:hint="default"/>
          <w:spacing w:val="-2"/>
        </w:rPr>
        <w:t>6.49</w:t>
      </w:r>
      <w:r>
        <w:rPr>
          <w:spacing w:val="-2"/>
        </w:rPr>
        <w:t>亿，全年共计新增网民</w:t>
      </w:r>
      <w:r>
        <w:rPr>
          <w:rFonts w:ascii="宋体" w:hAnsi="宋体" w:cs="宋体" w:eastAsia="宋体" w:hint="default"/>
          <w:spacing w:val="-2"/>
        </w:rPr>
        <w:t>3117</w:t>
      </w:r>
      <w:r>
        <w:rPr>
          <w:spacing w:val="-2"/>
        </w:rPr>
        <w:t>万人。互联网普及率为</w:t>
      </w:r>
      <w:r>
        <w:rPr>
          <w:rFonts w:ascii="宋体" w:hAnsi="宋体" w:cs="宋体" w:eastAsia="宋体" w:hint="default"/>
          <w:spacing w:val="-2"/>
        </w:rPr>
        <w:t>47.9%</w:t>
      </w:r>
      <w:r>
        <w:rPr>
          <w:spacing w:val="-2"/>
        </w:rPr>
        <w:t>，较</w:t>
      </w:r>
      <w:r>
        <w:rPr>
          <w:rFonts w:ascii="宋体" w:hAnsi="宋体" w:cs="宋体" w:eastAsia="宋体" w:hint="default"/>
          <w:spacing w:val="-2"/>
        </w:rPr>
        <w:t>2013</w:t>
      </w:r>
      <w:r>
        <w:rPr>
          <w:spacing w:val="-2"/>
        </w:rPr>
        <w:t>年底提升了</w:t>
      </w:r>
      <w:r>
        <w:rPr>
          <w:rFonts w:ascii="宋体" w:hAnsi="宋体" w:cs="宋体" w:eastAsia="宋体" w:hint="default"/>
          <w:spacing w:val="-2"/>
        </w:rPr>
        <w:t>2.1</w:t>
      </w:r>
      <w:r>
        <w:rPr>
          <w:spacing w:val="-2"/>
        </w:rPr>
        <w:t>个百分点。在互联网快速发展的</w:t>
      </w:r>
      <w:r>
        <w:rPr>
          <w:spacing w:val="-50"/>
        </w:rPr>
        <w:t> </w:t>
      </w:r>
      <w:r>
        <w:rPr>
          <w:spacing w:val="-50"/>
        </w:rPr>
      </w:r>
      <w:r>
        <w:rPr/>
        <w:t>同时，互联网应用的程度与深度进一步得到发展，“宽带中国”战略继续贯彻与推广，互联网行业继续保持强劲发展势头。</w:t>
      </w:r>
    </w:p>
    <w:p>
      <w:pPr>
        <w:pStyle w:val="BodyText"/>
        <w:spacing w:line="316" w:lineRule="auto"/>
        <w:ind w:right="198" w:firstLine="360"/>
        <w:jc w:val="both"/>
      </w:pPr>
      <w:r>
        <w:rPr/>
        <w:t>国务院于</w:t>
      </w:r>
      <w:r>
        <w:rPr>
          <w:rFonts w:ascii="宋体" w:hAnsi="宋体" w:cs="宋体" w:eastAsia="宋体" w:hint="default"/>
        </w:rPr>
        <w:t>2015</w:t>
      </w:r>
      <w:r>
        <w:rPr/>
        <w:t>年</w:t>
      </w:r>
      <w:r>
        <w:rPr>
          <w:rFonts w:ascii="宋体" w:hAnsi="宋体" w:cs="宋体" w:eastAsia="宋体" w:hint="default"/>
        </w:rPr>
        <w:t>1</w:t>
      </w:r>
      <w:r>
        <w:rPr/>
        <w:t>月发布的《国务院关于促进云计算创新发展培育信息产业新业态的意见》以及李克强总理提出的“互 联网</w:t>
      </w:r>
      <w:r>
        <w:rPr>
          <w:rFonts w:ascii="宋体" w:hAnsi="宋体" w:cs="宋体" w:eastAsia="宋体" w:hint="default"/>
        </w:rPr>
        <w:t>+</w:t>
      </w:r>
      <w:r>
        <w:rPr/>
        <w:t>”行动计划表明宏观政策层面对互联网产业发展的指导思想，必将对互联网产业的深入发展以及传统产业的转型产生 深远影响。</w:t>
      </w:r>
    </w:p>
    <w:p>
      <w:pPr>
        <w:pStyle w:val="BodyText"/>
        <w:spacing w:line="316" w:lineRule="auto"/>
        <w:ind w:left="513" w:right="89"/>
        <w:jc w:val="left"/>
      </w:pPr>
      <w:r>
        <w:rPr>
          <w:rFonts w:ascii="宋体" w:hAnsi="宋体" w:cs="宋体" w:eastAsia="宋体" w:hint="default"/>
          <w:b/>
          <w:bCs/>
        </w:rPr>
        <w:t>（二）公司未来的发展战略</w:t>
      </w:r>
      <w:r>
        <w:rPr>
          <w:rFonts w:ascii="宋体" w:hAnsi="宋体" w:cs="宋体" w:eastAsia="宋体" w:hint="default"/>
          <w:b/>
          <w:bCs/>
          <w:w w:val="99"/>
        </w:rPr>
        <w:t> </w:t>
      </w:r>
      <w:r>
        <w:rPr>
          <w:spacing w:val="-2"/>
        </w:rPr>
        <w:t>凭借多年来的经营经验，公司根据行业的发展趋势与市场需求，结合自身特点与宏观经济环境，制定了明确的公司发展</w:t>
      </w:r>
    </w:p>
    <w:p>
      <w:pPr>
        <w:pStyle w:val="BodyText"/>
        <w:spacing w:line="316" w:lineRule="auto"/>
        <w:ind w:right="110"/>
        <w:jc w:val="both"/>
      </w:pPr>
      <w:r>
        <w:rPr/>
        <w:t>目标，即成为国内一流的互联网业务综合解决方案一体化服务商。为此，公司将继续秉承客户第一、服务至上的经营理念， 以市场需求为导向，以互联网技术发展为基础，不断强化自身核心竞争力，把企业建设成为具有高技术水平、高增长速度、 高利润率、高客户满意度的一流的互联网综合服务商。</w:t>
      </w:r>
    </w:p>
    <w:p>
      <w:pPr>
        <w:spacing w:line="316" w:lineRule="auto" w:before="19"/>
        <w:ind w:left="513" w:right="89" w:firstLine="0"/>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b/>
          <w:bCs/>
          <w:sz w:val="18"/>
          <w:szCs w:val="18"/>
        </w:rPr>
        <w:t>2015</w:t>
      </w:r>
      <w:r>
        <w:rPr>
          <w:rFonts w:ascii="宋体" w:hAnsi="宋体" w:cs="宋体" w:eastAsia="宋体" w:hint="default"/>
          <w:b/>
          <w:bCs/>
          <w:sz w:val="18"/>
          <w:szCs w:val="18"/>
        </w:rPr>
        <w:t>年度经营计划</w:t>
      </w:r>
      <w:r>
        <w:rPr>
          <w:rFonts w:ascii="宋体" w:hAnsi="宋体" w:cs="宋体" w:eastAsia="宋体" w:hint="default"/>
          <w:b/>
          <w:bCs/>
          <w:w w:val="99"/>
          <w:sz w:val="18"/>
          <w:szCs w:val="18"/>
        </w:rPr>
        <w:t> </w:t>
      </w:r>
      <w:r>
        <w:rPr>
          <w:rFonts w:ascii="宋体" w:hAnsi="宋体" w:cs="宋体" w:eastAsia="宋体" w:hint="default"/>
          <w:spacing w:val="-2"/>
          <w:sz w:val="18"/>
          <w:szCs w:val="18"/>
        </w:rPr>
        <w:t>2015</w:t>
      </w:r>
      <w:r>
        <w:rPr>
          <w:rFonts w:ascii="宋体" w:hAnsi="宋体" w:cs="宋体" w:eastAsia="宋体" w:hint="default"/>
          <w:spacing w:val="-2"/>
          <w:sz w:val="18"/>
          <w:szCs w:val="18"/>
        </w:rPr>
        <w:t>年度，公司将紧紧围绕企业发展战略，顺应互联网发展趋势，在推进募投项目建设的同时，积极响应国家号召，大</w:t>
      </w:r>
    </w:p>
    <w:p>
      <w:pPr>
        <w:pStyle w:val="BodyText"/>
        <w:spacing w:line="316" w:lineRule="auto"/>
        <w:ind w:right="89"/>
        <w:jc w:val="left"/>
      </w:pPr>
      <w:r>
        <w:rPr>
          <w:spacing w:val="-2"/>
        </w:rPr>
        <w:t>力发展云计算技术并推进云计算中心的建设，继续加大研发投入，提升服务质量，在实现企业自身增长的同时，积极寻求外</w:t>
      </w:r>
      <w:r>
        <w:rPr>
          <w:spacing w:val="-64"/>
        </w:rPr>
        <w:t> </w:t>
      </w:r>
      <w:r>
        <w:rPr>
          <w:spacing w:val="-64"/>
        </w:rPr>
      </w:r>
      <w:r>
        <w:rPr/>
        <w:t>延式增长机会，为公司长期稳定发展奠定坚实基础。</w:t>
      </w:r>
    </w:p>
    <w:p>
      <w:pPr>
        <w:pStyle w:val="BodyText"/>
        <w:spacing w:line="316" w:lineRule="auto"/>
        <w:ind w:right="193" w:firstLine="360"/>
        <w:jc w:val="both"/>
      </w:pPr>
      <w:r>
        <w:rPr>
          <w:spacing w:val="-2"/>
        </w:rPr>
        <w:t>加快募投项目建设，提升服务能力。</w:t>
      </w:r>
      <w:r>
        <w:rPr>
          <w:rFonts w:ascii="宋体" w:hAnsi="宋体" w:cs="宋体" w:eastAsia="宋体" w:hint="default"/>
          <w:spacing w:val="-2"/>
        </w:rPr>
        <w:t>2015</w:t>
      </w:r>
      <w:r>
        <w:rPr>
          <w:spacing w:val="-2"/>
        </w:rPr>
        <w:t>年，公司将加快“互联网数据服务一体化平台二期工程”项目及“互联网技术</w:t>
      </w:r>
      <w:r>
        <w:rPr/>
        <w:t> 研发中心扩建”项目的建设进度，力争年内完成全部募投项目的建设，从而进一步提升公司的服务能力与服务品质。</w:t>
      </w:r>
    </w:p>
    <w:p>
      <w:pPr>
        <w:pStyle w:val="BodyText"/>
        <w:spacing w:line="316" w:lineRule="auto"/>
        <w:ind w:right="191" w:firstLine="360"/>
        <w:jc w:val="both"/>
      </w:pPr>
      <w:r>
        <w:rPr>
          <w:spacing w:val="-2"/>
        </w:rPr>
        <w:t>积极推进上海项目，完善战略布局。</w:t>
      </w:r>
      <w:r>
        <w:rPr>
          <w:rFonts w:ascii="宋体" w:hAnsi="宋体" w:cs="宋体" w:eastAsia="宋体" w:hint="default"/>
          <w:spacing w:val="-2"/>
        </w:rPr>
        <w:t>2015</w:t>
      </w:r>
      <w:r>
        <w:rPr>
          <w:spacing w:val="-2"/>
        </w:rPr>
        <w:t>年，公司将积极推进光环新网上海嘉定绿色云计算基地的建设，争取年内实现</w:t>
      </w:r>
      <w:r>
        <w:rPr/>
        <w:t> 部分模块试运营，从而为公司开拓华东地区互联网综合服务市场奠定基础。</w:t>
      </w:r>
    </w:p>
    <w:p>
      <w:pPr>
        <w:pStyle w:val="BodyText"/>
        <w:spacing w:line="319" w:lineRule="auto"/>
        <w:ind w:right="190" w:firstLine="360"/>
        <w:jc w:val="both"/>
      </w:pPr>
      <w:r>
        <w:rPr>
          <w:spacing w:val="-2"/>
        </w:rPr>
        <w:t>不断加强研发投入，致力云计算发展。公司始终高度重视研发投入及技术创新，为保证公司的技术水平始终位于行业发</w:t>
      </w:r>
      <w:r>
        <w:rPr/>
        <w:t> </w:t>
      </w:r>
      <w:r>
        <w:rPr>
          <w:spacing w:val="-2"/>
        </w:rPr>
        <w:t>展的前沿，公司在积极推进募投项目“互联网技术研发中心扩建”建设的同时，将继续加大云计算、网络优化、节能环保等</w:t>
      </w:r>
      <w:r>
        <w:rPr>
          <w:spacing w:val="-67"/>
        </w:rPr>
        <w:t> </w:t>
      </w:r>
      <w:r>
        <w:rPr>
          <w:spacing w:val="-67"/>
        </w:rPr>
      </w:r>
      <w:r>
        <w:rPr/>
        <w:t>方面的投入。公司将针对</w:t>
      </w:r>
      <w:r>
        <w:rPr>
          <w:rFonts w:ascii="宋体" w:hAnsi="宋体" w:cs="宋体" w:eastAsia="宋体" w:hint="default"/>
        </w:rPr>
        <w:t>SDN</w:t>
      </w:r>
      <w:r>
        <w:rPr/>
        <w:t>技术进行研发，实现城域网络流量的灵活配置，提高城域网络数据通信管道的利用率；公司仍 </w:t>
      </w:r>
      <w:r>
        <w:rPr>
          <w:spacing w:val="-2"/>
        </w:rPr>
        <w:t>将持续针对数据中心节能技术进行研发，降低数据中心</w:t>
      </w:r>
      <w:r>
        <w:rPr>
          <w:rFonts w:ascii="宋体" w:hAnsi="宋体" w:cs="宋体" w:eastAsia="宋体" w:hint="default"/>
          <w:spacing w:val="-2"/>
        </w:rPr>
        <w:t>PUE</w:t>
      </w:r>
      <w:r>
        <w:rPr>
          <w:spacing w:val="-2"/>
        </w:rPr>
        <w:t>指标，实现节能减排、降低运营成本的目标。作为亚马逊</w:t>
      </w:r>
      <w:r>
        <w:rPr>
          <w:rFonts w:ascii="宋体" w:hAnsi="宋体" w:cs="宋体" w:eastAsia="宋体" w:hint="default"/>
          <w:spacing w:val="-2"/>
        </w:rPr>
        <w:t>AWS</w:t>
      </w:r>
      <w:r>
        <w:rPr>
          <w:spacing w:val="-2"/>
        </w:rPr>
        <w:t>在中</w:t>
      </w:r>
      <w:r>
        <w:rPr>
          <w:spacing w:val="-63"/>
        </w:rPr>
        <w:t> </w:t>
      </w:r>
      <w:r>
        <w:rPr>
          <w:spacing w:val="-2"/>
        </w:rPr>
        <w:t>国云计算业务的互联网数据中心业务基础资源提供商，公司将利用现有合作平台，加速进行公有云服务平台建设，研发多种</w:t>
      </w:r>
      <w:r>
        <w:rPr>
          <w:spacing w:val="-63"/>
        </w:rPr>
        <w:t> </w:t>
      </w:r>
      <w:r>
        <w:rPr>
          <w:spacing w:val="-63"/>
        </w:rPr>
      </w:r>
      <w:r>
        <w:rPr/>
        <w:t>类型的云服务产品以满足客户不同层次的需求。</w:t>
      </w:r>
    </w:p>
    <w:p>
      <w:pPr>
        <w:pStyle w:val="BodyText"/>
        <w:spacing w:line="316" w:lineRule="auto" w:before="17"/>
        <w:ind w:right="191" w:firstLine="360"/>
        <w:jc w:val="both"/>
      </w:pPr>
      <w:r>
        <w:rPr>
          <w:spacing w:val="-2"/>
        </w:rPr>
        <w:t>适时推进行业并购，拓展业务范围。为了能够进一步优化公司的业务范围，快速提升公司盈利能力，公司将围绕发展战</w:t>
      </w:r>
      <w:r>
        <w:rPr/>
        <w:t> </w:t>
      </w:r>
      <w:r>
        <w:rPr>
          <w:spacing w:val="-2"/>
        </w:rPr>
        <w:t>略和目标，顺应市场发展需求，不断丰富公司的产品服务，完善产品外沿，努力寻求更多的业绩增长点。同时，公司将充分</w:t>
      </w:r>
      <w:r>
        <w:rPr>
          <w:spacing w:val="-68"/>
        </w:rPr>
        <w:t> </w:t>
      </w:r>
      <w:r>
        <w:rPr>
          <w:spacing w:val="-68"/>
        </w:rPr>
      </w:r>
      <w:r>
        <w:rPr>
          <w:spacing w:val="-2"/>
        </w:rPr>
        <w:t>利用资本市场的资源和优势，积极寻找行业优质资源，适时进行并购整合，从而不断拓展公司业务范围，提升公司的整体实</w:t>
      </w:r>
      <w:r>
        <w:rPr>
          <w:spacing w:val="-65"/>
        </w:rPr>
        <w:t> </w:t>
      </w:r>
      <w:r>
        <w:rPr>
          <w:spacing w:val="-65"/>
        </w:rPr>
      </w:r>
      <w:r>
        <w:rPr/>
        <w:t>力和市场竞争力。</w:t>
      </w:r>
    </w:p>
    <w:p>
      <w:pPr>
        <w:pStyle w:val="BodyText"/>
        <w:spacing w:line="316" w:lineRule="auto"/>
        <w:ind w:right="191" w:firstLine="360"/>
        <w:jc w:val="both"/>
      </w:pPr>
      <w:r>
        <w:rPr>
          <w:spacing w:val="-2"/>
        </w:rPr>
        <w:t>继续完善各项制度，规范公司治理。一方面，公司将继续健全并完善各项制度，严格落实内控管理，进一步加强董事会</w:t>
      </w:r>
      <w:r>
        <w:rPr/>
        <w:t> </w:t>
      </w:r>
      <w:r>
        <w:rPr>
          <w:spacing w:val="-2"/>
        </w:rPr>
        <w:t>的规范运作；另一方面，公司将不断推动投资者互动平台的建设，加强信息披露和投资者关系管理，充分维护中小股东的合</w:t>
      </w:r>
      <w:r>
        <w:rPr>
          <w:spacing w:val="-64"/>
        </w:rPr>
        <w:t> </w:t>
      </w:r>
      <w:r>
        <w:rPr>
          <w:spacing w:val="-64"/>
        </w:rPr>
      </w:r>
      <w:r>
        <w:rPr>
          <w:spacing w:val="-2"/>
        </w:rPr>
        <w:t>法权益；同时，公司将切实贯彻“稳健、创新、服务、共赢”的企业文化理念，大力鼓励员工的创新精神与协作精神，适时</w:t>
      </w:r>
      <w:r>
        <w:rPr>
          <w:spacing w:val="-70"/>
        </w:rPr>
        <w:t> </w:t>
      </w:r>
      <w:r>
        <w:rPr>
          <w:spacing w:val="-70"/>
        </w:rPr>
      </w:r>
      <w:r>
        <w:rPr/>
        <w:t>为核心人员推出各项激励措施，营造高效团结的团队氛围，促进企业高速发展。</w:t>
      </w:r>
    </w:p>
    <w:p>
      <w:pPr>
        <w:spacing w:line="240" w:lineRule="auto" w:before="11"/>
        <w:rPr>
          <w:rFonts w:ascii="宋体" w:hAnsi="宋体" w:cs="宋体" w:eastAsia="宋体" w:hint="default"/>
          <w:sz w:val="20"/>
          <w:szCs w:val="20"/>
        </w:rPr>
      </w:pPr>
    </w:p>
    <w:p>
      <w:pPr>
        <w:pStyle w:val="Heading2"/>
        <w:spacing w:line="240" w:lineRule="auto" w:before="0"/>
        <w:ind w:right="0"/>
        <w:jc w:val="both"/>
        <w:rPr>
          <w:b w:val="0"/>
          <w:bCs w:val="0"/>
        </w:rPr>
      </w:pPr>
      <w:r>
        <w:rPr/>
        <w:t>三、董事会关于报告期会计政策、会计估计变更或重要前期差错更正的说明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51" w:firstLine="360"/>
        <w:jc w:val="both"/>
      </w:pPr>
      <w:r>
        <w:rPr>
          <w:rFonts w:ascii="宋体" w:hAnsi="宋体" w:cs="宋体" w:eastAsia="宋体" w:hint="default"/>
        </w:rPr>
        <w:t>1</w:t>
      </w:r>
      <w:r>
        <w:rPr/>
        <w:t>、为更加客观公正地反映公司财务状况和经营成果，提供更可靠、更准确的会计信息，公司于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日变更合同 </w:t>
      </w:r>
      <w:r>
        <w:rPr>
          <w:spacing w:val="-2"/>
        </w:rPr>
        <w:t>金额在五万元以下（含五万元）的客户的收入确认政策。由于过去各期五万元以下（含五万元）的客户数量较多，公司未建</w:t>
      </w:r>
      <w:r>
        <w:rPr>
          <w:spacing w:val="-68"/>
        </w:rPr>
        <w:t> </w:t>
      </w:r>
      <w:r>
        <w:rPr>
          <w:spacing w:val="-68"/>
        </w:rPr>
      </w:r>
      <w:r>
        <w:rPr>
          <w:spacing w:val="-2"/>
        </w:rPr>
        <w:t>立客户信息管理系统，五万元以下的收款涵盖期间无法追溯获得，对其进行重新分期确认收入以确定该项会计政策变更对以</w:t>
      </w:r>
      <w:r>
        <w:rPr>
          <w:spacing w:val="-63"/>
        </w:rPr>
        <w:t> </w:t>
      </w:r>
      <w:r>
        <w:rPr>
          <w:spacing w:val="-63"/>
        </w:rPr>
      </w:r>
      <w:r>
        <w:rPr>
          <w:spacing w:val="-2"/>
        </w:rPr>
        <w:t>前各期累计影响数并不切实可行，因而该项会计政策变更采用未来适用法进行会计处理。本次会计政策变更能更准确地反映</w:t>
      </w:r>
      <w:r>
        <w:rPr>
          <w:spacing w:val="-64"/>
        </w:rPr>
        <w:t> </w:t>
      </w:r>
      <w:r>
        <w:rPr>
          <w:spacing w:val="-64"/>
        </w:rPr>
      </w:r>
      <w:r>
        <w:rPr/>
        <w:t>公司当期收入，提供更可靠、更相关的会计信息，不会对公司所有者权益、净利润等指标产生实质性影响。</w:t>
      </w:r>
    </w:p>
    <w:p>
      <w:pPr>
        <w:pStyle w:val="BodyText"/>
        <w:spacing w:line="316" w:lineRule="auto"/>
        <w:ind w:left="513" w:right="3653"/>
        <w:jc w:val="left"/>
      </w:pPr>
      <w:r>
        <w:rPr/>
        <w:t>上述事项已经和前任会计师事务所进行了沟通，不存在意见分歧的情况。 </w:t>
      </w:r>
      <w:r>
        <w:rPr>
          <w:rFonts w:ascii="宋体" w:hAnsi="宋体" w:cs="宋体" w:eastAsia="宋体" w:hint="default"/>
        </w:rPr>
        <w:t>2</w:t>
      </w:r>
      <w:r>
        <w:rPr/>
        <w:t>、因执行新企业会计准则导致的会计政策变更</w:t>
      </w:r>
    </w:p>
    <w:p>
      <w:pPr>
        <w:pStyle w:val="BodyText"/>
        <w:spacing w:line="319" w:lineRule="auto"/>
        <w:ind w:right="144" w:firstLine="360"/>
        <w:jc w:val="left"/>
      </w:pPr>
      <w:r>
        <w:rPr>
          <w:rFonts w:ascii="宋体" w:hAnsi="宋体" w:cs="宋体" w:eastAsia="宋体" w:hint="default"/>
        </w:rPr>
        <w:t>2014</w:t>
      </w:r>
      <w:r>
        <w:rPr/>
        <w:t>年初，财政部分别以财会</w:t>
      </w:r>
      <w:r>
        <w:rPr>
          <w:rFonts w:ascii="宋体" w:hAnsi="宋体" w:cs="宋体" w:eastAsia="宋体" w:hint="default"/>
        </w:rPr>
        <w:t>[2014]6</w:t>
      </w:r>
      <w:r>
        <w:rPr/>
        <w:t>号、</w:t>
      </w:r>
      <w:r>
        <w:rPr>
          <w:rFonts w:ascii="宋体" w:hAnsi="宋体" w:cs="宋体" w:eastAsia="宋体" w:hint="default"/>
        </w:rPr>
        <w:t>7</w:t>
      </w:r>
      <w:r>
        <w:rPr/>
        <w:t>号、</w:t>
      </w:r>
      <w:r>
        <w:rPr>
          <w:rFonts w:ascii="宋体" w:hAnsi="宋体" w:cs="宋体" w:eastAsia="宋体" w:hint="default"/>
        </w:rPr>
        <w:t>8</w:t>
      </w:r>
      <w:r>
        <w:rPr/>
        <w:t>号、</w:t>
      </w:r>
      <w:r>
        <w:rPr>
          <w:rFonts w:ascii="宋体" w:hAnsi="宋体" w:cs="宋体" w:eastAsia="宋体" w:hint="default"/>
        </w:rPr>
        <w:t>10</w:t>
      </w:r>
      <w:r>
        <w:rPr/>
        <w:t>号、</w:t>
      </w:r>
      <w:r>
        <w:rPr>
          <w:rFonts w:ascii="宋体" w:hAnsi="宋体" w:cs="宋体" w:eastAsia="宋体" w:hint="default"/>
        </w:rPr>
        <w:t>11</w:t>
      </w:r>
      <w:r>
        <w:rPr/>
        <w:t>号、</w:t>
      </w:r>
      <w:r>
        <w:rPr>
          <w:rFonts w:ascii="宋体" w:hAnsi="宋体" w:cs="宋体" w:eastAsia="宋体" w:hint="default"/>
        </w:rPr>
        <w:t>14</w:t>
      </w:r>
      <w:r>
        <w:rPr/>
        <w:t>号及</w:t>
      </w:r>
      <w:r>
        <w:rPr>
          <w:rFonts w:ascii="宋体" w:hAnsi="宋体" w:cs="宋体" w:eastAsia="宋体" w:hint="default"/>
        </w:rPr>
        <w:t>16</w:t>
      </w:r>
      <w:r>
        <w:rPr/>
        <w:t>号发布了《企业会计准则第</w:t>
      </w:r>
      <w:r>
        <w:rPr>
          <w:rFonts w:ascii="宋体" w:hAnsi="宋体" w:cs="宋体" w:eastAsia="宋体" w:hint="default"/>
        </w:rPr>
        <w:t>39</w:t>
      </w:r>
      <w:r>
        <w:rPr/>
        <w:t>号——公允 价值计量》、《企业会计准则第</w:t>
      </w:r>
      <w:r>
        <w:rPr>
          <w:rFonts w:ascii="宋体" w:hAnsi="宋体" w:cs="宋体" w:eastAsia="宋体" w:hint="default"/>
        </w:rPr>
        <w:t>30</w:t>
      </w:r>
      <w:r>
        <w:rPr/>
        <w:t>号——财务报表列报（</w:t>
      </w:r>
      <w:r>
        <w:rPr>
          <w:rFonts w:ascii="宋体" w:hAnsi="宋体" w:cs="宋体" w:eastAsia="宋体" w:hint="default"/>
        </w:rPr>
        <w:t>2014</w:t>
      </w:r>
      <w:r>
        <w:rPr/>
        <w:t>年修订）》、《企业会计准则第</w:t>
      </w:r>
      <w:r>
        <w:rPr>
          <w:rFonts w:ascii="宋体" w:hAnsi="宋体" w:cs="宋体" w:eastAsia="宋体" w:hint="default"/>
        </w:rPr>
        <w:t>9</w:t>
      </w:r>
      <w:r>
        <w:rPr/>
        <w:t>号——职工薪酬（</w:t>
      </w:r>
      <w:r>
        <w:rPr>
          <w:rFonts w:ascii="宋体" w:hAnsi="宋体" w:cs="宋体" w:eastAsia="宋体" w:hint="default"/>
        </w:rPr>
        <w:t>2014</w:t>
      </w:r>
      <w:r>
        <w:rPr/>
        <w:t>年修 </w:t>
      </w:r>
      <w:r>
        <w:rPr>
          <w:spacing w:val="-2"/>
        </w:rPr>
        <w:t>订）》、《企业会计准则第</w:t>
      </w:r>
      <w:r>
        <w:rPr>
          <w:rFonts w:ascii="宋体" w:hAnsi="宋体" w:cs="宋体" w:eastAsia="宋体" w:hint="default"/>
          <w:spacing w:val="-2"/>
        </w:rPr>
        <w:t>33</w:t>
      </w:r>
      <w:r>
        <w:rPr>
          <w:spacing w:val="-2"/>
        </w:rPr>
        <w:t>号——合并财务报表（</w:t>
      </w:r>
      <w:r>
        <w:rPr>
          <w:rFonts w:ascii="宋体" w:hAnsi="宋体" w:cs="宋体" w:eastAsia="宋体" w:hint="default"/>
          <w:spacing w:val="-2"/>
        </w:rPr>
        <w:t>2014</w:t>
      </w:r>
      <w:r>
        <w:rPr>
          <w:spacing w:val="-2"/>
        </w:rPr>
        <w:t>年修订）》、《企业会计准则第</w:t>
      </w:r>
      <w:r>
        <w:rPr>
          <w:rFonts w:ascii="宋体" w:hAnsi="宋体" w:cs="宋体" w:eastAsia="宋体" w:hint="default"/>
          <w:spacing w:val="-2"/>
        </w:rPr>
        <w:t>40</w:t>
      </w:r>
      <w:r>
        <w:rPr>
          <w:spacing w:val="-2"/>
        </w:rPr>
        <w:t>号——合营安排》、《企业会计</w:t>
      </w:r>
      <w:r>
        <w:rPr>
          <w:spacing w:val="-65"/>
        </w:rPr>
        <w:t> </w:t>
      </w:r>
      <w:r>
        <w:rPr>
          <w:spacing w:val="-65"/>
        </w:rPr>
      </w:r>
      <w:r>
        <w:rPr/>
        <w:t>准则第</w:t>
      </w:r>
      <w:r>
        <w:rPr>
          <w:rFonts w:ascii="宋体" w:hAnsi="宋体" w:cs="宋体" w:eastAsia="宋体" w:hint="default"/>
        </w:rPr>
        <w:t>2</w:t>
      </w:r>
      <w:r>
        <w:rPr/>
        <w:t>号——长期股权投资（</w:t>
      </w:r>
      <w:r>
        <w:rPr>
          <w:rFonts w:ascii="宋体" w:hAnsi="宋体" w:cs="宋体" w:eastAsia="宋体" w:hint="default"/>
        </w:rPr>
        <w:t>2014</w:t>
      </w:r>
      <w:r>
        <w:rPr/>
        <w:t>年修订）》及《企业会计准则第</w:t>
      </w:r>
      <w:r>
        <w:rPr>
          <w:rFonts w:ascii="宋体" w:hAnsi="宋体" w:cs="宋体" w:eastAsia="宋体" w:hint="default"/>
        </w:rPr>
        <w:t>41</w:t>
      </w:r>
      <w:r>
        <w:rPr/>
        <w:t>号——在其他主体中权益的披露》，要求自</w:t>
      </w:r>
      <w:r>
        <w:rPr>
          <w:rFonts w:ascii="宋体" w:hAnsi="宋体" w:cs="宋体" w:eastAsia="宋体" w:hint="default"/>
        </w:rPr>
        <w:t>2014</w:t>
      </w:r>
      <w:r>
        <w:rPr/>
        <w:t>年</w:t>
      </w:r>
      <w:r>
        <w:rPr>
          <w:rFonts w:ascii="宋体" w:hAnsi="宋体" w:cs="宋体" w:eastAsia="宋体" w:hint="default"/>
        </w:rPr>
        <w:t>7 </w:t>
      </w:r>
      <w:r>
        <w:rPr/>
        <w:t>月</w:t>
      </w:r>
      <w:r>
        <w:rPr>
          <w:rFonts w:ascii="宋体" w:hAnsi="宋体" w:cs="宋体" w:eastAsia="宋体" w:hint="default"/>
        </w:rPr>
        <w:t>1</w:t>
      </w:r>
      <w:r>
        <w:rPr/>
        <w:t>日起在所有执行企业会计准则的企业范围内施行，鼓励在境外上市的企业提前执行。同时，财政部以财会</w:t>
      </w:r>
      <w:r>
        <w:rPr>
          <w:rFonts w:ascii="宋体" w:hAnsi="宋体" w:cs="宋体" w:eastAsia="宋体" w:hint="default"/>
        </w:rPr>
        <w:t>[2014]23</w:t>
      </w:r>
      <w:r>
        <w:rPr/>
        <w:t>号发</w:t>
      </w:r>
      <w:r>
        <w:rPr>
          <w:spacing w:val="-3"/>
        </w:rPr>
        <w:t> </w:t>
      </w:r>
      <w:r>
        <w:rPr>
          <w:spacing w:val="-2"/>
        </w:rPr>
        <w:t>布了《企业会计准则第</w:t>
      </w:r>
      <w:r>
        <w:rPr>
          <w:rFonts w:ascii="宋体" w:hAnsi="宋体" w:cs="宋体" w:eastAsia="宋体" w:hint="default"/>
          <w:spacing w:val="-2"/>
        </w:rPr>
        <w:t>37</w:t>
      </w:r>
      <w:r>
        <w:rPr>
          <w:spacing w:val="-2"/>
        </w:rPr>
        <w:t>号——金融工具列报（</w:t>
      </w:r>
      <w:r>
        <w:rPr>
          <w:rFonts w:ascii="宋体" w:hAnsi="宋体" w:cs="宋体" w:eastAsia="宋体" w:hint="default"/>
          <w:spacing w:val="-2"/>
        </w:rPr>
        <w:t>2014</w:t>
      </w:r>
      <w:r>
        <w:rPr>
          <w:spacing w:val="-2"/>
        </w:rPr>
        <w:t>年修订）》（以下简称“金融工具列报准则”），要求在</w:t>
      </w:r>
      <w:r>
        <w:rPr>
          <w:rFonts w:ascii="宋体" w:hAnsi="宋体" w:cs="宋体" w:eastAsia="宋体" w:hint="default"/>
          <w:spacing w:val="-2"/>
        </w:rPr>
        <w:t>2014</w:t>
      </w:r>
      <w:r>
        <w:rPr>
          <w:spacing w:val="-2"/>
        </w:rPr>
        <w:t>年年度及</w:t>
      </w:r>
      <w:r>
        <w:rPr>
          <w:spacing w:val="-62"/>
        </w:rPr>
        <w:t> </w:t>
      </w:r>
      <w:r>
        <w:rPr>
          <w:spacing w:val="-62"/>
        </w:rPr>
      </w:r>
      <w:r>
        <w:rPr/>
        <w:t>以后期间的财务报告中按照该准则的要求对金融工具进行列报。</w:t>
      </w:r>
    </w:p>
    <w:p>
      <w:pPr>
        <w:pStyle w:val="BodyText"/>
        <w:spacing w:line="316" w:lineRule="auto" w:before="17"/>
        <w:ind w:right="156" w:firstLine="360"/>
        <w:jc w:val="both"/>
      </w:pPr>
      <w:r>
        <w:rPr/>
        <w:t>本公司于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日开始执行前述除金融工具列报准则以外的</w:t>
      </w:r>
      <w:r>
        <w:rPr>
          <w:rFonts w:ascii="宋体" w:hAnsi="宋体" w:cs="宋体" w:eastAsia="宋体" w:hint="default"/>
        </w:rPr>
        <w:t>7</w:t>
      </w:r>
      <w:r>
        <w:rPr/>
        <w:t>项新颁布或修订的企业会计准则，在编制</w:t>
      </w:r>
      <w:r>
        <w:rPr>
          <w:rFonts w:ascii="宋体" w:hAnsi="宋体" w:cs="宋体" w:eastAsia="宋体" w:hint="default"/>
        </w:rPr>
        <w:t>2014</w:t>
      </w:r>
      <w:r>
        <w:rPr/>
        <w:t>年年度 财务报告时开始执行金融工具列报准则。</w:t>
      </w:r>
    </w:p>
    <w:p>
      <w:pPr>
        <w:pStyle w:val="BodyText"/>
        <w:spacing w:line="316" w:lineRule="auto"/>
        <w:ind w:right="150" w:firstLine="360"/>
        <w:jc w:val="both"/>
      </w:pPr>
      <w:r>
        <w:rPr>
          <w:spacing w:val="-2"/>
        </w:rPr>
        <w:t>由于上述会计政策变更，本公司将持有</w:t>
      </w:r>
      <w:r>
        <w:rPr>
          <w:rFonts w:ascii="宋体" w:hAnsi="宋体" w:cs="宋体" w:eastAsia="宋体" w:hint="default"/>
          <w:spacing w:val="-2"/>
        </w:rPr>
        <w:t>5%</w:t>
      </w:r>
      <w:r>
        <w:rPr>
          <w:spacing w:val="-2"/>
        </w:rPr>
        <w:t>股份的北京亚太中立信息技术有限公司的列报由长期股权投资调整至可供出售</w:t>
      </w:r>
      <w:r>
        <w:rPr/>
        <w:t> </w:t>
      </w:r>
      <w:r>
        <w:rPr>
          <w:spacing w:val="-2"/>
        </w:rPr>
        <w:t>金融资产，并追溯调整前期比较报表；将其他非流动负债中与资产相关的政府补助调整到递延收益，并追溯调整前期比较报</w:t>
      </w:r>
      <w:r>
        <w:rPr>
          <w:spacing w:val="-63"/>
        </w:rPr>
        <w:t> </w:t>
      </w:r>
      <w:r>
        <w:rPr>
          <w:spacing w:val="-63"/>
        </w:rPr>
      </w:r>
      <w:r>
        <w:rPr/>
        <w:t>表。</w:t>
      </w:r>
    </w:p>
    <w:p>
      <w:pPr>
        <w:spacing w:line="240" w:lineRule="auto" w:before="11"/>
        <w:rPr>
          <w:rFonts w:ascii="宋体" w:hAnsi="宋体" w:cs="宋体" w:eastAsia="宋体" w:hint="default"/>
          <w:sz w:val="20"/>
          <w:szCs w:val="20"/>
        </w:rPr>
      </w:pPr>
    </w:p>
    <w:p>
      <w:pPr>
        <w:pStyle w:val="Heading2"/>
        <w:spacing w:line="240" w:lineRule="auto" w:before="0"/>
        <w:ind w:right="329"/>
        <w:jc w:val="left"/>
        <w:rPr>
          <w:b w:val="0"/>
          <w:bCs w:val="0"/>
        </w:rPr>
      </w:pPr>
      <w:r>
        <w:rPr/>
        <w:t>四、公司利润分配及分红派息情况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29"/>
        <w:jc w:val="left"/>
      </w:pPr>
      <w:r>
        <w:rPr/>
        <w:t>报告期内利润分配政策特别是现金分红政策的制定、执行或调整情况</w:t>
      </w:r>
    </w:p>
    <w:p>
      <w:pPr>
        <w:pStyle w:val="BodyText"/>
        <w:spacing w:line="340" w:lineRule="auto" w:before="115"/>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w:t>
      </w:r>
      <w:r>
        <w:rPr>
          <w:rFonts w:ascii="Times New Roman" w:hAnsi="Times New Roman" w:cs="Times New Roman" w:eastAsia="Times New Roman" w:hint="default"/>
          <w:spacing w:val="-1"/>
        </w:rPr>
        <w:t>2013</w:t>
      </w:r>
      <w:r>
        <w:rPr>
          <w:spacing w:val="-1"/>
        </w:rPr>
        <w:t>年度利润分配及资本公积转增股本的方案为：以截至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17</w:t>
      </w:r>
      <w:r>
        <w:rPr>
          <w:spacing w:val="-1"/>
        </w:rPr>
        <w:t>日公司总股本</w:t>
      </w:r>
      <w:r>
        <w:rPr>
          <w:rFonts w:ascii="Times New Roman" w:hAnsi="Times New Roman" w:cs="Times New Roman" w:eastAsia="Times New Roman" w:hint="default"/>
          <w:spacing w:val="-1"/>
        </w:rPr>
        <w:t>5,458</w:t>
      </w:r>
      <w:r>
        <w:rPr>
          <w:spacing w:val="-1"/>
        </w:rPr>
        <w:t>万股为基数，向全体股东</w:t>
      </w:r>
    </w:p>
    <w:p>
      <w:pPr>
        <w:pStyle w:val="BodyText"/>
        <w:spacing w:line="228" w:lineRule="exact" w:before="0"/>
        <w:ind w:right="0"/>
        <w:jc w:val="left"/>
      </w:pP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w:t>
      </w:r>
      <w:r>
        <w:rPr/>
        <w:t>元人民币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；同时进行资本公积转增股本，以公司总股本</w:t>
      </w:r>
      <w:r>
        <w:rPr>
          <w:rFonts w:ascii="Times New Roman" w:hAnsi="Times New Roman" w:cs="Times New Roman" w:eastAsia="Times New Roman" w:hint="default"/>
        </w:rPr>
        <w:t>5,458</w:t>
      </w:r>
      <w:r>
        <w:rPr/>
        <w:t>万股为基数，向全体股东每</w:t>
      </w:r>
      <w:r>
        <w:rPr>
          <w:rFonts w:ascii="Times New Roman" w:hAnsi="Times New Roman" w:cs="Times New Roman" w:eastAsia="Times New Roman" w:hint="default"/>
        </w:rPr>
        <w:t>10</w:t>
      </w:r>
      <w:r>
        <w:rPr/>
        <w:t>股转</w:t>
      </w:r>
    </w:p>
    <w:p>
      <w:pPr>
        <w:pStyle w:val="BodyText"/>
        <w:spacing w:line="240" w:lineRule="auto" w:before="63"/>
        <w:ind w:right="329"/>
        <w:jc w:val="left"/>
      </w:pPr>
      <w:r>
        <w:rPr/>
        <w:t>增</w:t>
      </w:r>
      <w:r>
        <w:rPr>
          <w:rFonts w:ascii="Times New Roman" w:hAnsi="Times New Roman" w:cs="Times New Roman" w:eastAsia="Times New Roman" w:hint="default"/>
        </w:rPr>
        <w:t>10</w:t>
      </w:r>
      <w:r>
        <w:rPr/>
        <w:t>股，转增后公司总股本增加至</w:t>
      </w:r>
      <w:r>
        <w:rPr>
          <w:rFonts w:ascii="Times New Roman" w:hAnsi="Times New Roman" w:cs="Times New Roman" w:eastAsia="Times New Roman" w:hint="default"/>
        </w:rPr>
        <w:t>10,916</w:t>
      </w:r>
      <w:r>
        <w:rPr/>
        <w:t>万股。该利润分配方案已于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日实施完毕。</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329"/>
        <w:jc w:val="left"/>
      </w:pPr>
      <w:r>
        <w:rPr/>
        <w:t>公司报告期利润分配预案及资本公积金转增股本预案与公司章程和分红管理办法等的相关规定一致</w:t>
      </w:r>
    </w:p>
    <w:p>
      <w:pPr>
        <w:pStyle w:val="BodyText"/>
        <w:spacing w:line="348" w:lineRule="auto" w:before="117"/>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32,748,000.00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87,708,415.36</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万股为基数，</w:t>
            </w:r>
            <w:r>
              <w:rPr>
                <w:rFonts w:ascii="宋体" w:hAnsi="宋体" w:cs="宋体" w:eastAsia="宋体" w:hint="default"/>
                <w:spacing w:val="-3"/>
                <w:sz w:val="18"/>
                <w:szCs w:val="18"/>
              </w:rPr>
              <w:t>向</w:t>
            </w:r>
            <w:r>
              <w:rPr>
                <w:rFonts w:ascii="宋体" w:hAnsi="宋体" w:cs="宋体" w:eastAsia="宋体" w:hint="default"/>
                <w:sz w:val="18"/>
                <w:szCs w:val="18"/>
              </w:rPr>
              <w:t>全体东每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2"/>
                <w:sz w:val="18"/>
                <w:szCs w:val="18"/>
              </w:rPr>
              <w:t>）</w:t>
            </w:r>
            <w:r>
              <w:rPr>
                <w:rFonts w:ascii="宋体" w:hAnsi="宋体" w:cs="宋体" w:eastAsia="宋体" w:hint="default"/>
                <w:sz w:val="18"/>
                <w:szCs w:val="18"/>
              </w:rPr>
              <w:t>；同时进行</w:t>
            </w:r>
          </w:p>
          <w:p>
            <w:pPr>
              <w:pStyle w:val="TableParagraph"/>
              <w:spacing w:line="240" w:lineRule="auto" w:before="60"/>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资本公积转增股本，以公司总股本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10,916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万股为基数，向全体股东每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股转增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27,290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万股。</w:t>
            </w:r>
          </w:p>
        </w:tc>
      </w:tr>
    </w:tbl>
    <w:p>
      <w:pPr>
        <w:pStyle w:val="BodyText"/>
        <w:spacing w:line="338" w:lineRule="auto" w:before="49"/>
        <w:ind w:left="513" w:right="0" w:hanging="361"/>
        <w:jc w:val="left"/>
      </w:pPr>
      <w:r>
        <w:rPr/>
        <w:t>公司近</w:t>
      </w:r>
      <w:r>
        <w:rPr>
          <w:spacing w:val="-44"/>
        </w:rPr>
        <w:t> </w:t>
      </w:r>
      <w:r>
        <w:rPr>
          <w:rFonts w:ascii="Times New Roman" w:hAnsi="Times New Roman" w:cs="Times New Roman" w:eastAsia="Times New Roman" w:hint="default"/>
        </w:rPr>
        <w:t>3 </w:t>
      </w:r>
      <w:r>
        <w:rPr/>
        <w:t>年（含报告期）的利润分配方案及资本公积金转增股本方案情况 </w:t>
      </w:r>
      <w:r>
        <w:rPr>
          <w:rFonts w:ascii="宋体" w:hAnsi="宋体" w:cs="宋体" w:eastAsia="宋体" w:hint="default"/>
          <w:spacing w:val="-2"/>
        </w:rPr>
        <w:t>1</w:t>
      </w:r>
      <w:r>
        <w:rPr>
          <w:spacing w:val="-2"/>
        </w:rPr>
        <w:t>、</w:t>
      </w:r>
      <w:r>
        <w:rPr>
          <w:rFonts w:ascii="宋体" w:hAnsi="宋体" w:cs="宋体" w:eastAsia="宋体" w:hint="default"/>
          <w:spacing w:val="-2"/>
        </w:rPr>
        <w:t>2014</w:t>
      </w:r>
      <w:r>
        <w:rPr>
          <w:spacing w:val="-2"/>
        </w:rPr>
        <w:t>年度利润分配预案：以截至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10,916</w:t>
      </w:r>
      <w:r>
        <w:rPr>
          <w:spacing w:val="-2"/>
        </w:rPr>
        <w:t>万股为基数，向全体东每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3</w:t>
      </w:r>
      <w:r>
        <w:rPr>
          <w:spacing w:val="-2"/>
        </w:rPr>
        <w:t>元人</w:t>
      </w:r>
    </w:p>
    <w:p>
      <w:pPr>
        <w:pStyle w:val="BodyText"/>
        <w:spacing w:line="316" w:lineRule="auto" w:before="2"/>
        <w:ind w:right="0"/>
        <w:jc w:val="left"/>
      </w:pPr>
      <w:r>
        <w:rPr>
          <w:spacing w:val="-2"/>
        </w:rPr>
        <w:t>民币（含税）；同时进行资本公积转增股本，以公司总股本</w:t>
      </w:r>
      <w:r>
        <w:rPr>
          <w:rFonts w:ascii="宋体" w:hAnsi="宋体" w:cs="宋体" w:eastAsia="宋体" w:hint="default"/>
          <w:spacing w:val="-2"/>
        </w:rPr>
        <w:t>10,916</w:t>
      </w:r>
      <w:r>
        <w:rPr>
          <w:spacing w:val="-2"/>
        </w:rPr>
        <w:t>万股为基数，向全体股东每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15</w:t>
      </w:r>
      <w:r>
        <w:rPr>
          <w:spacing w:val="-2"/>
        </w:rPr>
        <w:t>股，转增后公司总</w:t>
      </w:r>
      <w:r>
        <w:rPr>
          <w:spacing w:val="-61"/>
        </w:rPr>
        <w:t> </w:t>
      </w:r>
      <w:r>
        <w:rPr>
          <w:spacing w:val="-61"/>
        </w:rPr>
      </w:r>
      <w:r>
        <w:rPr/>
        <w:t>股本将增加至</w:t>
      </w:r>
      <w:r>
        <w:rPr>
          <w:rFonts w:ascii="宋体" w:hAnsi="宋体" w:cs="宋体" w:eastAsia="宋体" w:hint="default"/>
        </w:rPr>
        <w:t>27,290</w:t>
      </w:r>
      <w:r>
        <w:rPr/>
        <w:t>万股。</w:t>
      </w:r>
    </w:p>
    <w:p>
      <w:pPr>
        <w:pStyle w:val="BodyText"/>
        <w:spacing w:line="319" w:lineRule="auto"/>
        <w:ind w:right="146"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2013</w:t>
      </w:r>
      <w:r>
        <w:rPr>
          <w:spacing w:val="-2"/>
        </w:rPr>
        <w:t>年度利润分配方案：以截至</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17</w:t>
      </w:r>
      <w:r>
        <w:rPr>
          <w:spacing w:val="-2"/>
        </w:rPr>
        <w:t>日公司总股本</w:t>
      </w:r>
      <w:r>
        <w:rPr>
          <w:rFonts w:ascii="宋体" w:hAnsi="宋体" w:cs="宋体" w:eastAsia="宋体" w:hint="default"/>
          <w:spacing w:val="-2"/>
        </w:rPr>
        <w:t>5,458</w:t>
      </w:r>
      <w:r>
        <w:rPr>
          <w:spacing w:val="-2"/>
        </w:rPr>
        <w:t>万股为基数，向全体股东每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3</w:t>
      </w:r>
      <w:r>
        <w:rPr>
          <w:spacing w:val="-2"/>
        </w:rPr>
        <w:t>元人</w:t>
      </w:r>
      <w:r>
        <w:rPr/>
        <w:t> 民币</w:t>
      </w:r>
      <w:r>
        <w:rPr>
          <w:rFonts w:ascii="宋体" w:hAnsi="宋体" w:cs="宋体" w:eastAsia="宋体" w:hint="default"/>
        </w:rPr>
        <w:t>(</w:t>
      </w:r>
      <w:r>
        <w:rPr/>
        <w:t>含税</w:t>
      </w:r>
      <w:r>
        <w:rPr>
          <w:rFonts w:ascii="宋体" w:hAnsi="宋体" w:cs="宋体" w:eastAsia="宋体" w:hint="default"/>
        </w:rPr>
        <w:t>)</w:t>
      </w:r>
      <w:r>
        <w:rPr/>
        <w:t>；同时进行资本公积转增股本，以公司总股本</w:t>
      </w:r>
      <w:r>
        <w:rPr>
          <w:rFonts w:ascii="宋体" w:hAnsi="宋体" w:cs="宋体" w:eastAsia="宋体" w:hint="default"/>
        </w:rPr>
        <w:t>5,458</w:t>
      </w:r>
      <w:r>
        <w:rPr/>
        <w:t>万股为基数，向全体股东每</w:t>
      </w:r>
      <w:r>
        <w:rPr>
          <w:rFonts w:ascii="宋体" w:hAnsi="宋体" w:cs="宋体" w:eastAsia="宋体" w:hint="default"/>
        </w:rPr>
        <w:t>10</w:t>
      </w:r>
      <w:r>
        <w:rPr/>
        <w:t>股转增</w:t>
      </w:r>
      <w:r>
        <w:rPr>
          <w:rFonts w:ascii="宋体" w:hAnsi="宋体" w:cs="宋体" w:eastAsia="宋体" w:hint="default"/>
        </w:rPr>
        <w:t>10</w:t>
      </w:r>
      <w:r>
        <w:rPr/>
        <w:t>股，转增后公司总股 本将增加至</w:t>
      </w:r>
      <w:r>
        <w:rPr>
          <w:rFonts w:ascii="宋体" w:hAnsi="宋体" w:cs="宋体" w:eastAsia="宋体" w:hint="default"/>
        </w:rPr>
        <w:t>10,916</w:t>
      </w:r>
      <w:r>
        <w:rPr/>
        <w:t>万股。</w:t>
      </w:r>
    </w:p>
    <w:p>
      <w:pPr>
        <w:pStyle w:val="BodyText"/>
        <w:spacing w:line="316" w:lineRule="auto" w:before="17"/>
        <w:ind w:right="153" w:firstLine="360"/>
        <w:jc w:val="both"/>
      </w:pPr>
      <w:r>
        <w:rPr>
          <w:rFonts w:ascii="宋体" w:hAnsi="宋体" w:cs="宋体" w:eastAsia="宋体" w:hint="default"/>
        </w:rPr>
        <w:t>3</w:t>
      </w:r>
      <w:r>
        <w:rPr/>
        <w:t>、</w:t>
      </w:r>
      <w:r>
        <w:rPr>
          <w:rFonts w:ascii="宋体" w:hAnsi="宋体" w:cs="宋体" w:eastAsia="宋体" w:hint="default"/>
        </w:rPr>
        <w:t>2012</w:t>
      </w:r>
      <w:r>
        <w:rPr/>
        <w:t>年度利润分配方案：按</w:t>
      </w:r>
      <w:r>
        <w:rPr>
          <w:rFonts w:ascii="宋体" w:hAnsi="宋体" w:cs="宋体" w:eastAsia="宋体" w:hint="default"/>
        </w:rPr>
        <w:t>2012</w:t>
      </w:r>
      <w:r>
        <w:rPr/>
        <w:t>年度实现的可供分配利润的</w:t>
      </w:r>
      <w:r>
        <w:rPr>
          <w:rFonts w:ascii="宋体" w:hAnsi="宋体" w:cs="宋体" w:eastAsia="宋体" w:hint="default"/>
        </w:rPr>
        <w:t>20</w:t>
      </w:r>
      <w:r>
        <w:rPr/>
        <w:t>％比例进行现金分红，每</w:t>
      </w:r>
      <w:r>
        <w:rPr>
          <w:rFonts w:ascii="宋体" w:hAnsi="宋体" w:cs="宋体" w:eastAsia="宋体" w:hint="default"/>
        </w:rPr>
        <w:t>10</w:t>
      </w:r>
      <w:r>
        <w:rPr/>
        <w:t>股派现金红利</w:t>
      </w:r>
      <w:r>
        <w:rPr>
          <w:rFonts w:ascii="宋体" w:hAnsi="宋体" w:cs="宋体" w:eastAsia="宋体" w:hint="default"/>
        </w:rPr>
        <w:t>2.24</w:t>
      </w:r>
      <w:r>
        <w:rPr/>
        <w:t>元（含 税）。</w:t>
      </w:r>
    </w:p>
    <w:p>
      <w:pPr>
        <w:spacing w:line="240" w:lineRule="auto" w:before="12"/>
        <w:rPr>
          <w:rFonts w:ascii="宋体" w:hAnsi="宋体" w:cs="宋体" w:eastAsia="宋体" w:hint="default"/>
          <w:sz w:val="21"/>
          <w:szCs w:val="21"/>
        </w:rPr>
      </w:pPr>
    </w:p>
    <w:p>
      <w:pPr>
        <w:pStyle w:val="BodyText"/>
        <w:spacing w:line="240" w:lineRule="auto" w:before="44"/>
        <w:ind w:right="329"/>
        <w:jc w:val="left"/>
      </w:pPr>
      <w:r>
        <w:rPr/>
        <w:t>公司近三年现金分红情况表</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31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0"/>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95,184,364.67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34.40%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67,264,610.13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24.34%</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10,259,200.00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55,381,999.94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18.52%</w:t>
            </w:r>
          </w:p>
        </w:tc>
      </w:tr>
    </w:tbl>
    <w:p>
      <w:pPr>
        <w:pStyle w:val="BodyText"/>
        <w:spacing w:line="240" w:lineRule="auto" w:before="49"/>
        <w:ind w:right="329"/>
        <w:jc w:val="left"/>
      </w:pPr>
      <w:r>
        <w:rPr/>
        <w:t>公司报告期内盈利且母公司未分配利润为正但未提出现金红利分配预案</w:t>
      </w:r>
    </w:p>
    <w:p>
      <w:pPr>
        <w:pStyle w:val="BodyText"/>
        <w:spacing w:line="240" w:lineRule="auto" w:before="115"/>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before="0"/>
        <w:ind w:right="329"/>
        <w:jc w:val="left"/>
        <w:rPr>
          <w:b w:val="0"/>
          <w:bCs w:val="0"/>
        </w:rPr>
      </w:pPr>
      <w:r>
        <w:rPr/>
        <w:t>五、内幕信息知情人管理制度的建立和执行情况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513" w:right="143"/>
        <w:jc w:val="left"/>
      </w:pPr>
      <w:r>
        <w:rPr/>
        <w:t>（一）内幕信息知情人管理制度的制定情况 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日上市以来，非常注重内幕交易防控工作，现行与之相关的制度主要包括：《内幕信息知情人登记</w:t>
      </w:r>
    </w:p>
    <w:p>
      <w:pPr>
        <w:pStyle w:val="BodyText"/>
        <w:spacing w:line="309" w:lineRule="auto" w:before="0"/>
        <w:ind w:right="0"/>
        <w:jc w:val="left"/>
      </w:pPr>
      <w:r>
        <w:rPr>
          <w:spacing w:val="-2"/>
        </w:rPr>
        <w:t>管理制度》、《重大信息内部报告制度》、《外部信息使用人管理制度》、《信息披露事务管理制度》等。报告期内，公司</w:t>
      </w:r>
      <w:r>
        <w:rPr>
          <w:spacing w:val="-69"/>
        </w:rPr>
        <w:t> </w:t>
      </w:r>
      <w:r>
        <w:rPr>
          <w:spacing w:val="-69"/>
        </w:rPr>
      </w:r>
      <w:r>
        <w:rPr/>
        <w:t>召开第二届董事会</w:t>
      </w:r>
      <w:r>
        <w:rPr>
          <w:rFonts w:ascii="Times New Roman" w:hAnsi="Times New Roman" w:cs="Times New Roman" w:eastAsia="Times New Roman" w:hint="default"/>
        </w:rPr>
        <w:t>2014</w:t>
      </w:r>
      <w:r>
        <w:rPr/>
        <w:t>年第四次会议，审议通过了《关于修订</w:t>
      </w:r>
      <w:r>
        <w:rPr>
          <w:rFonts w:ascii="Times New Roman" w:hAnsi="Times New Roman" w:cs="Times New Roman" w:eastAsia="Times New Roman" w:hint="default"/>
        </w:rPr>
        <w:t>&lt;</w:t>
      </w:r>
      <w:r>
        <w:rPr/>
        <w:t>内幕信息知情人登记管理制度</w:t>
      </w:r>
      <w:r>
        <w:rPr>
          <w:rFonts w:ascii="Times New Roman" w:hAnsi="Times New Roman" w:cs="Times New Roman" w:eastAsia="Times New Roman" w:hint="default"/>
        </w:rPr>
        <w:t>&gt;</w:t>
      </w:r>
      <w:r>
        <w:rPr/>
        <w:t>的议案》，从制度层面进一 步完善对公司内幕信息的管理。</w:t>
      </w:r>
    </w:p>
    <w:p>
      <w:pPr>
        <w:spacing w:after="0" w:line="309"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r>
        <w:rPr/>
        <w:pict>
          <v:group style="position:absolute;margin-left:432.309998pt;margin-top:542.829956pt;width:101.55pt;height:15.6pt;mso-position-horizontal-relative:page;mso-position-vertical-relative:page;z-index:-1029328" coordorigin="8646,10857" coordsize="2031,312">
            <v:shape style="position:absolute;left:8646;top:10857;width:2031;height:312" coordorigin="8646,10857" coordsize="2031,312" path="m8646,11169l10677,11169,10677,10857,8646,10857,8646,11169xe" filled="true" fillcolor="#ffffff" stroked="false">
              <v:path arrowok="t"/>
              <v:fill type="solid"/>
            </v:shape>
            <w10:wrap type="none"/>
          </v:group>
        </w:pict>
      </w:r>
      <w:r>
        <w:rPr/>
        <w:pict>
          <v:group style="position:absolute;margin-left:432.309998pt;margin-top:625.419983pt;width:101.55pt;height:31.1pt;mso-position-horizontal-relative:page;mso-position-vertical-relative:page;z-index:-1029304" coordorigin="8646,12508" coordsize="2031,622">
            <v:group style="position:absolute;left:8646;top:12508;width:2031;height:312" coordorigin="8646,12508" coordsize="2031,312">
              <v:shape style="position:absolute;left:8646;top:12508;width:2031;height:312" coordorigin="8646,12508" coordsize="2031,312" path="m8646,12820l10677,12820,10677,12508,8646,12508,8646,12820xe" filled="true" fillcolor="#ffffff" stroked="false">
                <v:path arrowok="t"/>
                <v:fill type="solid"/>
              </v:shape>
            </v:group>
            <v:group style="position:absolute;left:8646;top:12820;width:2031;height:310" coordorigin="8646,12820" coordsize="2031,310">
              <v:shape style="position:absolute;left:8646;top:12820;width:2031;height:310" coordorigin="8646,12820" coordsize="2031,310" path="m8646,13130l10677,13130,10677,12820,8646,12820,8646,13130xe" filled="true" fillcolor="#ffffff" stroked="false">
                <v:path arrowok="t"/>
                <v:fill type="solid"/>
              </v:shape>
            </v:group>
            <w10:wrap type="none"/>
          </v:group>
        </w:pict>
      </w:r>
    </w:p>
    <w:p>
      <w:pPr>
        <w:pStyle w:val="BodyText"/>
        <w:spacing w:line="240" w:lineRule="auto" w:before="44"/>
        <w:ind w:left="513" w:right="89"/>
        <w:jc w:val="left"/>
      </w:pPr>
      <w:r>
        <w:rPr/>
        <w:t>（二）内幕信息知情人管理制度的执行</w:t>
      </w:r>
    </w:p>
    <w:p>
      <w:pPr>
        <w:pStyle w:val="BodyText"/>
        <w:spacing w:line="300" w:lineRule="auto" w:before="76"/>
        <w:ind w:left="441" w:right="89" w:firstLine="72"/>
        <w:jc w:val="left"/>
      </w:pPr>
      <w:r>
        <w:rPr>
          <w:rFonts w:ascii="Times New Roman" w:hAnsi="Times New Roman" w:cs="Times New Roman" w:eastAsia="Times New Roman" w:hint="default"/>
        </w:rPr>
        <w:t>1</w:t>
      </w:r>
      <w:r>
        <w:rPr/>
        <w:t>、定期报告披露期间的信息保密工作 </w:t>
      </w:r>
      <w:r>
        <w:rPr>
          <w:spacing w:val="-1"/>
        </w:rPr>
        <w:t>报告期内，公司严格执行内幕信息保密制度，规范信息传递流程。在定期报告披露期间，对于未公开信息，公司董事会</w:t>
      </w:r>
    </w:p>
    <w:p>
      <w:pPr>
        <w:pStyle w:val="BodyText"/>
        <w:spacing w:line="316" w:lineRule="auto" w:before="31"/>
        <w:ind w:right="193"/>
        <w:jc w:val="both"/>
      </w:pPr>
      <w:r>
        <w:rPr>
          <w:spacing w:val="-2"/>
        </w:rPr>
        <w:t>办公室都严格控制知情人范围并组织相关内幕信息知情人签订保密协议、填写《内幕信息知情人登记表》，如实、完整地记</w:t>
      </w:r>
      <w:r>
        <w:rPr>
          <w:spacing w:val="-65"/>
        </w:rPr>
        <w:t> </w:t>
      </w:r>
      <w:r>
        <w:rPr>
          <w:spacing w:val="-65"/>
        </w:rPr>
      </w:r>
      <w:r>
        <w:rPr>
          <w:spacing w:val="-2"/>
        </w:rPr>
        <w:t>录上述信息在公开前的所有内幕信息知情人名单，以及获悉内幕信息的时间等。经公司证券部核实无误后按照相关法规规定</w:t>
      </w:r>
      <w:r>
        <w:rPr>
          <w:spacing w:val="-64"/>
        </w:rPr>
        <w:t> </w:t>
      </w:r>
      <w:r>
        <w:rPr>
          <w:spacing w:val="-64"/>
        </w:rPr>
      </w:r>
      <w:r>
        <w:rPr/>
        <w:t>在向深交所和证监局报送本次定期报告相关资料的同时备案内幕信息知情人登记情况。</w:t>
      </w:r>
    </w:p>
    <w:p>
      <w:pPr>
        <w:pStyle w:val="BodyText"/>
        <w:spacing w:line="300" w:lineRule="auto"/>
        <w:ind w:left="513" w:right="89"/>
        <w:jc w:val="left"/>
      </w:pPr>
      <w:r>
        <w:rPr>
          <w:rFonts w:ascii="Times New Roman" w:hAnsi="Times New Roman" w:cs="Times New Roman" w:eastAsia="Times New Roman" w:hint="default"/>
        </w:rPr>
        <w:t>2</w:t>
      </w:r>
      <w:r>
        <w:rPr/>
        <w:t>、投资者调研期间的信息保密工作 </w:t>
      </w:r>
      <w:r>
        <w:rPr>
          <w:spacing w:val="-2"/>
        </w:rPr>
        <w:t>在定期报告及重大事项披露期间，公司严格执行相关规定，避免接待投资者调研，做好定期报告及重大事项披露期间的</w:t>
      </w:r>
    </w:p>
    <w:p>
      <w:pPr>
        <w:pStyle w:val="BodyText"/>
        <w:spacing w:line="316" w:lineRule="auto" w:before="31"/>
        <w:ind w:right="94"/>
        <w:jc w:val="left"/>
      </w:pPr>
      <w:r>
        <w:rPr>
          <w:spacing w:val="-2"/>
        </w:rPr>
        <w:t>信息保密工作。在日常接待投资者调研时，公司证券事务部负责履行相关的信息保密工作程序。在进行调研前，对调研人员</w:t>
      </w:r>
      <w:r>
        <w:rPr>
          <w:spacing w:val="-63"/>
        </w:rPr>
        <w:t> </w:t>
      </w:r>
      <w:r>
        <w:rPr>
          <w:spacing w:val="-63"/>
        </w:rPr>
      </w:r>
      <w:r>
        <w:rPr/>
        <w:t>的个人信息进行登记备案，并要求其签署调研承诺书，并承诺在对外出具报告前需经公司董事会秘书认可。在调研过程中， 证券事务部人员做好相关会议记录，并按照相关规定向深交所报备。</w:t>
      </w:r>
    </w:p>
    <w:p>
      <w:pPr>
        <w:pStyle w:val="BodyText"/>
        <w:spacing w:line="340" w:lineRule="auto"/>
        <w:ind w:left="441" w:right="89" w:firstLine="72"/>
        <w:jc w:val="left"/>
      </w:pPr>
      <w:r>
        <w:rPr>
          <w:rFonts w:ascii="Times New Roman" w:hAnsi="Times New Roman" w:cs="Times New Roman" w:eastAsia="Times New Roman" w:hint="default"/>
        </w:rPr>
        <w:t>3</w:t>
      </w:r>
      <w:r>
        <w:rPr/>
        <w:t>、其他重大事件的信息保密工作 </w:t>
      </w:r>
      <w:r>
        <w:rPr>
          <w:spacing w:val="-1"/>
        </w:rPr>
        <w:t>在其他重大事项未披露前，公司及相关信息披露义务人采取保密措施并充分履行了信息保密的告知义务，以保证信息处</w:t>
      </w:r>
    </w:p>
    <w:p>
      <w:pPr>
        <w:pStyle w:val="BodyText"/>
        <w:spacing w:line="240" w:lineRule="auto" w:before="1"/>
        <w:ind w:right="89"/>
        <w:jc w:val="left"/>
      </w:pPr>
      <w:r>
        <w:rPr/>
        <w:t>于可控范围。</w:t>
      </w:r>
    </w:p>
    <w:p>
      <w:pPr>
        <w:pStyle w:val="BodyText"/>
        <w:spacing w:line="360" w:lineRule="auto" w:before="115"/>
        <w:ind w:left="513" w:right="89" w:hanging="72"/>
        <w:jc w:val="left"/>
      </w:pPr>
      <w:r>
        <w:rPr/>
        <w:t>（三）报告期内自查内幕信息知情人涉嫌内幕交易以及监管部门的查处和整改情况 </w:t>
      </w:r>
      <w:r>
        <w:rPr>
          <w:spacing w:val="-2"/>
        </w:rPr>
        <w:t>报告期内，公司董事、监事、高级管理人员及其他相关知情人严格遵守了内幕信息知情人管理制度的相关规定，未发现</w:t>
      </w:r>
    </w:p>
    <w:p>
      <w:pPr>
        <w:pStyle w:val="BodyText"/>
        <w:spacing w:line="222" w:lineRule="exact" w:before="0"/>
        <w:ind w:right="89"/>
        <w:jc w:val="left"/>
      </w:pPr>
      <w:r>
        <w:rPr/>
        <w:t>有内幕信息知情人利用内幕信息买卖本公司股票的情形。报告期内，公司未发生受到监管部门查处和整改的情形。</w:t>
      </w:r>
    </w:p>
    <w:p>
      <w:pPr>
        <w:spacing w:line="240" w:lineRule="auto" w:before="3"/>
        <w:rPr>
          <w:rFonts w:ascii="宋体" w:hAnsi="宋体" w:cs="宋体" w:eastAsia="宋体" w:hint="default"/>
          <w:sz w:val="25"/>
          <w:szCs w:val="25"/>
        </w:rPr>
      </w:pPr>
    </w:p>
    <w:p>
      <w:pPr>
        <w:pStyle w:val="Heading2"/>
        <w:spacing w:line="240" w:lineRule="auto" w:before="0"/>
        <w:ind w:right="89"/>
        <w:jc w:val="left"/>
        <w:rPr>
          <w:b w:val="0"/>
          <w:bCs w:val="0"/>
        </w:rPr>
      </w:pPr>
      <w:r>
        <w:rPr/>
        <w:t>六、报告期内接待调研、沟通、采访等活动登记表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广发证券、北京富 海华通进出口有限 公司、北京汇中源 投资管理有限公司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对公司年报内容进行沟 通，了解公司未来发展规 划等。</w:t>
            </w:r>
          </w:p>
        </w:tc>
      </w:tr>
      <w:tr>
        <w:trPr>
          <w:trHeight w:val="196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41"/>
              <w:jc w:val="both"/>
              <w:rPr>
                <w:rFonts w:ascii="宋体" w:hAnsi="宋体" w:cs="宋体" w:eastAsia="宋体" w:hint="default"/>
                <w:sz w:val="18"/>
                <w:szCs w:val="18"/>
              </w:rPr>
            </w:pPr>
            <w:r>
              <w:rPr>
                <w:rFonts w:ascii="宋体" w:hAnsi="宋体" w:cs="宋体" w:eastAsia="宋体" w:hint="default"/>
                <w:sz w:val="18"/>
                <w:szCs w:val="18"/>
              </w:rPr>
              <w:t>中信证券、中邮创 </w:t>
            </w:r>
            <w:r>
              <w:rPr>
                <w:rFonts w:ascii="宋体" w:hAnsi="宋体" w:cs="宋体" w:eastAsia="宋体" w:hint="default"/>
                <w:spacing w:val="-14"/>
                <w:sz w:val="18"/>
                <w:szCs w:val="18"/>
              </w:rPr>
              <w:t>业基金、华夏基金、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博时基金、建信人</w:t>
            </w:r>
            <w:r>
              <w:rPr>
                <w:rFonts w:ascii="宋体" w:hAnsi="宋体" w:cs="宋体" w:eastAsia="宋体" w:hint="default"/>
                <w:sz w:val="18"/>
                <w:szCs w:val="18"/>
              </w:rPr>
              <w:t> 寿保险、诺德基金</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14"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年年报情况和公司 进行交流；对公司业务发 展情况进行交流；对公司 长期战略进行交流；对公 司所处行业情况进行交 流。</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
              <w:jc w:val="left"/>
              <w:rPr>
                <w:rFonts w:ascii="宋体" w:hAnsi="宋体" w:cs="宋体" w:eastAsia="宋体" w:hint="default"/>
                <w:sz w:val="18"/>
                <w:szCs w:val="18"/>
              </w:rPr>
            </w:pPr>
            <w:r>
              <w:rPr>
                <w:rFonts w:ascii="宋体" w:hAnsi="宋体" w:cs="宋体" w:eastAsia="宋体" w:hint="default"/>
                <w:sz w:val="18"/>
                <w:szCs w:val="18"/>
              </w:rPr>
              <w:t>东兴证券、华创证 </w:t>
            </w:r>
            <w:r>
              <w:rPr>
                <w:rFonts w:ascii="宋体" w:hAnsi="宋体" w:cs="宋体" w:eastAsia="宋体" w:hint="default"/>
                <w:spacing w:val="-12"/>
                <w:sz w:val="18"/>
                <w:szCs w:val="18"/>
              </w:rPr>
              <w:t>券、中信建投证券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国联安基金</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12" w:lineRule="exact" w:before="9"/>
              <w:ind w:left="16" w:right="17"/>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年年报情况和公司 进行交流；对公司业务发</w:t>
            </w:r>
          </w:p>
          <w:p>
            <w:pPr>
              <w:pStyle w:val="TableParagraph"/>
              <w:spacing w:line="7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展情况进行交流；对公司</w:t>
            </w:r>
          </w:p>
          <w:p>
            <w:pPr>
              <w:pStyle w:val="TableParagraph"/>
              <w:spacing w:line="240" w:lineRule="auto" w:before="74"/>
              <w:ind w:left="16" w:right="0"/>
              <w:jc w:val="left"/>
              <w:rPr>
                <w:rFonts w:ascii="宋体" w:hAnsi="宋体" w:cs="宋体" w:eastAsia="宋体" w:hint="default"/>
                <w:sz w:val="18"/>
                <w:szCs w:val="18"/>
              </w:rPr>
            </w:pPr>
            <w:r>
              <w:rPr>
                <w:rFonts w:ascii="宋体" w:hAnsi="宋体" w:cs="宋体" w:eastAsia="宋体" w:hint="default"/>
                <w:sz w:val="18"/>
                <w:szCs w:val="18"/>
              </w:rPr>
              <w:t>长期战略进行交流。</w:t>
            </w:r>
          </w:p>
        </w:tc>
      </w:tr>
      <w:tr>
        <w:trPr>
          <w:trHeight w:val="161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国信证券经济研究 所、海富通基金、 华商基金、北京源 乐晟资产管理有限 公司、银华基金、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2" w:lineRule="auto"/>
              <w:ind w:left="23" w:right="17"/>
              <w:jc w:val="both"/>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年年报情况和公司 进行交流；对公司业务发 展情况进行交流；对公司 长期战略进行交流。</w:t>
            </w:r>
          </w:p>
        </w:tc>
      </w:tr>
    </w:tbl>
    <w:p>
      <w:pPr>
        <w:spacing w:after="0" w:line="312" w:lineRule="auto"/>
        <w:jc w:val="both"/>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方正富邦基金</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国泰君安证券、华 商基金、国海富兰 克林基金、国海证 </w:t>
            </w:r>
            <w:r>
              <w:rPr>
                <w:rFonts w:ascii="宋体" w:hAnsi="宋体" w:cs="宋体" w:eastAsia="宋体" w:hint="default"/>
                <w:spacing w:val="-12"/>
                <w:sz w:val="18"/>
                <w:szCs w:val="18"/>
              </w:rPr>
              <w:t>券、天安财产保险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华夏基金、东方基 金、远策投资、英 大泰和财产保险、 宏源证券、易鑫安 资产管理有限公 司、中国银河投资 管理有限公司</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7"/>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both"/>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年年报情况和公司</w:t>
            </w:r>
          </w:p>
          <w:p>
            <w:pPr>
              <w:pStyle w:val="TableParagraph"/>
              <w:spacing w:line="316" w:lineRule="auto" w:before="63"/>
              <w:ind w:left="16" w:right="70"/>
              <w:jc w:val="both"/>
              <w:rPr>
                <w:rFonts w:ascii="宋体" w:hAnsi="宋体" w:cs="宋体" w:eastAsia="宋体" w:hint="default"/>
                <w:sz w:val="18"/>
                <w:szCs w:val="18"/>
              </w:rPr>
            </w:pPr>
            <w:r>
              <w:rPr>
                <w:rFonts w:ascii="宋体" w:hAnsi="宋体" w:cs="宋体" w:eastAsia="宋体" w:hint="default"/>
                <w:sz w:val="18"/>
                <w:szCs w:val="18"/>
              </w:rPr>
              <w:t>进行交流；对公司业务发 展情况进行交流；对公司 长期战略进行交流。</w:t>
            </w:r>
          </w:p>
          <w:p>
            <w:pPr>
              <w:pStyle w:val="TableParagraph"/>
              <w:spacing w:line="1444" w:lineRule="exact"/>
              <w:ind w:left="-8"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pict>
                <v:group style="width:103.95pt;height:72.25pt;mso-position-horizontal-relative:char;mso-position-vertical-relative:line" coordorigin="0,0" coordsize="2079,1445">
                  <v:group style="position:absolute;left:0;top:0;width:2079;height:1092" coordorigin="0,0" coordsize="2079,1092">
                    <v:shape style="position:absolute;left:0;top:0;width:2079;height:1092" coordorigin="0,0" coordsize="2079,1092" path="m0,1092l2079,1092,2079,0,0,0,0,1092xe" filled="true" fillcolor="#ffffff" stroked="false">
                      <v:path arrowok="t"/>
                      <v:fill type="solid"/>
                    </v:shape>
                  </v:group>
                  <v:group style="position:absolute;left:24;top:1092;width:2031;height:353" coordorigin="24,1092" coordsize="2031,353">
                    <v:shape style="position:absolute;left:24;top:1092;width:2031;height:353" coordorigin="24,1092" coordsize="2031,353" path="m24,1445l2055,1445,2055,1092,24,1092,24,1445xe" filled="true" fillcolor="#ffffff" stroked="false">
                      <v:path arrowok="t"/>
                      <v:fill type="solid"/>
                    </v:shape>
                  </v:group>
                </v:group>
              </w:pict>
            </w:r>
            <w:r>
              <w:rPr>
                <w:rFonts w:ascii="Times New Roman" w:hAnsi="Times New Roman" w:cs="Times New Roman" w:eastAsia="Times New Roman" w:hint="default"/>
                <w:position w:val="-2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中国国际金融、国 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对公司业务发展情况进行 交流；对公司长期战略进 行交流。</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大成基金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业务的情况以 及增值服务的开展情况交 流</w:t>
            </w:r>
          </w:p>
        </w:tc>
      </w:tr>
      <w:tr>
        <w:trPr>
          <w:trHeight w:val="134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瑞益资本、渤海证 </w:t>
            </w:r>
            <w:r>
              <w:rPr>
                <w:rFonts w:ascii="宋体" w:hAnsi="宋体" w:cs="宋体" w:eastAsia="宋体" w:hint="default"/>
                <w:spacing w:val="-14"/>
                <w:sz w:val="18"/>
                <w:szCs w:val="18"/>
              </w:rPr>
              <w:t>券、中信建投证券、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东海证券、长城证</w:t>
            </w:r>
            <w:r>
              <w:rPr>
                <w:rFonts w:ascii="宋体" w:hAnsi="宋体" w:cs="宋体" w:eastAsia="宋体" w:hint="default"/>
                <w:sz w:val="18"/>
                <w:szCs w:val="18"/>
              </w:rPr>
              <w:t> 券、诺安基金</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19" w:lineRule="auto" w:before="49"/>
              <w:ind w:left="16" w:right="70"/>
              <w:jc w:val="both"/>
              <w:rPr>
                <w:rFonts w:ascii="宋体" w:hAnsi="宋体" w:cs="宋体" w:eastAsia="宋体" w:hint="default"/>
                <w:sz w:val="18"/>
                <w:szCs w:val="18"/>
              </w:rPr>
            </w:pPr>
            <w:r>
              <w:rPr>
                <w:rFonts w:ascii="宋体" w:hAnsi="宋体" w:cs="宋体" w:eastAsia="宋体" w:hint="default"/>
                <w:sz w:val="18"/>
                <w:szCs w:val="18"/>
              </w:rPr>
              <w:t>对公司业务发展情况进行 交流；对公司长期战略进 行交流；对公司所处行业 情况进行交流。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中信证券、久富投 资、时间投资、新 华基金、天弘基金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对公司业务发展情况进行 交流；对公司未来发展规 划进行交流。</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莫尼塔投资、中证 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对公司业务发展情况进行 交流；对公司未来发展规 划进行交流。</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信达证券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对公司业务发展情况进行 交流；对公司未来发展规 划进行交流。</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837" w:val="left" w:leader="none"/>
              </w:tabs>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嘉实基金</w:t>
            </w:r>
            <w:r>
              <w:rPr>
                <w:rFonts w:ascii="宋体" w:hAnsi="宋体" w:cs="宋体" w:eastAsia="宋体" w:hint="default"/>
                <w:spacing w:val="3"/>
                <w:sz w:val="18"/>
                <w:szCs w:val="18"/>
              </w:rPr>
              <w:t> </w:t>
            </w:r>
            <w:r>
              <w:rPr>
                <w:rFonts w:ascii="宋体" w:hAnsi="宋体" w:cs="宋体" w:eastAsia="宋体" w:hint="default"/>
                <w:spacing w:val="-23"/>
                <w:sz w:val="18"/>
                <w:szCs w:val="18"/>
              </w:rPr>
              <w:t>、腾业资</w:t>
            </w:r>
            <w:r>
              <w:rPr>
                <w:rFonts w:ascii="宋体" w:hAnsi="宋体" w:cs="宋体" w:eastAsia="宋体" w:hint="default"/>
                <w:sz w:val="18"/>
                <w:szCs w:val="18"/>
              </w:rPr>
              <w:t> 本、</w:t>
              <w:tab/>
              <w:t>兴业证 券</w:t>
            </w:r>
            <w:r>
              <w:rPr>
                <w:rFonts w:ascii="宋体" w:hAnsi="宋体" w:cs="宋体" w:eastAsia="宋体" w:hint="default"/>
                <w:spacing w:val="1"/>
                <w:sz w:val="18"/>
                <w:szCs w:val="18"/>
              </w:rPr>
              <w:t> </w:t>
            </w:r>
            <w:r>
              <w:rPr>
                <w:rFonts w:ascii="宋体" w:hAnsi="宋体" w:cs="宋体" w:eastAsia="宋体" w:hint="default"/>
                <w:sz w:val="18"/>
                <w:szCs w:val="18"/>
              </w:rPr>
              <w:t>、博时基金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对公司业务发展情况进行 交流；对公司未来发展规 划进行交流。</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长城人寿、太平洋 证券、北京盛世景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对公司业务发展情况进行 交流；对公司未来发展规 划进行交流。</w:t>
            </w:r>
          </w:p>
        </w:tc>
      </w:tr>
      <w:tr>
        <w:trPr>
          <w:trHeight w:val="129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汇丰晋信、东兴证 券、中信证券、国 </w:t>
            </w:r>
            <w:r>
              <w:rPr>
                <w:rFonts w:ascii="宋体" w:hAnsi="宋体" w:cs="宋体" w:eastAsia="宋体" w:hint="default"/>
                <w:spacing w:val="-12"/>
                <w:sz w:val="18"/>
                <w:szCs w:val="18"/>
              </w:rPr>
              <w:t>金证券、中投证券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工道投资、中再资</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10" w:lineRule="atLeast" w:before="111"/>
              <w:ind w:left="16" w:right="70"/>
              <w:jc w:val="left"/>
              <w:rPr>
                <w:rFonts w:ascii="宋体" w:hAnsi="宋体" w:cs="宋体" w:eastAsia="宋体" w:hint="default"/>
                <w:sz w:val="18"/>
                <w:szCs w:val="18"/>
              </w:rPr>
            </w:pPr>
            <w:r>
              <w:rPr>
                <w:rFonts w:ascii="宋体" w:hAnsi="宋体" w:cs="宋体" w:eastAsia="宋体" w:hint="default"/>
                <w:sz w:val="18"/>
                <w:szCs w:val="18"/>
              </w:rPr>
              <w:t>对公司业务发展情况进行 交流；对公司未来发展规</w:t>
            </w:r>
          </w:p>
          <w:p>
            <w:pPr>
              <w:pStyle w:val="TableParagraph"/>
              <w:spacing w:line="12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6" w:right="0"/>
              <w:jc w:val="left"/>
              <w:rPr>
                <w:rFonts w:ascii="宋体" w:hAnsi="宋体" w:cs="宋体" w:eastAsia="宋体" w:hint="default"/>
                <w:sz w:val="18"/>
                <w:szCs w:val="18"/>
              </w:rPr>
            </w:pPr>
            <w:r>
              <w:rPr>
                <w:rFonts w:ascii="宋体" w:hAnsi="宋体" w:cs="宋体" w:eastAsia="宋体" w:hint="default"/>
                <w:sz w:val="18"/>
                <w:szCs w:val="18"/>
              </w:rPr>
              <w:t>划进行交流。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66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101.55pt;height:33.15pt;mso-position-horizontal-relative:char;mso-position-vertical-relative:line" coordorigin="0,0" coordsize="2031,663">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style="position:absolute;left:0;top:312;width:2031;height:351" coordorigin="0,312" coordsize="2031,351">
                    <v:shape style="position:absolute;left:0;top:312;width:2031;height:351" coordorigin="0,312" coordsize="2031,351" path="m0,663l2031,663,2031,312,0,312,0,663xe" filled="true" fillcolor="#ffffff" stroked="false">
                      <v:path arrowok="t"/>
                      <v:fill type="solid"/>
                    </v:shape>
                  </v:group>
                </v:group>
              </w:pict>
            </w:r>
            <w:r>
              <w:rPr>
                <w:rFonts w:ascii="Times New Roman" w:hAnsi="Times New Roman" w:cs="Times New Roman" w:eastAsia="Times New Roman" w:hint="default"/>
                <w:position w:val="-12"/>
                <w:sz w:val="20"/>
                <w:szCs w:val="20"/>
              </w:rPr>
            </w:r>
          </w:p>
        </w:tc>
      </w:tr>
    </w:tbl>
    <w:p>
      <w:pPr>
        <w:spacing w:after="0" w:line="662" w:lineRule="exact"/>
        <w:jc w:val="left"/>
        <w:rPr>
          <w:rFonts w:ascii="Times New Roman" w:hAnsi="Times New Roman" w:cs="Times New Roman" w:eastAsia="Times New Roman" w:hint="default"/>
          <w:sz w:val="20"/>
          <w:szCs w:val="20"/>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中邮基金、国泰君 安、东方基金、海 通证券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对公司业务发展情况进行 交流；对公司未来发展规 划进行交流。</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749" w:right="3748"/>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329"/>
        <w:jc w:val="left"/>
        <w:rPr>
          <w:b w:val="0"/>
          <w:bCs w:val="0"/>
        </w:rPr>
      </w:pPr>
      <w:r>
        <w:rPr/>
        <w:t>一、上市公司发生控股股东及其关联方非经营性占用资金情况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1"/>
        <w:gridCol w:w="955"/>
        <w:gridCol w:w="958"/>
        <w:gridCol w:w="958"/>
        <w:gridCol w:w="958"/>
        <w:gridCol w:w="958"/>
        <w:gridCol w:w="960"/>
        <w:gridCol w:w="958"/>
        <w:gridCol w:w="958"/>
        <w:gridCol w:w="960"/>
      </w:tblGrid>
      <w:tr>
        <w:trPr>
          <w:trHeight w:val="714" w:hRule="exact"/>
        </w:trPr>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 w:right="108"/>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5" w:right="23" w:hanging="92"/>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4" w:right="22"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24"/>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025"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光环云谷 科技有限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7,800.87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5,922.63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13,543.49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13,543.49</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both"/>
              <w:rPr>
                <w:rFonts w:ascii="宋体" w:hAnsi="宋体" w:cs="宋体" w:eastAsia="宋体" w:hint="default"/>
                <w:sz w:val="18"/>
                <w:szCs w:val="18"/>
              </w:rPr>
            </w:pPr>
            <w:r>
              <w:rPr>
                <w:rFonts w:ascii="宋体" w:hAnsi="宋体" w:cs="宋体" w:eastAsia="宋体" w:hint="default"/>
                <w:sz w:val="18"/>
                <w:szCs w:val="18"/>
              </w:rPr>
              <w:t>北京光环 恒通数字 技术有限 公司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费用垫付</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18.88</w:t>
            </w: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上海明月 光学有限 公司（现已 更名为光 环新网（上 海）信息服 务有限公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60.9</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both"/>
              <w:rPr>
                <w:rFonts w:ascii="宋体" w:hAnsi="宋体" w:cs="宋体" w:eastAsia="宋体" w:hint="default"/>
                <w:sz w:val="18"/>
                <w:szCs w:val="18"/>
              </w:rPr>
            </w:pPr>
            <w:r>
              <w:rPr>
                <w:rFonts w:ascii="宋体" w:hAnsi="宋体" w:cs="宋体" w:eastAsia="宋体" w:hint="default"/>
                <w:sz w:val="18"/>
                <w:szCs w:val="18"/>
              </w:rPr>
              <w:t>北京瑞科 新网科技 有限公司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费用垫付</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7,800.87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6,004.94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13,604.39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13,604.39</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期末合计值占期末净资产的比例</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19.50%</w:t>
            </w:r>
          </w:p>
        </w:tc>
      </w:tr>
      <w:tr>
        <w:trPr>
          <w:trHeight w:val="401"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r>
      <w:tr>
        <w:trPr>
          <w:trHeight w:val="1339"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究及董事会拟定采取措施的情况说 明</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采取的措施说明</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63"/>
        <w:gridCol w:w="6709"/>
      </w:tblGrid>
      <w:tr>
        <w:trPr>
          <w:trHeight w:val="334" w:hRule="exact"/>
        </w:trPr>
        <w:tc>
          <w:tcPr>
            <w:tcW w:w="2863" w:type="dxa"/>
            <w:tcBorders>
              <w:top w:val="single" w:sz="6" w:space="0" w:color="000000"/>
              <w:left w:val="nil" w:sz="6" w:space="0" w:color="auto"/>
              <w:bottom w:val="single" w:sz="4" w:space="0" w:color="000000"/>
              <w:right w:val="nil" w:sz="6" w:space="0" w:color="auto"/>
            </w:tcBorders>
          </w:tcPr>
          <w:p>
            <w:pPr/>
          </w:p>
        </w:tc>
        <w:tc>
          <w:tcPr>
            <w:tcW w:w="6709"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2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中兴华专字（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BJ06-004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1"/>
        <w:rPr>
          <w:rFonts w:ascii="宋体" w:hAnsi="宋体" w:cs="宋体" w:eastAsia="宋体" w:hint="default"/>
          <w:sz w:val="18"/>
          <w:szCs w:val="18"/>
        </w:rPr>
      </w:pPr>
    </w:p>
    <w:p>
      <w:pPr>
        <w:pStyle w:val="Heading2"/>
        <w:spacing w:line="240" w:lineRule="auto"/>
        <w:ind w:left="112" w:right="133"/>
        <w:jc w:val="left"/>
        <w:rPr>
          <w:b w:val="0"/>
          <w:bCs w:val="0"/>
        </w:rPr>
      </w:pPr>
      <w:r>
        <w:rPr/>
        <w:t>二、资产交易事项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2" w:right="133"/>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12" w:right="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96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4"/>
              <w:ind w:left="9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160" w:right="67"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2"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4"/>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江苏明月 光电科技 有限公 司、上海 明月光学 眼镜有限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房屋及土 地使用权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9,380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16"/>
              <w:jc w:val="both"/>
              <w:rPr>
                <w:rFonts w:ascii="宋体" w:hAnsi="宋体" w:cs="宋体" w:eastAsia="宋体" w:hint="default"/>
                <w:sz w:val="18"/>
                <w:szCs w:val="18"/>
              </w:rPr>
            </w:pPr>
            <w:r>
              <w:rPr>
                <w:rFonts w:ascii="宋体" w:hAnsi="宋体" w:cs="宋体" w:eastAsia="宋体" w:hint="default"/>
                <w:sz w:val="18"/>
                <w:szCs w:val="18"/>
              </w:rPr>
              <w:t>已完成工 商变更登 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该项目的 实施符合 公司立足 </w:t>
            </w:r>
            <w:r>
              <w:rPr>
                <w:rFonts w:ascii="宋体" w:hAnsi="宋体" w:cs="宋体" w:eastAsia="宋体" w:hint="default"/>
                <w:spacing w:val="-18"/>
                <w:sz w:val="18"/>
                <w:szCs w:val="18"/>
              </w:rPr>
              <w:t>北京，面向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全国的发 </w:t>
            </w:r>
            <w:r>
              <w:rPr>
                <w:rFonts w:ascii="宋体" w:hAnsi="宋体" w:cs="宋体" w:eastAsia="宋体" w:hint="default"/>
                <w:spacing w:val="-18"/>
                <w:sz w:val="18"/>
                <w:szCs w:val="18"/>
              </w:rPr>
              <w:t>展布局，开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拓了京外 </w:t>
            </w:r>
            <w:r>
              <w:rPr>
                <w:rFonts w:ascii="宋体" w:hAnsi="宋体" w:cs="宋体" w:eastAsia="宋体" w:hint="default"/>
                <w:spacing w:val="-18"/>
                <w:sz w:val="18"/>
                <w:szCs w:val="18"/>
              </w:rPr>
              <w:t>市场，进一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步提升了 公司的综 合竞争力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自购买日 起止报告 期末为上 市公司减 少净利润</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-359,910.8</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624" w:lineRule="exact"/>
              <w:ind w:left="2"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42.9pt;height:31.2pt;mso-position-horizontal-relative:char;mso-position-vertical-relative:line" coordorigin="0,0" coordsize="858,624">
                  <v:group style="position:absolute;left:0;top:0;width:858;height:624" coordorigin="0,0" coordsize="858,624">
                    <v:shape style="position:absolute;left:0;top:0;width:858;height:624" coordorigin="0,0" coordsize="858,624" path="m0,624l857,624,857,0,0,0,0,624xe" filled="true" fillcolor="#ffffff" stroked="false">
                      <v:path arrowok="t"/>
                      <v:fill type="solid"/>
                    </v:shape>
                  </v:group>
                </v:group>
              </w:pict>
            </w:r>
            <w:r>
              <w:rPr>
                <w:rFonts w:ascii="宋体" w:hAnsi="宋体" w:cs="宋体" w:eastAsia="宋体" w:hint="default"/>
                <w:position w:val="-11"/>
                <w:sz w:val="20"/>
                <w:szCs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38" w:lineRule="auto"/>
              <w:ind w:left="24"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5">
              <w:r>
                <w:rPr>
                  <w:rFonts w:ascii="Times New Roman" w:hAnsi="Times New Roman" w:cs="Times New Roman" w:eastAsia="Times New Roman" w:hint="default"/>
                  <w:sz w:val="18"/>
                  <w:szCs w:val="18"/>
                </w:rPr>
                <w:t>http://www</w:t>
              </w:r>
            </w:hyperlink>
          </w:p>
          <w:p>
            <w:pPr>
              <w:pStyle w:val="TableParagraph"/>
              <w:spacing w:line="362" w:lineRule="auto" w:before="23"/>
              <w:ind w:left="24" w:right="115"/>
              <w:jc w:val="left"/>
              <w:rPr>
                <w:rFonts w:ascii="Times New Roman" w:hAnsi="Times New Roman" w:cs="Times New Roman" w:eastAsia="Times New Roman" w:hint="default"/>
                <w:sz w:val="18"/>
                <w:szCs w:val="18"/>
              </w:rPr>
            </w:pPr>
            <w:r>
              <w:rPr>
                <w:rFonts w:ascii="Times New Roman"/>
                <w:sz w:val="18"/>
              </w:rPr>
              <w:t>.cninfo.co m.cn/</w:t>
            </w:r>
          </w:p>
        </w:tc>
      </w:tr>
    </w:tbl>
    <w:p>
      <w:pPr>
        <w:pStyle w:val="BodyText"/>
        <w:spacing w:line="357" w:lineRule="auto" w:before="49"/>
        <w:ind w:left="473" w:right="133" w:hanging="361"/>
        <w:jc w:val="left"/>
      </w:pPr>
      <w:r>
        <w:rPr/>
        <w:t>收购资产情况说明 根据公司</w:t>
      </w:r>
      <w:r>
        <w:rPr>
          <w:rFonts w:ascii="Times New Roman" w:hAnsi="Times New Roman" w:cs="Times New Roman" w:eastAsia="Times New Roman" w:hint="default"/>
        </w:rPr>
        <w:t>2014</w:t>
      </w:r>
      <w:r>
        <w:rPr/>
        <w:t>年第二次临时股东大会《关于收购上海明月光学有限公司</w:t>
      </w:r>
      <w:r>
        <w:rPr>
          <w:rFonts w:ascii="Times New Roman" w:hAnsi="Times New Roman" w:cs="Times New Roman" w:eastAsia="Times New Roman" w:hint="default"/>
        </w:rPr>
        <w:t>100%</w:t>
      </w:r>
      <w:r>
        <w:rPr/>
        <w:t>股权的议案》的决议，公司与江苏明月光</w:t>
      </w:r>
    </w:p>
    <w:p>
      <w:pPr>
        <w:pStyle w:val="BodyText"/>
        <w:spacing w:line="214" w:lineRule="exact" w:before="0"/>
        <w:ind w:left="112" w:right="0"/>
        <w:jc w:val="left"/>
      </w:pPr>
      <w:r>
        <w:rPr/>
        <w:t>电科技有限公司和上海明月光学眼镜有限公司签订股权收购协议，以</w:t>
      </w:r>
      <w:r>
        <w:rPr>
          <w:rFonts w:ascii="Times New Roman" w:hAnsi="Times New Roman" w:cs="Times New Roman" w:eastAsia="Times New Roman" w:hint="default"/>
        </w:rPr>
        <w:t>9,380</w:t>
      </w:r>
      <w:r>
        <w:rPr/>
        <w:t>万元收购上海明月光学有限公司（现已更名为光</w:t>
      </w:r>
    </w:p>
    <w:p>
      <w:pPr>
        <w:pStyle w:val="BodyText"/>
        <w:spacing w:line="300" w:lineRule="auto" w:before="63"/>
        <w:ind w:left="112" w:right="134"/>
        <w:jc w:val="left"/>
      </w:pPr>
      <w:r>
        <w:rPr/>
        <w:t>环新网（上海）信息服务有限公司）</w:t>
      </w:r>
      <w:r>
        <w:rPr>
          <w:rFonts w:ascii="Times New Roman" w:hAnsi="Times New Roman" w:cs="Times New Roman" w:eastAsia="Times New Roman" w:hint="default"/>
        </w:rPr>
        <w:t>100%</w:t>
      </w:r>
      <w:r>
        <w:rPr/>
        <w:t>股权。明月光学净资产主要由房屋和土地使用权组成，因此不构成业务，将购买 成本按照购买日所取得的各项可辨认资产、负债的相对公允价值基础进行分配。</w:t>
      </w:r>
    </w:p>
    <w:p>
      <w:pPr>
        <w:spacing w:line="240" w:lineRule="auto" w:before="11"/>
        <w:rPr>
          <w:rFonts w:ascii="宋体" w:hAnsi="宋体" w:cs="宋体" w:eastAsia="宋体" w:hint="default"/>
          <w:sz w:val="21"/>
          <w:szCs w:val="21"/>
        </w:rPr>
      </w:pPr>
    </w:p>
    <w:p>
      <w:pPr>
        <w:pStyle w:val="Heading2"/>
        <w:spacing w:line="240" w:lineRule="auto" w:before="0"/>
        <w:ind w:left="112" w:right="133"/>
        <w:jc w:val="left"/>
        <w:rPr>
          <w:b w:val="0"/>
          <w:bCs w:val="0"/>
        </w:rPr>
      </w:pPr>
      <w:r>
        <w:rPr/>
        <w:t>三、重大关联交易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2" w:right="133"/>
        <w:jc w:val="left"/>
        <w:rPr>
          <w:b w:val="0"/>
          <w:bCs w:val="0"/>
        </w:rPr>
      </w:pPr>
      <w:r>
        <w:rPr>
          <w:rFonts w:ascii="Times New Roman" w:hAnsi="Times New Roman" w:cs="Times New Roman" w:eastAsia="Times New Roman" w:hint="default"/>
        </w:rPr>
        <w:t>1</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left="47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公司以子公司北京瑞科新网科技有限公司房产为抵押，并由公司董事长耿殿根作为连带责任保证人，取得招商银行股份</w:t>
      </w:r>
    </w:p>
    <w:p>
      <w:pPr>
        <w:pStyle w:val="BodyText"/>
        <w:spacing w:line="300" w:lineRule="auto" w:before="1"/>
        <w:ind w:left="473" w:right="0" w:hanging="361"/>
        <w:jc w:val="left"/>
      </w:pPr>
      <w:r>
        <w:rPr/>
        <w:t>有限公司北京建国路支行授信额度人民币叁仟万元整，该笔授信已于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日到期终止。 </w:t>
      </w:r>
      <w:r>
        <w:rPr>
          <w:spacing w:val="-2"/>
        </w:rPr>
        <w:t>公司以德信智能手机技术（北京）有限公司房产抵押（即酒仙桥二期机房所在房产），并由公司董事长耿殿根作为连带</w:t>
      </w:r>
    </w:p>
    <w:p>
      <w:pPr>
        <w:pStyle w:val="BodyText"/>
        <w:spacing w:line="316" w:lineRule="auto" w:before="31"/>
        <w:ind w:left="112" w:right="0"/>
        <w:jc w:val="left"/>
      </w:pPr>
      <w:r>
        <w:rPr>
          <w:spacing w:val="-2"/>
        </w:rPr>
        <w:t>责任保证人，取得中国建设银行股份有限公司北京朝阳支行向本公司提供授信额度为人民币肆仟零伍拾万元整，该笔授信已</w:t>
      </w:r>
      <w:r>
        <w:rPr>
          <w:spacing w:val="-64"/>
        </w:rPr>
        <w:t> </w:t>
      </w:r>
      <w:r>
        <w:rPr>
          <w:spacing w:val="-64"/>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日到期终止。</w:t>
      </w:r>
    </w:p>
    <w:p>
      <w:pPr>
        <w:pStyle w:val="BodyText"/>
        <w:spacing w:line="316" w:lineRule="auto" w:before="0"/>
        <w:ind w:left="112" w:right="0" w:firstLine="360"/>
        <w:jc w:val="left"/>
      </w:pPr>
      <w:r>
        <w:rPr>
          <w:spacing w:val="-2"/>
        </w:rPr>
        <w:t>公司以子公司北京瑞科新网科技有限公司房产为抵押，并由公司董事长耿殿根作为连带责任保证人，取得招商银行股份</w:t>
      </w:r>
      <w:r>
        <w:rPr/>
        <w:t> 有限公司北京建国路支行授信额度人民币叁仟万元整，授信期为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日止。</w:t>
      </w:r>
    </w:p>
    <w:p>
      <w:pPr>
        <w:spacing w:after="0" w:line="316" w:lineRule="auto"/>
        <w:jc w:val="left"/>
        <w:sectPr>
          <w:pgSz w:w="11910" w:h="16840"/>
          <w:pgMar w:header="745" w:footer="979"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before="44"/>
        <w:ind w:right="329"/>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北京光环新网科技股份有限公司关于向银 行申请授信额度的公告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ind w:right="329"/>
        <w:jc w:val="left"/>
        <w:rPr>
          <w:b w:val="0"/>
          <w:bCs w:val="0"/>
        </w:rPr>
      </w:pPr>
      <w:r>
        <w:rPr/>
        <w:t>四、重大合同及其履行情况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41"/>
        <w:ind w:left="513" w:right="329"/>
        <w:jc w:val="left"/>
      </w:pPr>
      <w:r>
        <w:rPr/>
        <w:t>截至报告期末，公司重大租赁房产情况如下：</w:t>
      </w:r>
    </w:p>
    <w:p>
      <w:pPr>
        <w:spacing w:line="240" w:lineRule="auto" w:before="1"/>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562"/>
        <w:gridCol w:w="708"/>
        <w:gridCol w:w="1135"/>
        <w:gridCol w:w="1693"/>
        <w:gridCol w:w="1102"/>
        <w:gridCol w:w="852"/>
        <w:gridCol w:w="1426"/>
        <w:gridCol w:w="509"/>
        <w:gridCol w:w="1073"/>
      </w:tblGrid>
      <w:tr>
        <w:trPr>
          <w:trHeight w:val="434" w:hRule="exact"/>
        </w:trPr>
        <w:tc>
          <w:tcPr>
            <w:tcW w:w="5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1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70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left="62" w:right="0"/>
              <w:jc w:val="left"/>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113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169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right="8"/>
              <w:jc w:val="center"/>
              <w:rPr>
                <w:rFonts w:ascii="宋体" w:hAnsi="宋体" w:cs="宋体" w:eastAsia="宋体" w:hint="default"/>
                <w:sz w:val="18"/>
                <w:szCs w:val="18"/>
              </w:rPr>
            </w:pPr>
            <w:r>
              <w:rPr>
                <w:rFonts w:ascii="宋体" w:hAnsi="宋体" w:cs="宋体" w:eastAsia="宋体" w:hint="default"/>
                <w:b/>
                <w:bCs/>
                <w:sz w:val="18"/>
                <w:szCs w:val="18"/>
              </w:rPr>
              <w:t>座落</w:t>
            </w:r>
            <w:r>
              <w:rPr>
                <w:rFonts w:ascii="宋体" w:hAnsi="宋体" w:cs="宋体" w:eastAsia="宋体" w:hint="default"/>
                <w:sz w:val="18"/>
                <w:szCs w:val="18"/>
              </w:rPr>
            </w:r>
          </w:p>
        </w:tc>
        <w:tc>
          <w:tcPr>
            <w:tcW w:w="110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b/>
                <w:bCs/>
                <w:sz w:val="18"/>
                <w:szCs w:val="18"/>
              </w:rPr>
              <w:t>房产证号</w:t>
            </w:r>
            <w:r>
              <w:rPr>
                <w:rFonts w:ascii="宋体" w:hAnsi="宋体" w:cs="宋体" w:eastAsia="宋体" w:hint="default"/>
                <w:sz w:val="18"/>
                <w:szCs w:val="18"/>
              </w:rPr>
            </w:r>
          </w:p>
        </w:tc>
        <w:tc>
          <w:tcPr>
            <w:tcW w:w="85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left="-3" w:right="101"/>
              <w:jc w:val="right"/>
              <w:rPr>
                <w:rFonts w:ascii="宋体" w:hAnsi="宋体" w:cs="宋体" w:eastAsia="宋体" w:hint="default"/>
                <w:sz w:val="18"/>
                <w:szCs w:val="18"/>
              </w:rPr>
            </w:pPr>
            <w:r>
              <w:rPr>
                <w:rFonts w:ascii="宋体" w:hAnsi="宋体" w:cs="宋体" w:eastAsia="宋体" w:hint="default"/>
                <w:b/>
                <w:bCs/>
                <w:w w:val="95"/>
                <w:sz w:val="18"/>
                <w:szCs w:val="18"/>
              </w:rPr>
              <w:t>面积（㎡</w:t>
            </w:r>
            <w:r>
              <w:rPr>
                <w:rFonts w:ascii="宋体" w:hAnsi="宋体" w:cs="宋体" w:eastAsia="宋体" w:hint="default"/>
                <w:sz w:val="18"/>
                <w:szCs w:val="18"/>
              </w:rPr>
            </w:r>
          </w:p>
        </w:tc>
        <w:tc>
          <w:tcPr>
            <w:tcW w:w="142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left="-133" w:right="0"/>
              <w:jc w:val="left"/>
              <w:rPr>
                <w:rFonts w:ascii="宋体" w:hAnsi="宋体" w:cs="宋体" w:eastAsia="宋体" w:hint="default"/>
                <w:sz w:val="18"/>
                <w:szCs w:val="18"/>
              </w:rPr>
            </w:pPr>
            <w:r>
              <w:rPr>
                <w:rFonts w:ascii="宋体" w:hAnsi="宋体" w:cs="宋体" w:eastAsia="宋体" w:hint="default"/>
                <w:b/>
                <w:bCs/>
                <w:sz w:val="18"/>
                <w:szCs w:val="18"/>
              </w:rPr>
              <w:t>） </w:t>
            </w:r>
            <w:r>
              <w:rPr>
                <w:rFonts w:ascii="宋体" w:hAnsi="宋体" w:cs="宋体" w:eastAsia="宋体" w:hint="default"/>
                <w:b/>
                <w:bCs/>
                <w:spacing w:val="10"/>
                <w:sz w:val="18"/>
                <w:szCs w:val="18"/>
              </w:rPr>
              <w:t> </w:t>
            </w:r>
            <w:r>
              <w:rPr>
                <w:rFonts w:ascii="宋体" w:hAnsi="宋体" w:cs="宋体" w:eastAsia="宋体" w:hint="default"/>
                <w:b/>
                <w:bCs/>
                <w:sz w:val="18"/>
                <w:szCs w:val="18"/>
              </w:rPr>
              <w:t>租金（元）</w:t>
            </w:r>
            <w:r>
              <w:rPr>
                <w:rFonts w:ascii="宋体" w:hAnsi="宋体" w:cs="宋体" w:eastAsia="宋体" w:hint="default"/>
                <w:sz w:val="18"/>
                <w:szCs w:val="18"/>
              </w:rPr>
            </w:r>
          </w:p>
        </w:tc>
        <w:tc>
          <w:tcPr>
            <w:tcW w:w="50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left="55" w:right="0"/>
              <w:jc w:val="left"/>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10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left="155" w:right="0"/>
              <w:jc w:val="left"/>
              <w:rPr>
                <w:rFonts w:ascii="宋体" w:hAnsi="宋体" w:cs="宋体" w:eastAsia="宋体" w:hint="default"/>
                <w:sz w:val="18"/>
                <w:szCs w:val="18"/>
              </w:rPr>
            </w:pPr>
            <w:r>
              <w:rPr>
                <w:rFonts w:ascii="宋体" w:hAnsi="宋体" w:cs="宋体" w:eastAsia="宋体" w:hint="default"/>
                <w:b/>
                <w:bCs/>
                <w:sz w:val="18"/>
                <w:szCs w:val="18"/>
              </w:rPr>
              <w:t>租赁期限</w:t>
            </w:r>
            <w:r>
              <w:rPr>
                <w:rFonts w:ascii="宋体" w:hAnsi="宋体" w:cs="宋体" w:eastAsia="宋体" w:hint="default"/>
                <w:sz w:val="18"/>
                <w:szCs w:val="18"/>
              </w:rPr>
            </w:r>
          </w:p>
        </w:tc>
      </w:tr>
      <w:tr>
        <w:trPr>
          <w:trHeight w:val="1450" w:hRule="exact"/>
        </w:trPr>
        <w:tc>
          <w:tcPr>
            <w:tcW w:w="56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6" w:right="0"/>
              <w:jc w:val="center"/>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7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47"/>
              <w:ind w:left="153" w:right="163"/>
              <w:jc w:val="left"/>
              <w:rPr>
                <w:rFonts w:ascii="宋体" w:hAnsi="宋体" w:cs="宋体" w:eastAsia="宋体" w:hint="default"/>
                <w:sz w:val="18"/>
                <w:szCs w:val="18"/>
              </w:rPr>
            </w:pPr>
            <w:r>
              <w:rPr>
                <w:rFonts w:ascii="宋体" w:hAnsi="宋体" w:cs="宋体" w:eastAsia="宋体" w:hint="default"/>
                <w:sz w:val="18"/>
                <w:szCs w:val="18"/>
              </w:rPr>
              <w:t>光环 云谷</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9" w:right="14"/>
              <w:jc w:val="both"/>
              <w:rPr>
                <w:rFonts w:ascii="宋体" w:hAnsi="宋体" w:cs="宋体" w:eastAsia="宋体" w:hint="default"/>
                <w:sz w:val="18"/>
                <w:szCs w:val="18"/>
              </w:rPr>
            </w:pPr>
            <w:r>
              <w:rPr>
                <w:rFonts w:ascii="宋体" w:hAnsi="宋体" w:cs="宋体" w:eastAsia="宋体" w:hint="default"/>
                <w:sz w:val="18"/>
                <w:szCs w:val="18"/>
              </w:rPr>
              <w:t>三河市岩峰市 政工程建筑安 装有限公司</w:t>
            </w:r>
          </w:p>
        </w:tc>
        <w:tc>
          <w:tcPr>
            <w:tcW w:w="1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66" w:right="26" w:hanging="450"/>
              <w:jc w:val="left"/>
              <w:rPr>
                <w:rFonts w:ascii="宋体" w:hAnsi="宋体" w:cs="宋体" w:eastAsia="宋体" w:hint="default"/>
                <w:sz w:val="18"/>
                <w:szCs w:val="18"/>
              </w:rPr>
            </w:pPr>
            <w:r>
              <w:rPr>
                <w:rFonts w:ascii="宋体" w:hAnsi="宋体" w:cs="宋体" w:eastAsia="宋体" w:hint="default"/>
                <w:sz w:val="18"/>
                <w:szCs w:val="18"/>
              </w:rPr>
              <w:t>三河市燕郊开发区北 一路南侧</w:t>
            </w:r>
          </w:p>
        </w:tc>
        <w:tc>
          <w:tcPr>
            <w:tcW w:w="11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11,089.3</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6,071,391.75/</w:t>
            </w:r>
            <w:r>
              <w:rPr>
                <w:rFonts w:ascii="宋体" w:hAnsi="宋体" w:cs="宋体" w:eastAsia="宋体" w:hint="default"/>
                <w:sz w:val="18"/>
                <w:szCs w:val="18"/>
              </w:rPr>
              <w:t>年</w:t>
            </w:r>
          </w:p>
        </w:tc>
        <w:tc>
          <w:tcPr>
            <w:tcW w:w="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机房</w:t>
            </w:r>
          </w:p>
        </w:tc>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计租期为</w:t>
            </w:r>
          </w:p>
          <w:p>
            <w:pPr>
              <w:pStyle w:val="TableParagraph"/>
              <w:spacing w:line="240" w:lineRule="auto" w:before="118"/>
              <w:ind w:right="4"/>
              <w:jc w:val="center"/>
              <w:rPr>
                <w:rFonts w:ascii="Times New Roman" w:hAnsi="Times New Roman" w:cs="Times New Roman" w:eastAsia="Times New Roman" w:hint="default"/>
                <w:sz w:val="18"/>
                <w:szCs w:val="18"/>
              </w:rPr>
            </w:pPr>
            <w:r>
              <w:rPr>
                <w:rFonts w:ascii="Times New Roman"/>
                <w:sz w:val="18"/>
              </w:rPr>
              <w:t>2014.01.01</w:t>
            </w:r>
          </w:p>
          <w:p>
            <w:pPr>
              <w:pStyle w:val="TableParagraph"/>
              <w:spacing w:line="405" w:lineRule="auto" w:before="146"/>
              <w:ind w:left="112" w:right="117" w:hanging="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rPr>
              <w:t>2023.12.31</w:t>
            </w:r>
          </w:p>
        </w:tc>
      </w:tr>
    </w:tbl>
    <w:p>
      <w:pPr>
        <w:spacing w:line="240" w:lineRule="auto" w:before="1"/>
        <w:rPr>
          <w:rFonts w:ascii="宋体" w:hAnsi="宋体" w:cs="宋体" w:eastAsia="宋体" w:hint="default"/>
          <w:sz w:val="21"/>
          <w:szCs w:val="21"/>
        </w:rPr>
      </w:pPr>
    </w:p>
    <w:p>
      <w:pPr>
        <w:pStyle w:val="BodyText"/>
        <w:spacing w:line="319" w:lineRule="auto" w:before="44"/>
        <w:ind w:right="112" w:firstLine="360"/>
        <w:jc w:val="left"/>
      </w:pPr>
      <w:r>
        <w:rPr/>
        <w:t>本公司之子公司光环云谷科技有限公司经营用数据机房所用场地的租赁性质为经营租赁，合同总金额</w:t>
      </w:r>
      <w:r>
        <w:rPr>
          <w:rFonts w:ascii="Times New Roman" w:hAnsi="Times New Roman" w:cs="Times New Roman" w:eastAsia="Times New Roman" w:hint="default"/>
        </w:rPr>
        <w:t>60,713,917.50</w:t>
      </w:r>
      <w:r>
        <w:rPr/>
        <w:t>元， 租期</w:t>
      </w:r>
      <w:r>
        <w:rPr>
          <w:rFonts w:ascii="Times New Roman" w:hAnsi="Times New Roman" w:cs="Times New Roman" w:eastAsia="Times New Roman" w:hint="default"/>
        </w:rPr>
        <w:t>10</w:t>
      </w:r>
      <w:r>
        <w:rPr/>
        <w:t>年，年租金</w:t>
      </w:r>
      <w:r>
        <w:rPr>
          <w:rFonts w:ascii="Times New Roman" w:hAnsi="Times New Roman" w:cs="Times New Roman" w:eastAsia="Times New Roman" w:hint="default"/>
        </w:rPr>
        <w:t>6,071,391.75</w:t>
      </w:r>
      <w:r>
        <w:rPr/>
        <w:t>元，本公司已支付</w:t>
      </w:r>
      <w:r>
        <w:rPr>
          <w:rFonts w:ascii="Times New Roman" w:hAnsi="Times New Roman" w:cs="Times New Roman" w:eastAsia="Times New Roman" w:hint="default"/>
        </w:rPr>
        <w:t>2014-2015</w:t>
      </w:r>
      <w:r>
        <w:rPr/>
        <w:t>年度租金</w:t>
      </w:r>
      <w:r>
        <w:rPr>
          <w:rFonts w:ascii="Times New Roman" w:hAnsi="Times New Roman" w:cs="Times New Roman" w:eastAsia="Times New Roman" w:hint="default"/>
        </w:rPr>
        <w:t>12,142,783.50</w:t>
      </w:r>
      <w:r>
        <w:rPr/>
        <w:t>元。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35"/>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1" w:right="70" w:hanging="272"/>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 w:right="67"/>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2"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三河市岩 峰市政工 程建筑安 装有限公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13"/>
              <w:jc w:val="both"/>
              <w:rPr>
                <w:rFonts w:ascii="宋体" w:hAnsi="宋体" w:cs="宋体" w:eastAsia="宋体" w:hint="default"/>
                <w:sz w:val="18"/>
                <w:szCs w:val="18"/>
              </w:rPr>
            </w:pPr>
            <w:r>
              <w:rPr>
                <w:rFonts w:ascii="宋体" w:hAnsi="宋体" w:cs="宋体" w:eastAsia="宋体" w:hint="default"/>
                <w:sz w:val="18"/>
                <w:szCs w:val="18"/>
              </w:rPr>
              <w:t>光环云谷 科技有限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厂房及场 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6,071.39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1,026.51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6"/>
              <w:ind w:left="23" w:right="65"/>
              <w:jc w:val="left"/>
              <w:rPr>
                <w:rFonts w:ascii="宋体" w:hAnsi="宋体" w:cs="宋体" w:eastAsia="宋体" w:hint="default"/>
                <w:sz w:val="18"/>
                <w:szCs w:val="18"/>
              </w:rPr>
            </w:pPr>
            <w:r>
              <w:rPr>
                <w:rFonts w:ascii="宋体" w:hAnsi="宋体" w:cs="宋体" w:eastAsia="宋体" w:hint="default"/>
                <w:sz w:val="18"/>
                <w:szCs w:val="18"/>
              </w:rPr>
              <w:t>租赁方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净利润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租赁收益 占公司报 告期净利 润的 </w:t>
            </w:r>
            <w:r>
              <w:rPr>
                <w:rFonts w:ascii="Times New Roman" w:hAnsi="Times New Roman" w:cs="Times New Roman" w:eastAsia="Times New Roman" w:hint="default"/>
                <w:sz w:val="18"/>
                <w:szCs w:val="18"/>
              </w:rPr>
              <w:t>10.78%</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329"/>
        <w:jc w:val="left"/>
        <w:rPr>
          <w:b w:val="0"/>
          <w:bCs w:val="0"/>
        </w:rPr>
      </w:pPr>
      <w:r>
        <w:rPr/>
        <w:t>五、承诺事项履行情况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3"/>
        <w:gridCol w:w="1285"/>
        <w:gridCol w:w="1277"/>
        <w:gridCol w:w="1277"/>
        <w:gridCol w:w="1277"/>
        <w:gridCol w:w="1270"/>
      </w:tblGrid>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85"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、本次发行的 招股书若有虚 </w:t>
            </w:r>
            <w:r>
              <w:rPr>
                <w:rFonts w:ascii="宋体" w:hAnsi="宋体" w:cs="宋体" w:eastAsia="宋体" w:hint="default"/>
                <w:spacing w:val="-6"/>
                <w:sz w:val="18"/>
                <w:szCs w:val="18"/>
              </w:rPr>
              <w:t>假记载、误导性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陈述或者重大 </w:t>
            </w:r>
            <w:r>
              <w:rPr>
                <w:rFonts w:ascii="宋体" w:hAnsi="宋体" w:cs="宋体" w:eastAsia="宋体" w:hint="default"/>
                <w:spacing w:val="-6"/>
                <w:sz w:val="18"/>
                <w:szCs w:val="18"/>
              </w:rPr>
              <w:t>遗漏，对判断公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司是否符合法 律规定的发行 条件构成重大、 </w:t>
            </w:r>
            <w:r>
              <w:rPr>
                <w:rFonts w:ascii="宋体" w:hAnsi="宋体" w:cs="宋体" w:eastAsia="宋体" w:hint="default"/>
                <w:spacing w:val="-6"/>
                <w:sz w:val="18"/>
                <w:szCs w:val="18"/>
              </w:rPr>
              <w:t>实质影响的，公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司及公司控股 股东百汇达将 依法回购首次 公开发行的全 </w:t>
            </w:r>
            <w:r>
              <w:rPr>
                <w:rFonts w:ascii="宋体" w:hAnsi="宋体" w:cs="宋体" w:eastAsia="宋体" w:hint="default"/>
                <w:spacing w:val="-6"/>
                <w:sz w:val="18"/>
                <w:szCs w:val="18"/>
              </w:rPr>
              <w:t>部新股。出现上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述情形，公司应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公告回购新股 </w:t>
            </w:r>
            <w:r>
              <w:rPr>
                <w:rFonts w:ascii="宋体" w:hAnsi="宋体" w:cs="宋体" w:eastAsia="宋体" w:hint="default"/>
                <w:spacing w:val="-6"/>
                <w:sz w:val="18"/>
                <w:szCs w:val="18"/>
              </w:rPr>
              <w:t>的回购计划，包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括回购股份数 量、价格区间、 完成时间等信 </w:t>
            </w:r>
            <w:r>
              <w:rPr>
                <w:rFonts w:ascii="宋体" w:hAnsi="宋体" w:cs="宋体" w:eastAsia="宋体" w:hint="default"/>
                <w:spacing w:val="-6"/>
                <w:sz w:val="18"/>
                <w:szCs w:val="18"/>
              </w:rPr>
              <w:t>息，股份回购计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划还应经公司 股东大会批准。 在股份回购义 务触发之日起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个月内（简称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回购期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场价格完成回 </w:t>
            </w:r>
            <w:r>
              <w:rPr>
                <w:rFonts w:ascii="宋体" w:hAnsi="宋体" w:cs="宋体" w:eastAsia="宋体" w:hint="default"/>
                <w:spacing w:val="-6"/>
                <w:sz w:val="18"/>
                <w:szCs w:val="18"/>
              </w:rPr>
              <w:t>购；期间公司如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有派息、送股、 资本公积金转 </w:t>
            </w:r>
            <w:r>
              <w:rPr>
                <w:rFonts w:ascii="宋体" w:hAnsi="宋体" w:cs="宋体" w:eastAsia="宋体" w:hint="default"/>
                <w:spacing w:val="-6"/>
                <w:sz w:val="18"/>
                <w:szCs w:val="18"/>
              </w:rPr>
              <w:t>增股本、配股等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除权除息事项， 回购底价相应 </w:t>
            </w:r>
            <w:r>
              <w:rPr>
                <w:rFonts w:ascii="宋体" w:hAnsi="宋体" w:cs="宋体" w:eastAsia="宋体" w:hint="default"/>
                <w:spacing w:val="-6"/>
                <w:sz w:val="18"/>
                <w:szCs w:val="18"/>
              </w:rPr>
              <w:t>进行调整。如公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司未能履行上 述股份回购义 </w:t>
            </w:r>
            <w:r>
              <w:rPr>
                <w:rFonts w:ascii="宋体" w:hAnsi="宋体" w:cs="宋体" w:eastAsia="宋体" w:hint="default"/>
                <w:spacing w:val="-6"/>
                <w:sz w:val="18"/>
                <w:szCs w:val="18"/>
              </w:rPr>
              <w:t>务，则由公司控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股股东百汇达 履行上述义务。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作出承诺开始 至承诺履行完 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55"/>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2"/>
      </w:tblGrid>
      <w:tr>
        <w:trPr>
          <w:trHeight w:val="11284"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、本次发行的 招股书若有虚 </w:t>
            </w:r>
            <w:r>
              <w:rPr>
                <w:rFonts w:ascii="宋体" w:hAnsi="宋体" w:cs="宋体" w:eastAsia="宋体" w:hint="default"/>
                <w:spacing w:val="-6"/>
                <w:sz w:val="18"/>
                <w:szCs w:val="18"/>
              </w:rPr>
              <w:t>假记载、误导性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陈述或者重大 </w:t>
            </w:r>
            <w:r>
              <w:rPr>
                <w:rFonts w:ascii="宋体" w:hAnsi="宋体" w:cs="宋体" w:eastAsia="宋体" w:hint="default"/>
                <w:spacing w:val="-6"/>
                <w:sz w:val="18"/>
                <w:szCs w:val="18"/>
              </w:rPr>
              <w:t>遗漏，致使投资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者在证券交易 中遭受损失的， 公司将依法赔 偿投资者损失。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、公司将确保 以后新担任的 </w:t>
            </w:r>
            <w:r>
              <w:rPr>
                <w:rFonts w:ascii="宋体" w:hAnsi="宋体" w:cs="宋体" w:eastAsia="宋体" w:hint="default"/>
                <w:spacing w:val="-6"/>
                <w:sz w:val="18"/>
                <w:szCs w:val="18"/>
              </w:rPr>
              <w:t>董事、监事和高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级管理人员按 照公司和现有 </w:t>
            </w:r>
            <w:r>
              <w:rPr>
                <w:rFonts w:ascii="宋体" w:hAnsi="宋体" w:cs="宋体" w:eastAsia="宋体" w:hint="default"/>
                <w:spacing w:val="-6"/>
                <w:sz w:val="18"/>
                <w:szCs w:val="18"/>
              </w:rPr>
              <w:t>董事、监事和高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级管理人员作 出的公开承诺 履行相关义务。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、公司若未能 履行上述承诺， 则公司将按有 </w:t>
            </w:r>
            <w:r>
              <w:rPr>
                <w:rFonts w:ascii="宋体" w:hAnsi="宋体" w:cs="宋体" w:eastAsia="宋体" w:hint="default"/>
                <w:spacing w:val="-6"/>
                <w:sz w:val="18"/>
                <w:szCs w:val="18"/>
              </w:rPr>
              <w:t>关法律、法规的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规定及监管部 门的要求承担 </w:t>
            </w:r>
            <w:r>
              <w:rPr>
                <w:rFonts w:ascii="宋体" w:hAnsi="宋体" w:cs="宋体" w:eastAsia="宋体" w:hint="default"/>
                <w:spacing w:val="-6"/>
                <w:sz w:val="18"/>
                <w:szCs w:val="18"/>
              </w:rPr>
              <w:t>相应的责任；同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时，若致使投资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者在证券交易 </w:t>
            </w:r>
            <w:r>
              <w:rPr>
                <w:rFonts w:ascii="宋体" w:hAnsi="宋体" w:cs="宋体" w:eastAsia="宋体" w:hint="default"/>
                <w:spacing w:val="-6"/>
                <w:sz w:val="18"/>
                <w:szCs w:val="18"/>
              </w:rPr>
              <w:t>中遭受损失，公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司将自愿按相 应的赔偿金额 冻结自有资金， 以为公司根据 法律法规和监 管要求赔偿投 资者损失提供 保障。</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光环新网上市 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个月内如股</w:t>
            </w:r>
          </w:p>
          <w:p>
            <w:pPr>
              <w:pStyle w:val="TableParagraph"/>
              <w:spacing w:line="312" w:lineRule="auto"/>
              <w:ind w:left="23" w:right="-29"/>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 易日的收盘价 均低于发行价， 或者上市后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 月期末收盘价 </w:t>
            </w:r>
            <w:r>
              <w:rPr>
                <w:rFonts w:ascii="宋体" w:hAnsi="宋体" w:cs="宋体" w:eastAsia="宋体" w:hint="default"/>
                <w:spacing w:val="-6"/>
                <w:sz w:val="18"/>
                <w:szCs w:val="18"/>
              </w:rPr>
              <w:t>低于发行价，本</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4" w:right="67"/>
              <w:jc w:val="left"/>
              <w:rPr>
                <w:rFonts w:ascii="宋体" w:hAnsi="宋体" w:cs="宋体" w:eastAsia="宋体" w:hint="default"/>
                <w:sz w:val="18"/>
                <w:szCs w:val="18"/>
              </w:rPr>
            </w:pPr>
            <w:r>
              <w:rPr>
                <w:rFonts w:ascii="宋体" w:hAnsi="宋体" w:cs="宋体" w:eastAsia="宋体" w:hint="default"/>
                <w:sz w:val="18"/>
                <w:szCs w:val="18"/>
              </w:rPr>
              <w:t>作出承诺开始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93.213013pt;margin-top:153.019989pt;width:114.4pt;height:287.7pt;mso-position-horizontal-relative:page;mso-position-vertical-relative:page;z-index:-1029160" type="#_x0000_t202" filled="false" stroked="false">
            <v:textbox inset="0,0,0,0">
              <w:txbxContent>
                <w:p>
                  <w:pPr>
                    <w:pStyle w:val="BodyText"/>
                    <w:spacing w:line="240" w:lineRule="auto" w:before="49"/>
                    <w:ind w:left="0" w:right="0"/>
                    <w:jc w:val="left"/>
                  </w:pPr>
                  <w:r>
                    <w:rPr/>
                    <w:t>关于在人员、</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spacing w:line="240" w:lineRule="auto" w:before="0"/>
                    <w:ind w:left="0" w:right="304"/>
                    <w:jc w:val="center"/>
                  </w:pPr>
                  <w:r>
                    <w:rPr/>
                    <w:t>、</w:t>
                  </w:r>
                </w:p>
              </w:txbxContent>
            </v:textbox>
            <w10:wrap type="none"/>
          </v:shape>
        </w:pict>
      </w:r>
      <w:r>
        <w:rPr/>
        <w:pict>
          <v:group style="position:absolute;margin-left:344.230011pt;margin-top:153.019989pt;width:63.4pt;height:287.7pt;mso-position-horizontal-relative:page;mso-position-vertical-relative:page;z-index:-1029136" coordorigin="6885,3060" coordsize="1268,5754">
            <v:shape style="position:absolute;left:6885;top:3060;width:1268;height:5754" coordorigin="6885,3060" coordsize="1268,5754" path="m6885,8814l8152,8814,8152,3060,6885,3060,6885,881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公司持有的光</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环新网股票的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锁定期限自动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延长至少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55"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360"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资产、财务、机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构和业务方面</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独立的承诺函：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发行人控股股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东百汇达已作</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出书面承诺：其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将按照法律、法</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规及公司章程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依法行使股东</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权利，不利用股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东身份影响公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司的独立性，保</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持公司在资产、</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人员、财务、业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务和机构等方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面的独立性。</w:t>
            </w:r>
            <w:r>
              <w:rPr>
                <w:rFonts w:ascii="Times New Roman" w:hAnsi="Times New Roman" w:cs="Times New Roman" w:eastAsia="Times New Roman" w:hint="default"/>
                <w:spacing w:val="-6"/>
                <w:sz w:val="18"/>
                <w:szCs w:val="18"/>
              </w:rPr>
              <w:t>2</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不竞争承诺函：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发行人控股股 东百汇达已作 </w:t>
            </w:r>
            <w:r>
              <w:rPr>
                <w:rFonts w:ascii="宋体" w:hAnsi="宋体" w:cs="宋体" w:eastAsia="宋体" w:hint="default"/>
                <w:spacing w:val="-6"/>
                <w:sz w:val="18"/>
                <w:szCs w:val="18"/>
              </w:rPr>
              <w:t>出书面承诺：其</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61"/>
              <w:jc w:val="both"/>
              <w:rPr>
                <w:rFonts w:ascii="宋体" w:hAnsi="宋体" w:cs="宋体" w:eastAsia="宋体" w:hint="default"/>
                <w:sz w:val="18"/>
                <w:szCs w:val="18"/>
              </w:rPr>
            </w:pPr>
            <w:r>
              <w:rPr>
                <w:rFonts w:ascii="宋体" w:hAnsi="宋体" w:cs="宋体" w:eastAsia="宋体" w:hint="default"/>
                <w:sz w:val="18"/>
                <w:szCs w:val="18"/>
              </w:rPr>
              <w:t>作出承诺开始 至承诺履行完 毕。</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55"/>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本身及其投资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的全资、控股子</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企业（若有）目</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前不拥有及经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营任何在商业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上与公司正在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经营的业务有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直接竞争的业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务；其本身并且</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必将通过法律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程序使其全资、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控股子企业将</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来均不从事任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何在商业上与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公司正在经营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的业务有直接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竞争的业务；如</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其（包括受其控</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制的子企业或</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其他关联企业）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将来经营的产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品或服务与公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司的主营产品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或服务有可能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形成竞争，其同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意公司有权优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先收购其与该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等产品或服务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有关的资产或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其在子企业中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的全部股权；如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因其未履行在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承诺函中所作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的承诺给公司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造成损失的，其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将赔偿公司的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函：发行人控股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股东百汇达已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作出书面承诺：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除参与公开发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售的股份外，在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公司股票上市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前以及自公司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不转让或者委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发行股票前已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由公司回购该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等股份。在耿殿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根任职期间每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年转让的股份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不得超过其所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持有公司股份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21"/>
                <w:sz w:val="18"/>
                <w:szCs w:val="18"/>
              </w:rPr>
              <w:t>25%</w:t>
            </w:r>
            <w:r>
              <w:rPr>
                <w:rFonts w:ascii="宋体" w:hAnsi="宋体" w:cs="宋体" w:eastAsia="宋体" w:hint="default"/>
                <w:spacing w:val="-21"/>
                <w:sz w:val="18"/>
                <w:szCs w:val="18"/>
              </w:rPr>
              <w:t>；耿</w:t>
            </w:r>
            <w:r>
              <w:rPr>
                <w:rFonts w:ascii="宋体" w:hAnsi="宋体" w:cs="宋体" w:eastAsia="宋体" w:hint="default"/>
                <w:sz w:val="18"/>
                <w:szCs w:val="18"/>
              </w:rPr>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殿根离职后六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个月内，不得转</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让其所持有的</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公司股份。若耿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殿根在公司股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离职，则自申报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八个月内不转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让其所持有的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公司股份；若耿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殿根在公司股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第七个月至第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十二个月之间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申报离职，则自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申报离职之日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起十二个月内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不转让其所持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有的公司股份。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、关于公平关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联交易的承诺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函：发行人控股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股东百汇达已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作出书面承诺：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在不与法律、法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规相抵触的前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提下，在权利所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及范围内，其将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确保其本身及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其全资、控股下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属企业在与公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司进行关联交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易时将按公平、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公开的市场原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则进行，并履行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法律、法规、规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范性文件和公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司章程规定的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程序。其承诺并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确保其本身及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其全资、控股下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属企业不通过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与公司之间的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关联交易谋求</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6"/>
                <w:sz w:val="18"/>
                <w:szCs w:val="18"/>
              </w:rPr>
              <w:t>特殊的利益，不</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会进行有损公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司及其中小股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东利益的关联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Times New Roman" w:hAnsi="Times New Roman" w:cs="Times New Roman" w:eastAsia="Times New Roman" w:hint="default"/>
                <w:sz w:val="18"/>
                <w:szCs w:val="18"/>
              </w:rPr>
              <w:t>5</w:t>
            </w:r>
            <w:r>
              <w:rPr>
                <w:rFonts w:ascii="宋体" w:hAnsi="宋体" w:cs="宋体" w:eastAsia="宋体" w:hint="default"/>
                <w:sz w:val="18"/>
                <w:szCs w:val="18"/>
              </w:rPr>
              <w:t>、关于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承担社会保险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和住房公积金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补缴义务的承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诺函：发行人控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股股东百汇达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已作出书面承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诺：若发行人历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史上需要补缴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任何社会保险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和住房公积金，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或因历史上欠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缴社会保险和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住房公积金受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到任何处罚，一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切费用和经济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损失由其承担。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根据《意见》的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规定及发行监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管问答的要求，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发行人控股股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东百汇达于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具《承诺函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承诺如下</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对于光环新网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股票前本公司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所持的光环新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网股票，在股票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锁定期满后的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两年内，本公司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通过证券交易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所减持已解除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限售的股份的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价格不低于本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次发行价格。上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述减持计划应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易日予以公告。</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）自光环新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网上市至本公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司减持期间，光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环新网如有派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息、送股、资本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公积金转增股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本、配股等除权</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除息事项，减持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底价下限将相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应进行调整。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为光环新网的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控股股东，希望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通过光环新网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业绩的增长获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得股权增值和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分红回报。截至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本承诺函出具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之日，本公司未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有减持所持光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环新网股份的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计划或安排。</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严格遵守我国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法律法规关于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控股股东持股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及股份变动的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有关规定以及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本公司作出的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规范诚信履行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控股股东的义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务。如本公司违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反本承诺进行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减持的，自愿将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减持所得收益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上缴光环新网。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）光环新网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本次发行的招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股书若有虚假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记载、误导性陈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述或者重大遗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漏，对判断光环</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新网是否符合</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法律规定的发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行条件构成重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大、实质影响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的，光环新网及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本公司将依法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回购首次公开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发行的全部新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股，且本公司将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购回已转让的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原限售股份。出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现上述情形，光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环新网将公告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回购新股的股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份回购计划，包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括回购股份数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量、价格区间、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完成时间等信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息。如光环新网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未能履行回购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新股的股份回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购义务，则由本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公司履行上述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义务。本公司应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在前述违法违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规情形之日起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个月内（简称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购回期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场价格完成回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购；期间公司如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有派息、送股、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资本公积金转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增股本、配股等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除权除息事项，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购回底价相应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进行调整。除非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交易对方在购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回期内不接受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要约，否则本公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司将购回已转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让的全部限售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20"/>
                <w:sz w:val="18"/>
                <w:szCs w:val="18"/>
              </w:rPr>
              <w:t>）</w:t>
            </w:r>
            <w:r>
              <w:rPr>
                <w:rFonts w:ascii="宋体" w:hAnsi="宋体" w:cs="宋体" w:eastAsia="宋体" w:hint="default"/>
                <w:sz w:val="18"/>
                <w:szCs w:val="18"/>
              </w:rPr>
              <w:t>本次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发行的招股书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若有虚假记载、</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2"/>
      </w:tblGrid>
      <w:tr>
        <w:trPr>
          <w:trHeight w:val="1034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误导性陈述或 </w:t>
            </w:r>
            <w:r>
              <w:rPr>
                <w:rFonts w:ascii="宋体" w:hAnsi="宋体" w:cs="宋体" w:eastAsia="宋体" w:hint="default"/>
                <w:spacing w:val="-6"/>
                <w:sz w:val="18"/>
                <w:szCs w:val="18"/>
              </w:rPr>
              <w:t>者重大遗漏，致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使投资者在证 券交易中遭受 </w:t>
            </w:r>
            <w:r>
              <w:rPr>
                <w:rFonts w:ascii="宋体" w:hAnsi="宋体" w:cs="宋体" w:eastAsia="宋体" w:hint="default"/>
                <w:spacing w:val="-6"/>
                <w:sz w:val="18"/>
                <w:szCs w:val="18"/>
              </w:rPr>
              <w:t>损失的，本公司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将依法赔偿投 </w:t>
            </w:r>
            <w:r>
              <w:rPr>
                <w:rFonts w:ascii="宋体" w:hAnsi="宋体" w:cs="宋体" w:eastAsia="宋体" w:hint="default"/>
                <w:spacing w:val="-12"/>
                <w:sz w:val="18"/>
                <w:szCs w:val="18"/>
              </w:rPr>
              <w:t>资者损失。（</w:t>
            </w:r>
            <w:r>
              <w:rPr>
                <w:rFonts w:ascii="Times New Roman" w:hAnsi="Times New Roman" w:cs="Times New Roman" w:eastAsia="Times New Roman" w:hint="default"/>
                <w:spacing w:val="-12"/>
                <w:sz w:val="18"/>
                <w:szCs w:val="18"/>
              </w:rPr>
              <w:t>7</w:t>
            </w:r>
            <w:r>
              <w:rPr>
                <w:rFonts w:ascii="宋体" w:hAnsi="宋体" w:cs="宋体" w:eastAsia="宋体" w:hint="default"/>
                <w:spacing w:val="-12"/>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本公司若未能 履行上述承诺 及其他在光环 新网招股书中 披露的其他公 </w:t>
            </w:r>
            <w:r>
              <w:rPr>
                <w:rFonts w:ascii="宋体" w:hAnsi="宋体" w:cs="宋体" w:eastAsia="宋体" w:hint="default"/>
                <w:spacing w:val="-6"/>
                <w:sz w:val="18"/>
                <w:szCs w:val="18"/>
              </w:rPr>
              <w:t>开承诺，则本公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司将按有关法 </w:t>
            </w:r>
            <w:r>
              <w:rPr>
                <w:rFonts w:ascii="宋体" w:hAnsi="宋体" w:cs="宋体" w:eastAsia="宋体" w:hint="default"/>
                <w:spacing w:val="-6"/>
                <w:sz w:val="18"/>
                <w:szCs w:val="18"/>
              </w:rPr>
              <w:t>律、法规的规定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及监管部门的 要求承担相应 的责任；同时， 若本公司未履 行相关承诺致 使投资者在证 券交易中遭受 </w:t>
            </w:r>
            <w:r>
              <w:rPr>
                <w:rFonts w:ascii="宋体" w:hAnsi="宋体" w:cs="宋体" w:eastAsia="宋体" w:hint="default"/>
                <w:spacing w:val="-6"/>
                <w:sz w:val="18"/>
                <w:szCs w:val="18"/>
              </w:rPr>
              <w:t>损失，本公司将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自愿按相应的 赔偿金额申请 冻结所持有的 光环新网相应 </w:t>
            </w:r>
            <w:r>
              <w:rPr>
                <w:rFonts w:ascii="宋体" w:hAnsi="宋体" w:cs="宋体" w:eastAsia="宋体" w:hint="default"/>
                <w:spacing w:val="-6"/>
                <w:sz w:val="18"/>
                <w:szCs w:val="18"/>
              </w:rPr>
              <w:t>市值的股票，以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为本公司根据 法律法规和监 管要求赔偿投 资者损失提供 保障。</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实际控制人耿 殿根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、公平关联交 </w:t>
            </w:r>
            <w:r>
              <w:rPr>
                <w:rFonts w:ascii="宋体" w:hAnsi="宋体" w:cs="宋体" w:eastAsia="宋体" w:hint="default"/>
                <w:spacing w:val="-6"/>
                <w:sz w:val="18"/>
                <w:szCs w:val="18"/>
              </w:rPr>
              <w:t>易承诺：在不与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法律、法规相抵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触的前提下，在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权利所及范围 </w:t>
            </w:r>
            <w:r>
              <w:rPr>
                <w:rFonts w:ascii="宋体" w:hAnsi="宋体" w:cs="宋体" w:eastAsia="宋体" w:hint="default"/>
                <w:spacing w:val="-6"/>
                <w:sz w:val="18"/>
                <w:szCs w:val="18"/>
              </w:rPr>
              <w:t>内，其将确保其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本人以及其本 </w:t>
            </w:r>
            <w:r>
              <w:rPr>
                <w:rFonts w:ascii="宋体" w:hAnsi="宋体" w:cs="宋体" w:eastAsia="宋体" w:hint="default"/>
                <w:spacing w:val="-6"/>
                <w:sz w:val="18"/>
                <w:szCs w:val="18"/>
              </w:rPr>
              <w:t>人之全资、控股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下属企业在与 公司进行关联 交易时将按公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作出承诺开始 至承诺履行完 毕。</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6"/>
                <w:sz w:val="18"/>
                <w:szCs w:val="18"/>
              </w:rPr>
              <w:t>平、公开的市场</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原则进行，并履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行法律、法规、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规范性文件和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公司章程规定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的程序。其承诺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并确保其本人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及其全资、控股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的下属企业不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通过与公司之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间的关联交易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谋求特殊的利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益，不会进行有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损公司及其中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小股东利益的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不竞争承诺：其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本人及其投资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的全资、控股子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企业（若有）目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前不拥有及经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营任何在商业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上与公司正在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经营的业务有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直接竞争的业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务；其本人并且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必将通过法律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程序使其本人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之全资、控股子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企业将来均不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从事任何在商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业上与公司正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在经营的业务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有直接竞争的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业务；如其本人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（包括受其本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人控制的子企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业或其他关联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企业）将来经营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的产品或服务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与公司的主营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产品或服务有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可能形成竞争，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其同意公司有</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11.209991pt;margin-top:72.47998pt;width:96.4pt;height:686.55pt;mso-position-horizontal-relative:page;mso-position-vertical-relative:page;z-index:-1029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8"/>
                    <w:ind w:left="0" w:right="0"/>
                    <w:jc w:val="left"/>
                  </w:pPr>
                  <w:r>
                    <w:rPr/>
                    <w:t>个月内，</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权优先收购其</w:t>
            </w:r>
          </w:p>
        </w:tc>
        <w:tc>
          <w:tcPr>
            <w:tcW w:w="1277"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5pt;mso-position-horizontal-relative:char;mso-position-vertical-relative:line" coordorigin="0,0" coordsize="1268,13731">
                  <v:group style="position:absolute;left:0;top:0;width:1268;height:13731" coordorigin="0,0" coordsize="1268,13731">
                    <v:shape style="position:absolute;left:0;top:0;width:1268;height:13731" coordorigin="0,0" coordsize="1268,13731" path="m0,13730l1267,13730,1267,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与该等产品或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服务有关的资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产或其在子企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业中的全部股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权；如因其未履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行在承诺函中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所作的承诺给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公司造成损失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的，其将赔偿公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司的实际损失。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、股份锁定承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诺：除参与公开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发售的股份外，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在公司股票上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市前以及自公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司股票上市之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36</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不转让或者委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发行股票前已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由公司回购该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等股份。在其任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职期间每年转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让的股份不得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超过所持有公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司股份总数的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个月内，不得转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让其所持有的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公司股份。若其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在发行人股票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个月内申报离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职，则自申报离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职之日起十八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个月内不转让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其所持有的公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司股份；若其在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发行人股票上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市之日起第七</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个月至第十二</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个月之间申报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离职，则自申报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二个月内不转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让其所持有的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关于承担社会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保险和住房公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积金补缴义务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的承诺：若发行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人历史上需要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补缴任何社会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保险和住房公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积金，或因历史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上欠缴社会保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险和住房公积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金受到任何处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罚，一切费用和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经济损失由其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w:t>
            </w:r>
            <w:r>
              <w:rPr>
                <w:rFonts w:ascii="Times New Roman" w:hAnsi="Times New Roman" w:cs="Times New Roman" w:eastAsia="Times New Roman" w:hint="default"/>
                <w:sz w:val="18"/>
                <w:szCs w:val="18"/>
              </w:rPr>
              <w:t>5</w:t>
            </w:r>
            <w:r>
              <w:rPr>
                <w:rFonts w:ascii="宋体" w:hAnsi="宋体" w:cs="宋体" w:eastAsia="宋体" w:hint="default"/>
                <w:sz w:val="18"/>
                <w:szCs w:val="18"/>
              </w:rPr>
              <w:t>、根据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《意见》和发行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监管要求提出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0"/>
                <w:sz w:val="18"/>
                <w:szCs w:val="18"/>
              </w:rPr>
              <w:t>）公</w:t>
            </w:r>
            <w:r>
              <w:rPr>
                <w:rFonts w:ascii="宋体" w:hAnsi="宋体" w:cs="宋体" w:eastAsia="宋体" w:hint="default"/>
                <w:sz w:val="18"/>
                <w:szCs w:val="18"/>
              </w:rPr>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司本次发行的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招股书若有虚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假记载、误导性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陈述或者重大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遗漏，致使投资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者在证券交易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中遭受损失的，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本人将依法赔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偿投资者损失。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）若本人未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能履行公司本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次发行前本人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作出的公开承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诺，则本人将依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法承担相应的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法律责任；并在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证券监管部门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或有关政府机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构认定前述承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诺未得到实际</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230011pt;margin-top:72.47998pt;width:69.4pt;height:298.5pt;mso-position-horizontal-relative:page;mso-position-vertical-relative:page;z-index:-1029040" type="#_x0000_t202" filled="false" stroked="false">
            <v:textbox inset="0,0,0,0">
              <w:txbxContent>
                <w:p>
                  <w:pPr>
                    <w:pStyle w:val="BodyText"/>
                    <w:spacing w:line="240" w:lineRule="auto" w:before="8"/>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2"/>
      </w:tblGrid>
      <w:tr>
        <w:trPr>
          <w:trHeight w:val="5979"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履行起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日内 或司法机关认 定因前述承诺 未得到实际履 行而致使投资 者在证券交易 中遭受损失起 </w:t>
            </w:r>
            <w:r>
              <w:rPr>
                <w:rFonts w:ascii="Times New Roman" w:hAnsi="Times New Roman" w:cs="Times New Roman" w:eastAsia="Times New Roman" w:hint="default"/>
                <w:sz w:val="18"/>
                <w:szCs w:val="18"/>
              </w:rPr>
              <w:t>30 </w:t>
            </w:r>
            <w:r>
              <w:rPr>
                <w:rFonts w:ascii="宋体" w:hAnsi="宋体" w:cs="宋体" w:eastAsia="宋体" w:hint="default"/>
                <w:spacing w:val="-15"/>
                <w:sz w:val="18"/>
                <w:szCs w:val="18"/>
              </w:rPr>
              <w:t>日内，本人将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自愿按相应的 赔偿金额申请 冻结北京百汇 达投资管理有 限公司所持有 的公司相应市 </w:t>
            </w:r>
            <w:r>
              <w:rPr>
                <w:rFonts w:ascii="宋体" w:hAnsi="宋体" w:cs="宋体" w:eastAsia="宋体" w:hint="default"/>
                <w:spacing w:val="-6"/>
                <w:sz w:val="18"/>
                <w:szCs w:val="18"/>
              </w:rPr>
              <w:t>值的股票，以为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本人根据法律 法规和监管要 求赔偿投资者 损失提供保障。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596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63.4pt;height:298.5pt;mso-position-horizontal-relative:char;mso-position-vertical-relative:line" coordorigin="0,0" coordsize="1268,5970">
                  <v:group style="position:absolute;left:0;top:0;width:1268;height:5970" coordorigin="0,0" coordsize="1268,5970">
                    <v:shape style="position:absolute;left:0;top:0;width:1268;height:5970" coordorigin="0,0" coordsize="1268,5970" path="m0,5970l1267,5970,1267,0,0,0,0,5970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785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红杉资本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、股份锁定承 </w:t>
            </w:r>
            <w:r>
              <w:rPr>
                <w:rFonts w:ascii="宋体" w:hAnsi="宋体" w:cs="宋体" w:eastAsia="宋体" w:hint="default"/>
                <w:spacing w:val="-6"/>
                <w:sz w:val="18"/>
                <w:szCs w:val="18"/>
              </w:rPr>
              <w:t>诺：除参与公开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发售的股份外， 对于受让耿桂 芳的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万股股 </w:t>
            </w:r>
            <w:r>
              <w:rPr>
                <w:rFonts w:ascii="宋体" w:hAnsi="宋体" w:cs="宋体" w:eastAsia="宋体" w:hint="default"/>
                <w:spacing w:val="-6"/>
                <w:sz w:val="18"/>
                <w:szCs w:val="18"/>
              </w:rPr>
              <w:t>份，其自公司股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票上市之日起 三十六个月内 不转让或者委 托他人管理所 持有的公司股 </w:t>
            </w:r>
            <w:r>
              <w:rPr>
                <w:rFonts w:ascii="宋体" w:hAnsi="宋体" w:cs="宋体" w:eastAsia="宋体" w:hint="default"/>
                <w:spacing w:val="-6"/>
                <w:sz w:val="18"/>
                <w:szCs w:val="18"/>
              </w:rPr>
              <w:t>份，不由公司回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购该等股份。对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于通过增资方 式取得的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480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 </w:t>
            </w:r>
            <w:r>
              <w:rPr>
                <w:rFonts w:ascii="宋体" w:hAnsi="宋体" w:cs="宋体" w:eastAsia="宋体" w:hint="default"/>
                <w:spacing w:val="-6"/>
                <w:sz w:val="18"/>
                <w:szCs w:val="18"/>
              </w:rPr>
              <w:t>股股份，其在增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资完成工商变 更登记之日起 三十六个月内 </w:t>
            </w:r>
            <w:r>
              <w:rPr>
                <w:rFonts w:ascii="宋体" w:hAnsi="宋体" w:cs="宋体" w:eastAsia="宋体" w:hint="default"/>
                <w:spacing w:val="-6"/>
                <w:sz w:val="18"/>
                <w:szCs w:val="18"/>
              </w:rPr>
              <w:t>不转让；自公司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股票上市之日 起十二个月内 不转让或者委 托他人管理所 持有的公司股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4" w:right="161"/>
              <w:jc w:val="both"/>
              <w:rPr>
                <w:rFonts w:ascii="宋体" w:hAnsi="宋体" w:cs="宋体" w:eastAsia="宋体" w:hint="default"/>
                <w:sz w:val="18"/>
                <w:szCs w:val="18"/>
              </w:rPr>
            </w:pPr>
            <w:r>
              <w:rPr>
                <w:rFonts w:ascii="宋体" w:hAnsi="宋体" w:cs="宋体" w:eastAsia="宋体" w:hint="default"/>
                <w:sz w:val="18"/>
                <w:szCs w:val="18"/>
              </w:rPr>
              <w:t>作出承诺开始 至承诺履行完 毕。</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56"/>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230011pt;margin-top:72.47998pt;width:69.4pt;height:686.55pt;mso-position-horizontal-relative:page;mso-position-vertical-relative:page;z-index:-1028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6"/>
                <w:sz w:val="18"/>
                <w:szCs w:val="18"/>
              </w:rPr>
              <w:t>份，不由公司回</w:t>
            </w:r>
          </w:p>
        </w:tc>
        <w:tc>
          <w:tcPr>
            <w:tcW w:w="1277"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5pt;mso-position-horizontal-relative:char;mso-position-vertical-relative:line" coordorigin="0,0" coordsize="1268,13731">
                  <v:group style="position:absolute;left:0;top:0;width:1268;height:13731" coordorigin="0,0" coordsize="1268,13731">
                    <v:shape style="position:absolute;left:0;top:0;width:1268;height:13731" coordorigin="0,0" coordsize="1268,13731" path="m0,13730l1267,13730,1267,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购该等股份；并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且自公司股票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十四个月内，其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转让的上述股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份不超过所持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有该等股份总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公平关联交易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承诺：在不与法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律、法规相抵触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的前提下，在权</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利所及范围内，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其将确保其本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身及其全资、控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股下属企业在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与公司进行关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联交易时将按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公平、公开的市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场原则进行，并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履行法律、法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规、规范性文件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和公司章程规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定的程序。其承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诺并确保其本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本身及其全资、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控股下属企业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不通过与公司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之间的关联交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易谋求特殊的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利益，不会进行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有损公司及其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中小股东利益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的关联交易。</w:t>
            </w:r>
            <w:r>
              <w:rPr>
                <w:rFonts w:ascii="Times New Roman" w:hAnsi="Times New Roman" w:cs="Times New Roman" w:eastAsia="Times New Roman" w:hint="default"/>
                <w:spacing w:val="-6"/>
                <w:sz w:val="18"/>
                <w:szCs w:val="18"/>
              </w:rPr>
              <w:t>3</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根据发行监管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要求承诺如下：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）对于公司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股票前本企业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所持的公司股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票，除参与公开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发售的股份外，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在股票锁定期</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2"/>
      </w:tblGrid>
      <w:tr>
        <w:trPr>
          <w:trHeight w:val="10036"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pacing w:val="-6"/>
                <w:sz w:val="18"/>
                <w:szCs w:val="18"/>
              </w:rPr>
              <w:t>满后，本企业将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通过证券交易 所集中竞价交 </w:t>
            </w:r>
            <w:r>
              <w:rPr>
                <w:rFonts w:ascii="宋体" w:hAnsi="宋体" w:cs="宋体" w:eastAsia="宋体" w:hint="default"/>
                <w:spacing w:val="-6"/>
                <w:sz w:val="18"/>
                <w:szCs w:val="18"/>
              </w:rPr>
              <w:t>易、大宗交易等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法律法规允许 的方式按照届 时的市场价格 或大宗交易确 定的价格进行 </w:t>
            </w:r>
            <w:r>
              <w:rPr>
                <w:rFonts w:ascii="宋体" w:hAnsi="宋体" w:cs="宋体" w:eastAsia="宋体" w:hint="default"/>
                <w:spacing w:val="-6"/>
                <w:sz w:val="18"/>
                <w:szCs w:val="18"/>
              </w:rPr>
              <w:t>减持。在股票锁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6"/>
                <w:sz w:val="18"/>
                <w:szCs w:val="18"/>
              </w:rPr>
              <w:t>月内，本企业计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划减持该解除 锁定部分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的公司 </w:t>
            </w:r>
            <w:r>
              <w:rPr>
                <w:rFonts w:ascii="宋体" w:hAnsi="宋体" w:cs="宋体" w:eastAsia="宋体" w:hint="default"/>
                <w:spacing w:val="-6"/>
                <w:sz w:val="18"/>
                <w:szCs w:val="18"/>
              </w:rPr>
              <w:t>股票。上述减持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计划应在减持 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个交易日予 </w:t>
            </w:r>
            <w:r>
              <w:rPr>
                <w:rFonts w:ascii="宋体" w:hAnsi="宋体" w:cs="宋体" w:eastAsia="宋体" w:hint="default"/>
                <w:spacing w:val="-19"/>
                <w:sz w:val="18"/>
                <w:szCs w:val="18"/>
              </w:rPr>
              <w:t>以公告。（</w:t>
            </w: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企业将严格遵</w:t>
            </w:r>
            <w:r>
              <w:rPr>
                <w:rFonts w:ascii="宋体" w:hAnsi="宋体" w:cs="宋体" w:eastAsia="宋体" w:hint="default"/>
                <w:sz w:val="18"/>
                <w:szCs w:val="18"/>
              </w:rPr>
              <w:t> 守我国法律法 规关于股东持 股及股份变动 的有关规定以 及本企业作出 的股份锁定承 </w:t>
            </w:r>
            <w:r>
              <w:rPr>
                <w:rFonts w:ascii="宋体" w:hAnsi="宋体" w:cs="宋体" w:eastAsia="宋体" w:hint="default"/>
                <w:spacing w:val="-6"/>
                <w:sz w:val="18"/>
                <w:szCs w:val="18"/>
              </w:rPr>
              <w:t>诺，规范诚信履</w:t>
            </w:r>
          </w:p>
          <w:p>
            <w:pPr>
              <w:pStyle w:val="TableParagraph"/>
              <w:spacing w:line="316"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行股东的义务。 如本企业违反 本承诺进行减 </w:t>
            </w:r>
            <w:r>
              <w:rPr>
                <w:rFonts w:ascii="宋体" w:hAnsi="宋体" w:cs="宋体" w:eastAsia="宋体" w:hint="default"/>
                <w:spacing w:val="-6"/>
                <w:sz w:val="18"/>
                <w:szCs w:val="18"/>
              </w:rPr>
              <w:t>持的，将承担相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应的法定责任。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公司上市后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 月内如股票连 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的收盘价均低 </w:t>
            </w:r>
            <w:r>
              <w:rPr>
                <w:rFonts w:ascii="宋体" w:hAnsi="宋体" w:cs="宋体" w:eastAsia="宋体" w:hint="default"/>
                <w:spacing w:val="-6"/>
                <w:sz w:val="18"/>
                <w:szCs w:val="18"/>
              </w:rPr>
              <w:t>于发行价，或者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个月期 末收盘价低于 </w:t>
            </w:r>
            <w:r>
              <w:rPr>
                <w:rFonts w:ascii="宋体" w:hAnsi="宋体" w:cs="宋体" w:eastAsia="宋体" w:hint="default"/>
                <w:spacing w:val="-6"/>
                <w:sz w:val="18"/>
                <w:szCs w:val="18"/>
              </w:rPr>
              <w:t>发行价，本人持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有的公司股票 的锁定期限自 动延长至少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 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作出承诺开始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1378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、股份锁定承 </w:t>
            </w:r>
            <w:r>
              <w:rPr>
                <w:rFonts w:ascii="宋体" w:hAnsi="宋体" w:cs="宋体" w:eastAsia="宋体" w:hint="default"/>
                <w:spacing w:val="-6"/>
                <w:sz w:val="18"/>
                <w:szCs w:val="18"/>
              </w:rPr>
              <w:t>诺：除参与公开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发售的股份外， 其在公司股票 上市前以及自 公司股票上市 之日起三十六 </w:t>
            </w: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或者委托他人 管理其直接或 间接持有的公 司公开发行股 票前已发行的 </w:t>
            </w:r>
            <w:r>
              <w:rPr>
                <w:rFonts w:ascii="宋体" w:hAnsi="宋体" w:cs="宋体" w:eastAsia="宋体" w:hint="default"/>
                <w:spacing w:val="-6"/>
                <w:sz w:val="18"/>
                <w:szCs w:val="18"/>
              </w:rPr>
              <w:t>股份，也不由公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司回购该等股 </w:t>
            </w:r>
            <w:r>
              <w:rPr>
                <w:rFonts w:ascii="宋体" w:hAnsi="宋体" w:cs="宋体" w:eastAsia="宋体" w:hint="default"/>
                <w:spacing w:val="-6"/>
                <w:sz w:val="18"/>
                <w:szCs w:val="18"/>
              </w:rPr>
              <w:t>份；在耿殿根在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公司任职期间 每年转让的股 份不超过所持 有公司股份总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；在耿</w:t>
            </w:r>
            <w:r>
              <w:rPr>
                <w:rFonts w:ascii="宋体" w:hAnsi="宋体" w:cs="宋体" w:eastAsia="宋体" w:hint="default"/>
                <w:sz w:val="18"/>
                <w:szCs w:val="18"/>
              </w:rPr>
              <w:t> 殿根离职后六 </w:t>
            </w: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所持有的公司 </w:t>
            </w:r>
            <w:r>
              <w:rPr>
                <w:rFonts w:ascii="宋体" w:hAnsi="宋体" w:cs="宋体" w:eastAsia="宋体" w:hint="default"/>
                <w:spacing w:val="-6"/>
                <w:sz w:val="18"/>
                <w:szCs w:val="18"/>
              </w:rPr>
              <w:t>股份。若耿殿根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在公司股票上 市之日起六个 月内申报离职， 则其自耿殿根 申报离职之日 起十八个月内 不转让所持有 </w:t>
            </w:r>
            <w:r>
              <w:rPr>
                <w:rFonts w:ascii="宋体" w:hAnsi="宋体" w:cs="宋体" w:eastAsia="宋体" w:hint="default"/>
                <w:spacing w:val="-6"/>
                <w:sz w:val="18"/>
                <w:szCs w:val="18"/>
              </w:rPr>
              <w:t>的公司股份；若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耿殿根在公司 股票上市之日 起第七个月至 第十二个月之 </w:t>
            </w:r>
            <w:r>
              <w:rPr>
                <w:rFonts w:ascii="宋体" w:hAnsi="宋体" w:cs="宋体" w:eastAsia="宋体" w:hint="default"/>
                <w:spacing w:val="-6"/>
                <w:sz w:val="18"/>
                <w:szCs w:val="18"/>
              </w:rPr>
              <w:t>间申报离职，则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其自耿殿根申 报离职之日起 十二个月内不 转让所持有的 公司股份。</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 平关联交易承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作出承诺开始 至承诺履行完 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55"/>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6"/>
                <w:sz w:val="18"/>
                <w:szCs w:val="18"/>
              </w:rPr>
              <w:t>诺：其均将促使</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其本人所控制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的企业（若有）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与公司之间的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任何交易按公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平的市场原则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和正常的商业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条件进行，并履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行必经的法律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程序；其本人并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将促使其本人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所控制的企业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（若有）不要求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或接受公司给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予任何优于在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一项市场公平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交易中的第三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者所能给予的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条件，不产生有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损公司及其股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东利益的交易。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其本人并将促</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使其本人所控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制的企业（若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有）在经营业务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中不利用其在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公司的地位转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移利润或从事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其他行为来损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害公司及其股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东的利益。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不竞争承诺：其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本身及其投资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的全资、控股子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企业（若有）目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前不拥有及经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营任何在商业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上与公司正在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经营的业务有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直接竞争的业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务；其本身并且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必将通过法律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程序使其全资、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控股子企业将</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11.20401pt;margin-top:72.47998pt;width:96.4pt;height:686.55pt;mso-position-horizontal-relative:page;mso-position-vertical-relative:page;z-index:-1028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1"/>
                    <w:ind w:left="0" w:right="0"/>
                    <w:jc w:val="left"/>
                  </w:pPr>
                  <w:r>
                    <w:rPr/>
                    <w:t>《意见》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来均不从事任</w:t>
            </w:r>
          </w:p>
        </w:tc>
        <w:tc>
          <w:tcPr>
            <w:tcW w:w="1277"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5pt;mso-position-horizontal-relative:char;mso-position-vertical-relative:line" coordorigin="0,0" coordsize="1268,13731">
                  <v:group style="position:absolute;left:0;top:0;width:1268;height:13731" coordorigin="0,0" coordsize="1268,13731">
                    <v:shape style="position:absolute;left:0;top:0;width:1268;height:13731" coordorigin="0,0" coordsize="1268,13731" path="m0,13730l1267,13730,1267,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何在商业上与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公司正在经营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的业务有直接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竞争的业务；如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其本身（包括受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其控制的子企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业或其他关联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企业）将来经营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的产品或服务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与公司的主营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产品或服务有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可能形成竞争，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其同意公司有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权优先收购其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与该等产品或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服务有关的资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产或其在子企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业中的全部股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权；如因其未履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行在承诺函中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所作的承诺给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公司造成损失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的，其将赔偿公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司的实际损失。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、根据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和发行监管要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求提出承诺：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）对于公司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股票前本人所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持的公司股票，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在股票锁定期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满后的两年内，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本人通过证券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交易所减持已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解除限售的股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份的价格不低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于本次发行价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格。上述减持计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划应在减持前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个交易日予以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0"/>
                <w:sz w:val="18"/>
                <w:szCs w:val="18"/>
              </w:rPr>
              <w:t>）</w:t>
            </w:r>
            <w:r>
              <w:rPr>
                <w:rFonts w:ascii="宋体" w:hAnsi="宋体" w:cs="宋体" w:eastAsia="宋体" w:hint="default"/>
                <w:sz w:val="18"/>
                <w:szCs w:val="18"/>
              </w:rPr>
              <w:t>自公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4"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司上市至本人</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2"/>
      </w:tblGrid>
      <w:tr>
        <w:trPr>
          <w:trHeight w:val="9412"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减持期间，公司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如有派息、送 </w:t>
            </w:r>
            <w:r>
              <w:rPr>
                <w:rFonts w:ascii="宋体" w:hAnsi="宋体" w:cs="宋体" w:eastAsia="宋体" w:hint="default"/>
                <w:spacing w:val="-6"/>
                <w:sz w:val="18"/>
                <w:szCs w:val="18"/>
              </w:rPr>
              <w:t>股、资本公积金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转增股本、配股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等除权除息事 </w:t>
            </w:r>
            <w:r>
              <w:rPr>
                <w:rFonts w:ascii="宋体" w:hAnsi="宋体" w:cs="宋体" w:eastAsia="宋体" w:hint="default"/>
                <w:spacing w:val="-6"/>
                <w:sz w:val="18"/>
                <w:szCs w:val="18"/>
              </w:rPr>
              <w:t>项，减持底价下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限将相应进行 </w:t>
            </w:r>
            <w:r>
              <w:rPr>
                <w:rFonts w:ascii="宋体" w:hAnsi="宋体" w:cs="宋体" w:eastAsia="宋体" w:hint="default"/>
                <w:spacing w:val="-17"/>
                <w:sz w:val="18"/>
                <w:szCs w:val="18"/>
              </w:rPr>
              <w:t>调整。（</w:t>
            </w: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希望通过公司 业绩的增长获 得股权增值和 </w:t>
            </w:r>
            <w:r>
              <w:rPr>
                <w:rFonts w:ascii="宋体" w:hAnsi="宋体" w:cs="宋体" w:eastAsia="宋体" w:hint="default"/>
                <w:spacing w:val="-6"/>
                <w:sz w:val="18"/>
                <w:szCs w:val="18"/>
              </w:rPr>
              <w:t>分红回报。截至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本说明函出具 </w:t>
            </w:r>
            <w:r>
              <w:rPr>
                <w:rFonts w:ascii="宋体" w:hAnsi="宋体" w:cs="宋体" w:eastAsia="宋体" w:hint="default"/>
                <w:spacing w:val="-6"/>
                <w:sz w:val="18"/>
                <w:szCs w:val="18"/>
              </w:rPr>
              <w:t>之日，本人未有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减持所持公司 股份的计划或 </w:t>
            </w:r>
            <w:r>
              <w:rPr>
                <w:rFonts w:ascii="宋体" w:hAnsi="宋体" w:cs="宋体" w:eastAsia="宋体" w:hint="default"/>
                <w:spacing w:val="-17"/>
                <w:sz w:val="18"/>
                <w:szCs w:val="18"/>
              </w:rPr>
              <w:t>安排。（</w:t>
            </w:r>
            <w:r>
              <w:rPr>
                <w:rFonts w:ascii="Times New Roman" w:hAnsi="Times New Roman" w:cs="Times New Roman" w:eastAsia="Times New Roman" w:hint="default"/>
                <w:spacing w:val="-17"/>
                <w:sz w:val="18"/>
                <w:szCs w:val="18"/>
              </w:rPr>
              <w:t>4</w:t>
            </w:r>
            <w:r>
              <w:rPr>
                <w:rFonts w:ascii="宋体" w:hAnsi="宋体" w:cs="宋体" w:eastAsia="宋体" w:hint="default"/>
                <w:spacing w:val="-17"/>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将严格遵守我 国法律法规关 于股东持股及 股份变动的有 关规定以及本 人作出的股份 </w:t>
            </w:r>
            <w:r>
              <w:rPr>
                <w:rFonts w:ascii="宋体" w:hAnsi="宋体" w:cs="宋体" w:eastAsia="宋体" w:hint="default"/>
                <w:spacing w:val="-6"/>
                <w:sz w:val="18"/>
                <w:szCs w:val="18"/>
              </w:rPr>
              <w:t>锁定承诺，规范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诚信履行股东 </w:t>
            </w:r>
            <w:r>
              <w:rPr>
                <w:rFonts w:ascii="宋体" w:hAnsi="宋体" w:cs="宋体" w:eastAsia="宋体" w:hint="default"/>
                <w:spacing w:val="-6"/>
                <w:sz w:val="18"/>
                <w:szCs w:val="18"/>
              </w:rPr>
              <w:t>的义务。如本人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违反本承诺进 </w:t>
            </w:r>
            <w:r>
              <w:rPr>
                <w:rFonts w:ascii="宋体" w:hAnsi="宋体" w:cs="宋体" w:eastAsia="宋体" w:hint="default"/>
                <w:spacing w:val="-6"/>
                <w:sz w:val="18"/>
                <w:szCs w:val="18"/>
              </w:rPr>
              <w:t>行减持的，自愿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将减持所得收 益上缴公司。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张英星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、股份锁定承 </w:t>
            </w:r>
            <w:r>
              <w:rPr>
                <w:rFonts w:ascii="宋体" w:hAnsi="宋体" w:cs="宋体" w:eastAsia="宋体" w:hint="default"/>
                <w:spacing w:val="-6"/>
                <w:sz w:val="18"/>
                <w:szCs w:val="18"/>
              </w:rPr>
              <w:t>诺：除参与公开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发售的股份外， 自公司股票上 市之日起十二 </w:t>
            </w:r>
            <w:r>
              <w:rPr>
                <w:rFonts w:ascii="宋体" w:hAnsi="宋体" w:cs="宋体" w:eastAsia="宋体" w:hint="default"/>
                <w:spacing w:val="-6"/>
                <w:sz w:val="18"/>
                <w:szCs w:val="18"/>
              </w:rPr>
              <w:t>个月内，其不转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人管理其持有 的公司公开发 行股票前已发 </w:t>
            </w:r>
            <w:r>
              <w:rPr>
                <w:rFonts w:ascii="宋体" w:hAnsi="宋体" w:cs="宋体" w:eastAsia="宋体" w:hint="default"/>
                <w:spacing w:val="-6"/>
                <w:sz w:val="18"/>
                <w:szCs w:val="18"/>
              </w:rPr>
              <w:t>行的股份，也不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由公司回购该 等股份。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、公 平关联交易承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作出承诺开始 至承诺履行完 毕。</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6"/>
                <w:sz w:val="18"/>
                <w:szCs w:val="18"/>
              </w:rPr>
              <w:t>诺：其均将促使</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其本人所控制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的企业（若有）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与公司之间的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任何交易按公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平的市场原则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和正常的商业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条件进行，并履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行必经的法律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程序；其本人并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将促使其本人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所控制的企业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（若有）不要求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或接受公司给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予任何优于在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一项市场公平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交易中的第三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者所能给予的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条件，不产生有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损公司及其股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东利益的交易。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其本人并将促</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使其本人所控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制的企业（若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有）在经营业务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中不利用其在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公司的地位转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移利润或从事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其他行为来损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害公司及其股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东的利益。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不竞争承诺：其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本身及其投资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的全资、控股子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企业（若有）目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前不拥有及经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营任何在商业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上与公司正在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经营的业务有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直接竞争的业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务；其本身并且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必将通过法律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程序使其全资、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控股子企业将</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11.20401pt;margin-top:72.47998pt;width:96.4pt;height:686.55pt;mso-position-horizontal-relative:page;mso-position-vertical-relative:page;z-index:-1028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1"/>
                    <w:ind w:left="0" w:right="0"/>
                    <w:jc w:val="left"/>
                  </w:pPr>
                  <w:r>
                    <w:rPr/>
                    <w:t>《意见》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来均不从事任</w:t>
            </w:r>
          </w:p>
        </w:tc>
        <w:tc>
          <w:tcPr>
            <w:tcW w:w="1277"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5pt;mso-position-horizontal-relative:char;mso-position-vertical-relative:line" coordorigin="0,0" coordsize="1268,13731">
                  <v:group style="position:absolute;left:0;top:0;width:1268;height:13731" coordorigin="0,0" coordsize="1268,13731">
                    <v:shape style="position:absolute;left:0;top:0;width:1268;height:13731" coordorigin="0,0" coordsize="1268,13731" path="m0,13730l1267,13730,1267,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何在商业上与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公司正在经营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的业务有直接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竞争的业务；如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其本身（包括受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其控制的子企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业或其他关联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企业）将来经营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的产品或服务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与公司的主营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产品或服务有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可能形成竞争，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其同意公司有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权优先收购其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与该等产品或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服务有关的资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产或其在子企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业中的全部股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权；如因其未履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行在承诺函中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所作的承诺给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公司造成损失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的，其将赔偿公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司的实际损失。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、根据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和发行监管要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求提出承诺：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）对于公司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股票前本人所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持的公司股票，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除参与公开发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售的股份外，在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股票锁定期满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后，本人将通过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中竞价交易、大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宗交易等法律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法规允许的方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式按照届时的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市场价格或大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宗交易确定的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价格进行减持。</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66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在股票锁定期 满后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本人计划减持 所持有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 </w:t>
            </w:r>
            <w:r>
              <w:rPr>
                <w:rFonts w:ascii="宋体" w:hAnsi="宋体" w:cs="宋体" w:eastAsia="宋体" w:hint="default"/>
                <w:spacing w:val="-6"/>
                <w:sz w:val="18"/>
                <w:szCs w:val="18"/>
              </w:rPr>
              <w:t>公司股票。上述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减持计划应在 减持前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 日予以公告。</w:t>
            </w:r>
          </w:p>
          <w:p>
            <w:pPr>
              <w:pStyle w:val="TableParagraph"/>
              <w:spacing w:line="316" w:lineRule="auto" w:before="24"/>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）本人将严 格遵守我国法 律法规关于股 东持股及股份 变动的有关规 定以及本人作 出的股份锁定 </w:t>
            </w:r>
            <w:r>
              <w:rPr>
                <w:rFonts w:ascii="宋体" w:hAnsi="宋体" w:cs="宋体" w:eastAsia="宋体" w:hint="default"/>
                <w:spacing w:val="-6"/>
                <w:sz w:val="18"/>
                <w:szCs w:val="18"/>
              </w:rPr>
              <w:t>承诺，规范诚信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履行股东的义 </w:t>
            </w:r>
            <w:r>
              <w:rPr>
                <w:rFonts w:ascii="宋体" w:hAnsi="宋体" w:cs="宋体" w:eastAsia="宋体" w:hint="default"/>
                <w:spacing w:val="-6"/>
                <w:sz w:val="18"/>
                <w:szCs w:val="18"/>
              </w:rPr>
              <w:t>务。如本人违反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本承诺进行减 </w:t>
            </w:r>
            <w:r>
              <w:rPr>
                <w:rFonts w:ascii="宋体" w:hAnsi="宋体" w:cs="宋体" w:eastAsia="宋体" w:hint="default"/>
                <w:spacing w:val="-6"/>
                <w:sz w:val="18"/>
                <w:szCs w:val="18"/>
              </w:rPr>
              <w:t>持的，将承担相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应的法定责任。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659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63.4pt;height:329.7pt;mso-position-horizontal-relative:char;mso-position-vertical-relative:line" coordorigin="0,0" coordsize="1268,6594">
                  <v:group style="position:absolute;left:0;top:0;width:1268;height:6594" coordorigin="0,0" coordsize="1268,6594">
                    <v:shape style="position:absolute;left:0;top:0;width:1268;height:6594" coordorigin="0,0" coordsize="1268,6594" path="m0,6594l1267,6594,1267,0,0,0,0,6594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329"/>
        <w:jc w:val="left"/>
        <w:rPr>
          <w:b w:val="0"/>
          <w:bCs w:val="0"/>
        </w:rPr>
      </w:pPr>
      <w:r>
        <w:rPr/>
        <w:pict>
          <v:shape style="position:absolute;margin-left:311.209991pt;margin-top:-417.834381pt;width:96.4pt;height:329.7pt;mso-position-horizontal-relative:page;mso-position-vertical-relative:paragraph;z-index:-1028848"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240" w:lineRule="auto" w:before="0"/>
                    <w:ind w:left="0" w:right="0"/>
                    <w:jc w:val="left"/>
                  </w:pPr>
                  <w:r>
                    <w:rPr/>
                    <w:t>个月内，</w:t>
                  </w:r>
                </w:p>
              </w:txbxContent>
            </v:textbox>
            <w10:wrap type="none"/>
          </v:shape>
        </w:pict>
      </w:r>
      <w:r>
        <w:rPr/>
        <w:t>六、聘任、解聘会计师事务所情况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329"/>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谢维、王法</w:t>
            </w:r>
          </w:p>
        </w:tc>
      </w:tr>
    </w:tbl>
    <w:p>
      <w:pPr>
        <w:pStyle w:val="BodyText"/>
        <w:spacing w:line="240" w:lineRule="auto" w:before="49"/>
        <w:ind w:right="329"/>
        <w:jc w:val="left"/>
      </w:pPr>
      <w:r>
        <w:rPr/>
        <w:t>是否改聘会计师事务所</w:t>
      </w:r>
    </w:p>
    <w:p>
      <w:pPr>
        <w:pStyle w:val="BodyText"/>
        <w:spacing w:line="340" w:lineRule="auto" w:before="115"/>
        <w:ind w:right="81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原聘任的会计事务所</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孙政军、张利军</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329"/>
        <w:jc w:val="left"/>
      </w:pPr>
      <w:r>
        <w:rPr/>
        <w:t>是否在审计期间改聘会计师事务所</w:t>
      </w:r>
    </w:p>
    <w:p>
      <w:pPr>
        <w:pStyle w:val="BodyText"/>
        <w:spacing w:line="338" w:lineRule="auto" w:before="117"/>
        <w:ind w:right="6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43"/>
        <w:ind w:right="70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0" w:lineRule="auto" w:before="39"/>
        <w:ind w:right="147" w:firstLine="360"/>
        <w:jc w:val="both"/>
      </w:pPr>
      <w:r>
        <w:rPr/>
        <w:t>由于原聘任会计师事务所合同到期，公司董事会审计委员会提议重新选聘</w:t>
      </w:r>
      <w:r>
        <w:rPr>
          <w:rFonts w:ascii="Times New Roman" w:hAnsi="Times New Roman" w:cs="Times New Roman" w:eastAsia="Times New Roman" w:hint="default"/>
        </w:rPr>
        <w:t>2014</w:t>
      </w:r>
      <w:r>
        <w:rPr/>
        <w:t>年度审计机构。</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日公司召开 </w:t>
      </w:r>
      <w:r>
        <w:rPr>
          <w:spacing w:val="-2"/>
        </w:rPr>
        <w:t>第二届董事会</w:t>
      </w:r>
      <w:r>
        <w:rPr>
          <w:rFonts w:ascii="Times New Roman" w:hAnsi="Times New Roman" w:cs="Times New Roman" w:eastAsia="Times New Roman" w:hint="default"/>
          <w:spacing w:val="-2"/>
        </w:rPr>
        <w:t>2014</w:t>
      </w:r>
      <w:r>
        <w:rPr>
          <w:spacing w:val="-2"/>
        </w:rPr>
        <w:t>年第三次会议和第二届监事会</w:t>
      </w:r>
      <w:r>
        <w:rPr>
          <w:rFonts w:ascii="Times New Roman" w:hAnsi="Times New Roman" w:cs="Times New Roman" w:eastAsia="Times New Roman" w:hint="default"/>
          <w:spacing w:val="-2"/>
        </w:rPr>
        <w:t>2014</w:t>
      </w:r>
      <w:r>
        <w:rPr>
          <w:spacing w:val="-2"/>
        </w:rPr>
        <w:t>年第一次会议审议通过了《关于聘请公司</w:t>
      </w:r>
      <w:r>
        <w:rPr>
          <w:rFonts w:ascii="Times New Roman" w:hAnsi="Times New Roman" w:cs="Times New Roman" w:eastAsia="Times New Roman" w:hint="default"/>
          <w:spacing w:val="-2"/>
        </w:rPr>
        <w:t>2014</w:t>
      </w:r>
      <w:r>
        <w:rPr>
          <w:spacing w:val="-2"/>
        </w:rPr>
        <w:t>年度审计机构的议案》，</w:t>
      </w:r>
      <w:r>
        <w:rPr>
          <w:spacing w:val="-64"/>
        </w:rPr>
        <w:t> </w:t>
      </w:r>
      <w:r>
        <w:rPr>
          <w:spacing w:val="-64"/>
        </w:rPr>
      </w:r>
      <w:r>
        <w:rPr/>
        <w:t>并将该议案提交 </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spacing w:val="-6"/>
        </w:rPr>
        <w:t>年度股东大会审议，公司独立董事对上述议案发表了独立意见。公司</w:t>
      </w:r>
      <w:r>
        <w:rPr>
          <w:rFonts w:ascii="Times New Roman" w:hAnsi="Times New Roman" w:cs="Times New Roman" w:eastAsia="Times New Roman" w:hint="default"/>
          <w:spacing w:val="-6"/>
        </w:rPr>
        <w:t>2013</w:t>
      </w:r>
      <w:r>
        <w:rPr>
          <w:spacing w:val="-6"/>
        </w:rPr>
        <w:t>年度股东大会审议通过了《关</w:t>
      </w:r>
      <w:r>
        <w:rPr/>
        <w:t> </w:t>
      </w:r>
      <w:r>
        <w:rPr>
          <w:spacing w:val="-2"/>
        </w:rPr>
        <w:t>于聘请公司</w:t>
      </w:r>
      <w:r>
        <w:rPr>
          <w:rFonts w:ascii="Times New Roman" w:hAnsi="Times New Roman" w:cs="Times New Roman" w:eastAsia="Times New Roman" w:hint="default"/>
          <w:spacing w:val="-2"/>
        </w:rPr>
        <w:t>2014</w:t>
      </w:r>
      <w:r>
        <w:rPr>
          <w:spacing w:val="-2"/>
        </w:rPr>
        <w:t>年度审计机构的议案》，同意聘请中兴华会计师事务所（特殊普通合伙）为公司</w:t>
      </w:r>
      <w:r>
        <w:rPr>
          <w:rFonts w:ascii="Times New Roman" w:hAnsi="Times New Roman" w:cs="Times New Roman" w:eastAsia="Times New Roman" w:hint="default"/>
          <w:spacing w:val="-2"/>
        </w:rPr>
        <w:t>2014</w:t>
      </w:r>
      <w:r>
        <w:rPr>
          <w:spacing w:val="-2"/>
        </w:rPr>
        <w:t>年度的财务审计机构。</w:t>
      </w:r>
    </w:p>
    <w:p>
      <w:pPr>
        <w:spacing w:after="0" w:line="30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89"/>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89"/>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9"/>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-4,865,000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75.00%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-4,865,000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40,935,00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36,070,00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81,870,00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75.26%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-996,594</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66,946,81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61.32%</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11,330,00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24.74%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-3,868,406</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7,461,594</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3,593,188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14,923,18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13.67%</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13,645,00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27,290,00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27,290,00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8,780,000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3"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89"/>
        <w:jc w:val="left"/>
      </w:pPr>
      <w:r>
        <w:rPr/>
        <w:t>股份变动的原因</w:t>
      </w:r>
    </w:p>
    <w:p>
      <w:pPr>
        <w:pStyle w:val="BodyText"/>
        <w:spacing w:line="240" w:lineRule="auto" w:before="115"/>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513" w:right="89"/>
        <w:jc w:val="left"/>
      </w:pPr>
      <w:r>
        <w:rPr>
          <w:rFonts w:ascii="Times New Roman" w:hAnsi="Times New Roman" w:cs="Times New Roman" w:eastAsia="Times New Roman" w:hint="default"/>
        </w:rPr>
        <w:t>1</w:t>
      </w:r>
      <w:r>
        <w:rPr/>
        <w:t>、经中国证券监督管理委员会《关于核准北京光环新网科技股份有限公司首次公开发行股份并在创业板上市的批复》</w:t>
      </w:r>
    </w:p>
    <w:p>
      <w:pPr>
        <w:pStyle w:val="BodyText"/>
        <w:spacing w:line="300" w:lineRule="auto" w:before="63"/>
        <w:ind w:right="89"/>
        <w:jc w:val="left"/>
      </w:pPr>
      <w:r>
        <w:rPr>
          <w:spacing w:val="-1"/>
        </w:rPr>
        <w:t>（证监许可【</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68</w:t>
      </w:r>
      <w:r>
        <w:rPr>
          <w:spacing w:val="-1"/>
        </w:rPr>
        <w:t>号）核准，截至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24</w:t>
      </w:r>
      <w:r>
        <w:rPr>
          <w:spacing w:val="-1"/>
        </w:rPr>
        <w:t>日，向社会公众公开发行人民币普通股（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1,364.50</w:t>
      </w:r>
      <w:r>
        <w:rPr>
          <w:spacing w:val="-1"/>
        </w:rPr>
        <w:t>万股，其中发行</w:t>
      </w:r>
      <w:r>
        <w:rPr>
          <w:spacing w:val="-68"/>
        </w:rPr>
        <w:t> </w:t>
      </w:r>
      <w:r>
        <w:rPr>
          <w:spacing w:val="-68"/>
        </w:rPr>
      </w:r>
      <w:r>
        <w:rPr/>
        <w:t>新股</w:t>
      </w:r>
      <w:r>
        <w:rPr>
          <w:rFonts w:ascii="Times New Roman" w:hAnsi="Times New Roman" w:cs="Times New Roman" w:eastAsia="Times New Roman" w:hint="default"/>
        </w:rPr>
        <w:t>878</w:t>
      </w:r>
      <w:r>
        <w:rPr/>
        <w:t>万股，老股转让</w:t>
      </w:r>
      <w:r>
        <w:rPr>
          <w:rFonts w:ascii="Times New Roman" w:hAnsi="Times New Roman" w:cs="Times New Roman" w:eastAsia="Times New Roman" w:hint="default"/>
        </w:rPr>
        <w:t>486.50</w:t>
      </w:r>
      <w:r>
        <w:rPr/>
        <w:t>万股，首次公开发行后总股本为</w:t>
      </w:r>
      <w:r>
        <w:rPr>
          <w:rFonts w:ascii="Times New Roman" w:hAnsi="Times New Roman" w:cs="Times New Roman" w:eastAsia="Times New Roman" w:hint="default"/>
        </w:rPr>
        <w:t>5,458</w:t>
      </w:r>
      <w:r>
        <w:rPr/>
        <w:t>万股。</w:t>
      </w:r>
    </w:p>
    <w:p>
      <w:pPr>
        <w:pStyle w:val="BodyText"/>
        <w:spacing w:line="300" w:lineRule="auto" w:before="13"/>
        <w:ind w:right="89" w:firstLine="360"/>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日召开</w:t>
      </w:r>
      <w:r>
        <w:rPr>
          <w:rFonts w:ascii="Times New Roman" w:hAnsi="Times New Roman" w:cs="Times New Roman" w:eastAsia="Times New Roman" w:hint="default"/>
          <w:spacing w:val="-2"/>
        </w:rPr>
        <w:t>2013</w:t>
      </w:r>
      <w:r>
        <w:rPr>
          <w:spacing w:val="-2"/>
        </w:rPr>
        <w:t>年度股东大会，审议通过《关于</w:t>
      </w:r>
      <w:r>
        <w:rPr>
          <w:rFonts w:ascii="Times New Roman" w:hAnsi="Times New Roman" w:cs="Times New Roman" w:eastAsia="Times New Roman" w:hint="default"/>
          <w:spacing w:val="-2"/>
        </w:rPr>
        <w:t>2013</w:t>
      </w:r>
      <w:r>
        <w:rPr>
          <w:spacing w:val="-2"/>
        </w:rPr>
        <w:t>年度利润分配及资本公积转增股本方案的议案》，</w:t>
      </w:r>
      <w:r>
        <w:rPr/>
        <w:t> 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日公司总股本</w:t>
      </w:r>
      <w:r>
        <w:rPr>
          <w:rFonts w:ascii="Times New Roman" w:hAnsi="Times New Roman" w:cs="Times New Roman" w:eastAsia="Times New Roman" w:hint="default"/>
        </w:rPr>
        <w:t>5,458</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w:t>
      </w:r>
      <w:r>
        <w:rPr/>
        <w:t>元人民币（含税）；同时进行资本公 </w:t>
      </w:r>
      <w:r>
        <w:rPr>
          <w:spacing w:val="-2"/>
        </w:rPr>
        <w:t>积转增股本，以公司总股本</w:t>
      </w:r>
      <w:r>
        <w:rPr>
          <w:rFonts w:ascii="Times New Roman" w:hAnsi="Times New Roman" w:cs="Times New Roman" w:eastAsia="Times New Roman" w:hint="default"/>
          <w:spacing w:val="-2"/>
        </w:rPr>
        <w:t>5,458</w:t>
      </w:r>
      <w:r>
        <w:rPr>
          <w:spacing w:val="-2"/>
        </w:rPr>
        <w:t>万股为基数，向全体股东每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股，转增后公司总股本增加至</w:t>
      </w:r>
      <w:r>
        <w:rPr>
          <w:rFonts w:ascii="Times New Roman" w:hAnsi="Times New Roman" w:cs="Times New Roman" w:eastAsia="Times New Roman" w:hint="default"/>
          <w:spacing w:val="-2"/>
        </w:rPr>
        <w:t>10,916</w:t>
      </w:r>
      <w:r>
        <w:rPr>
          <w:spacing w:val="-2"/>
        </w:rPr>
        <w:t>万股。上述权益</w:t>
      </w:r>
      <w:r>
        <w:rPr>
          <w:spacing w:val="-52"/>
        </w:rPr>
        <w:t> </w:t>
      </w:r>
      <w:r>
        <w:rPr>
          <w:spacing w:val="-52"/>
        </w:rPr>
      </w:r>
      <w:r>
        <w:rPr/>
        <w:t>分派实施方案已于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日实施完毕。</w:t>
      </w:r>
    </w:p>
    <w:p>
      <w:pPr>
        <w:spacing w:line="240" w:lineRule="auto" w:before="0"/>
        <w:rPr>
          <w:rFonts w:ascii="宋体" w:hAnsi="宋体" w:cs="宋体" w:eastAsia="宋体" w:hint="default"/>
          <w:sz w:val="18"/>
          <w:szCs w:val="18"/>
        </w:rPr>
      </w:pPr>
    </w:p>
    <w:p>
      <w:pPr>
        <w:pStyle w:val="BodyText"/>
        <w:spacing w:line="240" w:lineRule="auto" w:before="130"/>
        <w:ind w:right="89"/>
        <w:jc w:val="left"/>
      </w:pPr>
      <w:r>
        <w:rPr/>
        <w:t>股份变动的批准情况</w:t>
      </w:r>
    </w:p>
    <w:p>
      <w:pPr>
        <w:pStyle w:val="BodyText"/>
        <w:spacing w:line="240" w:lineRule="auto" w:before="115"/>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8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日，中国证券监督管理委员会出具《关于核准北京光环新网科技股份有限公司首次公开发行股票并在创 业板上市的批复》（证监许可【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68</w:t>
      </w:r>
      <w:r>
        <w:rPr/>
        <w:t>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日，深圳证券交易所出具《北京光环新网科技股份有限公司人</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88"/>
        <w:jc w:val="both"/>
      </w:pPr>
      <w:r>
        <w:rPr>
          <w:spacing w:val="-2"/>
        </w:rPr>
        <w:t>民币普通股股票在创业板上市的通知》（深证上【</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84</w:t>
      </w:r>
      <w:r>
        <w:rPr>
          <w:spacing w:val="-2"/>
        </w:rPr>
        <w:t>号），同意本公司发行的人民币普通股股票在深圳证券交易所创</w:t>
      </w:r>
      <w:r>
        <w:rPr>
          <w:spacing w:val="-62"/>
        </w:rPr>
        <w:t> </w:t>
      </w:r>
      <w:r>
        <w:rPr>
          <w:spacing w:val="-62"/>
        </w:rPr>
      </w:r>
      <w:r>
        <w:rPr>
          <w:spacing w:val="-1"/>
        </w:rPr>
        <w:t>业板上市，股票简称</w:t>
      </w:r>
      <w:r>
        <w:rPr>
          <w:rFonts w:ascii="Times New Roman" w:hAnsi="Times New Roman" w:cs="Times New Roman" w:eastAsia="Times New Roman" w:hint="default"/>
          <w:spacing w:val="-1"/>
        </w:rPr>
        <w:t>“</w:t>
      </w:r>
      <w:r>
        <w:rPr>
          <w:spacing w:val="-1"/>
        </w:rPr>
        <w:t>光环新网</w:t>
      </w:r>
      <w:r>
        <w:rPr>
          <w:rFonts w:ascii="Times New Roman" w:hAnsi="Times New Roman" w:cs="Times New Roman" w:eastAsia="Times New Roman" w:hint="default"/>
          <w:spacing w:val="-1"/>
        </w:rPr>
        <w:t>”</w:t>
      </w:r>
      <w:r>
        <w:rPr>
          <w:spacing w:val="-1"/>
        </w:rPr>
        <w:t>，股票代码</w:t>
      </w:r>
      <w:r>
        <w:rPr>
          <w:rFonts w:ascii="Times New Roman" w:hAnsi="Times New Roman" w:cs="Times New Roman" w:eastAsia="Times New Roman" w:hint="default"/>
          <w:spacing w:val="-1"/>
        </w:rPr>
        <w:t>“300383”</w:t>
      </w:r>
      <w:r>
        <w:rPr>
          <w:spacing w:val="-1"/>
        </w:rPr>
        <w:t>；本次公开发行的</w:t>
      </w:r>
      <w:r>
        <w:rPr>
          <w:rFonts w:ascii="Times New Roman" w:hAnsi="Times New Roman" w:cs="Times New Roman" w:eastAsia="Times New Roman" w:hint="default"/>
          <w:spacing w:val="-1"/>
        </w:rPr>
        <w:t>1,364.50</w:t>
      </w:r>
      <w:r>
        <w:rPr>
          <w:spacing w:val="-1"/>
        </w:rPr>
        <w:t>万股股票将于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日起上市交易。首</w:t>
      </w:r>
      <w:r>
        <w:rPr>
          <w:spacing w:val="-74"/>
        </w:rPr>
        <w:t> </w:t>
      </w:r>
      <w:r>
        <w:rPr>
          <w:spacing w:val="-74"/>
        </w:rPr>
      </w:r>
      <w:r>
        <w:rPr/>
        <w:t>次公开发行后总股本为</w:t>
      </w:r>
      <w:r>
        <w:rPr>
          <w:rFonts w:ascii="Times New Roman" w:hAnsi="Times New Roman" w:cs="Times New Roman" w:eastAsia="Times New Roman" w:hint="default"/>
        </w:rPr>
        <w:t>5,458</w:t>
      </w:r>
      <w:r>
        <w:rPr/>
        <w:t>万股。</w:t>
      </w:r>
    </w:p>
    <w:p>
      <w:pPr>
        <w:pStyle w:val="BodyText"/>
        <w:spacing w:line="300" w:lineRule="auto" w:before="13"/>
        <w:ind w:right="89" w:firstLine="360"/>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日召开</w:t>
      </w:r>
      <w:r>
        <w:rPr>
          <w:rFonts w:ascii="Times New Roman" w:hAnsi="Times New Roman" w:cs="Times New Roman" w:eastAsia="Times New Roman" w:hint="default"/>
          <w:spacing w:val="-2"/>
        </w:rPr>
        <w:t>2013</w:t>
      </w:r>
      <w:r>
        <w:rPr>
          <w:spacing w:val="-2"/>
        </w:rPr>
        <w:t>年度股东大会，审议通过《关于</w:t>
      </w:r>
      <w:r>
        <w:rPr>
          <w:rFonts w:ascii="Times New Roman" w:hAnsi="Times New Roman" w:cs="Times New Roman" w:eastAsia="Times New Roman" w:hint="default"/>
          <w:spacing w:val="-2"/>
        </w:rPr>
        <w:t>2013</w:t>
      </w:r>
      <w:r>
        <w:rPr>
          <w:spacing w:val="-2"/>
        </w:rPr>
        <w:t>年度利润分配及资本公积转增股本方案的议案》。</w:t>
      </w:r>
      <w:r>
        <w:rPr/>
        <w:t> 上述权益分派实施方案已于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日实施完毕。</w:t>
      </w:r>
    </w:p>
    <w:p>
      <w:pPr>
        <w:spacing w:line="240" w:lineRule="auto" w:before="0"/>
        <w:rPr>
          <w:rFonts w:ascii="宋体" w:hAnsi="宋体" w:cs="宋体" w:eastAsia="宋体" w:hint="default"/>
          <w:sz w:val="18"/>
          <w:szCs w:val="18"/>
        </w:rPr>
      </w:pPr>
    </w:p>
    <w:p>
      <w:pPr>
        <w:pStyle w:val="BodyText"/>
        <w:spacing w:line="240" w:lineRule="auto" w:before="130"/>
        <w:ind w:right="89"/>
        <w:jc w:val="left"/>
      </w:pPr>
      <w:r>
        <w:rPr/>
        <w:t>股份变动的过户情况</w:t>
      </w:r>
    </w:p>
    <w:p>
      <w:pPr>
        <w:pStyle w:val="BodyText"/>
        <w:spacing w:line="240" w:lineRule="auto" w:before="115"/>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84" w:firstLine="36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日在中国证券登记结算有限责任公司深圳分公司完成新股发行登记，登记数量为</w:t>
      </w:r>
      <w:r>
        <w:rPr>
          <w:rFonts w:ascii="Times New Roman" w:hAnsi="Times New Roman" w:cs="Times New Roman" w:eastAsia="Times New Roman" w:hint="default"/>
        </w:rPr>
        <w:t>54,580,000</w:t>
      </w:r>
      <w:r>
        <w:rPr/>
        <w:t>股， 其中限售条件的股份为</w:t>
      </w:r>
      <w:r>
        <w:rPr>
          <w:rFonts w:ascii="Times New Roman" w:hAnsi="Times New Roman" w:cs="Times New Roman" w:eastAsia="Times New Roman" w:hint="default"/>
        </w:rPr>
        <w:t>40,935,000</w:t>
      </w:r>
      <w:r>
        <w:rPr/>
        <w:t>股，无限售条件的股份为</w:t>
      </w:r>
      <w:r>
        <w:rPr>
          <w:rFonts w:ascii="Times New Roman" w:hAnsi="Times New Roman" w:cs="Times New Roman" w:eastAsia="Times New Roman" w:hint="default"/>
        </w:rPr>
        <w:t>13,645,000</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日完成工商变更手续。</w:t>
      </w:r>
    </w:p>
    <w:p>
      <w:pPr>
        <w:pStyle w:val="BodyText"/>
        <w:spacing w:line="240" w:lineRule="auto" w:before="13"/>
        <w:ind w:left="513" w:right="8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年度利润分配方案于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日实施完毕，</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日完成工商变更手续。</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before="0"/>
        <w:ind w:right="89"/>
        <w:jc w:val="left"/>
      </w:pPr>
      <w:r>
        <w:rPr/>
        <w:t>股份变动对最近一年和最近一期基本每股收益和稀释每股收益、归属于公司普通股股东的每股净资产等财务指标的影响</w:t>
      </w:r>
    </w:p>
    <w:p>
      <w:pPr>
        <w:pStyle w:val="BodyText"/>
        <w:spacing w:line="319" w:lineRule="auto" w:before="115"/>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基本每股收益：按期初股本计算，本期基本每股收益</w:t>
      </w:r>
      <w:r>
        <w:rPr>
          <w:rFonts w:ascii="Times New Roman" w:hAnsi="Times New Roman" w:cs="Times New Roman" w:eastAsia="Times New Roman" w:hint="default"/>
        </w:rPr>
        <w:t>2.08</w:t>
      </w:r>
      <w:r>
        <w:rPr/>
        <w:t>元；本期股本变动后基本每股收益</w:t>
      </w:r>
      <w:r>
        <w:rPr>
          <w:rFonts w:ascii="Times New Roman" w:hAnsi="Times New Roman" w:cs="Times New Roman" w:eastAsia="Times New Roman" w:hint="default"/>
        </w:rPr>
        <w:t>0.88</w:t>
      </w:r>
      <w:r>
        <w:rPr/>
        <w:t>元；因本期股本增加，导 致每股收益减少</w:t>
      </w:r>
      <w:r>
        <w:rPr>
          <w:rFonts w:ascii="Times New Roman" w:hAnsi="Times New Roman" w:cs="Times New Roman" w:eastAsia="Times New Roman" w:hint="default"/>
        </w:rPr>
        <w:t>1.2</w:t>
      </w:r>
      <w:r>
        <w:rPr/>
        <w:t>元，对稀释每股收益的影响与基本每股收益相同。</w:t>
      </w:r>
    </w:p>
    <w:p>
      <w:pPr>
        <w:pStyle w:val="BodyText"/>
        <w:spacing w:line="300" w:lineRule="auto" w:before="0"/>
        <w:ind w:right="94"/>
        <w:jc w:val="left"/>
      </w:pPr>
      <w:r>
        <w:rPr>
          <w:rFonts w:ascii="Times New Roman" w:hAnsi="Times New Roman" w:cs="Times New Roman" w:eastAsia="Times New Roman" w:hint="default"/>
          <w:spacing w:val="-3"/>
        </w:rPr>
        <w:t>2.</w:t>
      </w:r>
      <w:r>
        <w:rPr>
          <w:spacing w:val="-3"/>
        </w:rPr>
        <w:t>归属于公司普通股股东的每股净资产：按期初股本计算，期末归属于公司普通股股东的每股净资产</w:t>
      </w:r>
      <w:r>
        <w:rPr>
          <w:rFonts w:ascii="Times New Roman" w:hAnsi="Times New Roman" w:cs="Times New Roman" w:eastAsia="Times New Roman" w:hint="default"/>
          <w:spacing w:val="-3"/>
        </w:rPr>
        <w:t>15.2311</w:t>
      </w:r>
      <w:r>
        <w:rPr>
          <w:spacing w:val="-3"/>
        </w:rPr>
        <w:t>元；股本增加后，</w:t>
      </w:r>
      <w:r>
        <w:rPr>
          <w:spacing w:val="-86"/>
        </w:rPr>
        <w:t> </w:t>
      </w:r>
      <w:r>
        <w:rPr>
          <w:spacing w:val="-86"/>
        </w:rPr>
      </w:r>
      <w:r>
        <w:rPr/>
        <w:t>期末归属于公司普通股股东的每股净资产</w:t>
      </w:r>
      <w:r>
        <w:rPr>
          <w:rFonts w:ascii="Times New Roman" w:hAnsi="Times New Roman" w:cs="Times New Roman" w:eastAsia="Times New Roman" w:hint="default"/>
        </w:rPr>
        <w:t>6.3905</w:t>
      </w:r>
      <w:r>
        <w:rPr/>
        <w:t>元；因本期股本增加，导致归属于公司普通股股东的每股净资产减少</w:t>
      </w:r>
      <w:r>
        <w:rPr>
          <w:rFonts w:ascii="Times New Roman" w:hAnsi="Times New Roman" w:cs="Times New Roman" w:eastAsia="Times New Roman" w:hint="default"/>
        </w:rPr>
        <w:t>8.8406 </w:t>
      </w:r>
      <w:r>
        <w:rPr/>
        <w:t>元。</w:t>
      </w:r>
    </w:p>
    <w:p>
      <w:pPr>
        <w:pStyle w:val="BodyText"/>
        <w:spacing w:line="240" w:lineRule="auto" w:before="72"/>
        <w:ind w:right="89"/>
        <w:jc w:val="left"/>
      </w:pPr>
      <w:r>
        <w:rPr/>
        <w:t>公司认为必要或证券监管机构要求披露的其他内容</w:t>
      </w:r>
    </w:p>
    <w:p>
      <w:pPr>
        <w:pStyle w:val="BodyText"/>
        <w:spacing w:line="240" w:lineRule="auto" w:before="115"/>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89"/>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北京百汇达投资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天津红杉资本投 资基金中心（有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天津红杉资本投 资基金中心（有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天津红杉资本投 资基金中心（有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1,298,117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2,596,234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3,362,805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1,934,390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张英星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2,219,111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4,438,222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北京润鑫隆源商 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224,711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1,775,289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金飞鸿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张春英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朱丽娣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郭明强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马小克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吴国雄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刘吉衡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杨景兰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关文龙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付其伟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邬银银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李激波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郭晓玉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袁俊梅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叶周梅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肖建永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40,935,000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81,870,000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89"/>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9"/>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新股发行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38.30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13,645,000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13,645,000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0"/>
        <w:ind w:left="513" w:right="178" w:hanging="361"/>
        <w:jc w:val="left"/>
      </w:pPr>
      <w:r>
        <w:rPr/>
        <w:t>证券发行情况的说明 </w:t>
      </w:r>
      <w:r>
        <w:rPr>
          <w:spacing w:val="-5"/>
        </w:rPr>
        <w:t>根据中国证券监督管理委员会《关于核准北京光环新网科技股份有限公司首次公开发行股票并在创业板上市的批复》（证</w:t>
      </w:r>
    </w:p>
    <w:p>
      <w:pPr>
        <w:pStyle w:val="BodyText"/>
        <w:spacing w:line="237" w:lineRule="exact" w:before="0"/>
        <w:ind w:right="0"/>
        <w:jc w:val="both"/>
      </w:pPr>
      <w:r>
        <w:rPr/>
        <w:t>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68</w:t>
      </w:r>
      <w:r>
        <w:rPr/>
        <w:t>号）核准，经深圳证券交易所出具《北京光环新网科技股份有限公司人民币普通股股票在创业板上市的通</w:t>
      </w:r>
    </w:p>
    <w:p>
      <w:pPr>
        <w:pStyle w:val="BodyText"/>
        <w:spacing w:line="300" w:lineRule="auto" w:before="63"/>
        <w:ind w:right="198"/>
        <w:jc w:val="both"/>
      </w:pPr>
      <w:r>
        <w:rPr/>
        <w:t>知》（深证上【</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84</w:t>
      </w:r>
      <w:r>
        <w:rPr/>
        <w:t>号）同意，本公司发行的人民币普通股股票于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日在深圳证券交易所创业板上市，股票 简称</w:t>
      </w:r>
      <w:r>
        <w:rPr>
          <w:rFonts w:ascii="Times New Roman" w:hAnsi="Times New Roman" w:cs="Times New Roman" w:eastAsia="Times New Roman" w:hint="default"/>
        </w:rPr>
        <w:t>“</w:t>
      </w:r>
      <w:r>
        <w:rPr/>
        <w:t>光环新网</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“300383”</w:t>
      </w:r>
      <w:r>
        <w:rPr/>
        <w:t>；本次公开发行股份合计</w:t>
      </w:r>
      <w:r>
        <w:rPr>
          <w:rFonts w:ascii="Times New Roman" w:hAnsi="Times New Roman" w:cs="Times New Roman" w:eastAsia="Times New Roman" w:hint="default"/>
        </w:rPr>
        <w:t>1,364.50</w:t>
      </w:r>
      <w:r>
        <w:rPr/>
        <w:t>万股，每股面值</w:t>
      </w:r>
      <w:r>
        <w:rPr>
          <w:rFonts w:ascii="Times New Roman" w:hAnsi="Times New Roman" w:cs="Times New Roman" w:eastAsia="Times New Roman" w:hint="default"/>
        </w:rPr>
        <w:t>1</w:t>
      </w:r>
      <w:r>
        <w:rPr/>
        <w:t>元，发行价格为</w:t>
      </w:r>
      <w:r>
        <w:rPr>
          <w:rFonts w:ascii="Times New Roman" w:hAnsi="Times New Roman" w:cs="Times New Roman" w:eastAsia="Times New Roman" w:hint="default"/>
        </w:rPr>
        <w:t>38.30</w:t>
      </w:r>
      <w:r>
        <w:rPr/>
        <w:t>元</w:t>
      </w:r>
      <w:r>
        <w:rPr>
          <w:rFonts w:ascii="Times New Roman" w:hAnsi="Times New Roman" w:cs="Times New Roman" w:eastAsia="Times New Roman" w:hint="default"/>
        </w:rPr>
        <w:t>/</w:t>
      </w:r>
      <w:r>
        <w:rPr/>
        <w:t>股，其中发 行新股</w:t>
      </w:r>
      <w:r>
        <w:rPr>
          <w:rFonts w:ascii="Times New Roman" w:hAnsi="Times New Roman" w:cs="Times New Roman" w:eastAsia="Times New Roman" w:hint="default"/>
        </w:rPr>
        <w:t>878</w:t>
      </w:r>
      <w:r>
        <w:rPr/>
        <w:t>万股，老股转让</w:t>
      </w:r>
      <w:r>
        <w:rPr>
          <w:rFonts w:ascii="Times New Roman" w:hAnsi="Times New Roman" w:cs="Times New Roman" w:eastAsia="Times New Roman" w:hint="default"/>
        </w:rPr>
        <w:t>486.50</w:t>
      </w:r>
      <w:r>
        <w:rPr/>
        <w:t>万股，首次公开发行后总股本为</w:t>
      </w:r>
      <w:r>
        <w:rPr>
          <w:rFonts w:ascii="Times New Roman" w:hAnsi="Times New Roman" w:cs="Times New Roman" w:eastAsia="Times New Roman" w:hint="default"/>
        </w:rPr>
        <w:t>5,458</w:t>
      </w:r>
      <w:r>
        <w:rPr/>
        <w:t>万股。</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rFonts w:ascii="Times New Roman" w:hAnsi="Times New Roman" w:cs="Times New Roman" w:eastAsia="Times New Roman" w:hint="default"/>
          <w:spacing w:val="-2"/>
        </w:rPr>
        <w:t>1</w:t>
      </w:r>
      <w:r>
        <w:rPr>
          <w:spacing w:val="-2"/>
        </w:rPr>
        <w:t>、根据中国证券监督管理委员会《关于核准北京光环新网科技股份有限公司首次公开发行股票并在创业板上市的批复》</w:t>
      </w:r>
    </w:p>
    <w:p>
      <w:pPr>
        <w:pStyle w:val="BodyText"/>
        <w:spacing w:line="300" w:lineRule="auto" w:before="63"/>
        <w:ind w:right="192"/>
        <w:jc w:val="both"/>
      </w:pPr>
      <w:r>
        <w:rPr>
          <w:spacing w:val="-2"/>
        </w:rPr>
        <w:t>（证监许可【</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68</w:t>
      </w:r>
      <w:r>
        <w:rPr>
          <w:spacing w:val="-2"/>
        </w:rPr>
        <w:t>号）核准，经深圳证券交易所出具《北京光环新网科技股份有限公司人民币普通股股票在创业板上市</w:t>
      </w:r>
      <w:r>
        <w:rPr>
          <w:spacing w:val="-61"/>
        </w:rPr>
        <w:t> </w:t>
      </w:r>
      <w:r>
        <w:rPr>
          <w:spacing w:val="-61"/>
        </w:rPr>
      </w:r>
      <w:r>
        <w:rPr/>
        <w:t>的通知》（深证上【</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84</w:t>
      </w:r>
      <w:r>
        <w:rPr/>
        <w:t>号）同意，本公司发行的人民币普通股股票于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日在深圳证券交易所创业板上市， 股票简称</w:t>
      </w:r>
      <w:r>
        <w:rPr>
          <w:rFonts w:ascii="Times New Roman" w:hAnsi="Times New Roman" w:cs="Times New Roman" w:eastAsia="Times New Roman" w:hint="default"/>
        </w:rPr>
        <w:t>“</w:t>
      </w:r>
      <w:r>
        <w:rPr/>
        <w:t>光环新网</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“300383”</w:t>
      </w:r>
      <w:r>
        <w:rPr/>
        <w:t>；本次公开发行股份合计</w:t>
      </w:r>
      <w:r>
        <w:rPr>
          <w:rFonts w:ascii="Times New Roman" w:hAnsi="Times New Roman" w:cs="Times New Roman" w:eastAsia="Times New Roman" w:hint="default"/>
        </w:rPr>
        <w:t>1,364.50</w:t>
      </w:r>
      <w:r>
        <w:rPr/>
        <w:t>万股，每股面值</w:t>
      </w:r>
      <w:r>
        <w:rPr>
          <w:rFonts w:ascii="Times New Roman" w:hAnsi="Times New Roman" w:cs="Times New Roman" w:eastAsia="Times New Roman" w:hint="default"/>
        </w:rPr>
        <w:t>1</w:t>
      </w:r>
      <w:r>
        <w:rPr/>
        <w:t>元，发行价格为</w:t>
      </w:r>
      <w:r>
        <w:rPr>
          <w:rFonts w:ascii="Times New Roman" w:hAnsi="Times New Roman" w:cs="Times New Roman" w:eastAsia="Times New Roman" w:hint="default"/>
        </w:rPr>
        <w:t>38.30</w:t>
      </w:r>
      <w:r>
        <w:rPr/>
        <w:t>元</w:t>
      </w:r>
      <w:r>
        <w:rPr>
          <w:rFonts w:ascii="Times New Roman" w:hAnsi="Times New Roman" w:cs="Times New Roman" w:eastAsia="Times New Roman" w:hint="default"/>
        </w:rPr>
        <w:t>/</w:t>
      </w:r>
      <w:r>
        <w:rPr/>
        <w:t>股，其 中发行新股</w:t>
      </w:r>
      <w:r>
        <w:rPr>
          <w:rFonts w:ascii="Times New Roman" w:hAnsi="Times New Roman" w:cs="Times New Roman" w:eastAsia="Times New Roman" w:hint="default"/>
        </w:rPr>
        <w:t>878</w:t>
      </w:r>
      <w:r>
        <w:rPr/>
        <w:t>万股，老股转让</w:t>
      </w:r>
      <w:r>
        <w:rPr>
          <w:rFonts w:ascii="Times New Roman" w:hAnsi="Times New Roman" w:cs="Times New Roman" w:eastAsia="Times New Roman" w:hint="default"/>
        </w:rPr>
        <w:t>486.50</w:t>
      </w:r>
      <w:r>
        <w:rPr/>
        <w:t>万股，首次公开发行后总股本为</w:t>
      </w:r>
      <w:r>
        <w:rPr>
          <w:rFonts w:ascii="Times New Roman" w:hAnsi="Times New Roman" w:cs="Times New Roman" w:eastAsia="Times New Roman" w:hint="default"/>
        </w:rPr>
        <w:t>5,458</w:t>
      </w:r>
      <w:r>
        <w:rPr/>
        <w:t>万股。</w:t>
      </w:r>
    </w:p>
    <w:p>
      <w:pPr>
        <w:pStyle w:val="BodyText"/>
        <w:spacing w:line="300" w:lineRule="auto" w:before="13"/>
        <w:ind w:right="192" w:firstLine="360"/>
        <w:jc w:val="both"/>
      </w:pP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2013</w:t>
      </w:r>
      <w:r>
        <w:rPr/>
        <w:t>年度股东大会决议，公司于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日完成了</w:t>
      </w:r>
      <w:r>
        <w:rPr>
          <w:rFonts w:ascii="Times New Roman" w:hAnsi="Times New Roman" w:cs="Times New Roman" w:eastAsia="Times New Roman" w:hint="default"/>
        </w:rPr>
        <w:t>2013</w:t>
      </w:r>
      <w:r>
        <w:rPr/>
        <w:t>年度权益分派实施方案，以截至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 </w:t>
      </w:r>
      <w:r>
        <w:rPr>
          <w:spacing w:val="-1"/>
        </w:rPr>
        <w:t>公司总股本</w:t>
      </w:r>
      <w:r>
        <w:rPr>
          <w:rFonts w:ascii="Times New Roman" w:hAnsi="Times New Roman" w:cs="Times New Roman" w:eastAsia="Times New Roman" w:hint="default"/>
          <w:spacing w:val="-1"/>
        </w:rPr>
        <w:t>5,458</w:t>
      </w:r>
      <w:r>
        <w:rPr>
          <w:spacing w:val="-1"/>
        </w:rPr>
        <w:t>万股为基数，向全体股东每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3</w:t>
      </w:r>
      <w:r>
        <w:rPr>
          <w:spacing w:val="-1"/>
        </w:rPr>
        <w:t>元人民币（含税）；同时进行资本公积转增股本，以公司总</w:t>
      </w:r>
      <w:r>
        <w:rPr>
          <w:spacing w:val="-77"/>
        </w:rPr>
        <w:t> </w:t>
      </w:r>
      <w:r>
        <w:rPr>
          <w:spacing w:val="-77"/>
        </w:rPr>
      </w:r>
      <w:r>
        <w:rPr/>
        <w:t>股本</w:t>
      </w:r>
      <w:r>
        <w:rPr>
          <w:rFonts w:ascii="Times New Roman" w:hAnsi="Times New Roman" w:cs="Times New Roman" w:eastAsia="Times New Roman" w:hint="default"/>
        </w:rPr>
        <w:t>5,458</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股，转增后公司总股本增加至</w:t>
      </w:r>
      <w:r>
        <w:rPr>
          <w:rFonts w:ascii="Times New Roman" w:hAnsi="Times New Roman" w:cs="Times New Roman" w:eastAsia="Times New Roman" w:hint="default"/>
        </w:rPr>
        <w:t>10,916</w:t>
      </w:r>
      <w:r>
        <w:rPr/>
        <w:t>万股。</w:t>
      </w:r>
    </w:p>
    <w:p>
      <w:pPr>
        <w:spacing w:after="0" w:line="300" w:lineRule="auto"/>
        <w:jc w:val="both"/>
        <w:sectPr>
          <w:pgSz w:w="11910" w:h="16840"/>
          <w:pgMar w:header="745" w:footer="979" w:top="1060" w:bottom="1160" w:left="980" w:right="940"/>
        </w:sectPr>
      </w:pPr>
    </w:p>
    <w:p>
      <w:pPr>
        <w:spacing w:line="240" w:lineRule="auto" w:before="8"/>
        <w:rPr>
          <w:rFonts w:ascii="宋体" w:hAnsi="宋体" w:cs="宋体" w:eastAsia="宋体" w:hint="default"/>
          <w:sz w:val="23"/>
          <w:szCs w:val="23"/>
        </w:rPr>
      </w:pPr>
      <w:r>
        <w:rPr/>
        <w:pict>
          <v:group style="position:absolute;margin-left:189.740005pt;margin-top:537.549988pt;width:344pt;height:19.7pt;mso-position-horizontal-relative:page;mso-position-vertical-relative:page;z-index:-1028824" coordorigin="3795,10751" coordsize="6880,394">
            <v:shape style="position:absolute;left:3795;top:10751;width:6880;height:394" coordorigin="3795,10751" coordsize="6880,394" path="m3795,11145l10675,11145,10675,10751,3795,10751,3795,11145xe" filled="true" fillcolor="#ffffff" stroked="false">
              <v:path arrowok="t"/>
              <v:fill type="solid"/>
            </v:shape>
            <w10:wrap type="none"/>
          </v:group>
        </w:pict>
      </w:r>
    </w:p>
    <w:p>
      <w:pPr>
        <w:pStyle w:val="Heading2"/>
        <w:spacing w:line="240" w:lineRule="auto"/>
        <w:ind w:right="329"/>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48"/>
        <w:gridCol w:w="1381"/>
        <w:gridCol w:w="880"/>
        <w:gridCol w:w="815"/>
        <w:gridCol w:w="803"/>
        <w:gridCol w:w="809"/>
        <w:gridCol w:w="862"/>
        <w:gridCol w:w="1149"/>
        <w:gridCol w:w="239"/>
        <w:gridCol w:w="1385"/>
      </w:tblGrid>
      <w:tr>
        <w:trPr>
          <w:trHeight w:val="406"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5" w:type="dxa"/>
            <w:gridSpan w:val="2"/>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11,300</w:t>
            </w:r>
          </w:p>
        </w:tc>
        <w:tc>
          <w:tcPr>
            <w:tcW w:w="362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11,392</w:t>
            </w:r>
          </w:p>
        </w:tc>
      </w:tr>
      <w:tr>
        <w:trPr>
          <w:trHeight w:val="394"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8" w:type="dxa"/>
            <w:vMerge w:val="restart"/>
            <w:tcBorders>
              <w:top w:val="single" w:sz="4" w:space="0" w:color="000000"/>
              <w:left w:val="single" w:sz="4" w:space="0" w:color="000000"/>
              <w:right w:val="single" w:sz="4" w:space="0" w:color="000000"/>
            </w:tcBorders>
            <w:shd w:val="clear" w:color="auto" w:fill="D2D2D2"/>
          </w:tcPr>
          <w:p>
            <w:pPr/>
          </w:p>
        </w:tc>
        <w:tc>
          <w:tcPr>
            <w:tcW w:w="1381" w:type="dxa"/>
            <w:vMerge w:val="restart"/>
            <w:tcBorders>
              <w:top w:val="single" w:sz="4" w:space="0" w:color="000000"/>
              <w:left w:val="single" w:sz="4" w:space="0" w:color="000000"/>
              <w:right w:val="single" w:sz="4" w:space="0" w:color="000000"/>
            </w:tcBorders>
            <w:shd w:val="clear" w:color="auto" w:fill="D2D2D2"/>
          </w:tcPr>
          <w:p>
            <w:pPr/>
          </w:p>
        </w:tc>
        <w:tc>
          <w:tcPr>
            <w:tcW w:w="880"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 w:right="3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8" w:right="3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880"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3" w:type="dxa"/>
            <w:gridSpan w:val="3"/>
            <w:vMerge/>
            <w:tcBorders>
              <w:left w:val="single" w:sz="4" w:space="0" w:color="000000"/>
              <w:right w:val="single" w:sz="4" w:space="0" w:color="000000"/>
            </w:tcBorders>
            <w:shd w:val="clear" w:color="auto" w:fill="D2D2D2"/>
          </w:tcPr>
          <w:p>
            <w:pPr/>
          </w:p>
        </w:tc>
      </w:tr>
      <w:tr>
        <w:trPr>
          <w:trHeight w:val="140" w:hRule="exact"/>
        </w:trPr>
        <w:tc>
          <w:tcPr>
            <w:tcW w:w="12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880"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
        </w:tc>
        <w:tc>
          <w:tcPr>
            <w:tcW w:w="880"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381" w:type="dxa"/>
            <w:vMerge/>
            <w:tcBorders>
              <w:left w:val="single" w:sz="4" w:space="0" w:color="000000"/>
              <w:bottom w:val="single" w:sz="4" w:space="0" w:color="000000"/>
              <w:right w:val="single" w:sz="4" w:space="0" w:color="000000"/>
            </w:tcBorders>
            <w:shd w:val="clear" w:color="auto" w:fill="D2D2D2"/>
          </w:tcPr>
          <w:p>
            <w:pPr/>
          </w:p>
        </w:tc>
        <w:tc>
          <w:tcPr>
            <w:tcW w:w="880"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北京百汇达投 资管理有限公 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46.90%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51,200,00</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51,200,00</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4" w:space="0" w:color="D2D2D2"/>
              <w:left w:val="single" w:sz="4" w:space="0" w:color="000000"/>
              <w:bottom w:val="single" w:sz="4" w:space="0" w:color="000000"/>
              <w:right w:val="single" w:sz="4" w:space="0" w:color="000000"/>
            </w:tcBorders>
          </w:tcPr>
          <w:p>
            <w:pPr/>
          </w:p>
        </w:tc>
        <w:tc>
          <w:tcPr>
            <w:tcW w:w="1385" w:type="dxa"/>
            <w:tcBorders>
              <w:top w:val="single" w:sz="44" w:space="0" w:color="D2D2D2"/>
              <w:left w:val="single" w:sz="4" w:space="0" w:color="000000"/>
              <w:bottom w:val="single" w:sz="4" w:space="0" w:color="000000"/>
              <w:right w:val="single" w:sz="4" w:space="0" w:color="000000"/>
            </w:tcBorders>
          </w:tcPr>
          <w:p>
            <w:pPr/>
          </w:p>
        </w:tc>
      </w:tr>
      <w:tr>
        <w:trPr>
          <w:trHeight w:val="102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天津红杉资本 投资基金中心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12,196,23</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12,196,23</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张英星</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4,438,222</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4,438,222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4,438,222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北京润鑫隆源 商贸有限公司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3,550,578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3,550,578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3,550,578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1,934,390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1,934,390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1,934,390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王晓欣</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1,775,288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1,775,288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1,775,288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金飞鸿</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1,775,288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1,775,288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1,775,288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翁骏</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720,000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720,000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朱丽娣</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500,000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张春英</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500,000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630"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80"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5" w:type="dxa"/>
            <w:tcBorders>
              <w:top w:val="single" w:sz="4" w:space="0" w:color="000000"/>
              <w:left w:val="nil" w:sz="6" w:space="0" w:color="auto"/>
              <w:bottom w:val="single" w:sz="4" w:space="0" w:color="000000"/>
              <w:right w:val="nil" w:sz="6" w:space="0" w:color="auto"/>
            </w:tcBorders>
          </w:tcPr>
          <w:p>
            <w:pPr/>
          </w:p>
        </w:tc>
        <w:tc>
          <w:tcPr>
            <w:tcW w:w="803"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
        </w:tc>
        <w:tc>
          <w:tcPr>
            <w:tcW w:w="1149" w:type="dxa"/>
            <w:tcBorders>
              <w:top w:val="single" w:sz="4" w:space="0" w:color="000000"/>
              <w:left w:val="nil" w:sz="6" w:space="0" w:color="auto"/>
              <w:bottom w:val="single" w:sz="4" w:space="0" w:color="000000"/>
              <w:right w:val="nil" w:sz="6" w:space="0" w:color="auto"/>
            </w:tcBorders>
          </w:tcPr>
          <w:p>
            <w:pPr/>
          </w:p>
        </w:tc>
        <w:tc>
          <w:tcPr>
            <w:tcW w:w="239"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1" w:type="dxa"/>
            <w:gridSpan w:val="8"/>
            <w:tcBorders>
              <w:top w:val="single" w:sz="4" w:space="0" w:color="000000"/>
              <w:left w:val="single" w:sz="12" w:space="0" w:color="D2D2D2"/>
              <w:bottom w:val="single" w:sz="4" w:space="0" w:color="000000"/>
              <w:right w:val="single" w:sz="4" w:space="0" w:color="000000"/>
            </w:tcBorders>
          </w:tcPr>
          <w:p>
            <w:pPr>
              <w:pStyle w:val="TableParagraph"/>
              <w:spacing w:line="316" w:lineRule="auto" w:before="49"/>
              <w:ind w:left="16" w:right="63"/>
              <w:jc w:val="left"/>
              <w:rPr>
                <w:rFonts w:ascii="宋体" w:hAnsi="宋体" w:cs="宋体" w:eastAsia="宋体" w:hint="default"/>
                <w:sz w:val="18"/>
                <w:szCs w:val="18"/>
              </w:rPr>
            </w:pPr>
            <w:r>
              <w:rPr>
                <w:rFonts w:ascii="宋体" w:hAnsi="宋体" w:cs="宋体" w:eastAsia="宋体" w:hint="default"/>
                <w:sz w:val="18"/>
                <w:szCs w:val="18"/>
              </w:rPr>
              <w:t>耿桂芳为北京百汇达投资管理有限公司的法人，是公司实际控制人耿殿根先生的姐姐。 除此之外，公司未发现上述股东之间存在其他关联关系。</w:t>
            </w:r>
          </w:p>
        </w:tc>
      </w:tr>
      <w:tr>
        <w:trPr>
          <w:trHeight w:val="403"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6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6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30" w:type="dxa"/>
            <w:gridSpan w:val="2"/>
            <w:vMerge/>
            <w:tcBorders>
              <w:left w:val="single" w:sz="4" w:space="0" w:color="000000"/>
              <w:bottom w:val="nil" w:sz="6" w:space="0" w:color="auto"/>
              <w:right w:val="single" w:sz="4" w:space="0" w:color="000000"/>
            </w:tcBorders>
            <w:shd w:val="clear" w:color="auto" w:fill="D2D2D2"/>
          </w:tcPr>
          <w:p>
            <w:pPr/>
          </w:p>
        </w:tc>
        <w:tc>
          <w:tcPr>
            <w:tcW w:w="4169" w:type="dxa"/>
            <w:gridSpan w:val="5"/>
            <w:vMerge/>
            <w:tcBorders>
              <w:left w:val="single" w:sz="4" w:space="0" w:color="000000"/>
              <w:bottom w:val="nil" w:sz="6" w:space="0" w:color="auto"/>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299,902</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299,902</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中国银行－华夏行业精选股票型 证券投资基金</w:t>
            </w:r>
            <w:r>
              <w:rPr>
                <w:rFonts w:ascii="Times New Roman" w:hAnsi="Times New Roman" w:cs="Times New Roman" w:eastAsia="Times New Roman" w:hint="default"/>
                <w:sz w:val="18"/>
                <w:szCs w:val="18"/>
              </w:rPr>
              <w:t>(LOF)</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299,886</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299,886</w:t>
            </w:r>
          </w:p>
        </w:tc>
      </w:tr>
      <w:tr>
        <w:trPr>
          <w:trHeight w:val="401" w:hRule="exact"/>
        </w:trPr>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亨通集团有限公司</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216,596</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216,596</w:t>
            </w:r>
          </w:p>
        </w:tc>
      </w:tr>
      <w:tr>
        <w:trPr>
          <w:trHeight w:val="403" w:hRule="exact"/>
        </w:trPr>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中国建设银行－华夏优势增长股</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199,967</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44"/>
        <w:ind w:left="0" w:right="156"/>
        <w:jc w:val="right"/>
      </w:pPr>
      <w:r>
        <w:rPr/>
        <w:pict>
          <v:shape style="position:absolute;margin-left:56.400002pt;margin-top:-234.298309pt;width:479.3pt;height:261.9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3"/>
                    <w:gridCol w:w="4165"/>
                    <w:gridCol w:w="1388"/>
                    <w:gridCol w:w="1385"/>
                  </w:tblGrid>
                  <w:tr>
                    <w:trPr>
                      <w:trHeight w:val="36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票型证券投资基金</w:t>
                        </w:r>
                      </w:p>
                    </w:tc>
                    <w:tc>
                      <w:tcPr>
                        <w:tcW w:w="416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中国工商银行－诺安价值增长股 票证券投资基金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40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锦州希尔达汽车零部件有限公司</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131,254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131,254</w:t>
                        </w:r>
                      </w:p>
                    </w:tc>
                  </w:tr>
                  <w:tr>
                    <w:trPr>
                      <w:trHeight w:val="490"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梁嘉威</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125,901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125,901</w:t>
                        </w:r>
                      </w:p>
                    </w:tc>
                  </w:tr>
                  <w:tr>
                    <w:trPr>
                      <w:trHeight w:val="40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戚发伟</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123,200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123,200</w:t>
                        </w:r>
                      </w:p>
                    </w:tc>
                  </w:tr>
                  <w:tr>
                    <w:trPr>
                      <w:trHeight w:val="401"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刘玉玲</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109,300</w:t>
                        </w:r>
                      </w:p>
                    </w:tc>
                  </w:tr>
                  <w:tr>
                    <w:trPr>
                      <w:trHeight w:val="40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孙树言</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108,627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108,627</w:t>
                        </w:r>
                      </w:p>
                    </w:tc>
                  </w:tr>
                  <w:tr>
                    <w:trPr>
                      <w:trHeight w:val="1337"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名无限售流通股股东和</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名股东之间关联关系或一致 行动的说明</w:t>
                        </w:r>
                      </w:p>
                    </w:tc>
                    <w:tc>
                      <w:tcPr>
                        <w:tcW w:w="6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公司股东孙树言通过海通证券股份有限公司客户信用交易担保证券账户持有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108,627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2"/>
        <w:rPr>
          <w:rFonts w:ascii="宋体" w:hAnsi="宋体" w:cs="宋体" w:eastAsia="宋体" w:hint="default"/>
          <w:sz w:val="21"/>
          <w:szCs w:val="21"/>
        </w:rPr>
      </w:pPr>
    </w:p>
    <w:p>
      <w:pPr>
        <w:pStyle w:val="BodyText"/>
        <w:spacing w:line="240" w:lineRule="auto" w:before="44"/>
        <w:ind w:right="329"/>
        <w:jc w:val="left"/>
      </w:pPr>
      <w:r>
        <w:rPr/>
        <w:t>公司股东在报告期内是否进行约定购回交易</w:t>
      </w:r>
    </w:p>
    <w:p>
      <w:pPr>
        <w:pStyle w:val="BodyText"/>
        <w:spacing w:line="340" w:lineRule="auto" w:before="115"/>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公司股东在报告期内未进行约定购回交易。</w:t>
      </w:r>
    </w:p>
    <w:p>
      <w:pPr>
        <w:spacing w:line="240" w:lineRule="auto" w:before="6"/>
        <w:rPr>
          <w:rFonts w:ascii="宋体" w:hAnsi="宋体" w:cs="宋体" w:eastAsia="宋体" w:hint="default"/>
          <w:sz w:val="21"/>
          <w:szCs w:val="21"/>
        </w:rPr>
      </w:pPr>
    </w:p>
    <w:p>
      <w:pPr>
        <w:pStyle w:val="Heading3"/>
        <w:spacing w:line="240" w:lineRule="auto"/>
        <w:ind w:right="32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t>法人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0"/>
        <w:gridCol w:w="1095"/>
        <w:gridCol w:w="888"/>
        <w:gridCol w:w="1800"/>
        <w:gridCol w:w="1803"/>
        <w:gridCol w:w="1802"/>
      </w:tblGrid>
      <w:tr>
        <w:trPr>
          <w:trHeight w:val="715"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北京百汇达投资管理有限 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74233106-0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投资管理；信息咨询</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（不含中介服务）</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329"/>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329"/>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329"/>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5"/>
                <w:sz w:val="18"/>
                <w:szCs w:val="18"/>
              </w:rPr>
              <w:t>否（曾拥有加拿大永久居留权，已于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月放 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日担任百汇达执行董事兼总经理，</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0"/>
      </w:tblGrid>
      <w:tr>
        <w:trPr>
          <w:trHeight w:val="987"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日辞去百汇达总经理职务，</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日起不再担任百汇达执行董</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事职务；自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年创立光环新网并担任总经理至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月，现任公司董事</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长，任期至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329"/>
        <w:jc w:val="left"/>
      </w:pPr>
      <w:r>
        <w:rPr/>
        <w:t>实际控制人报告期内变更</w:t>
      </w:r>
    </w:p>
    <w:p>
      <w:pPr>
        <w:pStyle w:val="BodyText"/>
        <w:spacing w:line="34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3"/>
        <w:rPr>
          <w:rFonts w:ascii="宋体" w:hAnsi="宋体" w:cs="宋体" w:eastAsia="宋体" w:hint="default"/>
          <w:sz w:val="5"/>
          <w:szCs w:val="5"/>
        </w:rPr>
      </w:pPr>
    </w:p>
    <w:p>
      <w:pPr>
        <w:spacing w:line="3641" w:lineRule="exact"/>
        <w:ind w:left="153"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857200" cy="2312289"/>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16" cstate="print"/>
                    <a:stretch>
                      <a:fillRect/>
                    </a:stretch>
                  </pic:blipFill>
                  <pic:spPr>
                    <a:xfrm>
                      <a:off x="0" y="0"/>
                      <a:ext cx="3857200" cy="2312289"/>
                    </a:xfrm>
                    <a:prstGeom prst="rect">
                      <a:avLst/>
                    </a:prstGeom>
                  </pic:spPr>
                </pic:pic>
              </a:graphicData>
            </a:graphic>
          </wp:inline>
        </w:drawing>
      </w:r>
      <w:r>
        <w:rPr>
          <w:rFonts w:ascii="宋体" w:hAnsi="宋体" w:cs="宋体" w:eastAsia="宋体" w:hint="default"/>
          <w:position w:val="-72"/>
          <w:sz w:val="20"/>
          <w:szCs w:val="20"/>
        </w:rPr>
      </w:r>
    </w:p>
    <w:p>
      <w:pPr>
        <w:pStyle w:val="BodyText"/>
        <w:spacing w:line="240" w:lineRule="auto" w:before="100"/>
        <w:ind w:right="329"/>
        <w:jc w:val="left"/>
      </w:pPr>
      <w:r>
        <w:rPr/>
        <w:t>实际控制人通过信托或其他资产管理方式控制公司</w:t>
      </w:r>
    </w:p>
    <w:p>
      <w:pPr>
        <w:pStyle w:val="BodyText"/>
        <w:spacing w:line="240" w:lineRule="auto" w:before="117"/>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29"/>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4"/>
        <w:gridCol w:w="1541"/>
        <w:gridCol w:w="1063"/>
        <w:gridCol w:w="1594"/>
        <w:gridCol w:w="1385"/>
        <w:gridCol w:w="1800"/>
      </w:tblGrid>
      <w:tr>
        <w:trPr>
          <w:trHeight w:val="71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97" w:right="108"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15" w:right="83" w:hanging="629"/>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337"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68"/>
              <w:jc w:val="left"/>
              <w:rPr>
                <w:rFonts w:ascii="宋体" w:hAnsi="宋体" w:cs="宋体" w:eastAsia="宋体" w:hint="default"/>
                <w:sz w:val="18"/>
                <w:szCs w:val="18"/>
              </w:rPr>
            </w:pPr>
            <w:r>
              <w:rPr>
                <w:rFonts w:ascii="宋体" w:hAnsi="宋体" w:cs="宋体" w:eastAsia="宋体" w:hint="default"/>
                <w:sz w:val="18"/>
                <w:szCs w:val="18"/>
              </w:rPr>
              <w:t>天津红杉资本投资基金中 心（有限合伙）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周逵</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67597090-2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772,200,100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从事非证券类股权投 资活动及相关的咨询 </w:t>
            </w:r>
            <w:r>
              <w:rPr>
                <w:rFonts w:ascii="宋体" w:hAnsi="宋体" w:cs="宋体" w:eastAsia="宋体" w:hint="default"/>
                <w:spacing w:val="-6"/>
                <w:sz w:val="18"/>
                <w:szCs w:val="18"/>
              </w:rPr>
              <w:t>服务（国家有专项、专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管规定的按规定执行）</w:t>
            </w: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5</w:t>
      </w:r>
      <w:r>
        <w:rPr/>
        <w:t>、前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北京百汇达投资管理有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7"/>
              <w:jc w:val="center"/>
              <w:rPr>
                <w:rFonts w:ascii="宋体" w:hAnsi="宋体" w:cs="宋体" w:eastAsia="宋体" w:hint="default"/>
                <w:sz w:val="18"/>
                <w:szCs w:val="18"/>
              </w:rPr>
            </w:pPr>
            <w:r>
              <w:rPr>
                <w:rFonts w:ascii="宋体" w:hAnsi="宋体" w:cs="宋体" w:eastAsia="宋体" w:hint="default"/>
                <w:sz w:val="18"/>
                <w:szCs w:val="18"/>
              </w:rPr>
              <w:t>天津红杉资本投资基金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中心（有限合伙）</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天津红杉资本投资基金 中心（有限合伙）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天津红杉资本投资基金 中心（有限合伙）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1,934,390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张英星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北京润鑫隆源商贸有限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王晓欣</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金飞鸿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张春英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朱丽娣</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1679" w:right="329"/>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329"/>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4"/>
        <w:gridCol w:w="684"/>
        <w:gridCol w:w="685"/>
        <w:gridCol w:w="684"/>
        <w:gridCol w:w="684"/>
      </w:tblGrid>
      <w:tr>
        <w:trPr>
          <w:trHeight w:val="2276"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7"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56"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2"/>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3"/>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58" w:right="65" w:hanging="92"/>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67" w:right="6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董事 兼副 总裁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bl>
    <w:p>
      <w:pPr>
        <w:spacing w:after="0" w:line="319"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4"/>
        <w:gridCol w:w="684"/>
        <w:gridCol w:w="685"/>
        <w:gridCol w:w="684"/>
        <w:gridCol w:w="684"/>
      </w:tblGrid>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董事 会秘 书兼 副总 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宋寅虎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716"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1,010,0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2,020,0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89"/>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89"/>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89"/>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3"/>
        <w:rPr>
          <w:rFonts w:ascii="宋体" w:hAnsi="宋体" w:cs="宋体" w:eastAsia="宋体" w:hint="default"/>
          <w:sz w:val="14"/>
          <w:szCs w:val="14"/>
        </w:rPr>
      </w:pPr>
    </w:p>
    <w:p>
      <w:pPr>
        <w:pStyle w:val="BodyText"/>
        <w:spacing w:line="240" w:lineRule="auto" w:before="0"/>
        <w:ind w:left="513" w:right="89"/>
        <w:jc w:val="left"/>
      </w:pPr>
      <w:r>
        <w:rPr/>
        <w:t>（一）董事会成员</w:t>
      </w:r>
    </w:p>
    <w:p>
      <w:pPr>
        <w:spacing w:line="240" w:lineRule="auto" w:before="11"/>
        <w:rPr>
          <w:rFonts w:ascii="宋体" w:hAnsi="宋体" w:cs="宋体" w:eastAsia="宋体" w:hint="default"/>
          <w:sz w:val="14"/>
          <w:szCs w:val="14"/>
        </w:rPr>
      </w:pPr>
    </w:p>
    <w:p>
      <w:pPr>
        <w:pStyle w:val="BodyText"/>
        <w:spacing w:line="300" w:lineRule="auto" w:before="0"/>
        <w:ind w:right="188" w:firstLine="360"/>
        <w:jc w:val="both"/>
      </w:pPr>
      <w:r>
        <w:rPr>
          <w:rFonts w:ascii="Times New Roman" w:hAnsi="Times New Roman" w:cs="Times New Roman" w:eastAsia="Times New Roman" w:hint="default"/>
        </w:rPr>
        <w:t>1</w:t>
      </w:r>
      <w:r>
        <w:rPr/>
        <w:t>、耿殿根，中国国籍，曾拥有加拿大永久居留权，已于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月放弃，男，汉族，毕业于美国德克萨斯阿灵顿商学 </w:t>
      </w:r>
      <w:r>
        <w:rPr>
          <w:spacing w:val="-2"/>
        </w:rPr>
        <w:t>院，硕士学历。</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11</w:t>
      </w:r>
      <w:r>
        <w:rPr>
          <w:spacing w:val="-2"/>
        </w:rPr>
        <w:t>月在北京工艺品进出口公司担任业务员；</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1</w:t>
      </w:r>
      <w:r>
        <w:rPr>
          <w:spacing w:val="-2"/>
        </w:rPr>
        <w:t>月任北京京美电子技术</w:t>
      </w:r>
      <w:r>
        <w:rPr>
          <w:spacing w:val="-51"/>
        </w:rPr>
        <w:t> </w:t>
      </w:r>
      <w:r>
        <w:rPr>
          <w:spacing w:val="-51"/>
        </w:rPr>
      </w:r>
      <w:r>
        <w:rPr>
          <w:spacing w:val="-1"/>
        </w:rPr>
        <w:t>有限公司业务经理；</w:t>
      </w:r>
      <w:r>
        <w:rPr>
          <w:rFonts w:ascii="Times New Roman" w:hAnsi="Times New Roman" w:cs="Times New Roman" w:eastAsia="Times New Roman" w:hint="default"/>
          <w:spacing w:val="-1"/>
        </w:rPr>
        <w:t>1991</w:t>
      </w:r>
      <w:r>
        <w:rPr>
          <w:spacing w:val="-1"/>
        </w:rPr>
        <w:t>年至</w:t>
      </w:r>
      <w:r>
        <w:rPr>
          <w:rFonts w:ascii="Times New Roman" w:hAnsi="Times New Roman" w:cs="Times New Roman" w:eastAsia="Times New Roman" w:hint="default"/>
          <w:spacing w:val="-1"/>
        </w:rPr>
        <w:t>1995</w:t>
      </w:r>
      <w:r>
        <w:rPr>
          <w:spacing w:val="-1"/>
        </w:rPr>
        <w:t>年在北京华电通信公司担任经理；</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1998</w:t>
      </w:r>
      <w:r>
        <w:rPr>
          <w:spacing w:val="-1"/>
        </w:rPr>
        <w:t>年任光环集团网络通信部经理；</w:t>
      </w:r>
      <w:r>
        <w:rPr>
          <w:spacing w:val="-30"/>
        </w:rPr>
        <w:t> </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41"/>
        </w:rPr>
        <w:t> </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日担任百汇达执行董事兼总经理，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日辞去百汇达总经理职务，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日起不再担任 百汇达执行董事职务；自</w:t>
      </w:r>
      <w:r>
        <w:rPr>
          <w:rFonts w:ascii="Times New Roman" w:hAnsi="Times New Roman" w:cs="Times New Roman" w:eastAsia="Times New Roman" w:hint="default"/>
        </w:rPr>
        <w:t>1999</w:t>
      </w:r>
      <w:r>
        <w:rPr/>
        <w:t>年创立光环新网并担任总经理至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月，现任公司董事长，任期至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300" w:lineRule="auto" w:before="133"/>
        <w:ind w:right="184" w:firstLine="360"/>
        <w:jc w:val="left"/>
      </w:pPr>
      <w:r>
        <w:rPr>
          <w:rFonts w:ascii="Times New Roman" w:hAnsi="Times New Roman" w:cs="Times New Roman" w:eastAsia="Times New Roman" w:hint="default"/>
        </w:rPr>
        <w:t>2</w:t>
      </w:r>
      <w:r>
        <w:rPr/>
        <w:t>、侯焰，中国国籍，无永久境外居留权，女，汉族，毕业于中国科技信息研究所，硕士学历。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月在中国科技情报研究所国家科委成果管理办公室工作；</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月在中国新兴进出口总公司工作；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10</w:t>
      </w:r>
      <w:r>
        <w:rPr>
          <w:spacing w:val="-2"/>
        </w:rPr>
        <w:t>月在北京九瑞科技有限公司任渠道和市场部经理；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12</w:t>
      </w:r>
      <w:r>
        <w:rPr>
          <w:spacing w:val="-2"/>
        </w:rPr>
        <w:t>月到</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月在公司任总经理助理，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月至</w:t>
      </w:r>
      <w:r>
        <w:rPr>
          <w:spacing w:val="-60"/>
        </w:rPr>
        <w:t> </w:t>
      </w:r>
      <w:r>
        <w:rPr/>
        <w:t>今任公司副总经理，负责企业采购管理、人事行政管理和合同管理等工作。现任公司副总裁、董事，任期至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240" w:lineRule="auto" w:before="133"/>
        <w:ind w:left="513" w:right="0"/>
        <w:jc w:val="left"/>
      </w:pPr>
      <w:r>
        <w:rPr>
          <w:rFonts w:ascii="Times New Roman" w:hAnsi="Times New Roman" w:cs="Times New Roman" w:eastAsia="Times New Roman" w:hint="default"/>
          <w:spacing w:val="-2"/>
        </w:rPr>
        <w:t>3</w:t>
      </w:r>
      <w:r>
        <w:rPr>
          <w:spacing w:val="-2"/>
        </w:rPr>
        <w:t>、袁丁，中国国籍，无永久境外居留权，女，汉族，毕业于北京航空航天大学，本科学历，经济师，人力资源管理师。</w:t>
      </w:r>
    </w:p>
    <w:p>
      <w:pPr>
        <w:pStyle w:val="BodyText"/>
        <w:spacing w:line="240" w:lineRule="auto" w:before="63"/>
        <w:ind w:right="89"/>
        <w:jc w:val="left"/>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月，在哈尔滨飞机制造公司机动数控科担任技术员；</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月在北京易华特卡信息技术</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84"/>
        <w:jc w:val="left"/>
      </w:pPr>
      <w:r>
        <w:rPr/>
        <w:t>有限公司担任综合部经理；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在北京长城光环宽带网络技术有限公司任人事行政经理，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月至今在 公司人事行政部工作，现任公司人事行政部总监，负责企业人事和行政管理工作。现任公司董事，任期至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300" w:lineRule="auto" w:before="133"/>
        <w:ind w:right="191" w:firstLine="360"/>
        <w:jc w:val="both"/>
      </w:pPr>
      <w:r>
        <w:rPr>
          <w:rFonts w:ascii="Times New Roman" w:hAnsi="Times New Roman" w:cs="Times New Roman" w:eastAsia="Times New Roman" w:hint="default"/>
        </w:rPr>
        <w:t>4</w:t>
      </w:r>
      <w:r>
        <w:rPr/>
        <w:t>、曹毅，中国国籍，无境外永久居留权，男，汉族，毕业于清华大学，本科学历。曾任联创策源投资咨询（北京）有 </w:t>
      </w:r>
      <w:r>
        <w:rPr>
          <w:spacing w:val="-2"/>
        </w:rPr>
        <w:t>限公司投资经理、北京优视科技有限公司商务拓展总监，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月，在红杉资本投资管理（天津）有限公司任</w:t>
      </w:r>
      <w:r>
        <w:rPr>
          <w:spacing w:val="-58"/>
        </w:rPr>
        <w:t> </w:t>
      </w:r>
      <w:r>
        <w:rPr>
          <w:spacing w:val="-58"/>
        </w:rPr>
      </w:r>
      <w:r>
        <w:rPr/>
        <w:t>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月至今，在北京源码资本投资有限公司任执行董事。现任公司董事，任期至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300" w:lineRule="auto" w:before="133"/>
        <w:ind w:right="94" w:firstLine="360"/>
        <w:jc w:val="left"/>
      </w:pPr>
      <w:r>
        <w:rPr>
          <w:rFonts w:ascii="Times New Roman" w:hAnsi="Times New Roman" w:cs="Times New Roman" w:eastAsia="Times New Roman" w:hint="default"/>
        </w:rPr>
        <w:t>5</w:t>
      </w:r>
      <w:r>
        <w:rPr/>
        <w:t>、韩旭，中国国籍，无永久境外居留权，男，汉族，毕业于北京邮电大学，本科学历，工程师。</w:t>
      </w:r>
      <w:r>
        <w:rPr>
          <w:rFonts w:ascii="Times New Roman" w:hAnsi="Times New Roman" w:cs="Times New Roman" w:eastAsia="Times New Roman" w:hint="default"/>
        </w:rPr>
        <w:t>1988</w:t>
      </w:r>
      <w:r>
        <w:rPr/>
        <w:t>年在中国电子系 统工程公司担任工程师；</w:t>
      </w:r>
      <w:r>
        <w:rPr>
          <w:rFonts w:ascii="Times New Roman" w:hAnsi="Times New Roman" w:cs="Times New Roman" w:eastAsia="Times New Roman" w:hint="default"/>
        </w:rPr>
        <w:t>1989</w:t>
      </w:r>
      <w:r>
        <w:rPr/>
        <w:t>年在北京京美电子技术开发公司从事销售工作；</w:t>
      </w:r>
      <w:r>
        <w:rPr>
          <w:rFonts w:ascii="Times New Roman" w:hAnsi="Times New Roman" w:cs="Times New Roman" w:eastAsia="Times New Roman" w:hint="default"/>
        </w:rPr>
        <w:t>1992</w:t>
      </w:r>
      <w:r>
        <w:rPr/>
        <w:t>年在北京三先电子技术开发公司任经理； </w:t>
      </w:r>
      <w:r>
        <w:rPr>
          <w:rFonts w:ascii="Times New Roman" w:hAnsi="Times New Roman" w:cs="Times New Roman" w:eastAsia="Times New Roman" w:hint="default"/>
          <w:spacing w:val="-1"/>
        </w:rPr>
        <w:t>1997</w:t>
      </w:r>
      <w:r>
        <w:rPr>
          <w:spacing w:val="-1"/>
        </w:rPr>
        <w:t>年在美国艾里斯特（</w:t>
      </w:r>
      <w:r>
        <w:rPr>
          <w:rFonts w:ascii="Times New Roman" w:hAnsi="Times New Roman" w:cs="Times New Roman" w:eastAsia="Times New Roman" w:hint="default"/>
          <w:spacing w:val="-1"/>
        </w:rPr>
        <w:t>ANIXTER</w:t>
      </w:r>
      <w:r>
        <w:rPr>
          <w:spacing w:val="-1"/>
        </w:rPr>
        <w:t>）北京公司从事销售工作；</w:t>
      </w:r>
      <w:r>
        <w:rPr>
          <w:rFonts w:ascii="Times New Roman" w:hAnsi="Times New Roman" w:cs="Times New Roman" w:eastAsia="Times New Roman" w:hint="default"/>
          <w:spacing w:val="-1"/>
        </w:rPr>
        <w:t>2001</w:t>
      </w:r>
      <w:r>
        <w:rPr>
          <w:spacing w:val="-1"/>
        </w:rPr>
        <w:t>年在美国力博（</w:t>
      </w:r>
      <w:r>
        <w:rPr>
          <w:rFonts w:ascii="Times New Roman" w:hAnsi="Times New Roman" w:cs="Times New Roman" w:eastAsia="Times New Roman" w:hint="default"/>
          <w:spacing w:val="-1"/>
        </w:rPr>
        <w:t>REDBACK</w:t>
      </w:r>
      <w:r>
        <w:rPr>
          <w:spacing w:val="-1"/>
        </w:rPr>
        <w:t>）北京代表处从事销售工作；</w:t>
      </w:r>
    </w:p>
    <w:p>
      <w:pPr>
        <w:pStyle w:val="BodyText"/>
        <w:spacing w:line="300" w:lineRule="auto" w:before="13"/>
        <w:ind w:right="89"/>
        <w:jc w:val="lef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月在美国西方多路（</w:t>
      </w:r>
      <w:r>
        <w:rPr>
          <w:rFonts w:ascii="Times New Roman" w:hAnsi="Times New Roman" w:cs="Times New Roman" w:eastAsia="Times New Roman" w:hint="default"/>
          <w:spacing w:val="-2"/>
        </w:rPr>
        <w:t>PROXIM</w:t>
      </w:r>
      <w:r>
        <w:rPr>
          <w:spacing w:val="-2"/>
        </w:rPr>
        <w:t>）通信公司北京代表处从事销售工作；</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月在美国亚川公司北京代</w:t>
      </w:r>
      <w:r>
        <w:rPr>
          <w:spacing w:val="-31"/>
        </w:rPr>
        <w:t> </w:t>
      </w:r>
      <w:r>
        <w:rPr/>
        <w:t>表处任地区销售经理，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月至今在深圳云英谷科技有限公司任销售总监，现任公司独立董事，任期至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300" w:lineRule="auto" w:before="133"/>
        <w:ind w:right="191" w:firstLine="360"/>
        <w:jc w:val="both"/>
      </w:pPr>
      <w:r>
        <w:rPr>
          <w:rFonts w:ascii="Times New Roman" w:hAnsi="Times New Roman" w:cs="Times New Roman" w:eastAsia="Times New Roman" w:hint="default"/>
        </w:rPr>
        <w:t>6</w:t>
      </w:r>
      <w:r>
        <w:rPr/>
        <w:t>、税军，中国国籍，无永久境外居留权，男，汉族，中共党员，律师，毕业于北京师范学院，本科学历，</w:t>
      </w:r>
      <w:r>
        <w:rPr>
          <w:rFonts w:ascii="Times New Roman" w:hAnsi="Times New Roman" w:cs="Times New Roman" w:eastAsia="Times New Roman" w:hint="default"/>
        </w:rPr>
        <w:t>1998</w:t>
      </w:r>
      <w:r>
        <w:rPr/>
        <w:t>年取得 律师资格。</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1998</w:t>
      </w:r>
      <w:r>
        <w:rPr/>
        <w:t>年，在北京市崇文区人民法院历任书记员、代理审判员、庭长助理等职务；</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spacing w:val="-3"/>
        </w:rPr>
        <w:t> </w:t>
      </w:r>
      <w:r>
        <w:rPr>
          <w:spacing w:val="-2"/>
        </w:rPr>
        <w:t>先后在北京市昌顺律师事务所、北京海斯律师事务所、地平天成律师事务所从事律师工作；</w:t>
      </w:r>
      <w:r>
        <w:rPr/>
        <w:t> </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3</w:t>
      </w:r>
      <w:r>
        <w:rPr>
          <w:spacing w:val="-1"/>
        </w:rPr>
        <w:t>月至今在华博金隆律师</w:t>
      </w:r>
      <w:r>
        <w:rPr>
          <w:spacing w:val="-78"/>
        </w:rPr>
        <w:t> </w:t>
      </w:r>
      <w:r>
        <w:rPr>
          <w:spacing w:val="-78"/>
        </w:rPr>
      </w:r>
      <w:r>
        <w:rPr/>
        <w:t>事务所从事律师工作，现任公司独立董事，任期至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300" w:lineRule="auto" w:before="133"/>
        <w:ind w:right="188" w:firstLine="360"/>
        <w:jc w:val="both"/>
      </w:pPr>
      <w:r>
        <w:rPr>
          <w:rFonts w:ascii="Times New Roman" w:hAnsi="Times New Roman" w:cs="Times New Roman" w:eastAsia="Times New Roman" w:hint="default"/>
          <w:spacing w:val="-2"/>
        </w:rPr>
        <w:t>7</w:t>
      </w:r>
      <w:r>
        <w:rPr>
          <w:spacing w:val="-2"/>
        </w:rPr>
        <w:t>、王淑芳，中国国籍，无永久境外居留权，女，汉族，毕业于中央财经大学，博士学历，副教授。</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4</w:t>
      </w:r>
      <w:r>
        <w:rPr>
          <w:spacing w:val="-2"/>
        </w:rPr>
        <w:t>月至今在中</w:t>
      </w:r>
      <w:r>
        <w:rPr/>
        <w:t> 央财经大学会计学院审计学专业任教，现任公司独立董事，任期至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439" w:lineRule="auto" w:before="133"/>
        <w:ind w:left="513" w:right="5133" w:firstLine="16"/>
        <w:jc w:val="left"/>
      </w:pPr>
      <w:r>
        <w:rPr/>
        <w:t>（二）监事会成员 发行人监事会由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人。</w:t>
      </w:r>
    </w:p>
    <w:p>
      <w:pPr>
        <w:pStyle w:val="BodyText"/>
        <w:spacing w:line="300" w:lineRule="auto" w:before="17"/>
        <w:ind w:right="189" w:firstLine="360"/>
        <w:jc w:val="both"/>
      </w:pPr>
      <w:r>
        <w:rPr>
          <w:rFonts w:ascii="Times New Roman" w:hAnsi="Times New Roman" w:cs="Times New Roman" w:eastAsia="Times New Roman" w:hint="default"/>
        </w:rPr>
        <w:t>1</w:t>
      </w:r>
      <w:r>
        <w:rPr/>
        <w:t>、庞宝光，中国国籍，无永久境外居留权，女，汉族，本科学历，经济师，人力资源管理师</w:t>
      </w:r>
      <w:r>
        <w:rPr>
          <w:rFonts w:ascii="Times New Roman" w:hAnsi="Times New Roman" w:cs="Times New Roman" w:eastAsia="Times New Roman" w:hint="default"/>
        </w:rPr>
        <w:t>,</w:t>
      </w:r>
      <w:r>
        <w:rPr/>
        <w:t>商务策划师。</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 </w:t>
      </w:r>
      <w:r>
        <w:rPr>
          <w:spacing w:val="-2"/>
        </w:rPr>
        <w:t>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4</w:t>
      </w:r>
      <w:r>
        <w:rPr>
          <w:spacing w:val="-2"/>
        </w:rPr>
        <w:t>月在广东省茂名市邮电局工作；</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月至今在公司人事行政部工作，任公司人事行政部经理，现任公司监事会</w:t>
      </w:r>
      <w:r>
        <w:rPr>
          <w:spacing w:val="-57"/>
        </w:rPr>
        <w:t> </w:t>
      </w:r>
      <w:r>
        <w:rPr>
          <w:spacing w:val="-57"/>
        </w:rPr>
      </w:r>
      <w:r>
        <w:rPr/>
        <w:t>主席，任期至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240" w:lineRule="auto" w:before="13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、汝书伟，中国国籍，无永久境外居留权，男，汉族，中共党员，毕业于北京工业大学，硕士学位，工程师。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p>
    <w:p>
      <w:pPr>
        <w:pStyle w:val="BodyText"/>
        <w:spacing w:line="240" w:lineRule="auto" w:before="63"/>
        <w:ind w:right="89"/>
        <w:jc w:val="left"/>
      </w:pPr>
      <w:r>
        <w:rPr/>
        <w:t>月至今在公司技术部门工作，历任网络工程师、部门副经理等，现任宽带技术总监。现任公司监事，任期至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spacing w:line="240" w:lineRule="auto" w:before="13"/>
        <w:rPr>
          <w:rFonts w:ascii="宋体" w:hAnsi="宋体" w:cs="宋体" w:eastAsia="宋体" w:hint="default"/>
          <w:sz w:val="13"/>
          <w:szCs w:val="13"/>
        </w:rPr>
      </w:pPr>
    </w:p>
    <w:p>
      <w:pPr>
        <w:pStyle w:val="BodyText"/>
        <w:spacing w:line="240" w:lineRule="auto" w:before="0"/>
        <w:ind w:left="513" w:right="0"/>
        <w:jc w:val="left"/>
      </w:pPr>
      <w:r>
        <w:rPr>
          <w:rFonts w:ascii="Times New Roman" w:hAnsi="Times New Roman" w:cs="Times New Roman" w:eastAsia="Times New Roman" w:hint="default"/>
        </w:rPr>
        <w:t>3</w:t>
      </w:r>
      <w:r>
        <w:rPr/>
        <w:t>、李超，中国国籍，无永久境外居留权，女，汉族，助理工程师，毕业于中国民用航空大学，本科学历。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p>
    <w:p>
      <w:pPr>
        <w:pStyle w:val="BodyText"/>
        <w:spacing w:line="300" w:lineRule="auto" w:before="63"/>
        <w:ind w:right="89"/>
        <w:jc w:val="left"/>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10</w:t>
      </w:r>
      <w:r>
        <w:rPr>
          <w:spacing w:val="-2"/>
        </w:rPr>
        <w:t>月在北京市政公司第二分公司任测量员；</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月至今在公司客户服务部（后改建为运营管理中心）工作，现任</w:t>
      </w:r>
      <w:r>
        <w:rPr>
          <w:spacing w:val="-57"/>
        </w:rPr>
        <w:t> </w:t>
      </w:r>
      <w:r>
        <w:rPr>
          <w:spacing w:val="-57"/>
        </w:rPr>
      </w:r>
      <w:r>
        <w:rPr/>
        <w:t>公司运营管理中心总监。现任公司监事，任期至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240" w:lineRule="auto" w:before="133"/>
        <w:ind w:left="530" w:right="89"/>
        <w:jc w:val="left"/>
      </w:pPr>
      <w:r>
        <w:rPr/>
        <w:t>（三）高级管理人员</w:t>
      </w:r>
    </w:p>
    <w:p>
      <w:pPr>
        <w:spacing w:line="240" w:lineRule="auto" w:before="0"/>
        <w:rPr>
          <w:rFonts w:ascii="宋体" w:hAnsi="宋体" w:cs="宋体" w:eastAsia="宋体" w:hint="default"/>
          <w:sz w:val="15"/>
          <w:szCs w:val="15"/>
        </w:rPr>
      </w:pPr>
    </w:p>
    <w:p>
      <w:pPr>
        <w:pStyle w:val="BodyText"/>
        <w:spacing w:line="300" w:lineRule="auto" w:before="0"/>
        <w:ind w:right="184" w:firstLine="360"/>
        <w:jc w:val="left"/>
      </w:pPr>
      <w:r>
        <w:rPr/>
        <w:t>杨宇航，中国国籍，无永久境外居留权，男，汉族，毕业于英国</w:t>
      </w:r>
      <w:r>
        <w:rPr>
          <w:rFonts w:ascii="Times New Roman" w:hAnsi="Times New Roman" w:cs="Times New Roman" w:eastAsia="Times New Roman" w:hint="default"/>
        </w:rPr>
        <w:t>ASTON</w:t>
      </w:r>
      <w:r>
        <w:rPr/>
        <w:t>大学，硕士学历。</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月在 </w:t>
      </w:r>
      <w:r>
        <w:rPr>
          <w:spacing w:val="-2"/>
        </w:rPr>
        <w:t>上海交通大学任教授、博士生导师，期间曾担任校长助理、网络中心主任；</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6</w:t>
      </w:r>
      <w:r>
        <w:rPr>
          <w:spacing w:val="-2"/>
        </w:rPr>
        <w:t>月任长城宽带网络服务有限</w:t>
      </w:r>
      <w:r>
        <w:rPr>
          <w:spacing w:val="-56"/>
        </w:rPr>
        <w:t> </w:t>
      </w:r>
      <w:r>
        <w:rPr>
          <w:spacing w:val="-56"/>
        </w:rPr>
      </w:r>
      <w:r>
        <w:rPr>
          <w:spacing w:val="-2"/>
        </w:rPr>
        <w:t>公司总经理；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月任中国网络通信有限公司副总裁；</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8</w:t>
      </w:r>
      <w:r>
        <w:rPr>
          <w:spacing w:val="-2"/>
        </w:rPr>
        <w:t>月任中国网通集团南方通信公司副</w:t>
      </w:r>
      <w:r>
        <w:rPr>
          <w:spacing w:val="-52"/>
        </w:rPr>
        <w:t> </w:t>
      </w:r>
      <w:r>
        <w:rPr>
          <w:spacing w:val="-52"/>
        </w:rPr>
      </w:r>
      <w:r>
        <w:rPr/>
        <w:t>总裁；</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月任中录国际文化传播有限公司总裁；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月任航天数字传媒有限公司副总 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月任中卫普信宽带通信有限公司总经理；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月至今任中卫普信董事。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3</w:t>
      </w:r>
      <w:r>
        <w:rPr/>
        <w:t>月担任公司常务副总经理，自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日起任公司总裁，任期至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300" w:lineRule="auto" w:before="133"/>
        <w:ind w:right="188" w:firstLine="360"/>
        <w:jc w:val="both"/>
      </w:pPr>
      <w:r>
        <w:rPr>
          <w:spacing w:val="-2"/>
        </w:rPr>
        <w:t>高宏，中国国籍，无永久境外居留权，女，汉族，毕业于南开大学，本科学历。</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月，在北京天伦王</w:t>
      </w:r>
      <w:r>
        <w:rPr/>
        <w:t> 朝饭店任高级销售经理；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月，在盛世长城国际广告任业务拓展经理；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月至今在公司工作，现任 公司副总裁，兼任公司董事会秘书，任期至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240" w:lineRule="auto" w:before="133"/>
        <w:ind w:left="513" w:right="89"/>
        <w:jc w:val="left"/>
      </w:pPr>
      <w:r>
        <w:rPr/>
        <w:t>侯焰，现任公司副总裁。详见本节</w:t>
      </w:r>
      <w:r>
        <w:rPr>
          <w:rFonts w:ascii="Times New Roman" w:hAnsi="Times New Roman" w:cs="Times New Roman" w:eastAsia="Times New Roman" w:hint="default"/>
        </w:rPr>
        <w:t>“</w:t>
      </w:r>
      <w:r>
        <w:rPr/>
        <w:t>二任职情况之（一）董事会成员</w:t>
      </w:r>
      <w:r>
        <w:rPr>
          <w:rFonts w:ascii="Times New Roman" w:hAnsi="Times New Roman" w:cs="Times New Roman" w:eastAsia="Times New Roman" w:hint="default"/>
        </w:rPr>
        <w:t>”</w:t>
      </w:r>
      <w:r>
        <w:rPr/>
        <w:t>部分相关内容。</w:t>
      </w:r>
    </w:p>
    <w:p>
      <w:pPr>
        <w:spacing w:line="240" w:lineRule="auto" w:before="0"/>
        <w:rPr>
          <w:rFonts w:ascii="宋体" w:hAnsi="宋体" w:cs="宋体" w:eastAsia="宋体" w:hint="default"/>
          <w:sz w:val="14"/>
          <w:szCs w:val="14"/>
        </w:rPr>
      </w:pPr>
    </w:p>
    <w:p>
      <w:pPr>
        <w:pStyle w:val="BodyText"/>
        <w:spacing w:line="240" w:lineRule="auto" w:before="0"/>
        <w:ind w:left="513" w:right="89"/>
        <w:jc w:val="left"/>
      </w:pPr>
      <w:r>
        <w:rPr/>
        <w:t>陈浩，中国国籍，无永久境外居留权，男，汉族，高级工程师，毕业于太原机械学院，本科学历。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1999</w:t>
      </w:r>
      <w:r>
        <w:rPr/>
        <w:t>年</w:t>
      </w:r>
    </w:p>
    <w:p>
      <w:pPr>
        <w:pStyle w:val="BodyText"/>
        <w:spacing w:line="240" w:lineRule="auto" w:before="63"/>
        <w:ind w:right="0"/>
        <w:jc w:val="left"/>
      </w:pPr>
      <w:r>
        <w:rPr>
          <w:rFonts w:ascii="Times New Roman" w:hAnsi="Times New Roman" w:cs="Times New Roman" w:eastAsia="Times New Roman" w:hint="default"/>
        </w:rPr>
        <w:t>11</w:t>
      </w:r>
      <w:r>
        <w:rPr/>
        <w:t>月在中信机电公司任总体室工程师；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11</w:t>
      </w:r>
      <w:r>
        <w:rPr/>
        <w:t>月至今在公司技术部门工作，现任公司副总裁，负责技术管理及售后服务等</w:t>
      </w:r>
    </w:p>
    <w:p>
      <w:pPr>
        <w:spacing w:after="0" w:line="240" w:lineRule="auto"/>
        <w:jc w:val="left"/>
        <w:sectPr>
          <w:footerReference w:type="default" r:id="rId17"/>
          <w:pgSz w:w="11910" w:h="16840"/>
          <w:pgMar w:footer="979" w:header="745" w:top="1060" w:bottom="1160" w:left="980" w:right="940"/>
          <w:pgNumType w:start="68"/>
        </w:sectPr>
      </w:pPr>
    </w:p>
    <w:p>
      <w:pPr>
        <w:spacing w:line="240" w:lineRule="auto" w:before="10"/>
        <w:rPr>
          <w:rFonts w:ascii="宋体" w:hAnsi="宋体" w:cs="宋体" w:eastAsia="宋体" w:hint="default"/>
          <w:sz w:val="25"/>
          <w:szCs w:val="25"/>
        </w:rPr>
      </w:pPr>
    </w:p>
    <w:p>
      <w:pPr>
        <w:pStyle w:val="BodyText"/>
        <w:spacing w:line="340" w:lineRule="auto" w:before="44"/>
        <w:ind w:left="441" w:right="89" w:hanging="289"/>
        <w:jc w:val="left"/>
      </w:pPr>
      <w:r>
        <w:rPr/>
        <w:t>工作，任期至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 </w:t>
      </w:r>
      <w:r>
        <w:rPr>
          <w:spacing w:val="-1"/>
        </w:rPr>
        <w:t>齐顺杰，中国国籍，无永久境外居留权，男，汉族，毕业于美国德克萨斯阿灵顿商学院，硕士学历。</w:t>
      </w:r>
      <w:r>
        <w:rPr>
          <w:rFonts w:ascii="Times New Roman" w:hAnsi="Times New Roman" w:cs="Times New Roman" w:eastAsia="Times New Roman" w:hint="default"/>
          <w:spacing w:val="-1"/>
        </w:rPr>
        <w:t>1990</w:t>
      </w:r>
      <w:r>
        <w:rPr>
          <w:spacing w:val="-1"/>
        </w:rPr>
        <w:t>年至</w:t>
      </w:r>
      <w:r>
        <w:rPr>
          <w:rFonts w:ascii="Times New Roman" w:hAnsi="Times New Roman" w:cs="Times New Roman" w:eastAsia="Times New Roman" w:hint="default"/>
          <w:spacing w:val="-1"/>
        </w:rPr>
        <w:t>1995</w:t>
      </w:r>
      <w:r>
        <w:rPr>
          <w:spacing w:val="-1"/>
        </w:rPr>
        <w:t>年在</w:t>
      </w:r>
      <w:r>
        <w:rPr/>
      </w:r>
    </w:p>
    <w:p>
      <w:pPr>
        <w:pStyle w:val="BodyText"/>
        <w:spacing w:line="228" w:lineRule="exact" w:before="0"/>
        <w:ind w:right="89"/>
        <w:jc w:val="left"/>
      </w:pPr>
      <w:r>
        <w:rPr/>
        <w:t>顶新集团从事销售工作；</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1998</w:t>
      </w:r>
      <w:r>
        <w:rPr/>
        <w:t>年在宝隆洋行</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有限公司从事销售工作；</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2000</w:t>
      </w:r>
      <w:r>
        <w:rPr/>
        <w:t>年在张家口联合利华有限</w:t>
      </w:r>
    </w:p>
    <w:p>
      <w:pPr>
        <w:pStyle w:val="BodyText"/>
        <w:spacing w:line="309" w:lineRule="auto" w:before="63"/>
        <w:ind w:right="94"/>
        <w:jc w:val="left"/>
      </w:pPr>
      <w:r>
        <w:rPr/>
        <w:t>公司、联合利华（中国）有限公司任中国任销售经理；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2004</w:t>
      </w:r>
      <w:r>
        <w:rPr/>
        <w:t>年在意大利帕玛拉特乳品（中国）任中国区销售总监； </w:t>
      </w:r>
      <w:r>
        <w:rPr>
          <w:rFonts w:ascii="宋体" w:hAnsi="宋体" w:cs="宋体" w:eastAsia="宋体" w:hint="default"/>
        </w:rPr>
        <w:t>2005</w:t>
      </w:r>
      <w:r>
        <w:rPr/>
        <w:t>年</w:t>
      </w:r>
      <w:r>
        <w:rPr>
          <w:rFonts w:ascii="宋体" w:hAnsi="宋体" w:cs="宋体" w:eastAsia="宋体" w:hint="default"/>
        </w:rPr>
        <w:t>3</w:t>
      </w:r>
      <w:r>
        <w:rPr/>
        <w:t>月至</w:t>
      </w:r>
      <w:r>
        <w:rPr>
          <w:rFonts w:ascii="宋体" w:hAnsi="宋体" w:cs="宋体" w:eastAsia="宋体" w:hint="default"/>
        </w:rPr>
        <w:t>2014</w:t>
      </w:r>
      <w:r>
        <w:rPr/>
        <w:t>年</w:t>
      </w:r>
      <w:r>
        <w:rPr>
          <w:rFonts w:ascii="宋体" w:hAnsi="宋体" w:cs="宋体" w:eastAsia="宋体" w:hint="default"/>
        </w:rPr>
        <w:t>3</w:t>
      </w:r>
      <w:r>
        <w:rPr/>
        <w:t>月，担任公司副总经理，负责销售管理工作；</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18</w:t>
      </w:r>
      <w:r>
        <w:rPr/>
        <w:t>日开始转为负责市场推广、企业发展及对外 合作方面的工作，任期至</w:t>
      </w:r>
      <w:r>
        <w:rPr>
          <w:rFonts w:ascii="宋体" w:hAnsi="宋体" w:cs="宋体" w:eastAsia="宋体" w:hint="default"/>
        </w:rPr>
        <w:t>2015</w:t>
      </w:r>
      <w:r>
        <w:rPr/>
        <w:t>年</w:t>
      </w:r>
      <w:r>
        <w:rPr>
          <w:rFonts w:ascii="宋体" w:hAnsi="宋体" w:cs="宋体" w:eastAsia="宋体" w:hint="default"/>
        </w:rPr>
        <w:t>11</w:t>
      </w:r>
      <w:r>
        <w:rPr/>
        <w:t>月。</w:t>
      </w:r>
    </w:p>
    <w:p>
      <w:pPr>
        <w:pStyle w:val="BodyText"/>
        <w:spacing w:line="316" w:lineRule="auto" w:before="144"/>
        <w:ind w:right="111" w:firstLine="360"/>
        <w:jc w:val="left"/>
      </w:pPr>
      <w:r>
        <w:rPr/>
        <w:t>张利军，中国国籍，无永久境外居留权，男，汉族，大学专科，中国注册会计师、中国注册税务师、中国注册评估师、 </w:t>
      </w:r>
      <w:r>
        <w:rPr>
          <w:spacing w:val="-2"/>
        </w:rPr>
        <w:t>会计师。</w:t>
      </w:r>
      <w:r>
        <w:rPr>
          <w:rFonts w:ascii="宋体" w:hAnsi="宋体" w:cs="宋体" w:eastAsia="宋体" w:hint="default"/>
          <w:spacing w:val="-2"/>
        </w:rPr>
        <w:t>1998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-2004</w:t>
      </w:r>
      <w:r>
        <w:rPr>
          <w:spacing w:val="-2"/>
        </w:rPr>
        <w:t>年</w:t>
      </w:r>
      <w:r>
        <w:rPr>
          <w:rFonts w:ascii="宋体" w:hAnsi="宋体" w:cs="宋体" w:eastAsia="宋体" w:hint="default"/>
          <w:spacing w:val="-2"/>
        </w:rPr>
        <w:t>12</w:t>
      </w:r>
      <w:r>
        <w:rPr>
          <w:spacing w:val="-2"/>
        </w:rPr>
        <w:t>月在河北省肥乡县屯庄营乡政府工作，历任团委书记、农经站长、统计站长等职务；</w:t>
      </w:r>
      <w:r>
        <w:rPr>
          <w:rFonts w:ascii="宋体" w:hAnsi="宋体" w:cs="宋体" w:eastAsia="宋体" w:hint="default"/>
          <w:spacing w:val="-2"/>
        </w:rPr>
        <w:t>2004</w:t>
      </w:r>
      <w:r>
        <w:rPr>
          <w:spacing w:val="-2"/>
        </w:rPr>
        <w:t>年</w:t>
      </w:r>
      <w:r>
        <w:rPr>
          <w:rFonts w:ascii="宋体" w:hAnsi="宋体" w:cs="宋体" w:eastAsia="宋体" w:hint="default"/>
          <w:spacing w:val="-2"/>
        </w:rPr>
        <w:t>12</w:t>
      </w:r>
      <w:r>
        <w:rPr>
          <w:rFonts w:ascii="宋体" w:hAnsi="宋体" w:cs="宋体" w:eastAsia="宋体" w:hint="default"/>
          <w:spacing w:val="-54"/>
        </w:rPr>
        <w:t> </w:t>
      </w:r>
      <w:r>
        <w:rPr/>
        <w:t>月至</w:t>
      </w:r>
      <w:r>
        <w:rPr>
          <w:rFonts w:ascii="宋体" w:hAnsi="宋体" w:cs="宋体" w:eastAsia="宋体" w:hint="default"/>
        </w:rPr>
        <w:t>2010</w:t>
      </w:r>
      <w:r>
        <w:rPr/>
        <w:t>年</w:t>
      </w:r>
      <w:r>
        <w:rPr>
          <w:rFonts w:ascii="宋体" w:hAnsi="宋体" w:cs="宋体" w:eastAsia="宋体" w:hint="default"/>
        </w:rPr>
        <w:t>8</w:t>
      </w:r>
      <w:r>
        <w:rPr/>
        <w:t>月就职于中磊会计师事务所北京分所，任项目经理；</w:t>
      </w:r>
      <w:r>
        <w:rPr>
          <w:rFonts w:ascii="宋体" w:hAnsi="宋体" w:cs="宋体" w:eastAsia="宋体" w:hint="default"/>
        </w:rPr>
        <w:t>2010</w:t>
      </w:r>
      <w:r>
        <w:rPr/>
        <w:t>年</w:t>
      </w:r>
      <w:r>
        <w:rPr>
          <w:rFonts w:ascii="宋体" w:hAnsi="宋体" w:cs="宋体" w:eastAsia="宋体" w:hint="default"/>
        </w:rPr>
        <w:t>9</w:t>
      </w:r>
      <w:r>
        <w:rPr/>
        <w:t>月至</w:t>
      </w:r>
      <w:r>
        <w:rPr>
          <w:rFonts w:ascii="宋体" w:hAnsi="宋体" w:cs="宋体" w:eastAsia="宋体" w:hint="default"/>
        </w:rPr>
        <w:t>2014</w:t>
      </w:r>
      <w:r>
        <w:rPr/>
        <w:t>年</w:t>
      </w:r>
      <w:r>
        <w:rPr>
          <w:rFonts w:ascii="宋体" w:hAnsi="宋体" w:cs="宋体" w:eastAsia="宋体" w:hint="default"/>
        </w:rPr>
        <w:t>6</w:t>
      </w:r>
      <w:r>
        <w:rPr/>
        <w:t>月就职于亚太（集团）会计师事务所 有限公司，任项目经理。</w:t>
      </w:r>
      <w:r>
        <w:rPr>
          <w:rFonts w:ascii="宋体" w:hAnsi="宋体" w:cs="宋体" w:eastAsia="宋体" w:hint="default"/>
        </w:rPr>
        <w:t>2014</w:t>
      </w:r>
      <w:r>
        <w:rPr/>
        <w:t>年</w:t>
      </w:r>
      <w:r>
        <w:rPr>
          <w:rFonts w:ascii="宋体" w:hAnsi="宋体" w:cs="宋体" w:eastAsia="宋体" w:hint="default"/>
        </w:rPr>
        <w:t>7</w:t>
      </w:r>
      <w:r>
        <w:rPr/>
        <w:t>月至今担任公司财务总监，负责公司财务管理工作，任期至</w:t>
      </w:r>
      <w:r>
        <w:rPr>
          <w:rFonts w:ascii="宋体" w:hAnsi="宋体" w:cs="宋体" w:eastAsia="宋体" w:hint="default"/>
        </w:rPr>
        <w:t>2015</w:t>
      </w:r>
      <w:r>
        <w:rPr/>
        <w:t>年</w:t>
      </w:r>
      <w:r>
        <w:rPr>
          <w:rFonts w:ascii="宋体" w:hAnsi="宋体" w:cs="宋体" w:eastAsia="宋体" w:hint="default"/>
        </w:rPr>
        <w:t>11</w:t>
      </w:r>
      <w:r>
        <w:rPr/>
        <w:t>月。</w:t>
      </w:r>
    </w:p>
    <w:p>
      <w:pPr>
        <w:pStyle w:val="BodyText"/>
        <w:spacing w:line="300" w:lineRule="auto" w:before="139"/>
        <w:ind w:right="187" w:firstLine="360"/>
        <w:jc w:val="both"/>
      </w:pPr>
      <w:r>
        <w:rPr>
          <w:spacing w:val="-2"/>
        </w:rPr>
        <w:t>耿岩，中国国籍，无永久境外居留权，男，汉族，助理工程师，毕业于吉林农业大学，本科学历。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rPr>
        <w:t> </w:t>
      </w:r>
      <w:r>
        <w:rPr/>
        <w:t>月任公司销售部总经理，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日起任副总裁，负责销售管理工作。耿岩先生为公司实际控制人、董事长耿殿根先生 的侄子。</w:t>
      </w:r>
    </w:p>
    <w:p>
      <w:pPr>
        <w:spacing w:line="240" w:lineRule="auto" w:before="0"/>
        <w:rPr>
          <w:rFonts w:ascii="宋体" w:hAnsi="宋体" w:cs="宋体" w:eastAsia="宋体" w:hint="default"/>
          <w:sz w:val="18"/>
          <w:szCs w:val="18"/>
        </w:rPr>
      </w:pPr>
    </w:p>
    <w:p>
      <w:pPr>
        <w:pStyle w:val="BodyText"/>
        <w:spacing w:line="240" w:lineRule="auto" w:before="148"/>
        <w:ind w:right="89"/>
        <w:jc w:val="left"/>
      </w:pPr>
      <w:r>
        <w:rPr/>
        <w:t>在股东单位任职情况</w:t>
      </w:r>
    </w:p>
    <w:p>
      <w:pPr>
        <w:pStyle w:val="BodyText"/>
        <w:spacing w:line="240" w:lineRule="auto" w:before="115"/>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北京百汇达投资管理有限公司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89"/>
        <w:jc w:val="left"/>
      </w:pPr>
      <w:r>
        <w:rPr/>
        <w:t>在其他单位任职情况</w:t>
      </w:r>
    </w:p>
    <w:p>
      <w:pPr>
        <w:pStyle w:val="BodyText"/>
        <w:spacing w:line="240" w:lineRule="auto" w:before="115"/>
        <w:ind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光环恒通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光环金网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董事兼副总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光环恒通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北京源码资本投资有限公司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拉萨源驰投资管理有限公司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西藏源代码股权投资合伙企业（有限合 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武汉闪达科技有限公司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北京暮色森林科技有限公司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北京饭通天下科技发展有限公司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HUOLI HOLDINGS</w:t>
            </w:r>
            <w:r>
              <w:rPr>
                <w:rFonts w:ascii="Times New Roman"/>
                <w:spacing w:val="-10"/>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SNOWBALL FINANCE</w:t>
            </w:r>
            <w:r>
              <w:rPr>
                <w:rFonts w:ascii="Times New Roman"/>
                <w:spacing w:val="-13"/>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LAKOO</w:t>
            </w:r>
            <w:r>
              <w:rPr>
                <w:rFonts w:ascii="Times New Roman"/>
                <w:spacing w:val="-4"/>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LEHE INTERACTIVE,</w:t>
            </w:r>
            <w:r>
              <w:rPr>
                <w:rFonts w:ascii="Times New Roman"/>
                <w:spacing w:val="-6"/>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MILANOO,</w:t>
            </w:r>
            <w:r>
              <w:rPr>
                <w:rFonts w:ascii="Times New Roman"/>
                <w:spacing w:val="-5"/>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ZHIWEI TECHNOLOGY CO.,</w:t>
            </w:r>
            <w:r>
              <w:rPr>
                <w:rFonts w:ascii="Times New Roman"/>
                <w:spacing w:val="-13"/>
                <w:sz w:val="18"/>
              </w:rPr>
              <w:t> </w:t>
            </w:r>
            <w:r>
              <w:rPr>
                <w:rFonts w:ascii="Times New Roman"/>
                <w:spacing w:val="-7"/>
                <w:sz w:val="18"/>
              </w:rPr>
              <w:t>LTD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CHANGBA</w:t>
            </w:r>
            <w:r>
              <w:rPr>
                <w:rFonts w:ascii="Times New Roman"/>
                <w:spacing w:val="-13"/>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北京至唯锋尚科技有限公司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北京酒仙电子商务有限公司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厦门冠准通讯科技有限公司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红杉资本投资管理（天津）有限公司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248"/>
              <w:jc w:val="left"/>
              <w:rPr>
                <w:rFonts w:ascii="Times New Roman" w:hAnsi="Times New Roman" w:cs="Times New Roman" w:eastAsia="Times New Roman" w:hint="default"/>
                <w:sz w:val="18"/>
                <w:szCs w:val="18"/>
              </w:rPr>
            </w:pPr>
            <w:r>
              <w:rPr>
                <w:rFonts w:ascii="Times New Roman"/>
                <w:sz w:val="18"/>
              </w:rPr>
              <w:t>SUISHOU TECHNOLOGY</w:t>
            </w:r>
            <w:r>
              <w:rPr>
                <w:rFonts w:ascii="Times New Roman"/>
                <w:spacing w:val="-16"/>
                <w:sz w:val="18"/>
              </w:rPr>
              <w:t> </w:t>
            </w:r>
            <w:r>
              <w:rPr>
                <w:rFonts w:ascii="Times New Roman"/>
                <w:sz w:val="18"/>
              </w:rPr>
              <w:t>HOLDING</w:t>
            </w:r>
            <w:r>
              <w:rPr>
                <w:rFonts w:ascii="Times New Roman"/>
                <w:w w:val="99"/>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LONG BEACH TECHNOLOGIES</w:t>
            </w:r>
            <w:r>
              <w:rPr>
                <w:rFonts w:ascii="Times New Roman"/>
                <w:spacing w:val="-7"/>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Mobvoi</w:t>
            </w:r>
            <w:r>
              <w:rPr>
                <w:rFonts w:ascii="Times New Roman"/>
                <w:spacing w:val="-2"/>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RONG360</w:t>
            </w:r>
            <w:r>
              <w:rPr>
                <w:rFonts w:ascii="Times New Roman"/>
                <w:spacing w:val="-3"/>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MOKREDIT</w:t>
            </w:r>
            <w:r>
              <w:rPr>
                <w:rFonts w:ascii="Times New Roman"/>
                <w:spacing w:val="-6"/>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中央财经大学会计学院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北京市华博金隆律师事务所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深圳云英谷科技有限公司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中卫普信宽带通信有限公司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董事兼副总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西安博凯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董事兼副总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光环恒通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光环恒通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西安博凯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329"/>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0"/>
        <w:gridCol w:w="5310"/>
      </w:tblGrid>
      <w:tr>
        <w:trPr>
          <w:trHeight w:val="1652"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经薪酬和考核委员会提议，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日第二届董事会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第三次会议审议通过《关于公司董事、监事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年度薪酬激励制度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的议案》和《关于公司高级管理人员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年度薪酬激励制度的议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r>
              <w:rPr>
                <w:rFonts w:ascii="宋体" w:hAnsi="宋体" w:cs="宋体" w:eastAsia="宋体" w:hint="default"/>
                <w:spacing w:val="-3"/>
                <w:sz w:val="18"/>
                <w:szCs w:val="18"/>
              </w:rPr>
              <w:t>关</w:t>
            </w:r>
            <w:r>
              <w:rPr>
                <w:rFonts w:ascii="宋体" w:hAnsi="宋体" w:cs="宋体" w:eastAsia="宋体" w:hint="default"/>
                <w:sz w:val="18"/>
                <w:szCs w:val="18"/>
              </w:rPr>
              <w:t>于公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司董事、监事</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年度薪酬</w:t>
            </w:r>
            <w:r>
              <w:rPr>
                <w:rFonts w:ascii="宋体" w:hAnsi="宋体" w:cs="宋体" w:eastAsia="宋体" w:hint="default"/>
                <w:spacing w:val="-3"/>
                <w:sz w:val="18"/>
                <w:szCs w:val="18"/>
              </w:rPr>
              <w:t>激</w:t>
            </w:r>
            <w:r>
              <w:rPr>
                <w:rFonts w:ascii="宋体" w:hAnsi="宋体" w:cs="宋体" w:eastAsia="宋体" w:hint="default"/>
                <w:sz w:val="18"/>
                <w:szCs w:val="18"/>
              </w:rPr>
              <w:t>励制度的议案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董事、监事和高级管理人员的报酬按照公司相关规章制度，结合公</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260"/>
        <w:gridCol w:w="5310"/>
      </w:tblGrid>
      <w:tr>
        <w:trPr>
          <w:trHeight w:val="987"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3"/>
              <w:jc w:val="both"/>
              <w:rPr>
                <w:rFonts w:ascii="宋体" w:hAnsi="宋体" w:cs="宋体" w:eastAsia="宋体" w:hint="default"/>
                <w:sz w:val="18"/>
                <w:szCs w:val="18"/>
              </w:rPr>
            </w:pPr>
            <w:r>
              <w:rPr>
                <w:rFonts w:ascii="宋体" w:hAnsi="宋体" w:cs="宋体" w:eastAsia="宋体" w:hint="default"/>
                <w:sz w:val="18"/>
                <w:szCs w:val="18"/>
              </w:rPr>
              <w:t>司实际情况和行业薪酬水平制定，根据公司薪酬体系和岗位职责、 绩效考核体系实施。其中独董领用津贴，不享受公司其他薪金保险 等待遇。外部董事不在本公司领用薪酬。</w:t>
            </w:r>
          </w:p>
        </w:tc>
      </w:tr>
      <w:tr>
        <w:trPr>
          <w:trHeight w:val="1025"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公司报告期内董事、监事、高级管理人员共计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人，本报告期公司</w:t>
            </w:r>
            <w:r>
              <w:rPr>
                <w:rFonts w:ascii="宋体" w:hAnsi="宋体" w:cs="宋体" w:eastAsia="宋体" w:hint="default"/>
                <w:sz w:val="18"/>
                <w:szCs w:val="18"/>
              </w:rPr>
              <w:t> 董事、监事、高级管理人员的薪酬已按年度薪酬计划支付，</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 度公司实际支付的薪酬总计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49"/>
        <w:ind w:right="329"/>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28.12</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董事、人事行 政总监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w:t>
            </w:r>
          </w:p>
        </w:tc>
      </w:tr>
      <w:tr>
        <w:trPr>
          <w:trHeight w:val="10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both"/>
              <w:rPr>
                <w:rFonts w:ascii="宋体" w:hAnsi="宋体" w:cs="宋体" w:eastAsia="宋体" w:hint="default"/>
                <w:sz w:val="18"/>
                <w:szCs w:val="18"/>
              </w:rPr>
            </w:pPr>
            <w:r>
              <w:rPr>
                <w:rFonts w:ascii="宋体" w:hAnsi="宋体" w:cs="宋体" w:eastAsia="宋体" w:hint="default"/>
                <w:sz w:val="18"/>
                <w:szCs w:val="18"/>
              </w:rPr>
              <w:t>监事会主席、 人事行政部经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监事、宽带技 术总监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17.66</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监事、运营管 理中心总监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36.97</w:t>
            </w: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董事会秘书、 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宋寅虎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14.45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314.38</w:t>
            </w:r>
          </w:p>
        </w:tc>
      </w:tr>
    </w:tbl>
    <w:p>
      <w:pPr>
        <w:pStyle w:val="BodyText"/>
        <w:spacing w:line="240" w:lineRule="auto" w:before="49"/>
        <w:ind w:right="329"/>
        <w:jc w:val="left"/>
      </w:pPr>
      <w:r>
        <w:rPr/>
        <w:t>公司董事、监事、高级管理人员报告期内被授予的股权激励情况</w:t>
      </w:r>
    </w:p>
    <w:p>
      <w:pPr>
        <w:pStyle w:val="BodyText"/>
        <w:spacing w:line="240" w:lineRule="auto" w:before="115"/>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329"/>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8"/>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耿殿根先生为集中精力履行董事长职责，将工作重心 集中于公司治理和战略规划，申请辞去公司总裁的职 务。耿殿根先生辞去总裁职务后继续担任公司董事、 董事长及董事会相关专业委员会职务。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由常务副总经理改为担任总裁，不再担任常务副总经 理职务。</w:t>
            </w:r>
          </w:p>
        </w:tc>
      </w:tr>
      <w:tr>
        <w:trPr>
          <w:trHeight w:val="10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为了进一步加强公司的销售管理工作，聘任销售部总 经理耿岩先生为公司副总裁，负责公司销售业务管理 工作。</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宋寅虎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新聘任财务总监</w:t>
            </w:r>
          </w:p>
        </w:tc>
      </w:tr>
    </w:tbl>
    <w:p>
      <w:pPr>
        <w:spacing w:line="240" w:lineRule="auto" w:before="1"/>
        <w:rPr>
          <w:rFonts w:ascii="宋体" w:hAnsi="宋体" w:cs="宋体" w:eastAsia="宋体" w:hint="default"/>
          <w:b/>
          <w:bCs/>
          <w:sz w:val="18"/>
          <w:szCs w:val="18"/>
        </w:rPr>
      </w:pPr>
    </w:p>
    <w:p>
      <w:pPr>
        <w:pStyle w:val="Heading2"/>
        <w:spacing w:line="240" w:lineRule="auto"/>
        <w:ind w:right="329"/>
        <w:jc w:val="left"/>
        <w:rPr>
          <w:b w:val="0"/>
          <w:bCs w:val="0"/>
        </w:rPr>
      </w:pPr>
      <w:r>
        <w:rPr/>
        <w:t>五、公司员工情况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t>截至报告期末，公司及子公司、分公司在职员工总数</w:t>
      </w:r>
      <w:r>
        <w:rPr>
          <w:rFonts w:ascii="Times New Roman" w:hAnsi="Times New Roman" w:cs="Times New Roman" w:eastAsia="Times New Roman" w:hint="default"/>
        </w:rPr>
        <w:t>411</w:t>
      </w:r>
      <w:r>
        <w:rPr/>
        <w:t>人，具体构成情况如下：</w:t>
      </w:r>
    </w:p>
    <w:p>
      <w:pPr>
        <w:pStyle w:val="BodyText"/>
        <w:spacing w:line="240" w:lineRule="auto" w:before="63"/>
        <w:ind w:right="329"/>
        <w:jc w:val="left"/>
      </w:pPr>
      <w:r>
        <w:rPr/>
        <w:t>（一）员工专业构成</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16"/>
        <w:gridCol w:w="2808"/>
        <w:gridCol w:w="2905"/>
      </w:tblGrid>
      <w:tr>
        <w:trPr>
          <w:trHeight w:val="355" w:hRule="exact"/>
        </w:trPr>
        <w:tc>
          <w:tcPr>
            <w:tcW w:w="28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861" w:right="0"/>
              <w:jc w:val="left"/>
              <w:rPr>
                <w:rFonts w:ascii="宋体" w:hAnsi="宋体" w:cs="宋体" w:eastAsia="宋体" w:hint="default"/>
                <w:sz w:val="18"/>
                <w:szCs w:val="18"/>
              </w:rPr>
            </w:pPr>
            <w:r>
              <w:rPr>
                <w:rFonts w:ascii="宋体" w:hAnsi="宋体" w:cs="宋体" w:eastAsia="宋体" w:hint="default"/>
                <w:sz w:val="18"/>
                <w:szCs w:val="18"/>
              </w:rPr>
              <w:t>员工专业构成</w:t>
            </w:r>
          </w:p>
        </w:tc>
        <w:tc>
          <w:tcPr>
            <w:tcW w:w="280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120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90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0"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296" w:right="0"/>
              <w:jc w:val="left"/>
              <w:rPr>
                <w:rFonts w:ascii="Times New Roman" w:hAnsi="Times New Roman" w:cs="Times New Roman" w:eastAsia="Times New Roman" w:hint="default"/>
                <w:sz w:val="18"/>
                <w:szCs w:val="18"/>
              </w:rPr>
            </w:pPr>
            <w:r>
              <w:rPr>
                <w:rFonts w:ascii="Times New Roman"/>
                <w:sz w:val="18"/>
              </w:rPr>
              <w:t>99</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24.09%</w:t>
            </w:r>
          </w:p>
        </w:tc>
      </w:tr>
      <w:tr>
        <w:trPr>
          <w:trHeight w:val="353"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技术研发人员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250" w:right="0"/>
              <w:jc w:val="left"/>
              <w:rPr>
                <w:rFonts w:ascii="Times New Roman" w:hAnsi="Times New Roman" w:cs="Times New Roman" w:eastAsia="Times New Roman" w:hint="default"/>
                <w:sz w:val="18"/>
                <w:szCs w:val="18"/>
              </w:rPr>
            </w:pPr>
            <w:r>
              <w:rPr>
                <w:rFonts w:ascii="Times New Roman"/>
                <w:sz w:val="18"/>
              </w:rPr>
              <w:t>180</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43.80%</w:t>
            </w:r>
          </w:p>
        </w:tc>
      </w:tr>
      <w:tr>
        <w:trPr>
          <w:trHeight w:val="353"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客服人员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296" w:right="0"/>
              <w:jc w:val="left"/>
              <w:rPr>
                <w:rFonts w:ascii="Times New Roman" w:hAnsi="Times New Roman" w:cs="Times New Roman" w:eastAsia="Times New Roman" w:hint="default"/>
                <w:sz w:val="18"/>
                <w:szCs w:val="18"/>
              </w:rPr>
            </w:pPr>
            <w:r>
              <w:rPr>
                <w:rFonts w:ascii="Times New Roman"/>
                <w:sz w:val="18"/>
              </w:rPr>
              <w:t>44</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10.71%</w:t>
            </w:r>
          </w:p>
        </w:tc>
      </w:tr>
      <w:tr>
        <w:trPr>
          <w:trHeight w:val="350"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296" w:right="0"/>
              <w:jc w:val="left"/>
              <w:rPr>
                <w:rFonts w:ascii="Times New Roman" w:hAnsi="Times New Roman" w:cs="Times New Roman" w:eastAsia="Times New Roman" w:hint="default"/>
                <w:sz w:val="18"/>
                <w:szCs w:val="18"/>
              </w:rPr>
            </w:pPr>
            <w:r>
              <w:rPr>
                <w:rFonts w:ascii="Times New Roman"/>
                <w:sz w:val="18"/>
              </w:rPr>
              <w:t>37</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9.00%</w:t>
            </w:r>
          </w:p>
        </w:tc>
      </w:tr>
      <w:tr>
        <w:trPr>
          <w:trHeight w:val="353"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296" w:right="0"/>
              <w:jc w:val="left"/>
              <w:rPr>
                <w:rFonts w:ascii="Times New Roman" w:hAnsi="Times New Roman" w:cs="Times New Roman" w:eastAsia="Times New Roman" w:hint="default"/>
                <w:sz w:val="18"/>
                <w:szCs w:val="18"/>
              </w:rPr>
            </w:pPr>
            <w:r>
              <w:rPr>
                <w:rFonts w:ascii="Times New Roman"/>
                <w:sz w:val="18"/>
              </w:rPr>
              <w:t>51</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12.41%</w:t>
            </w:r>
          </w:p>
        </w:tc>
      </w:tr>
      <w:tr>
        <w:trPr>
          <w:trHeight w:val="353"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250" w:right="0"/>
              <w:jc w:val="left"/>
              <w:rPr>
                <w:rFonts w:ascii="Times New Roman" w:hAnsi="Times New Roman" w:cs="Times New Roman" w:eastAsia="Times New Roman" w:hint="default"/>
                <w:sz w:val="18"/>
                <w:szCs w:val="18"/>
              </w:rPr>
            </w:pPr>
            <w:r>
              <w:rPr>
                <w:rFonts w:ascii="Times New Roman"/>
                <w:sz w:val="18"/>
              </w:rPr>
              <w:t>411</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
        <w:ind w:right="329"/>
        <w:jc w:val="left"/>
      </w:pPr>
      <w:r>
        <w:rPr/>
        <w:t>（二）员工受教育程度</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26"/>
        <w:gridCol w:w="2813"/>
        <w:gridCol w:w="2890"/>
      </w:tblGrid>
      <w:tr>
        <w:trPr>
          <w:trHeight w:val="356" w:hRule="exact"/>
        </w:trPr>
        <w:tc>
          <w:tcPr>
            <w:tcW w:w="28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1215"/>
              <w:jc w:val="right"/>
              <w:rPr>
                <w:rFonts w:ascii="宋体" w:hAnsi="宋体" w:cs="宋体" w:eastAsia="宋体" w:hint="default"/>
                <w:sz w:val="18"/>
                <w:szCs w:val="18"/>
              </w:rPr>
            </w:pPr>
            <w:r>
              <w:rPr>
                <w:rFonts w:ascii="宋体" w:hAnsi="宋体" w:cs="宋体" w:eastAsia="宋体" w:hint="default"/>
                <w:sz w:val="18"/>
                <w:szCs w:val="18"/>
              </w:rPr>
              <w:t>学历</w:t>
            </w:r>
          </w:p>
        </w:tc>
        <w:tc>
          <w:tcPr>
            <w:tcW w:w="281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人数</w:t>
            </w:r>
          </w:p>
        </w:tc>
        <w:tc>
          <w:tcPr>
            <w:tcW w:w="289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3"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20</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4.87%</w:t>
            </w:r>
          </w:p>
        </w:tc>
      </w:tr>
      <w:tr>
        <w:trPr>
          <w:trHeight w:val="350"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168</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40.88%</w:t>
            </w:r>
          </w:p>
        </w:tc>
      </w:tr>
      <w:tr>
        <w:trPr>
          <w:trHeight w:val="353"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
              <w:jc w:val="center"/>
              <w:rPr>
                <w:rFonts w:ascii="Times New Roman" w:hAnsi="Times New Roman" w:cs="Times New Roman" w:eastAsia="Times New Roman" w:hint="default"/>
                <w:sz w:val="18"/>
                <w:szCs w:val="18"/>
              </w:rPr>
            </w:pPr>
            <w:r>
              <w:rPr>
                <w:rFonts w:ascii="Times New Roman"/>
                <w:sz w:val="18"/>
              </w:rPr>
              <w:t>144</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35.04%</w:t>
            </w:r>
          </w:p>
        </w:tc>
      </w:tr>
      <w:tr>
        <w:trPr>
          <w:trHeight w:val="353"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79</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19.22%</w:t>
            </w:r>
          </w:p>
        </w:tc>
      </w:tr>
      <w:tr>
        <w:trPr>
          <w:trHeight w:val="353"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right="1215"/>
              <w:jc w:val="right"/>
              <w:rPr>
                <w:rFonts w:ascii="宋体" w:hAnsi="宋体" w:cs="宋体" w:eastAsia="宋体" w:hint="default"/>
                <w:sz w:val="18"/>
                <w:szCs w:val="18"/>
              </w:rPr>
            </w:pPr>
            <w:r>
              <w:rPr>
                <w:rFonts w:ascii="宋体" w:hAnsi="宋体" w:cs="宋体" w:eastAsia="宋体" w:hint="default"/>
                <w:sz w:val="18"/>
                <w:szCs w:val="18"/>
              </w:rPr>
              <w:t>合计</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411</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
        <w:ind w:right="329"/>
        <w:jc w:val="left"/>
      </w:pPr>
      <w:r>
        <w:rPr/>
        <w:t>（三）员工年龄构成</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28"/>
        <w:gridCol w:w="2828"/>
        <w:gridCol w:w="2873"/>
      </w:tblGrid>
      <w:tr>
        <w:trPr>
          <w:trHeight w:val="353" w:hRule="exact"/>
        </w:trPr>
        <w:tc>
          <w:tcPr>
            <w:tcW w:w="28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282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人数</w:t>
            </w:r>
          </w:p>
        </w:tc>
        <w:tc>
          <w:tcPr>
            <w:tcW w:w="28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3" w:hRule="exact"/>
        </w:trPr>
        <w:tc>
          <w:tcPr>
            <w:tcW w:w="28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21-30</w:t>
            </w:r>
          </w:p>
        </w:tc>
        <w:tc>
          <w:tcPr>
            <w:tcW w:w="28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053"/>
              <w:jc w:val="right"/>
              <w:rPr>
                <w:rFonts w:ascii="Times New Roman" w:hAnsi="Times New Roman" w:cs="Times New Roman" w:eastAsia="Times New Roman" w:hint="default"/>
                <w:sz w:val="18"/>
                <w:szCs w:val="18"/>
              </w:rPr>
            </w:pPr>
            <w:r>
              <w:rPr>
                <w:rFonts w:ascii="Times New Roman"/>
                <w:sz w:val="18"/>
              </w:rPr>
              <w:t>258</w:t>
            </w:r>
          </w:p>
        </w:tc>
        <w:tc>
          <w:tcPr>
            <w:tcW w:w="28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3"/>
              <w:jc w:val="right"/>
              <w:rPr>
                <w:rFonts w:ascii="Times New Roman" w:hAnsi="Times New Roman" w:cs="Times New Roman" w:eastAsia="Times New Roman" w:hint="default"/>
                <w:sz w:val="18"/>
                <w:szCs w:val="18"/>
              </w:rPr>
            </w:pPr>
            <w:r>
              <w:rPr>
                <w:rFonts w:ascii="Times New Roman"/>
                <w:sz w:val="18"/>
              </w:rPr>
              <w:t>62.77%</w:t>
            </w:r>
          </w:p>
        </w:tc>
      </w:tr>
      <w:tr>
        <w:trPr>
          <w:trHeight w:val="353" w:hRule="exact"/>
        </w:trPr>
        <w:tc>
          <w:tcPr>
            <w:tcW w:w="28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sz w:val="18"/>
              </w:rPr>
              <w:t>31-40</w:t>
            </w:r>
          </w:p>
        </w:tc>
        <w:tc>
          <w:tcPr>
            <w:tcW w:w="28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053"/>
              <w:jc w:val="right"/>
              <w:rPr>
                <w:rFonts w:ascii="Times New Roman" w:hAnsi="Times New Roman" w:cs="Times New Roman" w:eastAsia="Times New Roman" w:hint="default"/>
                <w:sz w:val="18"/>
                <w:szCs w:val="18"/>
              </w:rPr>
            </w:pPr>
            <w:r>
              <w:rPr>
                <w:rFonts w:ascii="Times New Roman"/>
                <w:sz w:val="18"/>
              </w:rPr>
              <w:t>112</w:t>
            </w:r>
          </w:p>
        </w:tc>
        <w:tc>
          <w:tcPr>
            <w:tcW w:w="28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33"/>
              <w:jc w:val="right"/>
              <w:rPr>
                <w:rFonts w:ascii="Times New Roman" w:hAnsi="Times New Roman" w:cs="Times New Roman" w:eastAsia="Times New Roman" w:hint="default"/>
                <w:sz w:val="18"/>
                <w:szCs w:val="18"/>
              </w:rPr>
            </w:pPr>
            <w:r>
              <w:rPr>
                <w:rFonts w:ascii="Times New Roman"/>
                <w:sz w:val="18"/>
              </w:rPr>
              <w:t>27.25%</w:t>
            </w:r>
          </w:p>
        </w:tc>
      </w:tr>
      <w:tr>
        <w:trPr>
          <w:trHeight w:val="353" w:hRule="exact"/>
        </w:trPr>
        <w:tc>
          <w:tcPr>
            <w:tcW w:w="28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以上</w:t>
            </w:r>
          </w:p>
        </w:tc>
        <w:tc>
          <w:tcPr>
            <w:tcW w:w="28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097"/>
              <w:jc w:val="right"/>
              <w:rPr>
                <w:rFonts w:ascii="Times New Roman" w:hAnsi="Times New Roman" w:cs="Times New Roman" w:eastAsia="Times New Roman" w:hint="default"/>
                <w:sz w:val="18"/>
                <w:szCs w:val="18"/>
              </w:rPr>
            </w:pPr>
            <w:r>
              <w:rPr>
                <w:rFonts w:ascii="Times New Roman"/>
                <w:sz w:val="18"/>
              </w:rPr>
              <w:t>41</w:t>
            </w:r>
          </w:p>
        </w:tc>
        <w:tc>
          <w:tcPr>
            <w:tcW w:w="28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79"/>
              <w:jc w:val="right"/>
              <w:rPr>
                <w:rFonts w:ascii="Times New Roman" w:hAnsi="Times New Roman" w:cs="Times New Roman" w:eastAsia="Times New Roman" w:hint="default"/>
                <w:sz w:val="18"/>
                <w:szCs w:val="18"/>
              </w:rPr>
            </w:pPr>
            <w:r>
              <w:rPr>
                <w:rFonts w:ascii="Times New Roman"/>
                <w:sz w:val="18"/>
              </w:rPr>
              <w:t>9.98%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828"/>
        <w:gridCol w:w="2828"/>
        <w:gridCol w:w="2873"/>
      </w:tblGrid>
      <w:tr>
        <w:trPr>
          <w:trHeight w:val="356" w:hRule="exact"/>
        </w:trPr>
        <w:tc>
          <w:tcPr>
            <w:tcW w:w="28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2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0"/>
              <w:ind w:left="417" w:right="0"/>
              <w:jc w:val="center"/>
              <w:rPr>
                <w:rFonts w:ascii="Times New Roman" w:hAnsi="Times New Roman" w:cs="Times New Roman" w:eastAsia="Times New Roman" w:hint="default"/>
                <w:sz w:val="18"/>
                <w:szCs w:val="18"/>
              </w:rPr>
            </w:pPr>
            <w:r>
              <w:rPr>
                <w:rFonts w:ascii="Times New Roman"/>
                <w:sz w:val="18"/>
              </w:rPr>
              <w:t>411</w:t>
            </w:r>
          </w:p>
        </w:tc>
        <w:tc>
          <w:tcPr>
            <w:tcW w:w="28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0"/>
              <w:ind w:left="416"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16" w:lineRule="auto" w:before="8"/>
        <w:ind w:right="0"/>
        <w:jc w:val="left"/>
      </w:pPr>
      <w:r>
        <w:rPr>
          <w:spacing w:val="-2"/>
        </w:rPr>
        <w:t>（四）根据《劳动法》、《劳动合同法》等有关法律法规规定，本公司实行全员劳动合同制。公司已根据国家和地方政府的</w:t>
      </w:r>
      <w:r>
        <w:rPr>
          <w:spacing w:val="-65"/>
        </w:rPr>
        <w:t> </w:t>
      </w:r>
      <w:r>
        <w:rPr>
          <w:spacing w:val="-65"/>
        </w:rPr>
      </w:r>
      <w:r>
        <w:rPr/>
        <w:t>有关规定，为员工办理了基本养老、医疗、失业、工伤、生育等社会保险和住房公积金。</w:t>
      </w:r>
    </w:p>
    <w:p>
      <w:pPr>
        <w:pStyle w:val="BodyText"/>
        <w:spacing w:line="240" w:lineRule="auto"/>
        <w:ind w:right="329"/>
        <w:jc w:val="left"/>
      </w:pPr>
      <w:r>
        <w:rPr/>
        <w:t>（五）报告期内，公司没有需要承担费用的离退休人员。</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65"/>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89"/>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3" w:right="89"/>
        <w:jc w:val="left"/>
      </w:pPr>
      <w:r>
        <w:rPr>
          <w:spacing w:val="-4"/>
        </w:rPr>
        <w:t>报告期内，公司严格按照《公司法》、《证券法》、《上市公司治理准则》、《深圳证券交易所创业板股票上市规则》、</w:t>
      </w:r>
    </w:p>
    <w:p>
      <w:pPr>
        <w:pStyle w:val="BodyText"/>
        <w:spacing w:line="319" w:lineRule="auto" w:before="76"/>
        <w:ind w:right="89"/>
        <w:jc w:val="left"/>
      </w:pPr>
      <w:r>
        <w:rPr>
          <w:spacing w:val="-2"/>
        </w:rPr>
        <w:t>《深圳证券交易所创业板上市公司规范运作指引》和其他有关法律法规、规范性文件的要求，结合公司实际情况，健全和完</w:t>
      </w:r>
      <w:r>
        <w:rPr>
          <w:spacing w:val="-63"/>
        </w:rPr>
        <w:t> </w:t>
      </w:r>
      <w:r>
        <w:rPr>
          <w:spacing w:val="-63"/>
        </w:rPr>
      </w:r>
      <w:r>
        <w:rPr>
          <w:spacing w:val="-2"/>
        </w:rPr>
        <w:t>善了《公司章程》及各项内部控制制度，发挥了董事会及各专门委员会的职能和作用，完善了董事会的专业化程度，保障了</w:t>
      </w:r>
      <w:r>
        <w:rPr>
          <w:spacing w:val="-67"/>
        </w:rPr>
        <w:t> </w:t>
      </w:r>
      <w:r>
        <w:rPr>
          <w:spacing w:val="-67"/>
        </w:rPr>
      </w:r>
      <w:r>
        <w:rPr>
          <w:spacing w:val="-4"/>
        </w:rPr>
        <w:t>董事会决策的科学性和程序性，进一步规范了公司治理结构。截至报告期末，公司治理的实际状况符合《上市公司治理准则》</w:t>
      </w:r>
      <w:r>
        <w:rPr>
          <w:spacing w:val="-46"/>
        </w:rPr>
        <w:t> </w:t>
      </w:r>
      <w:r>
        <w:rPr>
          <w:spacing w:val="-46"/>
        </w:rPr>
      </w:r>
      <w:r>
        <w:rPr/>
        <w:t>和《深圳证券交易所创业板上市公司规范运作指引》的要求。</w:t>
      </w:r>
    </w:p>
    <w:p>
      <w:pPr>
        <w:pStyle w:val="BodyText"/>
        <w:spacing w:line="316" w:lineRule="auto" w:before="17"/>
        <w:ind w:right="189" w:firstLine="360"/>
        <w:jc w:val="both"/>
      </w:pPr>
      <w:r>
        <w:rPr>
          <w:spacing w:val="-2"/>
        </w:rPr>
        <w:t>根据监管部门的最新要求和公司实际情况，报告期内，公司修订了《公司章程》、《股东大会议事规则》、《董事会议</w:t>
      </w:r>
      <w:r>
        <w:rPr/>
        <w:t> </w:t>
      </w:r>
      <w:r>
        <w:rPr>
          <w:spacing w:val="-2"/>
        </w:rPr>
        <w:t>事规则》、《募集资金使用管理制度》、《内幕信息知情人登记管理制度》、《总裁工作细则》，制订了《规范与关联方资</w:t>
      </w:r>
      <w:r>
        <w:rPr>
          <w:spacing w:val="-69"/>
        </w:rPr>
        <w:t> </w:t>
      </w:r>
      <w:r>
        <w:rPr>
          <w:spacing w:val="-69"/>
        </w:rPr>
      </w:r>
      <w:r>
        <w:rPr>
          <w:spacing w:val="-2"/>
        </w:rPr>
        <w:t>金往来的管理制度》、《对外担保管理制度》、《对外投资管理制度》，通过一系列的制度建设和修订工作，为公司的规范</w:t>
      </w:r>
      <w:r>
        <w:rPr>
          <w:spacing w:val="-68"/>
        </w:rPr>
        <w:t> </w:t>
      </w:r>
      <w:r>
        <w:rPr>
          <w:spacing w:val="-68"/>
        </w:rPr>
      </w:r>
      <w:r>
        <w:rPr/>
        <w:t>运作提供了更加完善的制度保障。</w:t>
      </w:r>
    </w:p>
    <w:p>
      <w:pPr>
        <w:pStyle w:val="BodyText"/>
        <w:spacing w:line="300" w:lineRule="auto"/>
        <w:ind w:left="513" w:right="89"/>
        <w:jc w:val="left"/>
      </w:pPr>
      <w:r>
        <w:rPr>
          <w:rFonts w:ascii="Times New Roman" w:hAnsi="Times New Roman" w:cs="Times New Roman" w:eastAsia="Times New Roman" w:hint="default"/>
        </w:rPr>
        <w:t>1</w:t>
      </w:r>
      <w:r>
        <w:rPr/>
        <w:t>、关于股东与股东大会 </w:t>
      </w:r>
      <w:r>
        <w:rPr>
          <w:spacing w:val="-2"/>
        </w:rPr>
        <w:t>公司严格按照《公司法》、《上市公司股东大会规则》以及公司《章程》、《股东大会议事规则》和深圳证券交易所创</w:t>
      </w:r>
    </w:p>
    <w:p>
      <w:pPr>
        <w:pStyle w:val="BodyText"/>
        <w:spacing w:line="316" w:lineRule="auto" w:before="31"/>
        <w:ind w:right="89"/>
        <w:jc w:val="left"/>
      </w:pPr>
      <w:r>
        <w:rPr>
          <w:spacing w:val="-4"/>
        </w:rPr>
        <w:t>业板的相关规定和要求，规范股东大会的召集、召开和表决程序。报告期内，公司召开的股东大会均由公司董事会召集召开，</w:t>
      </w:r>
      <w:r>
        <w:rPr>
          <w:spacing w:val="-46"/>
        </w:rPr>
        <w:t> </w:t>
      </w:r>
      <w:r>
        <w:rPr>
          <w:spacing w:val="-46"/>
        </w:rPr>
      </w:r>
      <w:r>
        <w:rPr>
          <w:spacing w:val="-2"/>
        </w:rPr>
        <w:t>董事长主持，在股东大会上能够保证各位股东有充分的发言权，确保全体股东特别是中小股东享有平等地位，充分行使自己</w:t>
      </w:r>
      <w:r>
        <w:rPr>
          <w:spacing w:val="-61"/>
        </w:rPr>
        <w:t> </w:t>
      </w:r>
      <w:r>
        <w:rPr>
          <w:spacing w:val="-61"/>
        </w:rPr>
      </w:r>
      <w:r>
        <w:rPr/>
        <w:t>的权利。</w:t>
      </w:r>
      <w:r>
        <w:rPr>
          <w:spacing w:val="-18"/>
        </w:rPr>
        <w:t> </w:t>
      </w:r>
      <w:r>
        <w:rPr/>
        <w:t>报告期内，本公司召开的股东大会不存在违反《上市公司股东大会规则》的情形，公司未发生单独或合并持有本</w:t>
      </w:r>
      <w:r>
        <w:rPr/>
        <w:t> </w:t>
      </w:r>
      <w:r>
        <w:rPr>
          <w:spacing w:val="-3"/>
        </w:rPr>
        <w:t>公司有表决权股份总数</w:t>
      </w:r>
      <w:r>
        <w:rPr>
          <w:rFonts w:ascii="Times New Roman" w:hAnsi="Times New Roman" w:cs="Times New Roman" w:eastAsia="Times New Roman" w:hint="default"/>
          <w:spacing w:val="-3"/>
        </w:rPr>
        <w:t>10%</w:t>
      </w:r>
      <w:r>
        <w:rPr>
          <w:spacing w:val="-3"/>
        </w:rPr>
        <w:t>以上的股东请求召开临时股东大会的情形，也无应监事会提议召开的股东大会。按照《公司法》、</w:t>
      </w:r>
    </w:p>
    <w:p>
      <w:pPr>
        <w:pStyle w:val="BodyText"/>
        <w:spacing w:line="316" w:lineRule="auto" w:before="0"/>
        <w:ind w:right="89"/>
        <w:jc w:val="left"/>
      </w:pPr>
      <w:r>
        <w:rPr>
          <w:spacing w:val="-2"/>
        </w:rPr>
        <w:t>《公司章程》的规定应由股东大会审议的重大事项，本公司均通过股东大会审议，不存在绕过股东大会的情况，也不存在先</w:t>
      </w:r>
      <w:r>
        <w:rPr>
          <w:spacing w:val="-65"/>
        </w:rPr>
        <w:t> </w:t>
      </w:r>
      <w:r>
        <w:rPr>
          <w:spacing w:val="-65"/>
        </w:rPr>
      </w:r>
      <w:r>
        <w:rPr/>
        <w:t>实施后审议的情况。</w:t>
      </w:r>
    </w:p>
    <w:p>
      <w:pPr>
        <w:pStyle w:val="BodyText"/>
        <w:spacing w:line="300" w:lineRule="auto"/>
        <w:ind w:left="513" w:right="89"/>
        <w:jc w:val="left"/>
      </w:pPr>
      <w:r>
        <w:rPr>
          <w:rFonts w:ascii="Times New Roman" w:hAnsi="Times New Roman" w:cs="Times New Roman" w:eastAsia="Times New Roman" w:hint="default"/>
        </w:rPr>
        <w:t>2</w:t>
      </w:r>
      <w:r>
        <w:rPr/>
        <w:t>、关于公司与控股股东 </w:t>
      </w:r>
      <w:r>
        <w:rPr>
          <w:spacing w:val="-2"/>
        </w:rPr>
        <w:t>公司控股股东百汇达严格按照《上市公司治理准则》、《深圳证券交易所创业板股票上市规则》、《深圳证券交易所创</w:t>
      </w:r>
    </w:p>
    <w:p>
      <w:pPr>
        <w:pStyle w:val="BodyText"/>
        <w:spacing w:line="316" w:lineRule="auto" w:before="31"/>
        <w:ind w:right="191"/>
        <w:jc w:val="both"/>
      </w:pPr>
      <w:r>
        <w:rPr>
          <w:spacing w:val="-2"/>
        </w:rPr>
        <w:t>业板上市公司规范运作指引》、《公司章程》等规定和要求，不存在超越公司股东大会直接或间接干预公司的决策和经营活</w:t>
      </w:r>
      <w:r>
        <w:rPr>
          <w:spacing w:val="-65"/>
        </w:rPr>
        <w:t> </w:t>
      </w:r>
      <w:r>
        <w:rPr>
          <w:spacing w:val="-65"/>
        </w:rPr>
      </w:r>
      <w:r>
        <w:rPr>
          <w:spacing w:val="-2"/>
        </w:rPr>
        <w:t>动的行为，未损害公司及其他股东的利益，不存在控股股东占用公司资金的现象，公司亦无为控股股东提供担保的情形。公</w:t>
      </w:r>
      <w:r>
        <w:rPr>
          <w:spacing w:val="-64"/>
        </w:rPr>
        <w:t> </w:t>
      </w:r>
      <w:r>
        <w:rPr>
          <w:spacing w:val="-64"/>
        </w:rPr>
      </w:r>
      <w:r>
        <w:rPr>
          <w:spacing w:val="-2"/>
        </w:rPr>
        <w:t>司拥有独立完整的业务和自主经营能力，在业务、资产、人员、机构、财务上独立于控股股东，公司董事会、监事会和内部</w:t>
      </w:r>
      <w:r>
        <w:rPr>
          <w:spacing w:val="-73"/>
        </w:rPr>
        <w:t> </w:t>
      </w:r>
      <w:r>
        <w:rPr>
          <w:spacing w:val="-73"/>
        </w:rPr>
      </w:r>
      <w:r>
        <w:rPr/>
        <w:t>机构独立运作。</w:t>
      </w:r>
    </w:p>
    <w:p>
      <w:pPr>
        <w:pStyle w:val="BodyText"/>
        <w:spacing w:line="300" w:lineRule="auto"/>
        <w:ind w:left="513" w:right="89"/>
        <w:jc w:val="left"/>
      </w:pPr>
      <w:r>
        <w:rPr>
          <w:rFonts w:ascii="Times New Roman" w:hAnsi="Times New Roman" w:cs="Times New Roman" w:eastAsia="Times New Roman" w:hint="default"/>
        </w:rPr>
        <w:t>3</w:t>
      </w:r>
      <w:r>
        <w:rPr/>
        <w:t>、关于董事与董事会 </w:t>
      </w:r>
      <w:r>
        <w:rPr>
          <w:spacing w:val="-2"/>
        </w:rPr>
        <w:t>公司第二届董事会设董事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名，董事会的人数及人员构成符合法律、法规和《公司章程》的要求。报</w:t>
      </w:r>
    </w:p>
    <w:p>
      <w:pPr>
        <w:pStyle w:val="BodyText"/>
        <w:spacing w:line="316" w:lineRule="auto" w:before="13"/>
        <w:ind w:right="97"/>
        <w:jc w:val="left"/>
      </w:pPr>
      <w:r>
        <w:rPr>
          <w:spacing w:val="-2"/>
        </w:rPr>
        <w:t>告期内，公司第二届董事会各位董事均能够依据《董事会议事规则》、《独立董事工作制度》、《深圳证券交易所创业板上</w:t>
      </w:r>
      <w:r>
        <w:rPr>
          <w:spacing w:val="-68"/>
        </w:rPr>
        <w:t> </w:t>
      </w:r>
      <w:r>
        <w:rPr>
          <w:spacing w:val="-68"/>
        </w:rPr>
      </w:r>
      <w:r>
        <w:rPr>
          <w:spacing w:val="-2"/>
        </w:rPr>
        <w:t>市公司规范运作指引》等开展工作，出席董事会、董事会专门委员会和股东大会，勤勉尽责地履行职责和义务，同时积极参</w:t>
      </w:r>
      <w:r>
        <w:rPr>
          <w:spacing w:val="-67"/>
        </w:rPr>
        <w:t> </w:t>
      </w:r>
      <w:r>
        <w:rPr>
          <w:spacing w:val="-67"/>
        </w:rPr>
      </w:r>
      <w:r>
        <w:rPr>
          <w:spacing w:val="-1"/>
        </w:rPr>
        <w:t>加相关培训，熟悉相关法律法规。</w:t>
      </w:r>
      <w:r>
        <w:rPr/>
        <w:t> </w:t>
      </w:r>
      <w:r>
        <w:rPr>
          <w:spacing w:val="-2"/>
        </w:rPr>
        <w:t>按照《深圳证券交易所创业板上市公司规范运作指引》的要求，董事会下设战略委员会、</w:t>
      </w:r>
      <w:r>
        <w:rPr>
          <w:spacing w:val="-81"/>
        </w:rPr>
        <w:t> </w:t>
      </w:r>
      <w:r>
        <w:rPr>
          <w:spacing w:val="-81"/>
        </w:rPr>
      </w:r>
      <w:r>
        <w:rPr>
          <w:spacing w:val="-2"/>
        </w:rPr>
        <w:t>薪酬和考核委员会、审计委员会和提名委员会四个专门委员会。专门委员会成员全部由董事组成，除战略委员会由董事长担</w:t>
      </w:r>
      <w:r>
        <w:rPr>
          <w:spacing w:val="-63"/>
        </w:rPr>
        <w:t> </w:t>
      </w:r>
      <w:r>
        <w:rPr>
          <w:spacing w:val="-63"/>
        </w:rPr>
      </w:r>
      <w:r>
        <w:rPr>
          <w:spacing w:val="-2"/>
        </w:rPr>
        <w:t>任主任委员以外，其他专门委员会均由独立董事担任主任委员，且独立董事人数占其他专门委员会委员的比例均达到三分之</w:t>
      </w:r>
      <w:r>
        <w:rPr>
          <w:spacing w:val="-64"/>
        </w:rPr>
        <w:t> </w:t>
      </w:r>
      <w:r>
        <w:rPr>
          <w:spacing w:val="-64"/>
        </w:rPr>
      </w:r>
      <w:r>
        <w:rPr>
          <w:spacing w:val="-2"/>
        </w:rPr>
        <w:t>二，为董事会的决策提供了科学和专业的意见和参考。各委员会依据《公司章程》和各委员会议事规则的规定履行职权，不</w:t>
      </w:r>
      <w:r>
        <w:rPr>
          <w:spacing w:val="-67"/>
        </w:rPr>
        <w:t> </w:t>
      </w:r>
      <w:r>
        <w:rPr>
          <w:spacing w:val="-67"/>
        </w:rPr>
      </w:r>
      <w:r>
        <w:rPr/>
        <w:t>受公司任何其他部门和个人的干预。</w:t>
      </w:r>
    </w:p>
    <w:p>
      <w:pPr>
        <w:pStyle w:val="BodyText"/>
        <w:spacing w:line="300" w:lineRule="auto"/>
        <w:ind w:left="513" w:right="89"/>
        <w:jc w:val="left"/>
      </w:pPr>
      <w:r>
        <w:rPr>
          <w:rFonts w:ascii="Times New Roman" w:hAnsi="Times New Roman" w:cs="Times New Roman" w:eastAsia="Times New Roman" w:hint="default"/>
        </w:rPr>
        <w:t>4</w:t>
      </w:r>
      <w:r>
        <w:rPr/>
        <w:t>、关于监事与监事会 </w:t>
      </w:r>
      <w:r>
        <w:rPr>
          <w:spacing w:val="-2"/>
        </w:rPr>
        <w:t>公司第二届监事会设监事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名，监事会的人数和构成符合法律、法规的要求。报告期内，公司第二届</w:t>
      </w:r>
    </w:p>
    <w:p>
      <w:pPr>
        <w:pStyle w:val="BodyText"/>
        <w:spacing w:line="319" w:lineRule="auto" w:before="13"/>
        <w:ind w:right="190"/>
        <w:jc w:val="both"/>
      </w:pPr>
      <w:r>
        <w:rPr>
          <w:spacing w:val="-2"/>
        </w:rPr>
        <w:t>监事会各位监事均能够按照《公司章程》、《监事会议事规则》等规定的要求，认真履行自己的职责，对公司重大事项、财</w:t>
      </w:r>
      <w:r>
        <w:rPr>
          <w:spacing w:val="-65"/>
        </w:rPr>
        <w:t> </w:t>
      </w:r>
      <w:r>
        <w:rPr>
          <w:spacing w:val="-65"/>
        </w:rPr>
      </w:r>
      <w:r>
        <w:rPr>
          <w:spacing w:val="-2"/>
        </w:rPr>
        <w:t>务状况以及董事、高管人员履行职责的合法合规性进行监督。报告期内，公司监事参加了相关培训，通过进一步学习、熟悉</w:t>
      </w:r>
      <w:r>
        <w:rPr>
          <w:spacing w:val="-67"/>
        </w:rPr>
        <w:t> </w:t>
      </w:r>
      <w:r>
        <w:rPr>
          <w:spacing w:val="-67"/>
        </w:rPr>
      </w:r>
      <w:r>
        <w:rPr/>
        <w:t>有关法律法规，切实提高了履行监事职责的能力。</w:t>
      </w:r>
    </w:p>
    <w:p>
      <w:pPr>
        <w:pStyle w:val="BodyText"/>
        <w:spacing w:line="240" w:lineRule="auto" w:before="17"/>
        <w:ind w:left="513" w:right="89"/>
        <w:jc w:val="left"/>
      </w:pPr>
      <w:r>
        <w:rPr>
          <w:rFonts w:ascii="Times New Roman" w:hAnsi="Times New Roman" w:cs="Times New Roman" w:eastAsia="Times New Roman" w:hint="default"/>
        </w:rPr>
        <w:t>5</w:t>
      </w:r>
      <w:r>
        <w:rPr/>
        <w:t>、关于绩效评价与激励约束机制</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89" w:firstLine="360"/>
        <w:jc w:val="left"/>
      </w:pPr>
      <w:r>
        <w:rPr>
          <w:spacing w:val="-4"/>
        </w:rPr>
        <w:t>公司已建立较公正、透明的高级管理人员的绩效考核标准和激励约束机制。高级管理人员的聘任公开、透明，符合法律、</w:t>
      </w:r>
      <w:r>
        <w:rPr/>
        <w:t> 法规的规定。</w:t>
      </w:r>
    </w:p>
    <w:p>
      <w:pPr>
        <w:pStyle w:val="BodyText"/>
        <w:spacing w:line="300" w:lineRule="auto"/>
        <w:ind w:left="513" w:right="93"/>
        <w:jc w:val="left"/>
      </w:pPr>
      <w:r>
        <w:rPr>
          <w:rFonts w:ascii="Times New Roman" w:hAnsi="Times New Roman" w:cs="Times New Roman" w:eastAsia="Times New Roman" w:hint="default"/>
        </w:rPr>
        <w:t>6</w:t>
      </w:r>
      <w:r>
        <w:rPr/>
        <w:t>、关于信息披露与透明度 公司严格按照有关法律法规以及《信息披露事务管理制度》、《投资者关系管理制度》等的要求，真实、准确、及时、</w:t>
      </w:r>
    </w:p>
    <w:p>
      <w:pPr>
        <w:pStyle w:val="BodyText"/>
        <w:spacing w:line="312" w:lineRule="auto" w:before="31"/>
        <w:ind w:right="89"/>
        <w:jc w:val="left"/>
      </w:pPr>
      <w:r>
        <w:rPr>
          <w:spacing w:val="-2"/>
        </w:rPr>
        <w:t>公平、完整地披露有关信息；公司高度重视投资者关系管理工作，由公司董事会秘书负责信息披露工作，协调公司与投资者</w:t>
      </w:r>
      <w:r>
        <w:rPr>
          <w:spacing w:val="-64"/>
        </w:rPr>
        <w:t> </w:t>
      </w:r>
      <w:r>
        <w:rPr>
          <w:spacing w:val="-64"/>
        </w:rPr>
      </w:r>
      <w:r>
        <w:rPr/>
        <w:t>的关系，接待投资者来访，回答投资者咨询，向投资者提供公司已披露的资料；并指定巨潮资讯网（</w:t>
      </w:r>
      <w:hyperlink r:id="rId11">
        <w:r>
          <w:rPr>
            <w:rFonts w:ascii="Times New Roman" w:hAnsi="Times New Roman" w:cs="Times New Roman" w:eastAsia="Times New Roman" w:hint="default"/>
          </w:rPr>
          <w:t>www.cninfo.com.cn</w:t>
        </w:r>
      </w:hyperlink>
      <w:r>
        <w:rPr/>
        <w:t>） </w:t>
      </w:r>
      <w:r>
        <w:rPr>
          <w:spacing w:val="-2"/>
        </w:rPr>
        <w:t>为公司信息披露的指定网站，《中国证券报》、《证券时报》、《上海证券报》为公司定期报告披露的指定报刊，确保公司</w:t>
      </w:r>
      <w:r>
        <w:rPr>
          <w:spacing w:val="-70"/>
        </w:rPr>
        <w:t> </w:t>
      </w:r>
      <w:r>
        <w:rPr>
          <w:spacing w:val="-70"/>
        </w:rPr>
      </w:r>
      <w:r>
        <w:rPr/>
        <w:t>所有股东能够平等的机会获得信息。</w:t>
      </w:r>
    </w:p>
    <w:p>
      <w:pPr>
        <w:pStyle w:val="BodyText"/>
        <w:spacing w:line="300" w:lineRule="auto" w:before="22"/>
        <w:ind w:left="513" w:right="89"/>
        <w:jc w:val="left"/>
      </w:pPr>
      <w:r>
        <w:rPr>
          <w:rFonts w:ascii="Times New Roman" w:hAnsi="Times New Roman" w:cs="Times New Roman" w:eastAsia="Times New Roman" w:hint="default"/>
        </w:rPr>
        <w:t>7</w:t>
      </w:r>
      <w:r>
        <w:rPr/>
        <w:t>、关于相关利益者 </w:t>
      </w:r>
      <w:r>
        <w:rPr>
          <w:spacing w:val="-2"/>
        </w:rPr>
        <w:t>公司充分尊重和维护相关利益者的合法权益，实现股东、员工、社会等各方利益的协调平衡，共同推动公司持续、健康</w:t>
      </w:r>
    </w:p>
    <w:p>
      <w:pPr>
        <w:pStyle w:val="BodyText"/>
        <w:spacing w:line="360" w:lineRule="auto" w:before="31"/>
        <w:ind w:right="4594"/>
        <w:jc w:val="left"/>
      </w:pPr>
      <w:r>
        <w:rPr/>
        <w:t>的发展。 公司治理与《公司法》和中国证监会相关规定的要求是否存在差异</w:t>
      </w:r>
    </w:p>
    <w:p>
      <w:pPr>
        <w:pStyle w:val="BodyText"/>
        <w:spacing w:line="240" w:lineRule="auto" w:before="25"/>
        <w:ind w:right="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before="0"/>
        <w:ind w:right="89"/>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9"/>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89"/>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89"/>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年第八次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年第九次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ind w:right="329"/>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before="0"/>
        <w:ind w:right="150" w:firstLine="360"/>
        <w:jc w:val="both"/>
      </w:pPr>
      <w:r>
        <w:rPr>
          <w:spacing w:val="-2"/>
        </w:rPr>
        <w:t>公司第一届董事会</w:t>
      </w:r>
      <w:r>
        <w:rPr>
          <w:rFonts w:ascii="Times New Roman" w:hAnsi="Times New Roman" w:cs="Times New Roman" w:eastAsia="Times New Roman" w:hint="default"/>
          <w:spacing w:val="-2"/>
        </w:rPr>
        <w:t>2012</w:t>
      </w:r>
      <w:r>
        <w:rPr>
          <w:spacing w:val="-2"/>
        </w:rPr>
        <w:t>年第三次会议审议制定了《年报信息披露重大差错责任追究制度》，对年报编制和披露的每一环</w:t>
      </w:r>
      <w:r>
        <w:rPr/>
        <w:t> </w:t>
      </w:r>
      <w:r>
        <w:rPr>
          <w:spacing w:val="-2"/>
        </w:rPr>
        <w:t>节都进行规定，明确了参与编制和披露工作人员各自的责任。</w:t>
      </w:r>
      <w:r>
        <w:rPr>
          <w:rFonts w:ascii="Times New Roman" w:hAnsi="Times New Roman" w:cs="Times New Roman" w:eastAsia="Times New Roman" w:hint="default"/>
          <w:spacing w:val="-2"/>
        </w:rPr>
        <w:t>2014</w:t>
      </w:r>
      <w:r>
        <w:rPr>
          <w:spacing w:val="-2"/>
        </w:rPr>
        <w:t>年度，《年报信息披露重大差错责任追究制度》得到有效</w:t>
      </w:r>
      <w:r>
        <w:rPr>
          <w:spacing w:val="-61"/>
        </w:rPr>
        <w:t> </w:t>
      </w:r>
      <w:r>
        <w:rPr>
          <w:spacing w:val="-61"/>
        </w:rPr>
      </w:r>
      <w:r>
        <w:rPr>
          <w:spacing w:val="-2"/>
        </w:rPr>
        <w:t>执行，提高了公司年报信息披露的质量和透明度。报告期内，公司未发生重大会计差错更正、重大遗漏信息补充以及业绩预</w:t>
      </w:r>
      <w:r>
        <w:rPr>
          <w:spacing w:val="-65"/>
        </w:rPr>
        <w:t> </w:t>
      </w:r>
      <w:r>
        <w:rPr>
          <w:spacing w:val="-65"/>
        </w:rPr>
      </w:r>
      <w:r>
        <w:rPr/>
        <w:t>告修正等情况。</w:t>
      </w:r>
    </w:p>
    <w:p>
      <w:pPr>
        <w:spacing w:line="240" w:lineRule="auto" w:before="6"/>
        <w:rPr>
          <w:rFonts w:ascii="宋体" w:hAnsi="宋体" w:cs="宋体" w:eastAsia="宋体" w:hint="default"/>
          <w:sz w:val="21"/>
          <w:szCs w:val="21"/>
        </w:rPr>
      </w:pPr>
    </w:p>
    <w:p>
      <w:pPr>
        <w:pStyle w:val="Heading2"/>
        <w:spacing w:line="240" w:lineRule="auto" w:before="0"/>
        <w:ind w:right="329"/>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t>监事会在报告期内的监督活动是否发现公司存在风险</w:t>
      </w:r>
    </w:p>
    <w:p>
      <w:pPr>
        <w:pStyle w:val="BodyText"/>
        <w:spacing w:line="340"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bookmark8" w:id="9"/>
      <w:bookmarkEnd w:id="9"/>
      <w:r>
        <w:rPr>
          <w:b w:val="0"/>
          <w:bCs w:val="0"/>
        </w:rPr>
      </w: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89"/>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BJ06-037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谢维、王法</w:t>
            </w:r>
          </w:p>
        </w:tc>
      </w:tr>
    </w:tbl>
    <w:p>
      <w:pPr>
        <w:pStyle w:val="BodyText"/>
        <w:spacing w:line="240" w:lineRule="auto" w:before="49"/>
        <w:ind w:left="3429" w:right="3467"/>
        <w:jc w:val="center"/>
      </w:pPr>
      <w:r>
        <w:rPr/>
        <w:t>审计报告正文</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5" w:footer="979" w:top="1060" w:bottom="1160" w:left="980" w:right="940"/>
        </w:sectPr>
      </w:pPr>
    </w:p>
    <w:p>
      <w:pPr>
        <w:pStyle w:val="Heading3"/>
        <w:spacing w:line="240" w:lineRule="auto" w:before="36"/>
        <w:ind w:left="0" w:right="0"/>
        <w:jc w:val="right"/>
        <w:rPr>
          <w:b w:val="0"/>
          <w:bCs w:val="0"/>
        </w:rPr>
      </w:pPr>
      <w:r>
        <w:rPr/>
        <w:t>审 计 报</w:t>
      </w:r>
      <w:r>
        <w:rPr>
          <w:spacing w:val="-2"/>
        </w:rPr>
        <w:t> </w:t>
      </w:r>
      <w:r>
        <w:rPr/>
        <w:t>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3"/>
        <w:ind w:left="1496" w:right="0"/>
        <w:jc w:val="left"/>
      </w:pPr>
      <w:r>
        <w:rPr/>
        <w:t>中兴华审字（</w:t>
      </w:r>
      <w:r>
        <w:rPr>
          <w:rFonts w:ascii="宋体" w:hAnsi="宋体" w:cs="宋体" w:eastAsia="宋体" w:hint="default"/>
        </w:rPr>
        <w:t>2015</w:t>
      </w:r>
      <w:r>
        <w:rPr/>
        <w:t>）第</w:t>
      </w:r>
      <w:r>
        <w:rPr>
          <w:rFonts w:ascii="宋体" w:hAnsi="宋体" w:cs="宋体" w:eastAsia="宋体" w:hint="default"/>
        </w:rPr>
        <w:t>BJ06-037</w:t>
      </w:r>
      <w:r>
        <w:rPr/>
        <w:t>号</w:t>
      </w:r>
    </w:p>
    <w:p>
      <w:pPr>
        <w:spacing w:after="0" w:line="240" w:lineRule="auto"/>
        <w:jc w:val="left"/>
        <w:sectPr>
          <w:type w:val="continuous"/>
          <w:pgSz w:w="11910" w:h="16840"/>
          <w:pgMar w:top="1060" w:bottom="1160" w:left="980" w:right="940"/>
          <w:cols w:num="2" w:equalWidth="0">
            <w:col w:w="5554" w:space="40"/>
            <w:col w:w="4396"/>
          </w:cols>
        </w:sectPr>
      </w:pPr>
    </w:p>
    <w:p>
      <w:pPr>
        <w:spacing w:line="240" w:lineRule="auto" w:before="4"/>
        <w:rPr>
          <w:rFonts w:ascii="宋体" w:hAnsi="宋体" w:cs="宋体" w:eastAsia="宋体" w:hint="default"/>
          <w:sz w:val="26"/>
          <w:szCs w:val="26"/>
        </w:rPr>
      </w:pPr>
    </w:p>
    <w:p>
      <w:pPr>
        <w:pStyle w:val="BodyText"/>
        <w:spacing w:line="316" w:lineRule="auto" w:before="44"/>
        <w:ind w:left="513" w:right="89" w:hanging="361"/>
        <w:jc w:val="left"/>
      </w:pPr>
      <w:r>
        <w:rPr/>
        <w:t>北京光环新网科技股份有限公司全体股东： </w:t>
      </w:r>
      <w:r>
        <w:rPr>
          <w:spacing w:val="-2"/>
        </w:rPr>
        <w:t>我们审计了后附的北京光环新网科技股份有限公司（以下简称“光环新网”）财务报表，包括</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p>
    <w:p>
      <w:pPr>
        <w:pStyle w:val="BodyText"/>
        <w:spacing w:line="319" w:lineRule="auto"/>
        <w:ind w:right="89"/>
        <w:jc w:val="left"/>
      </w:pPr>
      <w:r>
        <w:rPr>
          <w:spacing w:val="-2"/>
        </w:rPr>
        <w:t>母公司资产负债表，</w:t>
      </w:r>
      <w:r>
        <w:rPr>
          <w:rFonts w:ascii="宋体" w:hAnsi="宋体" w:cs="宋体" w:eastAsia="宋体" w:hint="default"/>
          <w:spacing w:val="-2"/>
        </w:rPr>
        <w:t>2014</w:t>
      </w:r>
      <w:r>
        <w:rPr>
          <w:spacing w:val="-2"/>
        </w:rPr>
        <w:t>年度的合并及母公司利润表、合并及母公司现金流量表、合并及母公司股东权益变动表以及财务报</w:t>
      </w:r>
      <w:r>
        <w:rPr>
          <w:spacing w:val="-60"/>
        </w:rPr>
        <w:t> </w:t>
      </w:r>
      <w:r>
        <w:rPr>
          <w:spacing w:val="-60"/>
        </w:rPr>
      </w:r>
      <w:r>
        <w:rPr/>
        <w:t>表附注。</w:t>
      </w:r>
    </w:p>
    <w:p>
      <w:pPr>
        <w:pStyle w:val="BodyText"/>
        <w:spacing w:line="316" w:lineRule="auto" w:before="17"/>
        <w:ind w:left="513" w:right="183"/>
        <w:jc w:val="left"/>
      </w:pPr>
      <w:r>
        <w:rPr/>
        <w:t>一、管理层对财务报表的责任 编制和公允列报财务报表是光环新网管理层的责任，这种责任包括：（</w:t>
      </w:r>
      <w:r>
        <w:rPr>
          <w:rFonts w:ascii="宋体" w:hAnsi="宋体" w:cs="宋体" w:eastAsia="宋体" w:hint="default"/>
        </w:rPr>
        <w:t>1</w:t>
      </w:r>
      <w:r>
        <w:rPr/>
        <w:t>）按照企业会计准则的规定编制财务报表，并</w:t>
      </w:r>
    </w:p>
    <w:p>
      <w:pPr>
        <w:pStyle w:val="BodyText"/>
        <w:spacing w:line="316" w:lineRule="auto"/>
        <w:ind w:left="513" w:right="89" w:hanging="361"/>
        <w:jc w:val="left"/>
      </w:pPr>
      <w:r>
        <w:rPr/>
        <w:t>使其实现公允反映；（</w:t>
      </w:r>
      <w:r>
        <w:rPr>
          <w:rFonts w:ascii="宋体" w:hAnsi="宋体" w:cs="宋体" w:eastAsia="宋体" w:hint="default"/>
        </w:rPr>
        <w:t>2</w:t>
      </w:r>
      <w:r>
        <w:rPr/>
        <w:t>）设计、执行和维护必要的内部控制，以使财务报表不存在由于舞弊或错误而导致的重大错报。 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ind w:right="89"/>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9" w:lineRule="auto"/>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计政策的适当性和作出会计估计的合理性，以及评价财务报表的总体列报。</w:t>
      </w:r>
    </w:p>
    <w:p>
      <w:pPr>
        <w:pStyle w:val="BodyText"/>
        <w:spacing w:line="316" w:lineRule="auto" w:before="17"/>
        <w:ind w:left="513" w:right="3153"/>
        <w:jc w:val="left"/>
      </w:pPr>
      <w:r>
        <w:rPr/>
        <w:t>我们相信，我们获取的审计证据是充分、适当的，为发表审计意见提供了基础。 三、审计意见</w:t>
      </w:r>
    </w:p>
    <w:p>
      <w:pPr>
        <w:pStyle w:val="BodyText"/>
        <w:spacing w:line="316" w:lineRule="auto"/>
        <w:ind w:right="89" w:firstLine="360"/>
        <w:jc w:val="left"/>
      </w:pPr>
      <w:r>
        <w:rPr>
          <w:spacing w:val="-2"/>
        </w:rPr>
        <w:t>我们认为，光环新网的财务报表已经按照企业会计准则的规定编制，在所有重大方面公允反映了光环新网</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 </w:t>
      </w:r>
      <w:r>
        <w:rPr/>
        <w:t>日的合并及母公司财务状况、以及</w:t>
      </w:r>
      <w:r>
        <w:rPr>
          <w:rFonts w:ascii="宋体" w:hAnsi="宋体" w:cs="宋体" w:eastAsia="宋体" w:hint="default"/>
        </w:rPr>
        <w:t>2014</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tabs>
          <w:tab w:pos="7995" w:val="left" w:leader="none"/>
        </w:tabs>
        <w:spacing w:line="319" w:lineRule="auto" w:before="0"/>
        <w:ind w:left="5383" w:right="188" w:hanging="903"/>
        <w:jc w:val="right"/>
      </w:pPr>
      <w:r>
        <w:rPr/>
        <w:t>中兴华会计师事务所（特殊普通合伙）</w:t>
        <w:tab/>
      </w:r>
      <w:r>
        <w:rPr>
          <w:spacing w:val="-1"/>
        </w:rPr>
        <w:t>中国注册会计师：谢维</w:t>
      </w:r>
      <w:r>
        <w:rPr/>
        <w:t> 中国·北京</w:t>
        <w:tab/>
      </w:r>
      <w:r>
        <w:rPr>
          <w:spacing w:val="-1"/>
        </w:rPr>
        <w:t>中国注册会计师：王法</w:t>
      </w:r>
      <w:r>
        <w:rPr/>
        <w:t> </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20</w:t>
      </w:r>
      <w:r>
        <w:rPr>
          <w:spacing w:val="-1"/>
        </w:rPr>
        <w:t>日</w:t>
      </w:r>
    </w:p>
    <w:p>
      <w:pPr>
        <w:spacing w:after="0" w:line="319" w:lineRule="auto"/>
        <w:jc w:val="right"/>
        <w:sectPr>
          <w:type w:val="continuous"/>
          <w:pgSz w:w="11910" w:h="16840"/>
          <w:pgMar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ind w:right="329"/>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329"/>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32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29"/>
        <w:jc w:val="left"/>
      </w:pPr>
      <w:r>
        <w:rPr/>
        <w:t>编制单位：北京光环新网科技股份有限公司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238,977,816.19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43,035,367.79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43,948,945.46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26,234,509.89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2,564,139.47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53,500,769.49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3,040,686.28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4,872,344.97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1,146,459.61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792,312.00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6,404,802.59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296,082,849.60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128,435,304.14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362,391,308.37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244,563,716.06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14,321,931.77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24,057,718.20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37,737,014.03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1,056,955.48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1,693,240.00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1,693,240.00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56,377,091.81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35,791,736.13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1,090,465.54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923,602.84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77,758,315.77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566,659,367.29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323,376,968.71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862,742,216.89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451,812,272.85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42,396,232.54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56,912,418.46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54,869,590.27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22,853,989.35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50,248,171.62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50,321,068.09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5,206,353.25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4,614,462.63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3,467,169.06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4,403,905.33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5,249,376.74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774,293.09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161,436,893.48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139,880,136.95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1,982,396.25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2,037,462.82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3,230,396.25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3,477,462.82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164,667,289.73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143,357,599.77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311,163,183.83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63,714,913.83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29,948,561.02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20,203,181.53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247,312,830.19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178,247,845.01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697,584,575.04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307,965,940.37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490,352.12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488,732.71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698,074,927.16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308,454,673.08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862,742,216.89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451,812,272.85</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3"/>
        <w:jc w:val="right"/>
      </w:pPr>
      <w:r>
        <w:rPr/>
        <w:t>法定代表人：耿殿根</w:t>
        <w:tab/>
      </w:r>
      <w:r>
        <w:rPr>
          <w:spacing w:val="-1"/>
        </w:rPr>
        <w:t>主管会计工作负责人：张利军</w:t>
        <w:tab/>
      </w:r>
      <w:r>
        <w:rPr/>
        <w:t>会计机构负责人：张利军</w:t>
      </w:r>
    </w:p>
    <w:p>
      <w:pPr>
        <w:spacing w:line="240" w:lineRule="auto" w:before="0"/>
        <w:rPr>
          <w:rFonts w:ascii="宋体" w:hAnsi="宋体" w:cs="宋体" w:eastAsia="宋体" w:hint="default"/>
          <w:sz w:val="18"/>
          <w:szCs w:val="18"/>
        </w:rPr>
      </w:pPr>
    </w:p>
    <w:p>
      <w:pPr>
        <w:pStyle w:val="Heading3"/>
        <w:spacing w:line="240" w:lineRule="auto" w:before="120"/>
        <w:ind w:right="329"/>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227,891,283.13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28,623,969.42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35,284,275.08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20,534,234.08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2,093,607.80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40,767,463.64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138,099,635.19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81,974,658.97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668,724.70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538,107.50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2,323,646.73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406,361,172.63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172,438,433.61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185,411,227.50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96,611,227.50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124,374,329.31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133,957,695.14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2,442,845.42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1,625,104.00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840,157.02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1,056,955.48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21,612,970.86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20,035,995.05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1,004,125.49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923,602.84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77,758,315.77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428,733,971.37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269,500,580.01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835,095,144.00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441,939,013.62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42,396,232.54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56,912,418.46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36,309,742.39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9,836,327.45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48,742,533.24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50,321,068.09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4,634,237.94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4,456,669.39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3,438,719.40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3,907,526.72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13,681,324.02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22,308,713.89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149,202,789.53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147,742,724.00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150,450,789.53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149,182,724.00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310,165,862.23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62,717,592.23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29,948,561.02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20,203,181.53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235,369,931.22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164,035,515.86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684,644,354.47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292,756,289.62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835,095,144.00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441,939,013.62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32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434,543,129.87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308,149,551.59</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434,543,129.87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308,149,551.59</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322,112,175.16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229,443,505.67</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247,699,370.31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163,589,335.22</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130005pt;margin-top:380.149994pt;width:158.8pt;height:20.65pt;mso-position-horizontal-relative:page;mso-position-vertical-relative:page;z-index:-1028776" coordorigin="4223,7603" coordsize="3176,413">
            <v:group style="position:absolute;left:4233;top:7614;width:2;height:392" coordorigin="4233,7614" coordsize="2,392">
              <v:shape style="position:absolute;left:4233;top:7614;width:2;height:392" coordorigin="4233,7614" coordsize="0,392" path="m4233,7614l4233,8005e" filled="false" stroked="true" strokeweight="1.08pt" strokecolor="#ffffff">
                <v:path arrowok="t"/>
              </v:shape>
            </v:group>
            <v:group style="position:absolute;left:4244;top:7614;width:3154;height:392" coordorigin="4244,7614" coordsize="3154,392">
              <v:shape style="position:absolute;left:4244;top:7614;width:3154;height:392" coordorigin="4244,7614" coordsize="3154,392" path="m4244,8005l7398,8005,7398,7614,4244,7614,4244,8005xe" filled="true" fillcolor="#ffffff" stroked="false">
                <v:path arrowok="t"/>
                <v:fill type="solid"/>
              </v:shape>
            </v:group>
            <w10:wrap type="none"/>
          </v:group>
        </w:pict>
      </w:r>
      <w:r>
        <w:rPr/>
        <w:pict>
          <v:group style="position:absolute;margin-left:211.130005pt;margin-top:500.769989pt;width:158.8pt;height:20.65pt;mso-position-horizontal-relative:page;mso-position-vertical-relative:page;z-index:-1028752" coordorigin="4223,10015" coordsize="3176,413">
            <v:group style="position:absolute;left:4233;top:10026;width:2;height:392" coordorigin="4233,10026" coordsize="2,392">
              <v:shape style="position:absolute;left:4233;top:10026;width:2;height:392" coordorigin="4233,10026" coordsize="0,392" path="m4233,10026l4233,10417e" filled="false" stroked="true" strokeweight="1.08pt" strokecolor="#ffffff">
                <v:path arrowok="t"/>
              </v:shape>
            </v:group>
            <v:group style="position:absolute;left:4244;top:10026;width:3154;height:392" coordorigin="4244,10026" coordsize="3154,392">
              <v:shape style="position:absolute;left:4244;top:10026;width:3154;height:392" coordorigin="4244,10026" coordsize="3154,392" path="m4244,10417l7398,10417,7398,10026,4244,10026,4244,104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1063"/>
        <w:gridCol w:w="2149"/>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6,323,674.12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10,913,951.23</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17,821,544.04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17,908,878.70</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50,505,213.80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35,224,584.36</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-917,219.81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1,639,934.13</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679,592.70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166,822.03</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112,430,954.71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78,706,045.92</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198,480.00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264,185.00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140,687.00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1,716.11</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138,941.29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1,716.11</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01" w:right="0"/>
              <w:jc w:val="left"/>
              <w:rPr>
                <w:rFonts w:ascii="Times New Roman" w:hAnsi="Times New Roman" w:cs="Times New Roman" w:eastAsia="Times New Roman" w:hint="default"/>
                <w:sz w:val="18"/>
                <w:szCs w:val="18"/>
              </w:rPr>
            </w:pPr>
            <w:r>
              <w:rPr>
                <w:rFonts w:ascii="Times New Roman"/>
                <w:sz w:val="18"/>
              </w:rPr>
              <w:t>112,488,747.71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78,968,514.81</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17,302,763.63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11,705,171.97</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95,185,984.08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67,263,342.84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95,184,364.67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67,264,610.13</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1,619.41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-1,267.29</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36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95,185,984.08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67,263,342.84</w:t>
            </w: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95,184,364.67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67,264,610.13</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1,619.41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-1,267.29</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0.73</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0.73</w:t>
            </w:r>
          </w:p>
        </w:tc>
      </w:tr>
    </w:tbl>
    <w:p>
      <w:pPr>
        <w:pStyle w:val="BodyText"/>
        <w:tabs>
          <w:tab w:pos="3578" w:val="left" w:leader="none"/>
          <w:tab w:pos="7721" w:val="left" w:leader="none"/>
        </w:tabs>
        <w:spacing w:line="595" w:lineRule="auto" w:before="49"/>
        <w:ind w:right="24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法定代表人：耿殿根</w:t>
        <w:tab/>
      </w:r>
      <w:r>
        <w:rPr>
          <w:spacing w:val="-1"/>
        </w:rPr>
        <w:t>主管会计工作负责人：张利军</w:t>
        <w:tab/>
      </w:r>
      <w:r>
        <w:rPr/>
        <w:t>会计机构负责人：张利军</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0"/>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382,317,995.39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285,650,563.65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212,463,917.22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150,473,868.79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5,643,238.87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10,287,043.35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17,808,432.36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17,861,576.15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43,642,835.71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33,469,970.32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-890,446.20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1,653,637.72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580,841.01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-37,860.16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9,844,154.47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112,913,330.89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71,942,327.48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264,185.00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84,936.36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84,936.36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1,716.11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113,026,874.53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72,204,796.37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15,573,079.68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10,902,613.34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97,453,794.85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61,302,183.03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97,453,794.85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61,302,183.03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32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431,477,751.81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328,030,224.76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32,229,476.52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6,178,938.74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463,707,228.33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334,209,163.50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183,155,656.13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144,258,126.76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46,179,563.88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38,744,377.75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35,221,560.16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23,422,553.95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49,991,646.11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26,339,881.74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314,548,426.28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232,764,940.20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149,158,802.05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101,444,223.30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141,054,608.98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133,907,285.81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89,102,169.05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230,156,778.03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133,907,285.81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-230,150,278.03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-133,906,885.81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319,391,670.00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60,974,668.94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56,912,418.46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2,523,230.49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382,889,569.43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57,402,418.46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75,490,854.86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17,914,210.68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11,942,373.76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8,550,579.51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101,955,645.05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11,942,373.76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280,933,924.38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45,460,044.70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199,942,448.40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12,997,382.19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39,035,367.79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26,037,985.60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238,977,816.19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39,035,367.79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329"/>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378,624,586.68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311,375,159.07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32,787,382.96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6,946,658.12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411,411,969.64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318,321,817.19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161,752,703.67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135,431,865.85</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42,872,753.35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38,200,653.98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31,752,302.65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22,193,765.44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106,975,715.65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111,122,743.08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343,353,475.32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306,949,028.35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68,058,494.32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11,372,788.84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157,261.26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163,761.26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56,778,866.25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44,442,174.28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89,110,000.00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145,888,866.25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44,952,174.28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-145,725,104.99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-44,951,774.28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319,391,670.00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60,974,668.94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56,912,418.46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2,523,230.49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382,889,569.43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56,912,418.46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75,490,854.86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17,914,210.68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11,942,373.76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8,550,579.51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101,955,645.05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11,942,373.76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280,933,924.38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44,970,044.70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203,267,313.71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11,391,059.26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24,623,969.42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13,232,910.16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227,891,283.13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24,623,969.42</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29"/>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913.83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181.53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178,247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,845.01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488,732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.71</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308,454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,673.08</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913.83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181.53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178,247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,845.01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488,732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308,454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,673.08</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63,360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247,448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69,064,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985.18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389,620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,254.08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95,184,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364.67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95,185,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984.08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8,780,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302,028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310,808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,270.00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8,780,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302,028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310,808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,270.00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-26,119,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-16,374,</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-16,374,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-16,374,</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-54,580,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-54,580,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109,16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311,163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,183.83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29,948,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247,312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,830.19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490,352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698,074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,927.16</w:t>
            </w:r>
          </w:p>
        </w:tc>
      </w:tr>
    </w:tbl>
    <w:p>
      <w:pPr>
        <w:pStyle w:val="BodyText"/>
        <w:spacing w:line="240" w:lineRule="auto" w:before="49"/>
        <w:ind w:right="329"/>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63,714,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913.83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14,072,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963.23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127,372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,653.18</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250,960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,530.24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913.83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963.23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127,372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,653.18</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250,960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,530.24</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6,130,2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18.30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50,875,</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191.83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488,732</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.71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57,494,</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142.84</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67,264,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610.13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67,263,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342.84</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490,000</w:t>
            </w:r>
          </w:p>
          <w:p>
            <w:pPr>
              <w:pStyle w:val="TableParagraph"/>
              <w:spacing w:line="240" w:lineRule="auto" w:before="103"/>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490,000</w:t>
            </w:r>
          </w:p>
          <w:p>
            <w:pPr>
              <w:pStyle w:val="TableParagraph"/>
              <w:spacing w:line="240" w:lineRule="auto" w:before="103"/>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 w:right="0"/>
              <w:jc w:val="left"/>
              <w:rPr>
                <w:rFonts w:ascii="Times New Roman" w:hAnsi="Times New Roman" w:cs="Times New Roman" w:eastAsia="Times New Roman" w:hint="default"/>
                <w:sz w:val="18"/>
                <w:szCs w:val="18"/>
              </w:rPr>
            </w:pPr>
            <w:r>
              <w:rPr>
                <w:rFonts w:ascii="Times New Roman"/>
                <w:sz w:val="18"/>
              </w:rPr>
              <w:t>490,000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490,000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6,130,2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18.30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-16,389,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418.30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-10,259,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6,130,2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18.30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-6,130,2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18.30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-10,259,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200.00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-10,259,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913.83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181.53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178,247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,845.01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488,732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.71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308,454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,673.08</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29"/>
        <w:jc w:val="left"/>
      </w:pPr>
      <w:r>
        <w:rPr/>
        <w:t>本期金额</w:t>
      </w:r>
    </w:p>
    <w:p>
      <w:pPr>
        <w:pStyle w:val="BodyText"/>
        <w:spacing w:line="240" w:lineRule="auto" w:before="115"/>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8122"/>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20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18" w:type="dxa"/>
            <w:vMerge/>
            <w:tcBorders>
              <w:left w:val="single" w:sz="4" w:space="0" w:color="000000"/>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6" w:hRule="exact"/>
        </w:trPr>
        <w:tc>
          <w:tcPr>
            <w:tcW w:w="1418" w:type="dxa"/>
            <w:vMerge/>
            <w:tcBorders>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62,717,59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20,203,18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1.53</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164,035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,515.86</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292,756,2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89.62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62,717,59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20,203,18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164,035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,515.86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292,756,2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89.62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63,360,0</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247,448,2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9,745,379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71,334,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415.36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391,888,0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64.85</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794.85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97,453,79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4.85</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8,780,00</w:t>
            </w:r>
          </w:p>
          <w:p>
            <w:pPr>
              <w:pStyle w:val="TableParagraph"/>
              <w:spacing w:line="240" w:lineRule="auto" w:before="102"/>
              <w:ind w:left="35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302,028,2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310,808,2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70.00</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8,780,00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302,028,2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310,808,2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70.00</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9,745,379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-26,119,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379.49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-16,374,0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9,745,379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79.49</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-16,374,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-16,374,0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109,160,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310,165,8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62.23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29,948,56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235,369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684,644,3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54.47</w:t>
            </w:r>
          </w:p>
        </w:tc>
      </w:tr>
    </w:tbl>
    <w:p>
      <w:pPr>
        <w:pStyle w:val="BodyText"/>
        <w:spacing w:line="240" w:lineRule="auto" w:before="49"/>
        <w:ind w:right="329"/>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62,717,59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14,072,96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3.23</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64" w:right="0"/>
              <w:jc w:val="left"/>
              <w:rPr>
                <w:rFonts w:ascii="Times New Roman" w:hAnsi="Times New Roman" w:cs="Times New Roman" w:eastAsia="Times New Roman" w:hint="default"/>
                <w:sz w:val="18"/>
                <w:szCs w:val="18"/>
              </w:rPr>
            </w:pPr>
            <w:r>
              <w:rPr>
                <w:rFonts w:ascii="Times New Roman"/>
                <w:sz w:val="18"/>
              </w:rPr>
              <w:t>119,122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,751.13</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241,713,3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06.59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62,717,59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14,072,96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119,122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,751.13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241,713,3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06.59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6,130,218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44,912,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764.73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51,042,98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3.03</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61,302,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183.03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61,302,18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3.03</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6,130,218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-16,389,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418.30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-10,259,2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6,130,218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-6,130,2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18.30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-10,259,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-10,259,2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62,717,59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20,203,18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164,035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,515.86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292,756,2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89.62</w:t>
            </w:r>
          </w:p>
        </w:tc>
      </w:tr>
    </w:tbl>
    <w:p>
      <w:pPr>
        <w:spacing w:line="240" w:lineRule="auto" w:before="1"/>
        <w:rPr>
          <w:rFonts w:ascii="宋体" w:hAnsi="宋体" w:cs="宋体" w:eastAsia="宋体" w:hint="default"/>
          <w:sz w:val="18"/>
          <w:szCs w:val="18"/>
        </w:rPr>
      </w:pPr>
    </w:p>
    <w:p>
      <w:pPr>
        <w:pStyle w:val="Heading2"/>
        <w:spacing w:line="240" w:lineRule="auto"/>
        <w:ind w:right="329"/>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rFonts w:ascii="Times New Roman" w:hAnsi="Times New Roman" w:cs="Times New Roman" w:eastAsia="Times New Roman" w:hint="default"/>
        </w:rPr>
        <w:t>1</w:t>
      </w:r>
      <w:r>
        <w:rPr/>
        <w:t>、</w:t>
      </w:r>
      <w:r>
        <w:rPr>
          <w:spacing w:val="60"/>
        </w:rPr>
        <w:t> </w:t>
      </w:r>
      <w:r>
        <w:rPr/>
        <w:t>公司注册登记情况：</w:t>
      </w:r>
    </w:p>
    <w:p>
      <w:pPr>
        <w:pStyle w:val="BodyText"/>
        <w:tabs>
          <w:tab w:pos="1053" w:val="left" w:leader="none"/>
        </w:tabs>
        <w:spacing w:line="240" w:lineRule="auto" w:before="63"/>
        <w:ind w:right="329"/>
        <w:jc w:val="left"/>
      </w:pPr>
      <w:r>
        <w:rPr/>
        <w:t>名</w:t>
        <w:tab/>
        <w:t>称：北京光环新网科技股份有限公司（以下简称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w:t>
      </w:r>
    </w:p>
    <w:p>
      <w:pPr>
        <w:pStyle w:val="BodyText"/>
        <w:tabs>
          <w:tab w:pos="1053" w:val="left" w:leader="none"/>
        </w:tabs>
        <w:spacing w:line="300" w:lineRule="auto" w:before="63"/>
        <w:ind w:right="3124"/>
        <w:jc w:val="left"/>
      </w:pPr>
      <w:r>
        <w:rPr/>
        <w:t>住</w:t>
        <w:tab/>
        <w:t>所：北京市门头沟区石龙经济技术开发区永安路</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13</w:t>
      </w:r>
      <w:r>
        <w:rPr/>
        <w:t>层</w:t>
      </w:r>
      <w:r>
        <w:rPr>
          <w:rFonts w:ascii="Times New Roman" w:hAnsi="Times New Roman" w:cs="Times New Roman" w:eastAsia="Times New Roman" w:hint="default"/>
        </w:rPr>
        <w:t>1</w:t>
      </w:r>
      <w:r>
        <w:rPr/>
        <w:t>单元</w:t>
      </w:r>
      <w:r>
        <w:rPr>
          <w:rFonts w:ascii="Times New Roman" w:hAnsi="Times New Roman" w:cs="Times New Roman" w:eastAsia="Times New Roman" w:hint="default"/>
        </w:rPr>
        <w:t>1301 </w:t>
      </w:r>
      <w:r>
        <w:rPr/>
        <w:t>法定代表人姓名：耿殿根</w:t>
      </w:r>
    </w:p>
    <w:p>
      <w:pPr>
        <w:pStyle w:val="BodyText"/>
        <w:spacing w:line="240" w:lineRule="auto" w:before="31"/>
        <w:ind w:right="329"/>
        <w:jc w:val="left"/>
      </w:pPr>
      <w:r>
        <w:rPr/>
        <w:t>注  册  资</w:t>
      </w:r>
      <w:r>
        <w:rPr>
          <w:spacing w:val="-17"/>
        </w:rPr>
        <w:t> </w:t>
      </w:r>
      <w:r>
        <w:rPr/>
        <w:t>本：</w:t>
      </w:r>
      <w:r>
        <w:rPr>
          <w:rFonts w:ascii="Times New Roman" w:hAnsi="Times New Roman" w:cs="Times New Roman" w:eastAsia="Times New Roman" w:hint="default"/>
        </w:rPr>
        <w:t>10916</w:t>
      </w:r>
      <w:r>
        <w:rPr/>
        <w:t>万元</w:t>
      </w:r>
    </w:p>
    <w:p>
      <w:pPr>
        <w:pStyle w:val="BodyText"/>
        <w:spacing w:line="316" w:lineRule="auto" w:before="63"/>
        <w:ind w:right="155"/>
        <w:jc w:val="both"/>
      </w:pPr>
      <w:r>
        <w:rPr/>
        <w:t>经 营 范</w:t>
      </w:r>
      <w:r>
        <w:rPr>
          <w:spacing w:val="-19"/>
        </w:rPr>
        <w:t> </w:t>
      </w:r>
      <w:r>
        <w:rPr/>
        <w:t>围：因特网接入服务业务；因特网数据中心业务；因特网信息服务业务。专业承包；信息系统集成；三维多媒</w:t>
      </w:r>
      <w:r>
        <w:rPr/>
        <w:t> </w:t>
      </w:r>
      <w:r>
        <w:rPr>
          <w:spacing w:val="-2"/>
        </w:rPr>
        <w:t>体集成；承接网络工程、智能大厦弱电系统集成；研发数字网络应用软件；从事计算机信息网络国际联网经营业务；销售通</w:t>
      </w:r>
      <w:r>
        <w:rPr>
          <w:spacing w:val="-67"/>
        </w:rPr>
        <w:t> </w:t>
      </w:r>
      <w:r>
        <w:rPr>
          <w:spacing w:val="-67"/>
        </w:rPr>
      </w:r>
      <w:r>
        <w:rPr/>
        <w:t>讯设备、计算机、软件及辅助设备。</w:t>
      </w:r>
    </w:p>
    <w:p>
      <w:pPr>
        <w:pStyle w:val="BodyText"/>
        <w:spacing w:line="300" w:lineRule="auto"/>
        <w:ind w:right="0"/>
        <w:jc w:val="left"/>
      </w:pPr>
      <w:r>
        <w:rPr>
          <w:rFonts w:ascii="Times New Roman" w:hAnsi="Times New Roman" w:cs="Times New Roman" w:eastAsia="Times New Roman" w:hint="default"/>
        </w:rPr>
        <w:t>2</w:t>
      </w:r>
      <w:r>
        <w:rPr/>
        <w:t>、</w:t>
      </w:r>
      <w:r>
        <w:rPr>
          <w:spacing w:val="59"/>
        </w:rPr>
        <w:t> </w:t>
      </w:r>
      <w:r>
        <w:rPr/>
        <w:t>行业性质</w:t>
      </w:r>
      <w:r>
        <w:rPr/>
        <w:t> </w:t>
      </w:r>
      <w:r>
        <w:rPr>
          <w:spacing w:val="-2"/>
        </w:rPr>
        <w:t>本公司经营业务属于中国证监会行业分类</w:t>
      </w:r>
      <w:r>
        <w:rPr>
          <w:rFonts w:ascii="Times New Roman" w:hAnsi="Times New Roman" w:cs="Times New Roman" w:eastAsia="Times New Roman" w:hint="default"/>
          <w:spacing w:val="-2"/>
        </w:rPr>
        <w:t>I</w:t>
      </w:r>
      <w:r>
        <w:rPr>
          <w:spacing w:val="-2"/>
        </w:rPr>
        <w:t>类信息传输、软件和信息技术服务业之</w:t>
      </w:r>
      <w:r>
        <w:rPr>
          <w:rFonts w:ascii="Times New Roman" w:hAnsi="Times New Roman" w:cs="Times New Roman" w:eastAsia="Times New Roman" w:hint="default"/>
          <w:spacing w:val="-2"/>
        </w:rPr>
        <w:t>I64</w:t>
      </w:r>
      <w:r>
        <w:rPr>
          <w:spacing w:val="-2"/>
        </w:rPr>
        <w:t>互联网和相关服务及</w:t>
      </w:r>
      <w:r>
        <w:rPr>
          <w:rFonts w:ascii="Times New Roman" w:hAnsi="Times New Roman" w:cs="Times New Roman" w:eastAsia="Times New Roman" w:hint="default"/>
          <w:spacing w:val="-2"/>
        </w:rPr>
        <w:t>I65</w:t>
      </w:r>
      <w:r>
        <w:rPr>
          <w:spacing w:val="-2"/>
        </w:rPr>
        <w:t>软件和信息技术</w:t>
      </w:r>
      <w:r>
        <w:rPr>
          <w:spacing w:val="-57"/>
        </w:rPr>
        <w:t> </w:t>
      </w:r>
      <w:r>
        <w:rPr>
          <w:spacing w:val="-57"/>
        </w:rPr>
      </w:r>
      <w:r>
        <w:rPr/>
        <w:t>服务业。</w:t>
      </w:r>
    </w:p>
    <w:p>
      <w:pPr>
        <w:pStyle w:val="BodyText"/>
        <w:spacing w:line="300" w:lineRule="auto" w:before="31"/>
        <w:ind w:right="164"/>
        <w:jc w:val="left"/>
      </w:pPr>
      <w:r>
        <w:rPr>
          <w:rFonts w:ascii="Times New Roman" w:hAnsi="Times New Roman" w:cs="Times New Roman" w:eastAsia="Times New Roman" w:hint="default"/>
        </w:rPr>
        <w:t>3</w:t>
      </w:r>
      <w:r>
        <w:rPr/>
        <w:t>、</w:t>
      </w:r>
      <w:r>
        <w:rPr>
          <w:spacing w:val="58"/>
        </w:rPr>
        <w:t> </w:t>
      </w:r>
      <w:r>
        <w:rPr/>
        <w:t>本公司财务报表于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日已经公司董事会批准报出。 本公司</w:t>
      </w:r>
      <w:r>
        <w:rPr>
          <w:rFonts w:ascii="Times New Roman" w:hAnsi="Times New Roman" w:cs="Times New Roman" w:eastAsia="Times New Roman" w:hint="default"/>
        </w:rPr>
        <w:t>2014</w:t>
      </w:r>
      <w:r>
        <w:rPr/>
        <w:t>年度纳入合并集团范围的子公司共</w:t>
      </w:r>
      <w:r>
        <w:rPr>
          <w:rFonts w:ascii="Times New Roman" w:hAnsi="Times New Roman" w:cs="Times New Roman" w:eastAsia="Times New Roman" w:hint="default"/>
        </w:rPr>
        <w:t>5</w:t>
      </w:r>
      <w:r>
        <w:rPr/>
        <w:t>家，各家子公司情况详见本节</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。本公司本年度合 并范围比上年度增加</w:t>
      </w:r>
      <w:r>
        <w:rPr>
          <w:rFonts w:ascii="Times New Roman" w:hAnsi="Times New Roman" w:cs="Times New Roman" w:eastAsia="Times New Roman" w:hint="default"/>
        </w:rPr>
        <w:t>1</w:t>
      </w:r>
      <w:r>
        <w:rPr/>
        <w:t>家子公司，减少</w:t>
      </w:r>
      <w:r>
        <w:rPr>
          <w:rFonts w:ascii="Times New Roman" w:hAnsi="Times New Roman" w:cs="Times New Roman" w:eastAsia="Times New Roman" w:hint="default"/>
        </w:rPr>
        <w:t>1</w:t>
      </w:r>
      <w:r>
        <w:rPr/>
        <w:t>家本期注销的子公司，合并范围的变化情况详见本节</w:t>
      </w:r>
      <w:r>
        <w:rPr>
          <w:rFonts w:ascii="Times New Roman" w:hAnsi="Times New Roman" w:cs="Times New Roman" w:eastAsia="Times New Roman" w:hint="default"/>
        </w:rPr>
        <w:t>"</w:t>
      </w:r>
      <w:r>
        <w:rPr/>
        <w:t>八、合并范围的变动</w:t>
      </w:r>
      <w:r>
        <w:rPr>
          <w:rFonts w:ascii="Times New Roman" w:hAnsi="Times New Roman" w:cs="Times New Roman" w:eastAsia="Times New Roman" w:hint="default"/>
        </w:rPr>
        <w:t>”</w:t>
      </w:r>
      <w:r>
        <w:rPr/>
        <w:t>。</w:t>
      </w:r>
    </w:p>
    <w:p>
      <w:pPr>
        <w:spacing w:after="0" w:line="30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89"/>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9"/>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93"/>
        <w:jc w:val="both"/>
      </w:pPr>
      <w:r>
        <w:rPr/>
        <w:t>本财务报表按照财政部颁布的《企业会计准则</w:t>
      </w:r>
      <w:r>
        <w:rPr>
          <w:rFonts w:ascii="Times New Roman" w:hAnsi="Times New Roman" w:cs="Times New Roman" w:eastAsia="Times New Roman" w:hint="default"/>
        </w:rPr>
        <w:t>——</w:t>
      </w:r>
      <w:r>
        <w:rPr/>
        <w:t>基本准则》，于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 </w:t>
      </w:r>
      <w:r>
        <w:rPr>
          <w:spacing w:val="-5"/>
        </w:rPr>
        <w:t>企业会计准则应用指南、企业会计准则解释及其他相关规定（以下统称</w:t>
      </w:r>
      <w:r>
        <w:rPr>
          <w:rFonts w:ascii="Times New Roman" w:hAnsi="Times New Roman" w:cs="Times New Roman" w:eastAsia="Times New Roman" w:hint="default"/>
          <w:spacing w:val="-5"/>
        </w:rPr>
        <w:t>“</w:t>
      </w:r>
      <w:r>
        <w:rPr>
          <w:spacing w:val="-5"/>
        </w:rPr>
        <w:t>企业会计准则</w:t>
      </w:r>
      <w:r>
        <w:rPr>
          <w:rFonts w:ascii="Times New Roman" w:hAnsi="Times New Roman" w:cs="Times New Roman" w:eastAsia="Times New Roman" w:hint="default"/>
          <w:spacing w:val="-5"/>
        </w:rPr>
        <w:t>”</w:t>
      </w:r>
      <w:r>
        <w:rPr>
          <w:spacing w:val="-5"/>
        </w:rPr>
        <w:t>）、以及中国证券监督管理委员会《公</w:t>
      </w:r>
      <w:r>
        <w:rPr>
          <w:spacing w:val="-56"/>
        </w:rPr>
        <w:t> </w:t>
      </w:r>
      <w:r>
        <w:rPr>
          <w:spacing w:val="-56"/>
        </w:rPr>
      </w:r>
      <w:r>
        <w:rPr/>
        <w:t>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spacing w:line="240" w:lineRule="auto" w:before="4"/>
        <w:rPr>
          <w:rFonts w:ascii="宋体" w:hAnsi="宋体" w:cs="宋体" w:eastAsia="宋体" w:hint="default"/>
          <w:sz w:val="22"/>
          <w:szCs w:val="22"/>
        </w:rPr>
      </w:pPr>
    </w:p>
    <w:p>
      <w:pPr>
        <w:pStyle w:val="Heading3"/>
        <w:spacing w:line="240" w:lineRule="auto"/>
        <w:ind w:right="89"/>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89"/>
        <w:jc w:val="left"/>
      </w:pPr>
      <w:r>
        <w:rPr/>
        <w:t>本财务报表以持续经营为基础列报。</w:t>
      </w:r>
    </w:p>
    <w:p>
      <w:pPr>
        <w:spacing w:line="240" w:lineRule="auto" w:before="4"/>
        <w:rPr>
          <w:rFonts w:ascii="宋体" w:hAnsi="宋体" w:cs="宋体" w:eastAsia="宋体" w:hint="default"/>
          <w:sz w:val="25"/>
          <w:szCs w:val="25"/>
        </w:rPr>
      </w:pPr>
    </w:p>
    <w:p>
      <w:pPr>
        <w:pStyle w:val="Heading2"/>
        <w:spacing w:line="240" w:lineRule="auto" w:before="0"/>
        <w:ind w:right="89"/>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4"/>
        <w:jc w:val="left"/>
      </w:pPr>
      <w:r>
        <w:rPr/>
        <w:t>具体会计政策和会计估计提示： 公司根据实际生产经营特点制定的具体会计政策和会计估计包括：应收款项、存货、固定资产、无形资产、长期待摊费用、 收入等。</w:t>
      </w:r>
    </w:p>
    <w:p>
      <w:pPr>
        <w:spacing w:line="240" w:lineRule="auto" w:before="7"/>
        <w:rPr>
          <w:rFonts w:ascii="宋体" w:hAnsi="宋体" w:cs="宋体" w:eastAsia="宋体" w:hint="default"/>
          <w:sz w:val="21"/>
          <w:szCs w:val="21"/>
        </w:rPr>
      </w:pPr>
    </w:p>
    <w:p>
      <w:pPr>
        <w:pStyle w:val="Heading3"/>
        <w:spacing w:line="240" w:lineRule="auto"/>
        <w:ind w:right="89"/>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89"/>
        <w:jc w:val="left"/>
      </w:pPr>
      <w:r>
        <w:rPr/>
        <w:t>本财务报表符合企业会计准则的要求，真实、完整地反映了本公司</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日的合并及公司财务状况以及</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spacing w:val="-3"/>
        </w:rPr>
        <w:t>年度 </w:t>
      </w:r>
      <w:r>
        <w:rPr/>
        <w:t>的合并及公司经营成果和合并及公司现金流量等有关信息。</w:t>
      </w:r>
    </w:p>
    <w:p>
      <w:pPr>
        <w:spacing w:line="240" w:lineRule="auto" w:before="10"/>
        <w:rPr>
          <w:rFonts w:ascii="宋体" w:hAnsi="宋体" w:cs="宋体" w:eastAsia="宋体" w:hint="default"/>
          <w:sz w:val="23"/>
          <w:szCs w:val="23"/>
        </w:rPr>
      </w:pPr>
    </w:p>
    <w:p>
      <w:pPr>
        <w:pStyle w:val="Heading3"/>
        <w:spacing w:line="240" w:lineRule="auto"/>
        <w:ind w:right="89"/>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544" w:lineRule="auto" w:before="0"/>
        <w:ind w:right="3514"/>
        <w:jc w:val="left"/>
      </w:pPr>
      <w:r>
        <w:rPr/>
        <w:t>本公司会计期间采用公历年度，即每年自</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 </w:t>
      </w:r>
      <w:r>
        <w:rPr/>
        <w:t>日起至</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t>本公司以</w:t>
      </w:r>
      <w:r>
        <w:rPr>
          <w:rFonts w:ascii="Times New Roman" w:hAnsi="Times New Roman" w:cs="Times New Roman" w:eastAsia="Times New Roman" w:hint="default"/>
        </w:rPr>
        <w:t>12</w:t>
      </w:r>
      <w:r>
        <w:rPr/>
        <w:t>个月作为一个营业周期，并以其作为资产和负债的流动性划分标准。</w:t>
      </w:r>
    </w:p>
    <w:p>
      <w:pPr>
        <w:pStyle w:val="Heading3"/>
        <w:spacing w:line="240" w:lineRule="auto" w:before="89"/>
        <w:ind w:right="89"/>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89"/>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89"/>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89"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ind w:left="513" w:right="89"/>
        <w:jc w:val="left"/>
      </w:pPr>
      <w:r>
        <w:rPr/>
        <w:t>（</w:t>
      </w:r>
      <w:r>
        <w:rPr>
          <w:rFonts w:ascii="Times New Roman" w:hAnsi="Times New Roman" w:cs="Times New Roman" w:eastAsia="Times New Roman" w:hint="default"/>
        </w:rPr>
        <w:t>1</w:t>
      </w:r>
      <w:r>
        <w:rPr/>
        <w:t>）同一控制下企业合并 </w:t>
      </w:r>
      <w:r>
        <w:rPr>
          <w:spacing w:val="-2"/>
        </w:rPr>
        <w:t>合并方在企业合并中取得的资产和负债，按合并日在被合并方的账面价值计量。合并方取得的净资产账面价值与支付的</w:t>
      </w:r>
    </w:p>
    <w:p>
      <w:pPr>
        <w:pStyle w:val="BodyText"/>
        <w:spacing w:line="316" w:lineRule="auto" w:before="31"/>
        <w:ind w:right="89"/>
        <w:jc w:val="left"/>
      </w:pPr>
      <w:r>
        <w:rPr>
          <w:spacing w:val="-2"/>
        </w:rPr>
        <w:t>合并对价的账面价值（或发行股份面值总额）的差额，调整资本公积中的股本溢价，不足冲减的则调整留存收益。合并方为</w:t>
      </w:r>
      <w:r>
        <w:rPr>
          <w:spacing w:val="-66"/>
        </w:rPr>
        <w:t> </w:t>
      </w:r>
      <w:r>
        <w:rPr>
          <w:spacing w:val="-66"/>
        </w:rPr>
      </w:r>
      <w:r>
        <w:rPr/>
        <w:t>进行企业合并发生的各项直接费用，于发生时计入当期损益。</w:t>
      </w:r>
    </w:p>
    <w:p>
      <w:pPr>
        <w:pStyle w:val="BodyText"/>
        <w:spacing w:line="316" w:lineRule="auto"/>
        <w:ind w:right="89" w:firstLine="360"/>
        <w:jc w:val="left"/>
      </w:pPr>
      <w:r>
        <w:rPr>
          <w:spacing w:val="-2"/>
        </w:rPr>
        <w:t>公司编制财务报表时，在被合并方是最终控制方以前年度从第三方收购来的情况下，视同合并后形成的报告主体自最终</w:t>
      </w:r>
      <w:r>
        <w:rPr/>
        <w:t> </w:t>
      </w:r>
      <w:r>
        <w:rPr>
          <w:spacing w:val="-2"/>
        </w:rPr>
        <w:t>控制方开始实施控制时起，一直是一体化存续下来的，以被合并方的资产、负债（包括最终控制方收购被合并方而形成的商</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50"/>
        <w:jc w:val="both"/>
      </w:pPr>
      <w:r>
        <w:rPr>
          <w:spacing w:val="-2"/>
        </w:rPr>
        <w:t>誉）在最终控制方财务报表中的账面价值为基础，进行相关会计处理。公司财务报表比较数据追溯调整的期间不早于双方处</w:t>
      </w:r>
      <w:r>
        <w:rPr>
          <w:spacing w:val="-63"/>
        </w:rPr>
        <w:t> </w:t>
      </w:r>
      <w:r>
        <w:rPr>
          <w:spacing w:val="-63"/>
        </w:rPr>
      </w:r>
      <w:r>
        <w:rPr/>
        <w:t>于最终控制方的控制之下孰晚的时间。</w:t>
      </w:r>
    </w:p>
    <w:p>
      <w:pPr>
        <w:pStyle w:val="BodyText"/>
        <w:spacing w:line="300" w:lineRule="auto"/>
        <w:ind w:left="513"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151"/>
        <w:jc w:val="both"/>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ind w:right="15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2"/>
        </w:rPr>
        <w:t> </w:t>
      </w:r>
      <w:r>
        <w:rPr>
          <w:spacing w:val="-62"/>
        </w:rPr>
      </w:r>
      <w:r>
        <w:rPr/>
        <w:t>损益。</w:t>
      </w:r>
    </w:p>
    <w:p>
      <w:pPr>
        <w:pStyle w:val="BodyText"/>
        <w:spacing w:line="312" w:lineRule="auto"/>
        <w:ind w:right="0" w:firstLine="360"/>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240" w:lineRule="auto" w:before="22"/>
        <w:ind w:left="513" w:right="329"/>
        <w:jc w:val="left"/>
      </w:pP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的判断原则：</w:t>
      </w:r>
    </w:p>
    <w:p>
      <w:pPr>
        <w:pStyle w:val="BodyText"/>
        <w:spacing w:line="240" w:lineRule="auto" w:before="63"/>
        <w:ind w:left="513" w:right="329"/>
        <w:jc w:val="left"/>
      </w:pPr>
      <w:r>
        <w:rPr/>
        <w:t>①这些交易是同时或者在考虑了彼此影响的情况下订立的；</w:t>
      </w:r>
    </w:p>
    <w:p>
      <w:pPr>
        <w:pStyle w:val="BodyText"/>
        <w:spacing w:line="240" w:lineRule="auto" w:before="77"/>
        <w:ind w:left="513" w:right="329"/>
        <w:jc w:val="left"/>
      </w:pPr>
      <w:r>
        <w:rPr/>
        <w:t>②这些交易整体才能达成一项完整的商业结果；</w:t>
      </w:r>
    </w:p>
    <w:p>
      <w:pPr>
        <w:pStyle w:val="BodyText"/>
        <w:spacing w:line="240" w:lineRule="auto" w:before="76"/>
        <w:ind w:left="513" w:right="329"/>
        <w:jc w:val="left"/>
      </w:pPr>
      <w:r>
        <w:rPr/>
        <w:t>③一项交易的发生取决于其他至少一项交易的发生；</w:t>
      </w:r>
    </w:p>
    <w:p>
      <w:pPr>
        <w:pStyle w:val="BodyText"/>
        <w:spacing w:line="316" w:lineRule="auto" w:before="76"/>
        <w:ind w:left="513" w:right="0"/>
        <w:jc w:val="left"/>
      </w:pPr>
      <w:r>
        <w:rPr/>
        <w:t>④一项交易单独看是不经济的，但是和其他交易一并考虑时是经济的。 </w:t>
      </w:r>
      <w:r>
        <w:rPr>
          <w:spacing w:val="-2"/>
        </w:rPr>
        <w:t>通过多次交易分步实现的非同一控制下企业合并，属于一揽子交易的，合并方应当将各项交易作为一项取得控制权的交</w:t>
      </w:r>
    </w:p>
    <w:p>
      <w:pPr>
        <w:pStyle w:val="BodyText"/>
        <w:spacing w:line="300" w:lineRule="auto"/>
        <w:ind w:left="513" w:right="0" w:hanging="361"/>
        <w:jc w:val="left"/>
      </w:pPr>
      <w:r>
        <w:rPr/>
        <w:t>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 </w:t>
      </w:r>
      <w:r>
        <w:rPr>
          <w:spacing w:val="-2"/>
        </w:rPr>
        <w:t>在个别财务报表中，以购买日之前所持被购买方的股权投资的账面价值与购买日新增投资成本之和，作为该项投资的初</w:t>
      </w:r>
    </w:p>
    <w:p>
      <w:pPr>
        <w:pStyle w:val="BodyText"/>
        <w:spacing w:line="316" w:lineRule="auto" w:before="31"/>
        <w:ind w:right="151"/>
        <w:jc w:val="both"/>
      </w:pPr>
      <w:r>
        <w:rPr>
          <w:spacing w:val="-2"/>
        </w:rPr>
        <w:t>始投资成本；购买日之前持有的被购买方的股权涉及其他综合收益的，在处置该项投资时将与其相关的其他综合收益采用与</w:t>
      </w:r>
      <w:r>
        <w:rPr>
          <w:spacing w:val="-62"/>
        </w:rPr>
        <w:t> </w:t>
      </w:r>
      <w:r>
        <w:rPr>
          <w:spacing w:val="-62"/>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9" w:lineRule="auto"/>
        <w:ind w:right="15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2"/>
        </w:rPr>
        <w:t> </w:t>
      </w:r>
      <w:r>
        <w:rPr>
          <w:spacing w:val="-62"/>
        </w:rPr>
      </w:r>
      <w:r>
        <w:rPr/>
        <w:t>定受益计划净负债或净资产导致的变动中的相应份额以外，其余转为购买日所属当期投资收益）。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513" w:right="0"/>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ind w:right="151"/>
        <w:jc w:val="both"/>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pStyle w:val="BodyText"/>
        <w:spacing w:line="240" w:lineRule="auto"/>
        <w:ind w:left="513" w:right="329"/>
        <w:jc w:val="left"/>
      </w:pPr>
      <w:r>
        <w:rPr/>
        <w:t>一旦相关事实和情况的变化导致上述控制定义涉及的相关要素发生了变化，本公司将进行重新评估。</w:t>
      </w:r>
    </w:p>
    <w:p>
      <w:pPr>
        <w:pStyle w:val="BodyText"/>
        <w:spacing w:line="316" w:lineRule="auto" w:before="77"/>
        <w:ind w:left="513" w:right="0"/>
        <w:jc w:val="left"/>
      </w:pPr>
      <w:r>
        <w:rPr/>
        <w:t>（</w:t>
      </w:r>
      <w:r>
        <w:rPr>
          <w:rFonts w:ascii="宋体" w:hAnsi="宋体" w:cs="宋体" w:eastAsia="宋体" w:hint="default"/>
        </w:rPr>
        <w:t>2</w:t>
      </w:r>
      <w:r>
        <w:rPr/>
        <w:t>）合并财务报表编制的方法 </w:t>
      </w:r>
      <w:r>
        <w:rPr>
          <w:spacing w:val="-2"/>
        </w:rPr>
        <w:t>本公司以母公司和纳入合并范围的子公司的个别会计报表及其他相关资料为依据，在抵销母公司与子公司、子公司相互</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89"/>
        <w:jc w:val="left"/>
      </w:pPr>
      <w:r>
        <w:rPr>
          <w:spacing w:val="-2"/>
        </w:rPr>
        <w:t>间的债权与债务项目、内部销售收入和未实现的内部销售利润等项目，以及母公司对子公司权益性资本投资项目的数额与子</w:t>
      </w:r>
      <w:r>
        <w:rPr>
          <w:spacing w:val="-64"/>
        </w:rPr>
        <w:t> </w:t>
      </w:r>
      <w:r>
        <w:rPr>
          <w:spacing w:val="-64"/>
        </w:rPr>
      </w:r>
      <w:r>
        <w:rPr/>
        <w:t>公司所有者权益中母公司所持有的份额的基础上，合并各报表项目数额编制。</w:t>
      </w:r>
    </w:p>
    <w:p>
      <w:pPr>
        <w:pStyle w:val="BodyText"/>
        <w:spacing w:line="316" w:lineRule="auto"/>
        <w:ind w:right="19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ind w:left="513" w:right="89"/>
        <w:jc w:val="left"/>
      </w:pPr>
      <w:r>
        <w:rPr/>
        <w:t>（</w:t>
      </w:r>
      <w:r>
        <w:rPr>
          <w:rFonts w:ascii="宋体" w:hAnsi="宋体" w:cs="宋体" w:eastAsia="宋体" w:hint="default"/>
        </w:rPr>
        <w:t>3</w:t>
      </w:r>
      <w:r>
        <w:rPr/>
        <w:t>）少数股东权益和损益的列报 </w:t>
      </w:r>
      <w:r>
        <w:rPr>
          <w:spacing w:val="-2"/>
        </w:rPr>
        <w:t>子公司的股东权益中不属于本公司所拥有的部分作为少数股东权益在合并资产负债表中股东权益项下单独列示。子公司</w:t>
      </w:r>
    </w:p>
    <w:p>
      <w:pPr>
        <w:pStyle w:val="BodyText"/>
        <w:spacing w:line="316" w:lineRule="auto"/>
        <w:ind w:right="89"/>
        <w:jc w:val="left"/>
      </w:pPr>
      <w:r>
        <w:rPr>
          <w:spacing w:val="-2"/>
        </w:rPr>
        <w:t>当期净损益中属于少数股东权益的份额，在合并利润表中净利润项目下以“少数股东损益”项目列示。少数股东分担的子公</w:t>
      </w:r>
      <w:r>
        <w:rPr>
          <w:spacing w:val="-62"/>
        </w:rPr>
        <w:t> </w:t>
      </w:r>
      <w:r>
        <w:rPr>
          <w:spacing w:val="-62"/>
        </w:rPr>
      </w:r>
      <w:r>
        <w:rPr/>
        <w:t>司的亏损超过了少数股东在该子公司期初所有者权益中所享有的份额，其余额仍冲减少数股东权益。</w:t>
      </w:r>
    </w:p>
    <w:p>
      <w:pPr>
        <w:pStyle w:val="BodyText"/>
        <w:spacing w:line="316" w:lineRule="auto"/>
        <w:ind w:left="513" w:right="89"/>
        <w:jc w:val="left"/>
      </w:pPr>
      <w:r>
        <w:rPr/>
        <w:t>（</w:t>
      </w:r>
      <w:r>
        <w:rPr>
          <w:rFonts w:ascii="宋体" w:hAnsi="宋体" w:cs="宋体" w:eastAsia="宋体" w:hint="default"/>
        </w:rPr>
        <w:t>4</w:t>
      </w:r>
      <w:r>
        <w:rPr/>
        <w:t>）当期增加减少子公司的合并报表处理 </w:t>
      </w:r>
      <w:r>
        <w:rPr>
          <w:spacing w:val="-2"/>
        </w:rPr>
        <w:t>在报告期内因同一控制下企业合并增加的子公司以及业务，调整合并资产负债表的期初数，并将该子公司以及业务合并</w:t>
      </w:r>
    </w:p>
    <w:p>
      <w:pPr>
        <w:pStyle w:val="BodyText"/>
        <w:spacing w:line="316" w:lineRule="auto"/>
        <w:ind w:right="89"/>
        <w:jc w:val="left"/>
      </w:pPr>
      <w:r>
        <w:rPr>
          <w:spacing w:val="-2"/>
        </w:rPr>
        <w:t>当期期初至报告期末的收入、费用、利润纳入合并利润表，将该子公司以及业务合并当期期初至报告期末的现金流量纳入合</w:t>
      </w:r>
      <w:r>
        <w:rPr>
          <w:spacing w:val="-64"/>
        </w:rPr>
        <w:t> </w:t>
      </w:r>
      <w:r>
        <w:rPr>
          <w:spacing w:val="-64"/>
        </w:rPr>
      </w:r>
      <w:r>
        <w:rPr/>
        <w:t>并现金流量表，同时对比较报表的相关项目进行调整，视同合并后的报告主体自最终控制方开始控制时点起一直存在。</w:t>
      </w:r>
    </w:p>
    <w:p>
      <w:pPr>
        <w:pStyle w:val="BodyText"/>
        <w:spacing w:line="316" w:lineRule="auto"/>
        <w:ind w:right="190" w:firstLine="360"/>
        <w:jc w:val="both"/>
      </w:pPr>
      <w:r>
        <w:rPr>
          <w:spacing w:val="-2"/>
        </w:rPr>
        <w:t>因非同一控制下企业合并或其他方式增加的子公司以及业务，不调整合并资产负债表的期初数，将该子公司以及业务购</w:t>
      </w:r>
      <w:r>
        <w:rPr/>
        <w:t> </w:t>
      </w:r>
      <w:r>
        <w:rPr>
          <w:spacing w:val="-2"/>
        </w:rPr>
        <w:t>买日至报告期末的收入、费用、利润纳入合并利润表，将该子公司以及业务购买日至报告期末的现金流量纳入合并现金流量</w:t>
      </w:r>
      <w:r>
        <w:rPr>
          <w:spacing w:val="-66"/>
        </w:rPr>
        <w:t> </w:t>
      </w:r>
      <w:r>
        <w:rPr>
          <w:spacing w:val="-66"/>
        </w:rPr>
      </w:r>
      <w:r>
        <w:rPr>
          <w:spacing w:val="-2"/>
        </w:rPr>
        <w:t>表。通过多次交易分步实现非同一控制下企业合并时，对于购买日之前持有的被购买方股权，本公司按照该股权在购买日的</w:t>
      </w:r>
      <w:r>
        <w:rPr>
          <w:spacing w:val="-63"/>
        </w:rPr>
        <w:t> </w:t>
      </w:r>
      <w:r>
        <w:rPr>
          <w:spacing w:val="-63"/>
        </w:rPr>
      </w:r>
      <w:r>
        <w:rPr>
          <w:spacing w:val="-2"/>
        </w:rPr>
        <w:t>公允价值进行重新计量，公允价值与其账面价值的差额计入当期投资收益。购买日之前持有的被购买方的股权涉及其他综合</w:t>
      </w:r>
      <w:r>
        <w:rPr>
          <w:spacing w:val="-64"/>
        </w:rPr>
        <w:t> </w:t>
      </w:r>
      <w:r>
        <w:rPr>
          <w:spacing w:val="-64"/>
        </w:rPr>
      </w:r>
      <w:r>
        <w:rPr>
          <w:spacing w:val="-2"/>
        </w:rPr>
        <w:t>收益以及其他所有者权益变动的，与其相关的其他综合收益、其他所有者权益转为购买日所属当期投资收益，由于被投资方</w:t>
      </w:r>
      <w:r>
        <w:rPr>
          <w:spacing w:val="-63"/>
        </w:rPr>
        <w:t> </w:t>
      </w:r>
      <w:r>
        <w:rPr>
          <w:spacing w:val="-63"/>
        </w:rPr>
      </w:r>
      <w:r>
        <w:rPr/>
        <w:t>重新计量设定受益计划净负债或净资产变动而产生的其他综合收益除外。</w:t>
      </w:r>
    </w:p>
    <w:p>
      <w:pPr>
        <w:pStyle w:val="BodyText"/>
        <w:spacing w:line="316" w:lineRule="auto"/>
        <w:ind w:right="111" w:firstLine="360"/>
        <w:jc w:val="both"/>
      </w:pPr>
      <w:r>
        <w:rPr/>
        <w:t>本公司在报告期内处置子公司以及业务，不调整合并资产负债表的期初数；将该子公司以及业务期初至处置日的收入、 费用、利润纳入合并利润表；将该子公司期初至处置日的现金流量纳入合并现金流量表。</w:t>
      </w:r>
    </w:p>
    <w:p>
      <w:pPr>
        <w:pStyle w:val="BodyText"/>
        <w:spacing w:line="316" w:lineRule="auto"/>
        <w:ind w:right="94"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项交易是否属于一揽子交易。不属于一揽子交易的，对其中的每一项交易视情况分别按照“不丧失控制权的情况下部分处置</w:t>
      </w:r>
      <w:r>
        <w:rPr>
          <w:spacing w:val="-61"/>
        </w:rPr>
        <w:t> </w:t>
      </w:r>
      <w:r>
        <w:rPr>
          <w:spacing w:val="-61"/>
        </w:rPr>
      </w:r>
      <w:r>
        <w:rPr/>
        <w:t>对子公司的长期股权投资”和“因处置部分股权投资或其他原因丧失了对原有子公司的控制权”适用的原则进行会计处理。</w:t>
      </w:r>
      <w:r>
        <w:rPr/>
        <w:t> </w:t>
      </w:r>
      <w:r>
        <w:rPr>
          <w:spacing w:val="-2"/>
        </w:rPr>
        <w:t>处置对子公司股权投资直至丧失控制权的各项交易属于一揽子交易的，将各项交易作为一项处置子公司并丧失控制权的交易</w:t>
      </w:r>
      <w:r>
        <w:rPr>
          <w:spacing w:val="-64"/>
        </w:rPr>
        <w:t> </w:t>
      </w:r>
      <w:r>
        <w:rPr>
          <w:spacing w:val="-64"/>
        </w:rPr>
      </w:r>
      <w:r>
        <w:rPr>
          <w:spacing w:val="-2"/>
        </w:rPr>
        <w:t>进行会计处理；但是，在丧失控制权之前每一次处置价款与处置投资对应的享有该子公司净资产份额的差额，在合并财务报</w:t>
      </w:r>
      <w:r>
        <w:rPr>
          <w:spacing w:val="-66"/>
        </w:rPr>
        <w:t> </w:t>
      </w:r>
      <w:r>
        <w:rPr>
          <w:spacing w:val="-66"/>
        </w:rPr>
      </w:r>
      <w:r>
        <w:rPr/>
        <w:t>表中确认为其他综合收益，在丧失控制权时一并转入丧失控制权当期的损益。</w:t>
      </w:r>
    </w:p>
    <w:p>
      <w:pPr>
        <w:pStyle w:val="BodyText"/>
        <w:spacing w:line="316" w:lineRule="auto"/>
        <w:ind w:right="192"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于母公司所有者权益和少数股东权益的账面价值以反映其在子公司中相关权益的变化。少数股东权益的调整额与支付</w:t>
      </w:r>
      <w:r>
        <w:rPr>
          <w:rFonts w:ascii="宋体" w:hAnsi="宋体" w:cs="宋体" w:eastAsia="宋体" w:hint="default"/>
        </w:rPr>
        <w:t>/</w:t>
      </w:r>
      <w:r>
        <w:rPr/>
        <w:t>收到</w:t>
      </w:r>
      <w:r>
        <w:rPr>
          <w:spacing w:val="-87"/>
        </w:rPr>
        <w:t> </w:t>
      </w:r>
      <w:r>
        <w:rPr/>
        <w:t>对价的公允价值之间的差额调整资本公积，资本公积不足冲减的，调整留存收益。</w:t>
      </w:r>
    </w:p>
    <w:p>
      <w:pPr>
        <w:spacing w:line="240" w:lineRule="auto" w:before="10"/>
        <w:rPr>
          <w:rFonts w:ascii="宋体" w:hAnsi="宋体" w:cs="宋体" w:eastAsia="宋体" w:hint="default"/>
          <w:sz w:val="22"/>
          <w:szCs w:val="22"/>
        </w:rPr>
      </w:pPr>
    </w:p>
    <w:p>
      <w:pPr>
        <w:pStyle w:val="Heading3"/>
        <w:spacing w:line="240" w:lineRule="auto"/>
        <w:ind w:right="89"/>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316" w:lineRule="auto" w:before="16"/>
        <w:ind w:right="191" w:firstLine="360"/>
        <w:jc w:val="both"/>
      </w:pPr>
      <w:r>
        <w:rPr>
          <w:spacing w:val="-3"/>
        </w:rPr>
        <w:t>本公司对合营企业的投资采用权益法核算，按照本节五、</w:t>
      </w:r>
      <w:r>
        <w:rPr>
          <w:rFonts w:ascii="宋体" w:hAnsi="宋体" w:cs="宋体" w:eastAsia="宋体" w:hint="default"/>
          <w:spacing w:val="-3"/>
        </w:rPr>
        <w:t>14</w:t>
      </w:r>
      <w:r>
        <w:rPr>
          <w:spacing w:val="-3"/>
        </w:rPr>
        <w:t>（</w:t>
      </w:r>
      <w:r>
        <w:rPr>
          <w:rFonts w:ascii="宋体" w:hAnsi="宋体" w:cs="宋体" w:eastAsia="宋体" w:hint="default"/>
          <w:spacing w:val="-3"/>
        </w:rPr>
        <w:t>2</w:t>
      </w:r>
      <w:r>
        <w:rPr>
          <w:spacing w:val="-3"/>
        </w:rPr>
        <w:t>）②</w:t>
      </w:r>
      <w:r>
        <w:rPr>
          <w:spacing w:val="6"/>
        </w:rPr>
        <w:t> </w:t>
      </w:r>
      <w:r>
        <w:rPr/>
        <w:t>“对被投资单位具有共同控制或重大影响的长期股</w:t>
      </w:r>
      <w:r>
        <w:rPr/>
        <w:t> 权，采用益法核算”中所述的会计政策处理。</w:t>
      </w:r>
    </w:p>
    <w:p>
      <w:pPr>
        <w:spacing w:line="240" w:lineRule="auto" w:before="10"/>
        <w:rPr>
          <w:rFonts w:ascii="宋体" w:hAnsi="宋体" w:cs="宋体" w:eastAsia="宋体" w:hint="default"/>
          <w:sz w:val="22"/>
          <w:szCs w:val="22"/>
        </w:rPr>
      </w:pPr>
    </w:p>
    <w:p>
      <w:pPr>
        <w:pStyle w:val="Heading3"/>
        <w:spacing w:line="240" w:lineRule="auto"/>
        <w:ind w:right="89"/>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95" w:firstLine="360"/>
        <w:jc w:val="both"/>
      </w:pPr>
      <w:r>
        <w:rPr>
          <w:spacing w:val="-2"/>
        </w:rPr>
        <w:t>公司持有的期限短、流动性强、易于转换为已知金额现金、价值变动风险很小的投资。包括：现金、银行存款以及可在</w:t>
      </w:r>
      <w:r>
        <w:rPr/>
        <w:t> 证券市场上流通的三个月内到期的短期债券投资等。</w:t>
      </w:r>
    </w:p>
    <w:p>
      <w:pPr>
        <w:spacing w:after="0" w:line="319" w:lineRule="auto"/>
        <w:jc w:val="both"/>
        <w:sectPr>
          <w:footerReference w:type="default" r:id="rId18"/>
          <w:pgSz w:w="11910" w:h="16840"/>
          <w:pgMar w:footer="979" w:header="745"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13" w:right="3693"/>
        <w:jc w:val="left"/>
      </w:pPr>
      <w:r>
        <w:rPr/>
        <w:t>（</w:t>
      </w:r>
      <w:r>
        <w:rPr>
          <w:rFonts w:ascii="宋体" w:hAnsi="宋体" w:cs="宋体" w:eastAsia="宋体" w:hint="default"/>
        </w:rPr>
        <w:t>1</w:t>
      </w:r>
      <w:r>
        <w:rPr/>
        <w:t>）</w:t>
      </w:r>
      <w:r>
        <w:rPr>
          <w:spacing w:val="-62"/>
        </w:rPr>
        <w:t> </w:t>
      </w:r>
      <w:r>
        <w:rPr/>
        <w:t>外币业务</w:t>
      </w:r>
      <w:r>
        <w:rPr/>
        <w:t> 本公司发生外币业务，按交易发生日的即期汇率折算为记账本位币金额。</w:t>
      </w:r>
    </w:p>
    <w:p>
      <w:pPr>
        <w:pStyle w:val="BodyText"/>
        <w:spacing w:line="316" w:lineRule="auto"/>
        <w:ind w:left="513" w:right="89"/>
        <w:jc w:val="left"/>
      </w:pPr>
      <w:r>
        <w:rPr/>
        <w:t>（</w:t>
      </w:r>
      <w:r>
        <w:rPr>
          <w:rFonts w:ascii="宋体" w:hAnsi="宋体" w:cs="宋体" w:eastAsia="宋体" w:hint="default"/>
        </w:rPr>
        <w:t>2</w:t>
      </w:r>
      <w:r>
        <w:rPr/>
        <w:t>）</w:t>
      </w:r>
      <w:r>
        <w:rPr>
          <w:spacing w:val="-62"/>
        </w:rPr>
        <w:t> </w:t>
      </w:r>
      <w:r>
        <w:rPr/>
        <w:t>外币财务报表的折算</w:t>
      </w:r>
      <w:r>
        <w:rPr/>
        <w:t> </w:t>
      </w:r>
      <w:r>
        <w:rPr>
          <w:spacing w:val="-2"/>
        </w:rPr>
        <w:t>资产负债表日，对外币货币性项目，采用资产负债表日即期汇率折算。因资产负债表日即期汇率与初始确认时或者前一</w:t>
      </w:r>
    </w:p>
    <w:p>
      <w:pPr>
        <w:pStyle w:val="BodyText"/>
        <w:spacing w:line="316" w:lineRule="auto"/>
        <w:ind w:right="190"/>
        <w:jc w:val="both"/>
      </w:pPr>
      <w:r>
        <w:rPr>
          <w:spacing w:val="-2"/>
        </w:rPr>
        <w:t>资产负债表日即期汇率不同而产生的汇兑差额，计入当期损益；对以历史成本计量的外币非货币性项目，仍采用交易发生日</w:t>
      </w:r>
      <w:r>
        <w:rPr>
          <w:spacing w:val="-63"/>
        </w:rPr>
        <w:t> </w:t>
      </w:r>
      <w:r>
        <w:rPr>
          <w:spacing w:val="-63"/>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89"/>
        <w:jc w:val="left"/>
      </w:pPr>
      <w:r>
        <w:rPr/>
        <w:t>金融工具是指形成一个企业的金融资产、并形成其他单位的金融负债或权益工具的合同。</w:t>
      </w:r>
    </w:p>
    <w:p>
      <w:pPr>
        <w:pStyle w:val="BodyText"/>
        <w:spacing w:line="240" w:lineRule="auto" w:before="76"/>
        <w:ind w:left="513" w:right="89"/>
        <w:jc w:val="left"/>
      </w:pPr>
      <w:r>
        <w:rPr/>
        <w:t>（</w:t>
      </w:r>
      <w:r>
        <w:rPr>
          <w:rFonts w:ascii="宋体" w:hAnsi="宋体" w:cs="宋体" w:eastAsia="宋体" w:hint="default"/>
        </w:rPr>
        <w:t>1</w:t>
      </w:r>
      <w:r>
        <w:rPr/>
        <w:t>）</w:t>
      </w:r>
      <w:r>
        <w:rPr>
          <w:spacing w:val="-61"/>
        </w:rPr>
        <w:t> </w:t>
      </w:r>
      <w:r>
        <w:rPr/>
        <w:t>金融工具的分类</w:t>
      </w:r>
    </w:p>
    <w:p>
      <w:pPr>
        <w:pStyle w:val="BodyText"/>
        <w:spacing w:line="316" w:lineRule="auto" w:before="76"/>
        <w:ind w:right="89" w:firstLine="360"/>
        <w:jc w:val="left"/>
      </w:pPr>
      <w:r>
        <w:rPr>
          <w:spacing w:val="-2"/>
        </w:rPr>
        <w:t>①金融资产划分为：以公允价值计量且其变动计入当期损益的金融资产、持有至到期投资、贷款和应收款项以及可供出</w:t>
      </w:r>
      <w:r>
        <w:rPr/>
        <w:t> 售金融资产。</w:t>
      </w:r>
    </w:p>
    <w:p>
      <w:pPr>
        <w:pStyle w:val="BodyText"/>
        <w:spacing w:line="240" w:lineRule="auto"/>
        <w:ind w:left="513" w:right="89"/>
        <w:jc w:val="left"/>
      </w:pPr>
      <w:r>
        <w:rPr/>
        <w:t>②金融负债划分为：以公允价值计量且其变动计入当期损益的金融负债和其他金融负债。</w:t>
      </w:r>
    </w:p>
    <w:p>
      <w:pPr>
        <w:pStyle w:val="BodyText"/>
        <w:spacing w:line="316" w:lineRule="auto" w:before="76"/>
        <w:ind w:left="513" w:right="4053"/>
        <w:jc w:val="left"/>
      </w:pPr>
      <w:r>
        <w:rPr/>
        <w:t>（</w:t>
      </w:r>
      <w:r>
        <w:rPr>
          <w:rFonts w:ascii="宋体" w:hAnsi="宋体" w:cs="宋体" w:eastAsia="宋体" w:hint="default"/>
        </w:rPr>
        <w:t>2</w:t>
      </w:r>
      <w:r>
        <w:rPr/>
        <w:t>）</w:t>
      </w:r>
      <w:r>
        <w:rPr>
          <w:spacing w:val="-62"/>
        </w:rPr>
        <w:t> </w:t>
      </w:r>
      <w:r>
        <w:rPr/>
        <w:t>金融工具的确认依据和计量方法</w:t>
      </w:r>
      <w:r>
        <w:rPr/>
        <w:t> 本公司于成为金融工具合同的一方时确认一项金融资产或金融负债。</w:t>
      </w:r>
    </w:p>
    <w:p>
      <w:pPr>
        <w:pStyle w:val="BodyText"/>
        <w:spacing w:line="316" w:lineRule="auto"/>
        <w:ind w:right="89" w:firstLine="360"/>
        <w:jc w:val="left"/>
      </w:pPr>
      <w:r>
        <w:rPr>
          <w:spacing w:val="-2"/>
        </w:rPr>
        <w:t>金融资产在初始确认时以公允价值计量。对于以公允价值计量且其变动计入当期损益的金融资产，相关交易费用直接计</w:t>
      </w:r>
      <w:r>
        <w:rPr/>
        <w:t> 入当期损益，其他类别的金融资产相关交易费用计入其初始确认金额。</w:t>
      </w:r>
    </w:p>
    <w:p>
      <w:pPr>
        <w:pStyle w:val="BodyText"/>
        <w:spacing w:line="316" w:lineRule="auto"/>
        <w:ind w:left="513" w:right="89"/>
        <w:jc w:val="left"/>
      </w:pPr>
      <w:r>
        <w:rPr/>
        <w:t>①以公允价值计量且其变动计入当期损益的金融资产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16" w:lineRule="auto"/>
        <w:ind w:right="190"/>
        <w:jc w:val="both"/>
      </w:pPr>
      <w:r>
        <w:rPr>
          <w:spacing w:val="-2"/>
        </w:rPr>
        <w:t>计入当期损益的金融资产。对于此类金融资产，采用公允价值进行后续计量，公允价值变动形成的利得或损失以及与该等金</w:t>
      </w:r>
      <w:r>
        <w:rPr>
          <w:spacing w:val="-63"/>
        </w:rPr>
        <w:t> </w:t>
      </w:r>
      <w:r>
        <w:rPr>
          <w:spacing w:val="-63"/>
        </w:rPr>
      </w:r>
      <w:r>
        <w:rPr/>
        <w:t>融资产相关的股利和利息收入计入当期损益。</w:t>
      </w:r>
    </w:p>
    <w:p>
      <w:pPr>
        <w:pStyle w:val="BodyText"/>
        <w:spacing w:line="316" w:lineRule="auto"/>
        <w:ind w:left="513" w:right="89"/>
        <w:jc w:val="left"/>
      </w:pPr>
      <w:r>
        <w:rPr/>
        <w:t>②持有至到期投资 </w:t>
      </w:r>
      <w:r>
        <w:rPr>
          <w:spacing w:val="-4"/>
        </w:rPr>
        <w:t>持有至到期投资，是指到期日固定、回收金额固定或可确定，且本公司有明确意图和能力持有至到期的非衍生金融资产。</w:t>
      </w:r>
    </w:p>
    <w:p>
      <w:pPr>
        <w:pStyle w:val="BodyText"/>
        <w:spacing w:line="316" w:lineRule="auto"/>
        <w:ind w:right="189"/>
        <w:jc w:val="both"/>
      </w:pPr>
      <w:r>
        <w:rPr>
          <w:spacing w:val="-2"/>
        </w:rPr>
        <w:t>持有至到期投资采用实际利率法，按照摊余成本进行后续计量，其终止确认、发生减值或摊销产生的利得或损失，均计入当</w:t>
      </w:r>
      <w:r>
        <w:rPr>
          <w:spacing w:val="-62"/>
        </w:rPr>
        <w:t> </w:t>
      </w:r>
      <w:r>
        <w:rPr>
          <w:spacing w:val="-62"/>
        </w:rPr>
      </w:r>
      <w:r>
        <w:rPr/>
        <w:t>期损益。</w:t>
      </w:r>
    </w:p>
    <w:p>
      <w:pPr>
        <w:pStyle w:val="BodyText"/>
        <w:spacing w:line="316" w:lineRule="auto"/>
        <w:ind w:left="513" w:right="89"/>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9" w:lineRule="auto"/>
        <w:ind w:left="513" w:right="89" w:hanging="361"/>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7"/>
        <w:ind w:right="0"/>
        <w:jc w:val="both"/>
      </w:pPr>
      <w:r>
        <w:rPr/>
        <w:t>当期损益。</w:t>
      </w:r>
    </w:p>
    <w:p>
      <w:pPr>
        <w:pStyle w:val="BodyText"/>
        <w:spacing w:line="316" w:lineRule="auto" w:before="76"/>
        <w:ind w:left="513" w:right="93"/>
        <w:jc w:val="left"/>
      </w:pPr>
      <w:r>
        <w:rPr/>
        <w:t>④可供出售金融资产 包括初始确认时即被指定为可供出售的非衍生金融资产，以及除了以公允价值计量且其变动计入当期损益的金融资产、</w:t>
      </w:r>
    </w:p>
    <w:p>
      <w:pPr>
        <w:pStyle w:val="BodyText"/>
        <w:spacing w:line="316" w:lineRule="auto"/>
        <w:ind w:left="513" w:right="89" w:hanging="361"/>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316" w:lineRule="auto"/>
        <w:ind w:right="193"/>
        <w:jc w:val="both"/>
      </w:pP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319" w:lineRule="auto"/>
        <w:ind w:left="513" w:right="93"/>
        <w:jc w:val="left"/>
      </w:pPr>
      <w:r>
        <w:rPr/>
        <w:t>可供出售金融资产持有期间取得的利息及被投资单位宣告发放的现金股利，计入投资收益。 金融负债在初始确认时划分为以公允价值计量且其变动计入当期损益的金融负债和其他金融负债。初始确认金融负债，</w:t>
      </w:r>
    </w:p>
    <w:p>
      <w:pPr>
        <w:pStyle w:val="BodyText"/>
        <w:spacing w:line="240" w:lineRule="auto" w:before="17"/>
        <w:ind w:right="0"/>
        <w:jc w:val="both"/>
      </w:pPr>
      <w:r>
        <w:rPr/>
        <w:t>以公允价值计量。对于以公允价值计量且其变动计入当期损益的金融负债，相关的交易费用直接计入当期损益，对于其他金</w:t>
      </w:r>
    </w:p>
    <w:p>
      <w:pPr>
        <w:spacing w:after="0" w:line="240" w:lineRule="auto"/>
        <w:jc w:val="both"/>
        <w:sectPr>
          <w:footerReference w:type="default" r:id="rId19"/>
          <w:pgSz w:w="11910" w:h="16840"/>
          <w:pgMar w:footer="979" w:header="745" w:top="1060" w:bottom="1160" w:left="980" w:right="940"/>
          <w:pgNumType w:start="101"/>
        </w:sectPr>
      </w:pPr>
    </w:p>
    <w:p>
      <w:pPr>
        <w:spacing w:line="240" w:lineRule="auto" w:before="10"/>
        <w:rPr>
          <w:rFonts w:ascii="宋体" w:hAnsi="宋体" w:cs="宋体" w:eastAsia="宋体" w:hint="default"/>
          <w:sz w:val="25"/>
          <w:szCs w:val="25"/>
        </w:rPr>
      </w:pPr>
    </w:p>
    <w:p>
      <w:pPr>
        <w:pStyle w:val="BodyText"/>
        <w:spacing w:line="240" w:lineRule="auto" w:before="44"/>
        <w:ind w:right="89"/>
        <w:jc w:val="left"/>
      </w:pPr>
      <w:r>
        <w:rPr/>
        <w:t>融负债，相关交易费用计入初始确认金额。</w:t>
      </w:r>
    </w:p>
    <w:p>
      <w:pPr>
        <w:pStyle w:val="BodyText"/>
        <w:spacing w:line="316" w:lineRule="auto" w:before="76"/>
        <w:ind w:left="513" w:right="89"/>
        <w:jc w:val="left"/>
      </w:pPr>
      <w:r>
        <w:rPr/>
        <w:t>①以公允价值计量且其变动计入当期损益的金融负债 </w:t>
      </w:r>
      <w:r>
        <w:rPr>
          <w:spacing w:val="-2"/>
        </w:rPr>
        <w:t>以公允价值计量且其变动计入当期损益的金融负债，包括交易性金融负债和初始确认时指定为以公允价值计量且其变动</w:t>
      </w:r>
    </w:p>
    <w:p>
      <w:pPr>
        <w:pStyle w:val="BodyText"/>
        <w:spacing w:line="316" w:lineRule="auto"/>
        <w:ind w:right="89"/>
        <w:jc w:val="left"/>
      </w:pPr>
      <w:r>
        <w:rPr>
          <w:spacing w:val="-2"/>
        </w:rPr>
        <w:t>计入当期损益的金融负债。对于此类金融负债，按照公允价值进行后续计量，公允价值变动形成的利得或损失以及与该等金</w:t>
      </w:r>
      <w:r>
        <w:rPr>
          <w:spacing w:val="-63"/>
        </w:rPr>
        <w:t> </w:t>
      </w:r>
      <w:r>
        <w:rPr>
          <w:spacing w:val="-63"/>
        </w:rPr>
      </w:r>
      <w:r>
        <w:rPr/>
        <w:t>融负债相关的股利和利息支出计入当期损益。</w:t>
      </w:r>
    </w:p>
    <w:p>
      <w:pPr>
        <w:pStyle w:val="BodyText"/>
        <w:spacing w:line="316" w:lineRule="auto"/>
        <w:ind w:left="513" w:right="89"/>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ind w:right="89"/>
        <w:jc w:val="left"/>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319" w:lineRule="auto"/>
        <w:ind w:left="513" w:right="89"/>
        <w:jc w:val="left"/>
      </w:pPr>
      <w:r>
        <w:rPr/>
        <w:t>（</w:t>
      </w:r>
      <w:r>
        <w:rPr>
          <w:rFonts w:ascii="宋体" w:hAnsi="宋体" w:cs="宋体" w:eastAsia="宋体" w:hint="default"/>
        </w:rPr>
        <w:t>3</w:t>
      </w:r>
      <w:r>
        <w:rPr/>
        <w:t>）</w:t>
      </w:r>
      <w:r>
        <w:rPr>
          <w:spacing w:val="-62"/>
        </w:rPr>
        <w:t> </w:t>
      </w:r>
      <w:r>
        <w:rPr/>
        <w:t>金融资产转移的确认依据和计量方法</w:t>
      </w:r>
      <w:r>
        <w:rPr/>
        <w:t> 金融资产转移，是指将金融资产让与或交付给该金融资产发行方以外的另一方（转入方）。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316" w:lineRule="auto" w:before="17"/>
        <w:ind w:left="513" w:right="89" w:hanging="361"/>
        <w:jc w:val="left"/>
      </w:pPr>
      <w:r>
        <w:rPr/>
        <w:t>几乎所有的风险和报酬的，不终止确认该金融资产。 </w:t>
      </w:r>
      <w:r>
        <w:rPr>
          <w:spacing w:val="-2"/>
        </w:rPr>
        <w:t>本公司既没有转移也没有保留金融资产所有权上几乎所有的风险和报酬的，分别下列情况处理：放弃了对该金融资产控</w:t>
      </w:r>
    </w:p>
    <w:p>
      <w:pPr>
        <w:pStyle w:val="BodyText"/>
        <w:spacing w:line="316" w:lineRule="auto"/>
        <w:ind w:right="89"/>
        <w:jc w:val="left"/>
      </w:pP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BodyText"/>
        <w:spacing w:line="316" w:lineRule="auto"/>
        <w:ind w:left="513" w:right="89"/>
        <w:jc w:val="left"/>
      </w:pPr>
      <w:r>
        <w:rPr/>
        <w:t>（</w:t>
      </w:r>
      <w:r>
        <w:rPr>
          <w:rFonts w:ascii="宋体" w:hAnsi="宋体" w:cs="宋体" w:eastAsia="宋体" w:hint="default"/>
        </w:rPr>
        <w:t>4</w:t>
      </w:r>
      <w:r>
        <w:rPr/>
        <w:t>）</w:t>
      </w:r>
      <w:r>
        <w:rPr>
          <w:spacing w:val="-62"/>
        </w:rPr>
        <w:t> </w:t>
      </w:r>
      <w:r>
        <w:rPr/>
        <w:t>金融负债终止确认条件</w:t>
      </w:r>
      <w:r>
        <w:rPr/>
        <w:t> </w:t>
      </w:r>
      <w:r>
        <w:rPr>
          <w:spacing w:val="-2"/>
        </w:rPr>
        <w:t>金融负债的现实义务全部或部分已经解除的，才能终止确认该金融负债或其一部分。公司将用于偿付金融负债的资产转</w:t>
      </w:r>
    </w:p>
    <w:p>
      <w:pPr>
        <w:pStyle w:val="BodyText"/>
        <w:spacing w:line="316" w:lineRule="auto"/>
        <w:ind w:left="513" w:right="89" w:hanging="361"/>
        <w:jc w:val="left"/>
      </w:pPr>
      <w:r>
        <w:rPr/>
        <w:t>入某个机构或设立信托，偿付债务的现实义务仍存在的，不应当终止确认该金融负债，也不能终止确认转出的资产。 </w:t>
      </w:r>
      <w:r>
        <w:rPr>
          <w:spacing w:val="-2"/>
        </w:rPr>
        <w:t>公司与债权人之间签订协议，以承担新金融负债方式替换现存金融负债，且新金融负债与现存金融负债的合同条款实质</w:t>
      </w:r>
    </w:p>
    <w:p>
      <w:pPr>
        <w:pStyle w:val="BodyText"/>
        <w:spacing w:line="319" w:lineRule="auto"/>
        <w:ind w:right="89"/>
        <w:jc w:val="left"/>
      </w:pPr>
      <w:r>
        <w:rPr>
          <w:spacing w:val="-2"/>
        </w:rPr>
        <w:t>上不同的，应当终止确认现存金融负债，并同时确认新金融负债。公司对现存金融负债全部或部分的合同条款做出实质性修</w:t>
      </w:r>
      <w:r>
        <w:rPr>
          <w:spacing w:val="-63"/>
        </w:rPr>
        <w:t> </w:t>
      </w:r>
      <w:r>
        <w:rPr>
          <w:spacing w:val="-63"/>
        </w:rPr>
      </w:r>
      <w:r>
        <w:rPr/>
        <w:t>改的，应当终止确认现存金融负债或其一部分，同时将修改条款后的金融负债确认为一项新金融负债。</w:t>
      </w:r>
    </w:p>
    <w:p>
      <w:pPr>
        <w:pStyle w:val="BodyText"/>
        <w:spacing w:line="316" w:lineRule="auto" w:before="17"/>
        <w:ind w:right="89" w:firstLine="360"/>
        <w:jc w:val="left"/>
      </w:pPr>
      <w:r>
        <w:rPr>
          <w:spacing w:val="-2"/>
        </w:rPr>
        <w:t>金融负债全部或部分终止确认的，公司应当将终止确认部分的账面价值于支付的对价（包括转出的非现金资产或承担的</w:t>
      </w:r>
      <w:r>
        <w:rPr/>
        <w:t> 新金融负债）之间的差额，计入当期损益。</w:t>
      </w:r>
    </w:p>
    <w:p>
      <w:pPr>
        <w:pStyle w:val="BodyText"/>
        <w:spacing w:line="316" w:lineRule="auto"/>
        <w:ind w:right="89" w:firstLine="360"/>
        <w:jc w:val="left"/>
      </w:pPr>
      <w:r>
        <w:rPr>
          <w:spacing w:val="-2"/>
        </w:rPr>
        <w:t>公司回购金融负债一部分的，应当在回购日按照继续确认部分或终止确认部分的相对公允价值，将该金融负债整体的账</w:t>
      </w:r>
      <w:r>
        <w:rPr/>
        <w:t> </w:t>
      </w:r>
      <w:r>
        <w:rPr>
          <w:spacing w:val="-4"/>
        </w:rPr>
        <w:t>面价值进行分配。分配给终止确认部分的账面价值与支付的对价（包括转出的非现金资产或承担的新金融负债）之间的差额，</w:t>
      </w:r>
      <w:r>
        <w:rPr>
          <w:spacing w:val="-43"/>
        </w:rPr>
        <w:t> </w:t>
      </w:r>
      <w:r>
        <w:rPr>
          <w:spacing w:val="-43"/>
        </w:rPr>
      </w:r>
      <w:r>
        <w:rPr/>
        <w:t>计入当期损益。</w:t>
      </w:r>
    </w:p>
    <w:p>
      <w:pPr>
        <w:pStyle w:val="BodyText"/>
        <w:spacing w:line="316" w:lineRule="auto"/>
        <w:ind w:left="513" w:right="89"/>
        <w:jc w:val="left"/>
      </w:pPr>
      <w:r>
        <w:rPr/>
        <w:t>（</w:t>
      </w:r>
      <w:r>
        <w:rPr>
          <w:rFonts w:ascii="宋体" w:hAnsi="宋体" w:cs="宋体" w:eastAsia="宋体" w:hint="default"/>
        </w:rPr>
        <w:t>5</w:t>
      </w:r>
      <w:r>
        <w:rPr/>
        <w:t>）</w:t>
      </w:r>
      <w:r>
        <w:rPr>
          <w:spacing w:val="-62"/>
        </w:rPr>
        <w:t> </w:t>
      </w:r>
      <w:r>
        <w:rPr/>
        <w:t>金融资产和金融负债的公允价值确定方法</w:t>
      </w:r>
      <w:r>
        <w:rPr/>
        <w:t> 公允价值，指在公平交易中，熟悉情况的交易双方自愿进行资产交换或债务清偿的金额。 存在活跃市场的金融资产或金融负债，本公司采用活跃市场中的报价确定其公允价值。 </w:t>
      </w:r>
      <w:r>
        <w:rPr>
          <w:spacing w:val="-2"/>
        </w:rPr>
        <w:t>金融工具不存在活跃市场的，本公司采用估值技术确定其公允价值。采用估值技术得出的结果，反映估值日在公平交易</w:t>
      </w:r>
    </w:p>
    <w:p>
      <w:pPr>
        <w:pStyle w:val="BodyText"/>
        <w:spacing w:line="319" w:lineRule="auto"/>
        <w:ind w:right="89"/>
        <w:jc w:val="left"/>
      </w:pPr>
      <w:r>
        <w:rPr>
          <w:spacing w:val="-2"/>
        </w:rPr>
        <w:t>中可能采用的交易价格。估值技术包括参考熟悉情况并自愿交易的各方最近进行的市场交易中使用的价格、参照实质上相同</w:t>
      </w:r>
      <w:r>
        <w:rPr>
          <w:spacing w:val="-64"/>
        </w:rPr>
        <w:t> </w:t>
      </w:r>
      <w:r>
        <w:rPr>
          <w:spacing w:val="-64"/>
        </w:rPr>
      </w:r>
      <w:r>
        <w:rPr/>
        <w:t>的其他金融工具的当前公允价值、现金流量折现法和期权定价模型等。</w:t>
      </w:r>
    </w:p>
    <w:p>
      <w:pPr>
        <w:pStyle w:val="BodyText"/>
        <w:spacing w:line="316" w:lineRule="auto" w:before="17"/>
        <w:ind w:right="192" w:firstLine="360"/>
        <w:jc w:val="both"/>
      </w:pPr>
      <w:r>
        <w:rPr>
          <w:spacing w:val="-2"/>
        </w:rPr>
        <w:t>本公司选择市场参与者普遍认同，且被以往市场实际交易价格验证具有可靠性的估值技术确定金融工具的公允价值。采</w:t>
      </w:r>
      <w:r>
        <w:rPr/>
        <w:t> </w:t>
      </w:r>
      <w:r>
        <w:rPr>
          <w:spacing w:val="-2"/>
        </w:rPr>
        <w:t>用估值技术确定金融工具的公允价值时，本公司尽可能使用市场参与者在金融工具定价时考虑的所有市场参数和相同金融工</w:t>
      </w:r>
      <w:r>
        <w:rPr>
          <w:spacing w:val="-64"/>
        </w:rPr>
        <w:t> </w:t>
      </w:r>
      <w:r>
        <w:rPr>
          <w:spacing w:val="-64"/>
        </w:rPr>
      </w:r>
      <w:r>
        <w:rPr/>
        <w:t>具当前市场的可观察到的交易价格来测试估值技术的有效性。</w:t>
      </w:r>
    </w:p>
    <w:p>
      <w:pPr>
        <w:pStyle w:val="BodyText"/>
        <w:spacing w:line="316" w:lineRule="auto"/>
        <w:ind w:left="513" w:right="273"/>
        <w:jc w:val="left"/>
      </w:pPr>
      <w:r>
        <w:rPr/>
        <w:t>（</w:t>
      </w:r>
      <w:r>
        <w:rPr>
          <w:rFonts w:ascii="宋体" w:hAnsi="宋体" w:cs="宋体" w:eastAsia="宋体" w:hint="default"/>
        </w:rPr>
        <w:t>6</w:t>
      </w:r>
      <w:r>
        <w:rPr/>
        <w:t>）</w:t>
      </w:r>
      <w:r>
        <w:rPr>
          <w:spacing w:val="-62"/>
        </w:rPr>
        <w:t> </w:t>
      </w:r>
      <w:r>
        <w:rPr/>
        <w:t>金融资产减值</w:t>
      </w:r>
      <w:r>
        <w:rPr/>
        <w:t> 除了以公允价值计量且其变动计入当期损益的金融资产外，本公司于资产负债表日对其他金融资产的账面价值进行检</w:t>
      </w:r>
    </w:p>
    <w:p>
      <w:pPr>
        <w:pStyle w:val="BodyText"/>
        <w:spacing w:line="316" w:lineRule="auto"/>
        <w:ind w:right="89"/>
        <w:jc w:val="left"/>
      </w:pPr>
      <w:r>
        <w:rPr>
          <w:spacing w:val="-2"/>
        </w:rPr>
        <w:t>查，有客观证据表明该金融资产发生减值的，计提减值准备。表明金融资产发生减值的客观证据，是指金融资产初始确认后</w:t>
      </w:r>
      <w:r>
        <w:rPr>
          <w:spacing w:val="-64"/>
        </w:rPr>
        <w:t> </w:t>
      </w:r>
      <w:r>
        <w:rPr>
          <w:spacing w:val="-64"/>
        </w:rPr>
      </w:r>
      <w:r>
        <w:rPr/>
        <w:t>实际发生的、对该金融资产的预计未来现金流量有影响，且企业能够对该影响进行可靠计量的事项。</w:t>
      </w:r>
    </w:p>
    <w:p>
      <w:pPr>
        <w:pStyle w:val="BodyText"/>
        <w:spacing w:line="240" w:lineRule="auto"/>
        <w:ind w:left="513" w:right="89"/>
        <w:jc w:val="left"/>
      </w:pPr>
      <w:r>
        <w:rPr/>
        <w:t>金融资产发生减值的客观证据，包括下列可观察到的情形：</w:t>
      </w:r>
    </w:p>
    <w:p>
      <w:pPr>
        <w:pStyle w:val="BodyText"/>
        <w:spacing w:line="240" w:lineRule="auto" w:before="76"/>
        <w:ind w:left="513" w:right="89"/>
        <w:jc w:val="left"/>
      </w:pPr>
      <w:r>
        <w:rPr/>
        <w:t>①行方或债务人发生严重财务困难；</w:t>
      </w:r>
    </w:p>
    <w:p>
      <w:pPr>
        <w:pStyle w:val="BodyText"/>
        <w:spacing w:line="240" w:lineRule="auto" w:before="77"/>
        <w:ind w:left="513" w:right="89"/>
        <w:jc w:val="left"/>
      </w:pPr>
      <w:r>
        <w:rPr/>
        <w:t>②债务人违反了合同条款，如偿付利息或本金发生违约或逾期等；</w:t>
      </w:r>
    </w:p>
    <w:p>
      <w:pPr>
        <w:pStyle w:val="BodyText"/>
        <w:spacing w:line="240" w:lineRule="auto" w:before="76"/>
        <w:ind w:left="513" w:right="89"/>
        <w:jc w:val="left"/>
      </w:pPr>
      <w:r>
        <w:rPr/>
        <w:t>③本公司出于经济或法律等方面因素的考虑，对发生财务困难的债务人作出让步；</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329"/>
        <w:jc w:val="left"/>
      </w:pPr>
      <w:r>
        <w:rPr/>
        <w:t>④债务人很可能倒闭或者进行其他财务重组；</w:t>
      </w:r>
    </w:p>
    <w:p>
      <w:pPr>
        <w:pStyle w:val="BodyText"/>
        <w:spacing w:line="240" w:lineRule="auto" w:before="76"/>
        <w:ind w:left="513" w:right="329"/>
        <w:jc w:val="left"/>
      </w:pPr>
      <w:r>
        <w:rPr/>
        <w:t>⑤因发行方发生重大财务困难，导致金融资产无法在活跃市场继续交易；</w:t>
      </w:r>
    </w:p>
    <w:p>
      <w:pPr>
        <w:pStyle w:val="BodyText"/>
        <w:spacing w:line="316" w:lineRule="auto" w:before="76"/>
        <w:ind w:right="152" w:firstLine="360"/>
        <w:jc w:val="both"/>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pStyle w:val="BodyText"/>
        <w:spacing w:line="240" w:lineRule="auto"/>
        <w:ind w:left="513" w:right="329"/>
        <w:jc w:val="left"/>
      </w:pPr>
      <w:r>
        <w:rPr>
          <w:rFonts w:ascii="宋体" w:hAnsi="宋体" w:cs="宋体" w:eastAsia="宋体" w:hint="default"/>
        </w:rPr>
        <w:t>-</w:t>
      </w:r>
      <w:r>
        <w:rPr/>
        <w:t>该组金融资产的债务人支付能力逐步恶化；</w:t>
      </w:r>
    </w:p>
    <w:p>
      <w:pPr>
        <w:pStyle w:val="BodyText"/>
        <w:spacing w:line="240" w:lineRule="auto" w:before="76"/>
        <w:ind w:left="513" w:right="329"/>
        <w:jc w:val="left"/>
      </w:pPr>
      <w:r>
        <w:rPr>
          <w:rFonts w:ascii="宋体" w:hAnsi="宋体" w:cs="宋体" w:eastAsia="宋体" w:hint="default"/>
        </w:rPr>
        <w:t>-</w:t>
      </w:r>
      <w:r>
        <w:rPr/>
        <w:t>债务人所在国家或地区经济出现了可能导致该组金融资产无法支付的状况；</w:t>
      </w:r>
    </w:p>
    <w:p>
      <w:pPr>
        <w:pStyle w:val="BodyText"/>
        <w:spacing w:line="240" w:lineRule="auto" w:before="76"/>
        <w:ind w:left="513" w:right="0"/>
        <w:jc w:val="left"/>
      </w:pPr>
      <w:r>
        <w:rPr/>
        <w:t>⑦债务人经营所处的技术、市场、经济或法律环境等发生重大不利变化，使权益工具投资人可能无法收回投资成本；</w:t>
      </w:r>
    </w:p>
    <w:p>
      <w:pPr>
        <w:pStyle w:val="BodyText"/>
        <w:spacing w:line="316" w:lineRule="auto" w:before="76"/>
        <w:ind w:right="152" w:firstLine="360"/>
        <w:jc w:val="both"/>
      </w:pPr>
      <w:r>
        <w:rPr>
          <w:spacing w:val="-2"/>
        </w:rPr>
        <w:t>⑧权益工具投资的公允价值发生严重或非暂时性下跌，如权益工具投资于资产负债表日的公允价值低于其初始投资成本</w:t>
      </w:r>
      <w:r>
        <w:rPr/>
        <w:t> 超过</w:t>
      </w:r>
      <w:r>
        <w:rPr>
          <w:rFonts w:ascii="宋体" w:hAnsi="宋体" w:cs="宋体" w:eastAsia="宋体" w:hint="default"/>
        </w:rPr>
        <w:t>50%</w:t>
      </w:r>
      <w:r>
        <w:rPr/>
        <w:t>（含</w:t>
      </w:r>
      <w:r>
        <w:rPr>
          <w:rFonts w:ascii="宋体" w:hAnsi="宋体" w:cs="宋体" w:eastAsia="宋体" w:hint="default"/>
        </w:rPr>
        <w:t>50%</w:t>
      </w:r>
      <w:r>
        <w:rPr/>
        <w:t>）或低于其初始投资成本持续时间超过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w:t>
      </w:r>
    </w:p>
    <w:p>
      <w:pPr>
        <w:pStyle w:val="BodyText"/>
        <w:spacing w:line="316" w:lineRule="auto"/>
        <w:ind w:right="148" w:firstLine="360"/>
        <w:jc w:val="both"/>
      </w:pPr>
      <w:r>
        <w:rPr>
          <w:spacing w:val="-2"/>
        </w:rPr>
        <w:t>低于其初始投资成本持续时间超过</w:t>
      </w:r>
      <w:r>
        <w:rPr>
          <w:rFonts w:ascii="宋体" w:hAnsi="宋体" w:cs="宋体" w:eastAsia="宋体" w:hint="default"/>
          <w:spacing w:val="-2"/>
        </w:rPr>
        <w:t>12</w:t>
      </w:r>
      <w:r>
        <w:rPr>
          <w:spacing w:val="-2"/>
        </w:rPr>
        <w:t>个月（含</w:t>
      </w:r>
      <w:r>
        <w:rPr>
          <w:rFonts w:ascii="宋体" w:hAnsi="宋体" w:cs="宋体" w:eastAsia="宋体" w:hint="default"/>
          <w:spacing w:val="-2"/>
        </w:rPr>
        <w:t>12</w:t>
      </w:r>
      <w:r>
        <w:rPr>
          <w:spacing w:val="-2"/>
        </w:rPr>
        <w:t>个月）是指，权益工具投资公允价值月度均值连续</w:t>
      </w:r>
      <w:r>
        <w:rPr>
          <w:rFonts w:ascii="宋体" w:hAnsi="宋体" w:cs="宋体" w:eastAsia="宋体" w:hint="default"/>
          <w:spacing w:val="-2"/>
        </w:rPr>
        <w:t>12</w:t>
      </w:r>
      <w:r>
        <w:rPr>
          <w:spacing w:val="-2"/>
        </w:rPr>
        <w:t>个月均低于其初始</w:t>
      </w:r>
      <w:r>
        <w:rPr/>
        <w:t> 投资成本。</w:t>
      </w:r>
    </w:p>
    <w:p>
      <w:pPr>
        <w:pStyle w:val="BodyText"/>
        <w:spacing w:line="316" w:lineRule="auto"/>
        <w:ind w:left="513" w:right="0"/>
        <w:jc w:val="left"/>
      </w:pPr>
      <w:r>
        <w:rPr/>
        <w:t>⑨其他表明金融资产发生减值的客观证据。 </w:t>
      </w:r>
      <w:r>
        <w:rPr>
          <w:spacing w:val="-2"/>
        </w:rPr>
        <w:t>本公司对可供出售权益工具投资的公允价值下跌“严重”的标准为：如果单项可供出售金融资产的公允价值出现较大幅</w:t>
      </w:r>
    </w:p>
    <w:p>
      <w:pPr>
        <w:pStyle w:val="BodyText"/>
        <w:spacing w:line="316" w:lineRule="auto"/>
        <w:ind w:left="513" w:right="0" w:hanging="361"/>
        <w:jc w:val="left"/>
      </w:pPr>
      <w:r>
        <w:rPr/>
        <w:t>度下降，超过其持有成本的</w:t>
      </w:r>
      <w:r>
        <w:rPr>
          <w:rFonts w:ascii="宋体" w:hAnsi="宋体" w:cs="宋体" w:eastAsia="宋体" w:hint="default"/>
        </w:rPr>
        <w:t>50%</w:t>
      </w:r>
      <w:r>
        <w:rPr/>
        <w:t>，认定该可供出售金融资产已发生减值为严重的，应计提减值准备，确认减值损失。 </w:t>
      </w:r>
      <w:r>
        <w:rPr>
          <w:spacing w:val="-2"/>
        </w:rPr>
        <w:t>本公司对可供出售权益工具投资的公允价值下跌“非暂时性”的标准为：如果单项可供出售金融资产的公允价值出现较</w:t>
      </w:r>
    </w:p>
    <w:p>
      <w:pPr>
        <w:pStyle w:val="BodyText"/>
        <w:spacing w:line="316" w:lineRule="auto"/>
        <w:ind w:right="0"/>
        <w:jc w:val="left"/>
      </w:pPr>
      <w:r>
        <w:rPr>
          <w:spacing w:val="-2"/>
        </w:rPr>
        <w:t>大幅度下降，预期这种下降趋势属于非暂时性的，持续时间超过一年，且在整个持有期间得不到根本改变时，认定该可供出</w:t>
      </w:r>
      <w:r>
        <w:rPr>
          <w:spacing w:val="-65"/>
        </w:rPr>
        <w:t> </w:t>
      </w:r>
      <w:r>
        <w:rPr>
          <w:spacing w:val="-65"/>
        </w:rPr>
      </w:r>
      <w:r>
        <w:rPr/>
        <w:t>售金融资产已发生减值为非暂时性的，应计提减值准备，确认减值损失。</w:t>
      </w:r>
    </w:p>
    <w:p>
      <w:pPr>
        <w:pStyle w:val="BodyText"/>
        <w:spacing w:line="316" w:lineRule="auto"/>
        <w:ind w:left="513" w:right="0"/>
        <w:jc w:val="left"/>
      </w:pPr>
      <w:r>
        <w:rPr/>
        <w:t>以摊余成本计量的金融资产 </w:t>
      </w:r>
      <w:r>
        <w:rPr>
          <w:spacing w:val="-2"/>
        </w:rPr>
        <w:t>如果有客观证据表明该金融资产发生减值，则将该金融资产的账面价值减记至预计未来现金流量（不包括尚未发生的未</w:t>
      </w:r>
    </w:p>
    <w:p>
      <w:pPr>
        <w:pStyle w:val="BodyText"/>
        <w:spacing w:line="316" w:lineRule="auto"/>
        <w:ind w:right="0"/>
        <w:jc w:val="left"/>
      </w:pPr>
      <w:r>
        <w:rPr>
          <w:spacing w:val="-2"/>
        </w:rPr>
        <w:t>来信用损失）现值，减记金额计入当期损益。预计未来现金流量现值，按照该金融资产原实际利率折现确定，并考虑相关担</w:t>
      </w:r>
      <w:r>
        <w:rPr>
          <w:spacing w:val="-67"/>
        </w:rPr>
        <w:t> </w:t>
      </w:r>
      <w:r>
        <w:rPr>
          <w:spacing w:val="-67"/>
        </w:rPr>
      </w:r>
      <w:r>
        <w:rPr/>
        <w:t>保物的价值。</w:t>
      </w:r>
    </w:p>
    <w:p>
      <w:pPr>
        <w:pStyle w:val="BodyText"/>
        <w:spacing w:line="316" w:lineRule="auto"/>
        <w:ind w:right="152" w:firstLine="360"/>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ind w:right="0"/>
        <w:jc w:val="left"/>
      </w:pPr>
      <w:r>
        <w:rPr>
          <w:spacing w:val="-2"/>
        </w:rPr>
        <w:t>（包括单项金额重大和不重大的金融资产），包括在具有类似信用风险特征的金融资产组合中再进行减值测试。已单项确认</w:t>
      </w:r>
      <w:r>
        <w:rPr>
          <w:spacing w:val="-66"/>
        </w:rPr>
        <w:t> </w:t>
      </w:r>
      <w:r>
        <w:rPr>
          <w:spacing w:val="-66"/>
        </w:rPr>
      </w:r>
      <w:r>
        <w:rPr/>
        <w:t>减值损失的金融资产，不包括在具有类似信用风险特征的金融资产组合中进行减值测试。</w:t>
      </w:r>
    </w:p>
    <w:p>
      <w:pPr>
        <w:pStyle w:val="BodyText"/>
        <w:spacing w:line="316" w:lineRule="auto"/>
        <w:ind w:right="151" w:firstLine="360"/>
        <w:jc w:val="both"/>
      </w:pPr>
      <w:r>
        <w:rPr>
          <w:spacing w:val="-2"/>
        </w:rPr>
        <w:t>本公司对以摊余成本计量的金融资产确认减值损失后，如有客观证据表明该金融资产价值已恢复，且客观上与确认该损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4"/>
        </w:rPr>
        <w:t> </w:t>
      </w:r>
      <w:r>
        <w:rPr>
          <w:spacing w:val="-64"/>
        </w:rPr>
      </w:r>
      <w:r>
        <w:rPr/>
        <w:t>情况下该金融资产在转回日的摊余成本。</w:t>
      </w:r>
    </w:p>
    <w:p>
      <w:pPr>
        <w:pStyle w:val="BodyText"/>
        <w:spacing w:line="316" w:lineRule="auto"/>
        <w:ind w:left="513" w:right="0"/>
        <w:jc w:val="left"/>
      </w:pPr>
      <w:r>
        <w:rPr/>
        <w:t>可供出售金融资产 </w:t>
      </w:r>
      <w:r>
        <w:rPr>
          <w:spacing w:val="-2"/>
        </w:rPr>
        <w:t>如果有客观证据表明该金融资产发生减值，原直接计入资本公积的因公允价值下降形成的累计损失，予以转出，计入当</w:t>
      </w:r>
    </w:p>
    <w:p>
      <w:pPr>
        <w:pStyle w:val="BodyText"/>
        <w:spacing w:line="316" w:lineRule="auto"/>
        <w:ind w:right="0"/>
        <w:jc w:val="left"/>
      </w:pPr>
      <w:r>
        <w:rPr>
          <w:spacing w:val="-2"/>
        </w:rPr>
        <w:t>期损益。该转出的累计损失，为可供出售金融资产的初始取得成本扣除已收回本金和已摊销金额、当前公允价值和原已计入</w:t>
      </w:r>
      <w:r>
        <w:rPr>
          <w:spacing w:val="-65"/>
        </w:rPr>
        <w:t> </w:t>
      </w:r>
      <w:r>
        <w:rPr>
          <w:spacing w:val="-65"/>
        </w:rPr>
      </w:r>
      <w:r>
        <w:rPr/>
        <w:t>损益的减值损失后的余额。</w:t>
      </w:r>
    </w:p>
    <w:p>
      <w:pPr>
        <w:pStyle w:val="BodyText"/>
        <w:spacing w:line="316" w:lineRule="auto"/>
        <w:ind w:right="15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ind w:left="513"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ind w:right="0"/>
        <w:jc w:val="left"/>
      </w:pPr>
      <w:r>
        <w:rPr>
          <w:spacing w:val="-2"/>
        </w:rPr>
        <w:t>的衍生金融资产发生减值时，将该金融资产的账面价值，与按照类似金融资产当时市场收益率对未来现金流量折现确定的现</w:t>
      </w:r>
      <w:r>
        <w:rPr>
          <w:spacing w:val="-64"/>
        </w:rPr>
        <w:t> </w:t>
      </w:r>
      <w:r>
        <w:rPr>
          <w:spacing w:val="-64"/>
        </w:rPr>
      </w:r>
      <w:r>
        <w:rPr/>
        <w:t>值之间的差额，确认为减值损失，计入当期损益。发生的减值损失一经确认，不得转回。</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329"/>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期末余额达到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万元（含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万元）以上的应收款项为单 项金额重大的应收款项。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对于单项金额重大的应收款项单独进行减值测试，当存在客 观证据表明本公司将无法按应收款项的原有条款收回所有款 项时，根据其未来现金流量现值低于其账面价值的差额，单 独进行减值测试，计提坏账准备。单项金额重大经单独测试 未发生减值的应收款项，再按组合计提坏账准备。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329"/>
        <w:jc w:val="left"/>
      </w:pPr>
      <w:r>
        <w:rPr/>
        <w:t>组合中，采用账龄分析法计提坏账准备的：</w:t>
      </w:r>
    </w:p>
    <w:p>
      <w:pPr>
        <w:pStyle w:val="BodyText"/>
        <w:spacing w:line="240" w:lineRule="auto" w:before="115"/>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329"/>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对于单项金额非重大的应收款项，本公司将其与经单独测试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67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left"/>
              <w:rPr>
                <w:rFonts w:ascii="宋体" w:hAnsi="宋体" w:cs="宋体" w:eastAsia="宋体" w:hint="default"/>
                <w:sz w:val="18"/>
                <w:szCs w:val="18"/>
              </w:rPr>
            </w:pPr>
            <w:r>
              <w:rPr>
                <w:rFonts w:ascii="宋体" w:hAnsi="宋体" w:cs="宋体" w:eastAsia="宋体" w:hint="default"/>
                <w:sz w:val="18"/>
                <w:szCs w:val="18"/>
              </w:rPr>
              <w:t>后未减值的应收款项一起按信用风险特征划分为若干组合， 计提坏账准备。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13" w:right="4733"/>
        <w:jc w:val="left"/>
      </w:pPr>
      <w:r>
        <w:rPr/>
        <w:t>（</w:t>
      </w:r>
      <w:r>
        <w:rPr>
          <w:rFonts w:ascii="宋体" w:hAnsi="宋体" w:cs="宋体" w:eastAsia="宋体" w:hint="default"/>
        </w:rPr>
        <w:t>1</w:t>
      </w:r>
      <w:r>
        <w:rPr/>
        <w:t>）</w:t>
      </w:r>
      <w:r>
        <w:rPr>
          <w:spacing w:val="-62"/>
        </w:rPr>
        <w:t> </w:t>
      </w:r>
      <w:r>
        <w:rPr/>
        <w:t>存货的分类</w:t>
      </w:r>
      <w:r>
        <w:rPr/>
        <w:t> 存货包括库存材料、库存商品、低值易耗品、备品备件等。</w:t>
      </w:r>
    </w:p>
    <w:p>
      <w:pPr>
        <w:pStyle w:val="BodyText"/>
        <w:spacing w:line="316" w:lineRule="auto"/>
        <w:ind w:left="513" w:right="4373"/>
        <w:jc w:val="left"/>
      </w:pPr>
      <w:r>
        <w:rPr/>
        <w:t>（</w:t>
      </w:r>
      <w:r>
        <w:rPr>
          <w:rFonts w:ascii="宋体" w:hAnsi="宋体" w:cs="宋体" w:eastAsia="宋体" w:hint="default"/>
        </w:rPr>
        <w:t>2</w:t>
      </w:r>
      <w:r>
        <w:rPr/>
        <w:t>）</w:t>
      </w:r>
      <w:r>
        <w:rPr>
          <w:spacing w:val="-62"/>
        </w:rPr>
        <w:t> </w:t>
      </w:r>
      <w:r>
        <w:rPr/>
        <w:t>发出存货的计价方法</w:t>
      </w:r>
      <w:r>
        <w:rPr/>
        <w:t> 外购、自制的存货按实际成本计价，发出存货采用个别计价法。</w:t>
      </w:r>
    </w:p>
    <w:p>
      <w:pPr>
        <w:pStyle w:val="BodyText"/>
        <w:spacing w:line="316" w:lineRule="auto"/>
        <w:ind w:left="513" w:right="0"/>
        <w:jc w:val="left"/>
      </w:pPr>
      <w:r>
        <w:rPr/>
        <w:t>（</w:t>
      </w:r>
      <w:r>
        <w:rPr>
          <w:rFonts w:ascii="宋体" w:hAnsi="宋体" w:cs="宋体" w:eastAsia="宋体" w:hint="default"/>
        </w:rPr>
        <w:t>3</w:t>
      </w:r>
      <w:r>
        <w:rPr/>
        <w:t>）</w:t>
      </w:r>
      <w:r>
        <w:rPr>
          <w:spacing w:val="-62"/>
        </w:rPr>
        <w:t> </w:t>
      </w:r>
      <w:r>
        <w:rPr/>
        <w:t>存货可变现净值的确定依据及存货跌价准备的计提方法</w:t>
      </w:r>
      <w:r>
        <w:rPr/>
        <w:t> </w:t>
      </w:r>
      <w:r>
        <w:rPr>
          <w:spacing w:val="-2"/>
        </w:rPr>
        <w:t>期末存货按成本与可变现净值孰低计价，并按单个存货项目比较存货成本与可变现净值孰低，如存货可变现净值低于存</w:t>
      </w:r>
    </w:p>
    <w:p>
      <w:pPr>
        <w:pStyle w:val="BodyText"/>
        <w:spacing w:line="316" w:lineRule="auto"/>
        <w:ind w:right="151"/>
        <w:jc w:val="both"/>
      </w:pPr>
      <w:r>
        <w:rPr>
          <w:spacing w:val="-2"/>
        </w:rPr>
        <w:t>货成本，按其差额计提存货跌价准备，计入当期损益。存货可变现净值以估计售价减去估计将要发生的成本、估计的销售费</w:t>
      </w:r>
      <w:r>
        <w:rPr>
          <w:spacing w:val="-64"/>
        </w:rPr>
        <w:t> </w:t>
      </w:r>
      <w:r>
        <w:rPr>
          <w:spacing w:val="-64"/>
        </w:rPr>
      </w:r>
      <w:r>
        <w:rPr/>
        <w:t>用以及相关税费后的金额确定。</w:t>
      </w:r>
    </w:p>
    <w:p>
      <w:pPr>
        <w:pStyle w:val="BodyText"/>
        <w:spacing w:line="316" w:lineRule="auto"/>
        <w:ind w:left="513" w:right="6353"/>
        <w:jc w:val="left"/>
      </w:pPr>
      <w:r>
        <w:rPr/>
        <w:t>（</w:t>
      </w:r>
      <w:r>
        <w:rPr>
          <w:rFonts w:ascii="宋体" w:hAnsi="宋体" w:cs="宋体" w:eastAsia="宋体" w:hint="default"/>
        </w:rPr>
        <w:t>4</w:t>
      </w:r>
      <w:r>
        <w:rPr/>
        <w:t>）</w:t>
      </w:r>
      <w:r>
        <w:rPr>
          <w:spacing w:val="-62"/>
        </w:rPr>
        <w:t> </w:t>
      </w:r>
      <w:r>
        <w:rPr/>
        <w:t>存货的盘存制度</w:t>
      </w:r>
      <w:r>
        <w:rPr/>
        <w:t> 本公司的存货盘存制度为永续盘存制。</w:t>
      </w:r>
    </w:p>
    <w:p>
      <w:pPr>
        <w:pStyle w:val="BodyText"/>
        <w:spacing w:line="316" w:lineRule="auto"/>
        <w:ind w:left="513" w:right="5993"/>
        <w:jc w:val="left"/>
      </w:pPr>
      <w:r>
        <w:rPr/>
        <w:t>（</w:t>
      </w:r>
      <w:r>
        <w:rPr>
          <w:rFonts w:ascii="宋体" w:hAnsi="宋体" w:cs="宋体" w:eastAsia="宋体" w:hint="default"/>
        </w:rPr>
        <w:t>5</w:t>
      </w:r>
      <w:r>
        <w:rPr/>
        <w:t>）</w:t>
      </w:r>
      <w:r>
        <w:rPr>
          <w:spacing w:val="-62"/>
        </w:rPr>
        <w:t> </w:t>
      </w:r>
      <w:r>
        <w:rPr/>
        <w:t>低值易耗品和包装物的摊销方法</w:t>
      </w:r>
      <w:r>
        <w:rPr/>
        <w:t> 低值易耗品和包装物采用一次转销法摊销。</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50"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3"/>
        </w:rPr>
        <w:t> </w:t>
      </w:r>
      <w:r>
        <w:rPr>
          <w:spacing w:val="-63"/>
        </w:rPr>
      </w:r>
      <w:r>
        <w:rPr>
          <w:spacing w:val="-2"/>
        </w:rPr>
        <w:t>算，自划分为持有待售之日起不计提折旧或进行摊销，按照账面价值与公允价值减去处置费用后的净额孰低计量。持有待售</w:t>
      </w:r>
      <w:r>
        <w:rPr>
          <w:spacing w:val="-63"/>
        </w:rPr>
        <w:t> </w:t>
      </w:r>
      <w:r>
        <w:rPr>
          <w:spacing w:val="-63"/>
        </w:rPr>
      </w:r>
      <w:r>
        <w:rPr/>
        <w:t>的非流动资产包括单项资产和处置组。如果处置组是一个《企业会计准则第 </w:t>
      </w:r>
      <w:r>
        <w:rPr>
          <w:rFonts w:ascii="宋体" w:hAnsi="宋体" w:cs="宋体" w:eastAsia="宋体" w:hint="default"/>
        </w:rPr>
        <w:t>8</w:t>
      </w:r>
      <w:r>
        <w:rPr>
          <w:rFonts w:ascii="宋体" w:hAnsi="宋体" w:cs="宋体" w:eastAsia="宋体" w:hint="default"/>
          <w:spacing w:val="1"/>
        </w:rPr>
        <w:t> </w:t>
      </w:r>
      <w:r>
        <w:rPr/>
        <w:t>号——资产减值》所定义的资产组，并且按 </w:t>
      </w:r>
      <w:r>
        <w:rPr>
          <w:spacing w:val="-2"/>
        </w:rPr>
        <w:t>照该准则的规定将企业合并中取得的商誉分摊至该资产组，或者该处置组是资产组中的一项经营，则该处置组包括企业合并</w:t>
      </w:r>
      <w:r>
        <w:rPr>
          <w:spacing w:val="-64"/>
        </w:rPr>
        <w:t> </w:t>
      </w:r>
      <w:r>
        <w:rPr>
          <w:spacing w:val="-64"/>
        </w:rPr>
      </w:r>
      <w:r>
        <w:rPr/>
        <w:t>中所形成的商誉。</w:t>
      </w:r>
      <w:r>
        <w:rPr>
          <w:spacing w:val="1"/>
        </w:rPr>
        <w:t> </w:t>
      </w:r>
      <w:r>
        <w:rPr/>
        <w:t>被划分为持有待售的单项非流动资产和处置组中的资产，在资产负债表的流动资产部分单独列报；被划</w:t>
      </w:r>
      <w:r>
        <w:rPr/>
        <w:t> 分为持有待售的处置组中的与转让资产相关的负债，在资产负债表的流动负债部分单独列报。</w:t>
      </w:r>
    </w:p>
    <w:p>
      <w:pPr>
        <w:pStyle w:val="BodyText"/>
        <w:spacing w:line="316" w:lineRule="auto"/>
        <w:ind w:right="152" w:firstLine="360"/>
        <w:jc w:val="both"/>
      </w:pPr>
      <w:r>
        <w:rPr>
          <w:spacing w:val="-2"/>
        </w:rPr>
        <w:t>某项资产或处置组被划归为持有待售，但后来不再满足持有待售的非流动资产的确认条件，本公司停止将其划归为持有</w:t>
      </w:r>
      <w:r>
        <w:rPr/>
        <w:t> 待售，并按照下列两项金额中较低者进行计量：（</w:t>
      </w:r>
      <w:r>
        <w:rPr>
          <w:rFonts w:ascii="宋体" w:hAnsi="宋体" w:cs="宋体" w:eastAsia="宋体" w:hint="default"/>
        </w:rPr>
        <w:t>1</w:t>
      </w:r>
      <w:r>
        <w:rPr/>
        <w:t>）该资产或处置组被划归为持有待售之前的账面价值，按照其假定在没 有被划归为持有待售的情况下原应确认的折旧、摊销或减值进行调整后的金额；（</w:t>
      </w:r>
      <w:r>
        <w:rPr>
          <w:rFonts w:ascii="宋体" w:hAnsi="宋体" w:cs="宋体" w:eastAsia="宋体" w:hint="default"/>
        </w:rPr>
        <w:t>2</w:t>
      </w:r>
      <w:r>
        <w:rPr/>
        <w:t>）决定不再出售之日的可收回金额。</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5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w:t>
      </w:r>
    </w:p>
    <w:p>
      <w:pPr>
        <w:pStyle w:val="BodyText"/>
        <w:spacing w:line="316" w:lineRule="auto"/>
        <w:ind w:left="513" w:right="0"/>
        <w:jc w:val="left"/>
      </w:pPr>
      <w:r>
        <w:rPr/>
        <w:t>（</w:t>
      </w:r>
      <w:r>
        <w:rPr>
          <w:rFonts w:ascii="宋体" w:hAnsi="宋体" w:cs="宋体" w:eastAsia="宋体" w:hint="default"/>
        </w:rPr>
        <w:t>1</w:t>
      </w:r>
      <w:r>
        <w:rPr/>
        <w:t>）</w:t>
      </w:r>
      <w:r>
        <w:rPr>
          <w:spacing w:val="-62"/>
        </w:rPr>
        <w:t> </w:t>
      </w:r>
      <w:r>
        <w:rPr/>
        <w:t>投资成本的确定</w:t>
      </w:r>
      <w:r>
        <w:rPr/>
        <w:t> </w:t>
      </w:r>
      <w:r>
        <w:rPr>
          <w:spacing w:val="-2"/>
        </w:rPr>
        <w:t>对于同一控制下的企业合并取得的长期股权投资，在合并日按照被合并方所有者权益在最终控制方合并财务报表中的账</w:t>
      </w:r>
    </w:p>
    <w:p>
      <w:pPr>
        <w:pStyle w:val="BodyText"/>
        <w:spacing w:line="319" w:lineRule="auto"/>
        <w:ind w:right="15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51"/>
        <w:jc w:val="both"/>
      </w:pPr>
      <w:r>
        <w:rPr>
          <w:spacing w:val="-2"/>
        </w:rPr>
        <w:t>于“一揽子交易”进行处理：属于“一揽子交易”的，将各项交易作为一项取得控制权的交易进行会计处理。不属于“一揽</w:t>
      </w:r>
      <w:r>
        <w:rPr>
          <w:spacing w:val="-68"/>
        </w:rPr>
        <w:t> </w:t>
      </w:r>
      <w:r>
        <w:rPr>
          <w:spacing w:val="-68"/>
        </w:rPr>
      </w:r>
      <w:r>
        <w:rPr>
          <w:spacing w:val="-2"/>
        </w:rPr>
        <w:t>子交易”的，在合并日按照应享有被合并方股东权益在最终控制方合并财务报表中的账面价值的份额作为长期股权投资的初</w:t>
      </w:r>
      <w:r>
        <w:rPr>
          <w:spacing w:val="-64"/>
        </w:rPr>
        <w:t> </w:t>
      </w:r>
      <w:r>
        <w:rPr>
          <w:spacing w:val="-64"/>
        </w:rPr>
      </w:r>
      <w:r>
        <w:rPr>
          <w:spacing w:val="-2"/>
        </w:rPr>
        <w:t>始投资成本，长期股权投资初始投资成本与达到合并前的长期股权投资账面价值加上合并日进一步取得股份新支付对价的账</w:t>
      </w:r>
      <w:r>
        <w:rPr>
          <w:spacing w:val="-64"/>
        </w:rPr>
        <w:t> </w:t>
      </w:r>
      <w:r>
        <w:rPr>
          <w:spacing w:val="-64"/>
        </w:rPr>
      </w:r>
      <w:r>
        <w:rPr>
          <w:spacing w:val="-2"/>
        </w:rPr>
        <w:t>面价值之和的差额，调整资本公积；资本公积不足冲减的，调整留存收益。合并日之前持有的股权投资因采用权益法核算或</w:t>
      </w:r>
      <w:r>
        <w:rPr>
          <w:spacing w:val="-64"/>
        </w:rPr>
        <w:t> </w:t>
      </w:r>
      <w:r>
        <w:rPr>
          <w:spacing w:val="-64"/>
        </w:rPr>
      </w:r>
      <w:r>
        <w:rPr/>
        <w:t>为可供出售金融资产而确认的其他综合收益，暂不进行会计处理。</w:t>
      </w:r>
    </w:p>
    <w:p>
      <w:pPr>
        <w:pStyle w:val="BodyText"/>
        <w:spacing w:line="319" w:lineRule="auto"/>
        <w:ind w:right="15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4"/>
        </w:rPr>
        <w:t> </w:t>
      </w:r>
      <w:r>
        <w:rPr>
          <w:spacing w:val="-64"/>
        </w:rPr>
      </w:r>
      <w:r>
        <w:rPr>
          <w:spacing w:val="-2"/>
        </w:rPr>
        <w:t>股权，最终形成非同一控制下的企业合并的，应分别是否属于“一揽子交易”进行处理：属于“一揽子交易”的，将各项交</w:t>
      </w:r>
      <w:r>
        <w:rPr>
          <w:spacing w:val="-67"/>
        </w:rPr>
        <w:t> </w:t>
      </w:r>
      <w:r>
        <w:rPr>
          <w:spacing w:val="-67"/>
        </w:rPr>
      </w:r>
      <w:r>
        <w:rPr>
          <w:spacing w:val="-2"/>
        </w:rPr>
        <w:t>易作为一项取得控制权的交易进行会计处理。不属于“一揽子交易”的，按照原持有被购买方的股权投资账面价值加上新增</w:t>
      </w:r>
      <w:r>
        <w:rPr>
          <w:spacing w:val="-65"/>
        </w:rPr>
        <w:t> </w:t>
      </w:r>
      <w:r>
        <w:rPr>
          <w:spacing w:val="-65"/>
        </w:rPr>
      </w:r>
      <w:r>
        <w:rPr>
          <w:spacing w:val="-2"/>
        </w:rPr>
        <w:t>投资成本之和，作为改按成本法核算的长期股权投资的初始投资成本。原持有的股权采用权益法核算的，相关其他综合收益</w:t>
      </w:r>
      <w:r>
        <w:rPr>
          <w:spacing w:val="-63"/>
        </w:rPr>
        <w:t> </w:t>
      </w:r>
      <w:r>
        <w:rPr>
          <w:spacing w:val="-63"/>
        </w:rPr>
      </w:r>
      <w:r>
        <w:rPr>
          <w:spacing w:val="-2"/>
        </w:rPr>
        <w:t>暂不进行会计处理。原持有股权投资为可供出售金融资产的，其公允价值与账面价值之间的差额，以及原计入其他综合收益</w:t>
      </w:r>
      <w:r>
        <w:rPr>
          <w:spacing w:val="-63"/>
        </w:rPr>
        <w:t> </w:t>
      </w:r>
      <w:r>
        <w:rPr>
          <w:spacing w:val="-63"/>
        </w:rPr>
      </w:r>
      <w:r>
        <w:rPr/>
        <w:t>的累计公允价值变动转入当期损益。</w:t>
      </w:r>
    </w:p>
    <w:p>
      <w:pPr>
        <w:pStyle w:val="BodyText"/>
        <w:spacing w:line="240" w:lineRule="auto" w:before="17"/>
        <w:ind w:left="513" w:right="0"/>
        <w:jc w:val="left"/>
      </w:pPr>
      <w:r>
        <w:rPr/>
        <w:t>合并方或购买方为企业合并发生的审计、法律服务、评估咨询等中介费用以及其他相关管理费用，于发生时计入当期损</w:t>
      </w:r>
    </w:p>
    <w:p>
      <w:pPr>
        <w:pStyle w:val="BodyText"/>
        <w:spacing w:line="240" w:lineRule="auto" w:before="76"/>
        <w:ind w:right="329"/>
        <w:jc w:val="left"/>
      </w:pPr>
      <w:r>
        <w:rPr/>
        <w:t>益。</w:t>
      </w:r>
    </w:p>
    <w:p>
      <w:pPr>
        <w:pStyle w:val="BodyText"/>
        <w:spacing w:line="240" w:lineRule="auto" w:before="76"/>
        <w:ind w:left="513" w:right="0"/>
        <w:jc w:val="left"/>
      </w:pPr>
      <w:r>
        <w:rPr/>
        <w:t>除企业合并形成的长期股权投资外的其他股权投资，按成本进行初始计量，该成本视长期股权投资取得方式的不同，分</w:t>
      </w:r>
    </w:p>
    <w:p>
      <w:pPr>
        <w:pStyle w:val="BodyText"/>
        <w:spacing w:line="316" w:lineRule="auto" w:before="76"/>
        <w:ind w:right="149"/>
        <w:jc w:val="both"/>
      </w:pP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3"/>
        </w:rPr>
        <w:t>控制的，长期股权投资成本为按照《企业会计准则第 </w:t>
      </w:r>
      <w:r>
        <w:rPr>
          <w:rFonts w:ascii="宋体" w:hAnsi="宋体" w:cs="宋体" w:eastAsia="宋体" w:hint="default"/>
        </w:rPr>
        <w:t>22</w:t>
      </w:r>
      <w:r>
        <w:rPr>
          <w:rFonts w:ascii="宋体" w:hAnsi="宋体" w:cs="宋体" w:eastAsia="宋体" w:hint="default"/>
          <w:spacing w:val="-10"/>
        </w:rPr>
        <w:t> </w:t>
      </w:r>
      <w:r>
        <w:rPr/>
        <w:t>号——金融工具确认和计量》确定的原持有股权投资的公允价值加 上新增投资成本之和。</w:t>
      </w:r>
    </w:p>
    <w:p>
      <w:pPr>
        <w:pStyle w:val="BodyText"/>
        <w:spacing w:line="319" w:lineRule="auto"/>
        <w:ind w:left="513" w:right="0"/>
        <w:jc w:val="left"/>
      </w:pPr>
      <w:r>
        <w:rPr/>
        <w:t>（</w:t>
      </w:r>
      <w:r>
        <w:rPr>
          <w:rFonts w:ascii="宋体" w:hAnsi="宋体" w:cs="宋体" w:eastAsia="宋体" w:hint="default"/>
        </w:rPr>
        <w:t>2</w:t>
      </w:r>
      <w:r>
        <w:rPr/>
        <w:t>）</w:t>
      </w:r>
      <w:r>
        <w:rPr>
          <w:spacing w:val="-62"/>
        </w:rPr>
        <w:t> </w:t>
      </w:r>
      <w:r>
        <w:rPr/>
        <w:t>后续计量及损益确认</w:t>
      </w:r>
      <w:r>
        <w:rPr/>
        <w:t> </w:t>
      </w:r>
      <w:r>
        <w:rPr>
          <w:spacing w:val="-2"/>
        </w:rPr>
        <w:t>对被投资单位具有共同控制（构成共同经营者除外）或重大影响的长期股权投资，采用权益法核算。此外，公司财务报</w:t>
      </w:r>
    </w:p>
    <w:p>
      <w:pPr>
        <w:pStyle w:val="BodyText"/>
        <w:spacing w:line="240" w:lineRule="auto" w:before="17"/>
        <w:ind w:right="0"/>
        <w:jc w:val="both"/>
      </w:pPr>
      <w:r>
        <w:rPr/>
        <w:t>表采用成本法核算能够对被投资单位实施控制的长期股权投资。</w:t>
      </w:r>
    </w:p>
    <w:p>
      <w:pPr>
        <w:pStyle w:val="BodyText"/>
        <w:spacing w:line="316" w:lineRule="auto" w:before="76"/>
        <w:ind w:left="513" w:right="0"/>
        <w:jc w:val="left"/>
      </w:pPr>
      <w:r>
        <w:rPr/>
        <w:t>①本公司能够对被投资单位实施控制的长期股权投资按照成本法核算。 </w:t>
      </w:r>
      <w:r>
        <w:rPr>
          <w:spacing w:val="-2"/>
        </w:rPr>
        <w:t>采用成本法核算的长期股权投资按照初始投资成本计价；追加或收回投资调整长期股权投资的成本；被投资单位宣告分</w:t>
      </w:r>
    </w:p>
    <w:p>
      <w:pPr>
        <w:pStyle w:val="BodyText"/>
        <w:spacing w:line="316" w:lineRule="auto"/>
        <w:ind w:right="152"/>
        <w:jc w:val="both"/>
      </w:pPr>
      <w:r>
        <w:rPr>
          <w:spacing w:val="-2"/>
        </w:rPr>
        <w:t>派的现金股利或利润，确认为当期投资收益，除取得投资时实际支付的价款或对价中包含的已宣告但尚未发放的现金股利或</w:t>
      </w:r>
      <w:r>
        <w:rPr>
          <w:spacing w:val="-64"/>
        </w:rPr>
        <w:t> </w:t>
      </w:r>
      <w:r>
        <w:rPr>
          <w:spacing w:val="-64"/>
        </w:rPr>
      </w:r>
      <w:r>
        <w:rPr/>
        <w:t>利润作为初始投资成本的收回外，按照享有被投资单位宣告发放的现金股利或利润确认投资收益。</w:t>
      </w:r>
    </w:p>
    <w:p>
      <w:pPr>
        <w:pStyle w:val="BodyText"/>
        <w:spacing w:line="316" w:lineRule="auto"/>
        <w:ind w:left="513" w:right="0"/>
        <w:jc w:val="left"/>
      </w:pPr>
      <w:r>
        <w:rPr/>
        <w:t>②对被投资单位具有共同控制或重大影响的长期股权，采用益法核算。 </w:t>
      </w:r>
      <w:r>
        <w:rPr>
          <w:spacing w:val="-2"/>
        </w:rPr>
        <w:t>采用权益法核算时，长期股权投资的初始投资成本大于投资时应享有被投资单位可辨认净资产公允价值份额的，不调整</w:t>
      </w:r>
    </w:p>
    <w:p>
      <w:pPr>
        <w:pStyle w:val="BodyText"/>
        <w:spacing w:line="316" w:lineRule="auto"/>
        <w:ind w:right="153"/>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9" w:lineRule="auto"/>
        <w:ind w:right="150"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期股权投资的账面价值；被投资单位除净损益、其他综合收益和利润分配以外所有者权益的其他变动，调整长期股权投资的</w:t>
      </w:r>
      <w:r>
        <w:rPr>
          <w:spacing w:val="-63"/>
        </w:rPr>
        <w:t> </w:t>
      </w:r>
      <w:r>
        <w:rPr>
          <w:spacing w:val="-63"/>
        </w:rPr>
      </w:r>
      <w:r>
        <w:rPr/>
        <w:t>账面价值并计入所有者权益。</w:t>
      </w:r>
    </w:p>
    <w:p>
      <w:pPr>
        <w:pStyle w:val="BodyText"/>
        <w:spacing w:line="316" w:lineRule="auto" w:before="17"/>
        <w:ind w:right="151" w:firstLine="360"/>
        <w:jc w:val="both"/>
      </w:pPr>
      <w:r>
        <w:rPr>
          <w:spacing w:val="-2"/>
        </w:rPr>
        <w:t>在确认应享有被投资单位净损益的份额时，以取得投资时被投资单位各项可辨认资产等的公允价值为基础，对被投资单</w:t>
      </w:r>
      <w:r>
        <w:rPr/>
        <w:t> </w:t>
      </w:r>
      <w:r>
        <w:rPr>
          <w:spacing w:val="-2"/>
        </w:rPr>
        <w:t>位的净利润进行调整后确认。被投资单位采用的会计政策及会计期间与本公司不一致的，按照本公司的会计政策及会计期间</w:t>
      </w:r>
      <w:r>
        <w:rPr>
          <w:spacing w:val="-62"/>
        </w:rPr>
        <w:t> </w:t>
      </w:r>
      <w:r>
        <w:rPr>
          <w:spacing w:val="-62"/>
        </w:rPr>
      </w:r>
      <w:r>
        <w:rPr/>
        <w:t>对被投资单位的财务报表进行调整，并据以确认投资收益和其他综合收益。</w:t>
      </w:r>
    </w:p>
    <w:p>
      <w:pPr>
        <w:pStyle w:val="BodyText"/>
        <w:spacing w:line="316" w:lineRule="auto"/>
        <w:ind w:right="148" w:firstLine="360"/>
        <w:jc w:val="both"/>
      </w:pPr>
      <w:r>
        <w:rPr>
          <w:spacing w:val="-2"/>
        </w:rPr>
        <w:t>对于本公司与联营企业及合营企业之间发生的交易，投出或出售的资产不构成业务的，未实现内部交易损益按照享有的</w:t>
      </w:r>
      <w:r>
        <w:rPr/>
        <w:t> </w:t>
      </w:r>
      <w:r>
        <w:rPr>
          <w:spacing w:val="-2"/>
        </w:rPr>
        <w:t>比例计算归属于本公司的部分予以抵销，在此基础上确认投资损益。但本公司与被投资单位发生的未实现内部交易损失，属</w:t>
      </w:r>
      <w:r>
        <w:rPr>
          <w:spacing w:val="-63"/>
        </w:rPr>
        <w:t> </w:t>
      </w:r>
      <w:r>
        <w:rPr>
          <w:spacing w:val="-63"/>
        </w:rPr>
      </w:r>
      <w:r>
        <w:rPr>
          <w:spacing w:val="-2"/>
        </w:rPr>
        <w:t>于所转让资产减值损失的，不予以抵销。本公司向合营企业或联营企业投出的资产构成业务的，投资方因此取得长期股权投</w:t>
      </w:r>
      <w:r>
        <w:rPr>
          <w:spacing w:val="-63"/>
        </w:rPr>
        <w:t> </w:t>
      </w:r>
      <w:r>
        <w:rPr>
          <w:spacing w:val="-63"/>
        </w:rPr>
      </w:r>
      <w:r>
        <w:rPr>
          <w:spacing w:val="-2"/>
        </w:rPr>
        <w:t>资但未取得控制权的，以投出业务的公允价值作为新增长期股权投资的初始投资成本，初始投资成本与投出业务的账面价值</w:t>
      </w:r>
      <w:r>
        <w:rPr>
          <w:spacing w:val="-62"/>
        </w:rPr>
        <w:t> </w:t>
      </w:r>
      <w:r>
        <w:rPr>
          <w:spacing w:val="-62"/>
        </w:rPr>
      </w:r>
      <w:r>
        <w:rPr>
          <w:spacing w:val="-2"/>
        </w:rPr>
        <w:t>之差，全额计入当期损益。本公司向合营企业或联营企业出售的资产构成业务的，取得的对价与业务的账面价值之差，全额</w:t>
      </w:r>
      <w:r>
        <w:rPr>
          <w:spacing w:val="-64"/>
        </w:rPr>
        <w:t> </w:t>
      </w:r>
      <w:r>
        <w:rPr>
          <w:spacing w:val="-64"/>
        </w:rPr>
      </w:r>
      <w:r>
        <w:rPr>
          <w:spacing w:val="-2"/>
        </w:rPr>
        <w:t>计入当期损益。本公司自联营企业及合营企业购入的资产构成业务的，按《企业会计准则第</w:t>
      </w:r>
      <w:r>
        <w:rPr>
          <w:rFonts w:ascii="宋体" w:hAnsi="宋体" w:cs="宋体" w:eastAsia="宋体" w:hint="default"/>
          <w:spacing w:val="-2"/>
        </w:rPr>
        <w:t>20</w:t>
      </w:r>
      <w:r>
        <w:rPr>
          <w:spacing w:val="-2"/>
        </w:rPr>
        <w:t>号——企业合并》的规定进行</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513" w:right="0" w:hanging="361"/>
        <w:jc w:val="left"/>
      </w:pPr>
      <w:r>
        <w:rPr/>
        <w:t>会计处理，全额确认与交易相关的利得或损失。 </w:t>
      </w:r>
      <w:r>
        <w:rPr>
          <w:spacing w:val="-2"/>
        </w:rPr>
        <w:t>在确认应分担被投资单位发生的净亏损时，以长期股权投资的账面价值和其他实质上构成对被投资单位净投资的长期权</w:t>
      </w:r>
    </w:p>
    <w:p>
      <w:pPr>
        <w:pStyle w:val="BodyText"/>
        <w:spacing w:line="316" w:lineRule="auto"/>
        <w:ind w:right="151"/>
        <w:jc w:val="both"/>
      </w:pP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316" w:lineRule="auto"/>
        <w:ind w:left="513" w:right="140"/>
        <w:jc w:val="left"/>
        <w:rPr>
          <w:rFonts w:ascii="宋体" w:hAnsi="宋体" w:cs="宋体" w:eastAsia="宋体" w:hint="default"/>
        </w:rPr>
      </w:pPr>
      <w:r>
        <w:rPr/>
        <w:t>③追加投资和处置股权的处置方法 本公司因追加投资等原因能够对被投资单位施加重大影响或实施共同控制但不构成控制的，按照《企业会计准则第</w:t>
      </w:r>
      <w:r>
        <w:rPr>
          <w:spacing w:val="3"/>
        </w:rPr>
        <w:t> </w:t>
      </w:r>
      <w:r>
        <w:rPr>
          <w:rFonts w:ascii="宋体" w:hAnsi="宋体" w:cs="宋体" w:eastAsia="宋体" w:hint="default"/>
        </w:rPr>
        <w:t>22</w:t>
      </w:r>
    </w:p>
    <w:p>
      <w:pPr>
        <w:pStyle w:val="BodyText"/>
        <w:spacing w:line="316" w:lineRule="auto"/>
        <w:ind w:right="150"/>
        <w:jc w:val="both"/>
      </w:pPr>
      <w:r>
        <w:rPr>
          <w:spacing w:val="-2"/>
        </w:rPr>
        <w:t>号——金融工具确认和计量》确定的原持有的股权投资的公允价值加上新增投资成本之和，作为改按权益法核算的初始投资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3"/>
        </w:rPr>
        <w:t> </w:t>
      </w:r>
      <w:r>
        <w:rPr>
          <w:spacing w:val="-63"/>
        </w:rPr>
      </w:r>
      <w:r>
        <w:rPr/>
        <w:t>公允价值变动转入改按权益法核算的当期损益。</w:t>
      </w:r>
    </w:p>
    <w:p>
      <w:pPr>
        <w:pStyle w:val="BodyText"/>
        <w:spacing w:line="319" w:lineRule="auto"/>
        <w:ind w:right="149" w:firstLine="360"/>
        <w:jc w:val="both"/>
      </w:pPr>
      <w:r>
        <w:rPr>
          <w:spacing w:val="-2"/>
        </w:rPr>
        <w:t>本公司因追加投资等原因能够对非同一控制下的被投资单位实施控制的，在编制个别财务报表时，按照原持有的股权投</w:t>
      </w:r>
      <w:r>
        <w:rPr/>
        <w:t> </w:t>
      </w:r>
      <w:r>
        <w:rPr>
          <w:spacing w:val="-2"/>
        </w:rPr>
        <w:t>资账面价值加上新增投资成本之和，作为改按成本法核算的初始投资成本。购买日之前持有的股权投资因采用权益法核算而</w:t>
      </w:r>
      <w:r>
        <w:rPr>
          <w:spacing w:val="-64"/>
        </w:rPr>
        <w:t> </w:t>
      </w:r>
      <w:r>
        <w:rPr>
          <w:spacing w:val="-64"/>
        </w:rPr>
      </w:r>
      <w:r>
        <w:rPr>
          <w:spacing w:val="-2"/>
        </w:rPr>
        <w:t>确认的其他综合收益，应当在处置该项投资时采用与被投资单位直接处置相关资产或负债相同的基础进行会计处理。购买日</w:t>
      </w:r>
      <w:r>
        <w:rPr>
          <w:spacing w:val="-64"/>
        </w:rPr>
        <w:t> </w:t>
      </w:r>
      <w:r>
        <w:rPr>
          <w:spacing w:val="-64"/>
        </w:rPr>
      </w:r>
      <w:r>
        <w:rPr/>
        <w:t>之前持有的股权投资按照《企业会计准则第</w:t>
      </w:r>
      <w:r>
        <w:rPr>
          <w:spacing w:val="-38"/>
        </w:rPr>
        <w:t> </w:t>
      </w:r>
      <w:r>
        <w:rPr>
          <w:rFonts w:ascii="宋体" w:hAnsi="宋体" w:cs="宋体" w:eastAsia="宋体" w:hint="default"/>
        </w:rPr>
        <w:t>22</w:t>
      </w:r>
      <w:r>
        <w:rPr>
          <w:rFonts w:ascii="宋体" w:hAnsi="宋体" w:cs="宋体" w:eastAsia="宋体" w:hint="default"/>
          <w:spacing w:val="-39"/>
        </w:rPr>
        <w:t> </w:t>
      </w:r>
      <w:r>
        <w:rPr/>
        <w:t>号——金融工具确认和计量》的有关规定进行会计处理的，原计入其他综合 收益的累计公允价值变动应当在改按成本法核算时转入当期损益。</w:t>
      </w:r>
    </w:p>
    <w:p>
      <w:pPr>
        <w:pStyle w:val="BodyText"/>
        <w:spacing w:line="316" w:lineRule="auto" w:before="17"/>
        <w:ind w:right="151" w:firstLine="360"/>
        <w:jc w:val="both"/>
      </w:pPr>
      <w:r>
        <w:rPr>
          <w:spacing w:val="-2"/>
        </w:rPr>
        <w:t>本公司因处置部分股权投资等原因丧失了对被投资单位的共同控制或重大影响的，处置后的剩余股权应当改按《企业会</w:t>
      </w:r>
      <w:r>
        <w:rPr/>
        <w:t> 计准则第</w:t>
      </w:r>
      <w:r>
        <w:rPr>
          <w:spacing w:val="-39"/>
        </w:rPr>
        <w:t> </w:t>
      </w:r>
      <w:r>
        <w:rPr>
          <w:rFonts w:ascii="宋体" w:hAnsi="宋体" w:cs="宋体" w:eastAsia="宋体" w:hint="default"/>
        </w:rPr>
        <w:t>22</w:t>
      </w:r>
      <w:r>
        <w:rPr>
          <w:rFonts w:ascii="宋体" w:hAnsi="宋体" w:cs="宋体" w:eastAsia="宋体" w:hint="default"/>
          <w:spacing w:val="-40"/>
        </w:rPr>
        <w:t> </w:t>
      </w:r>
      <w:r>
        <w:rPr/>
        <w:t>号——金融工具确认和计量》核算，其在丧失共同控制或重大影响之日的公允价值与账面价值之间的差额计入 </w:t>
      </w:r>
      <w:r>
        <w:rPr>
          <w:spacing w:val="-2"/>
        </w:rPr>
        <w:t>当期损益。原股权投资因采用权益法核算而确认的其他综合收益，应当在终止采用权益法核算时采用与被投资单位直接处置</w:t>
      </w:r>
      <w:r>
        <w:rPr>
          <w:spacing w:val="-64"/>
        </w:rPr>
        <w:t> </w:t>
      </w:r>
      <w:r>
        <w:rPr>
          <w:spacing w:val="-64"/>
        </w:rPr>
      </w:r>
      <w:r>
        <w:rPr/>
        <w:t>相关资产或负债相同的基础进行会计处理。</w:t>
      </w:r>
    </w:p>
    <w:p>
      <w:pPr>
        <w:pStyle w:val="BodyText"/>
        <w:spacing w:line="319" w:lineRule="auto"/>
        <w:ind w:right="151" w:firstLine="360"/>
        <w:jc w:val="both"/>
      </w:pPr>
      <w:r>
        <w:rPr>
          <w:spacing w:val="-2"/>
        </w:rPr>
        <w:t>本公司因处置部分权益性投资等原因丧失了对被投资单位的控制的，在编制个别财务报表时，处置后的剩余股权能够对</w:t>
      </w:r>
      <w:r>
        <w:rPr/>
        <w:t> </w:t>
      </w:r>
      <w:r>
        <w:rPr>
          <w:spacing w:val="-2"/>
        </w:rPr>
        <w:t>被投资单位实施共同控制或施加重大影响的，应当改按权益法核算，并对该剩余股权视同自取得时即采用权益法核算进行调</w:t>
      </w:r>
      <w:r>
        <w:rPr>
          <w:spacing w:val="-62"/>
        </w:rPr>
        <w:t> </w:t>
      </w:r>
      <w:r>
        <w:rPr>
          <w:spacing w:val="-62"/>
        </w:rPr>
      </w:r>
      <w:r>
        <w:rPr/>
        <w:t>整；处置后的剩余股权不能对被投资单位实施共同控制或施加重大影响的，应当改按《企业会计准则第</w:t>
      </w:r>
      <w:r>
        <w:rPr>
          <w:spacing w:val="-39"/>
        </w:rPr>
        <w:t> </w:t>
      </w:r>
      <w:r>
        <w:rPr>
          <w:rFonts w:ascii="宋体" w:hAnsi="宋体" w:cs="宋体" w:eastAsia="宋体" w:hint="default"/>
        </w:rPr>
        <w:t>22</w:t>
      </w:r>
      <w:r>
        <w:rPr>
          <w:rFonts w:ascii="宋体" w:hAnsi="宋体" w:cs="宋体" w:eastAsia="宋体" w:hint="default"/>
          <w:spacing w:val="-41"/>
        </w:rPr>
        <w:t> </w:t>
      </w:r>
      <w:r>
        <w:rPr/>
        <w:t>号——金融工具 确认和计量》的有关规定进行会计处理，其在丧失控制之日的公允价值与账面价值间的差额计入当期损益。</w:t>
      </w:r>
    </w:p>
    <w:p>
      <w:pPr>
        <w:pStyle w:val="BodyText"/>
        <w:spacing w:line="316" w:lineRule="auto" w:before="17"/>
        <w:ind w:left="513" w:right="0"/>
        <w:jc w:val="left"/>
      </w:pPr>
      <w:r>
        <w:rPr/>
        <w:t>（</w:t>
      </w:r>
      <w:r>
        <w:rPr>
          <w:rFonts w:ascii="宋体" w:hAnsi="宋体" w:cs="宋体" w:eastAsia="宋体" w:hint="default"/>
        </w:rPr>
        <w:t>3</w:t>
      </w:r>
      <w:r>
        <w:rPr/>
        <w:t>）</w:t>
      </w:r>
      <w:r>
        <w:rPr>
          <w:spacing w:val="-62"/>
        </w:rPr>
        <w:t> </w:t>
      </w:r>
      <w:r>
        <w:rPr/>
        <w:t>确定对被投资单位具有共同控制、重大影响的依据</w:t>
      </w:r>
      <w:r>
        <w:rPr/>
        <w:t> 控制的定义见本节五</w:t>
      </w:r>
      <w:r>
        <w:rPr>
          <w:rFonts w:ascii="宋体" w:hAnsi="宋体" w:cs="宋体" w:eastAsia="宋体" w:hint="default"/>
        </w:rPr>
        <w:t>6</w:t>
      </w:r>
      <w:r>
        <w:rPr/>
        <w:t>、（</w:t>
      </w:r>
      <w:r>
        <w:rPr>
          <w:rFonts w:ascii="宋体" w:hAnsi="宋体" w:cs="宋体" w:eastAsia="宋体" w:hint="default"/>
        </w:rPr>
        <w:t>1</w:t>
      </w:r>
      <w:r>
        <w:rPr/>
        <w:t>）“合并财务报表范围的确定原则” </w:t>
      </w:r>
      <w:r>
        <w:rPr>
          <w:spacing w:val="-2"/>
        </w:rPr>
        <w:t>共同控制，是指本公司按照相关约定对某项安排所共有的控制，并且该安排的相关活动必须经过分享控制权的参与方一</w:t>
      </w:r>
    </w:p>
    <w:p>
      <w:pPr>
        <w:pStyle w:val="BodyText"/>
        <w:spacing w:line="316" w:lineRule="auto"/>
        <w:ind w:right="149"/>
        <w:jc w:val="both"/>
      </w:pPr>
      <w:r>
        <w:rPr>
          <w:spacing w:val="-2"/>
        </w:rPr>
        <w:t>致同意后才能决策。重大影响，是指本公司对被投资单位的财务和经营政策有参与决策的权力，但并不能够控制或者与其他</w:t>
      </w:r>
      <w:r>
        <w:rPr>
          <w:spacing w:val="-62"/>
        </w:rPr>
        <w:t> </w:t>
      </w:r>
      <w:r>
        <w:rPr>
          <w:spacing w:val="-62"/>
        </w:rPr>
      </w:r>
      <w:r>
        <w:rPr>
          <w:spacing w:val="-2"/>
        </w:rPr>
        <w:t>方一起共同控制这些政策的制定。在确定能否对被投资单位实施控制或施加重大影响时，已考虑投资企业和其他方持有的被</w:t>
      </w:r>
      <w:r>
        <w:rPr>
          <w:spacing w:val="-64"/>
        </w:rPr>
        <w:t> </w:t>
      </w:r>
      <w:r>
        <w:rPr>
          <w:spacing w:val="-64"/>
        </w:rPr>
      </w:r>
      <w:r>
        <w:rPr/>
        <w:t>投资单位当期可转换公司债券、当期可执行认股权证等潜在表决权因素。</w:t>
      </w:r>
    </w:p>
    <w:p>
      <w:pPr>
        <w:pStyle w:val="BodyText"/>
        <w:spacing w:line="316" w:lineRule="auto"/>
        <w:ind w:right="150" w:firstLine="360"/>
        <w:jc w:val="both"/>
      </w:pPr>
      <w:r>
        <w:rPr/>
        <w:t>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r>
        <w:rPr/>
        <w:t>的表决权股份时，除非有明确证据表明该 </w:t>
      </w:r>
      <w:r>
        <w:rPr>
          <w:spacing w:val="-2"/>
        </w:rPr>
        <w:t>种情况下不能参与被投资单位的生产经营决策，不形成重大影响外，均确定对被投资单位具有重大影响；本公司拥有被投资</w:t>
      </w:r>
      <w:r>
        <w:rPr>
          <w:spacing w:val="-63"/>
        </w:rPr>
        <w:t> </w:t>
      </w:r>
      <w:r>
        <w:rPr>
          <w:spacing w:val="-63"/>
        </w:rPr>
      </w:r>
      <w:r>
        <w:rPr/>
        <w:t>单位</w:t>
      </w:r>
      <w:r>
        <w:rPr>
          <w:rFonts w:ascii="宋体" w:hAnsi="宋体" w:cs="宋体" w:eastAsia="宋体" w:hint="default"/>
        </w:rPr>
        <w:t>20%</w:t>
      </w:r>
      <w:r>
        <w:rPr/>
        <w:t>（不含）以下的表决权股份，一般不认为对被投资单位具有重大影响，除非有明确证据表明该种情况下能够参与被 投资单位的生产经营决策，形成重大影响。</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52" w:firstLine="360"/>
        <w:jc w:val="both"/>
      </w:pPr>
      <w:r>
        <w:rPr>
          <w:spacing w:val="-2"/>
        </w:rPr>
        <w:t>固定资产是指为生商品、提供劳务出租或经营管理而持有并且使用寿命超过一个会计年度的形资产。固定资产在满足下</w:t>
      </w:r>
      <w:r>
        <w:rPr/>
        <w:t> 列条件时予以确认： ①与该固定资产有关的经济利益很可能流入本公司； ②该固定资产的成本能够可</w:t>
      </w:r>
      <w:r>
        <w:rPr>
          <w:spacing w:val="3"/>
        </w:rPr>
        <w:t> </w:t>
      </w:r>
      <w:r>
        <w:rPr/>
        <w:t>靠的计量。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9.5%-32.33%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9.5%-32.33%</w:t>
            </w:r>
          </w:p>
        </w:tc>
      </w:tr>
    </w:tbl>
    <w:p>
      <w:pPr>
        <w:spacing w:line="240" w:lineRule="auto" w:before="3"/>
        <w:rPr>
          <w:rFonts w:ascii="宋体" w:hAnsi="宋体" w:cs="宋体" w:eastAsia="宋体" w:hint="default"/>
          <w:b/>
          <w:bCs/>
          <w:sz w:val="19"/>
          <w:szCs w:val="19"/>
        </w:rPr>
      </w:pPr>
    </w:p>
    <w:p>
      <w:pPr>
        <w:pStyle w:val="Heading3"/>
        <w:spacing w:line="240" w:lineRule="auto" w:before="36"/>
        <w:ind w:right="89"/>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89" w:firstLine="360"/>
        <w:jc w:val="both"/>
      </w:pPr>
      <w:r>
        <w:rPr/>
        <w:t>符合下列一项或数标准的</w:t>
      </w:r>
      <w:r>
        <w:rPr>
          <w:spacing w:val="1"/>
        </w:rPr>
        <w:t> </w:t>
      </w:r>
      <w:r>
        <w:rPr/>
        <w:t>，认定为融资租赁：①在租赁期届满时，资产的所有权转移给承人；②承租人有购买赁资产</w:t>
      </w:r>
      <w:r>
        <w:rPr/>
        <w:t> </w:t>
      </w:r>
      <w:r>
        <w:rPr>
          <w:spacing w:val="-2"/>
        </w:rPr>
        <w:t>的选择权，所订立价款预计将远远低于行使选择权时租赁资产的公允值，因而租赁在开始日就可以合理确定承租人将会行使</w:t>
      </w:r>
      <w:r>
        <w:rPr>
          <w:spacing w:val="-64"/>
        </w:rPr>
        <w:t> </w:t>
      </w:r>
      <w:r>
        <w:rPr>
          <w:spacing w:val="-64"/>
        </w:rPr>
      </w:r>
      <w:r>
        <w:rPr>
          <w:spacing w:val="-2"/>
        </w:rPr>
        <w:t>这种选择权；③即使资产的所有权不转移，但租赁期占租赁资产使用寿命的大部分；④承租人在赁开始日的最低租赁付款额</w:t>
      </w:r>
      <w:r>
        <w:rPr>
          <w:spacing w:val="-61"/>
        </w:rPr>
        <w:t> </w:t>
      </w:r>
      <w:r>
        <w:rPr>
          <w:spacing w:val="-61"/>
        </w:rPr>
      </w:r>
      <w:r>
        <w:rPr>
          <w:spacing w:val="-2"/>
        </w:rPr>
        <w:t>现值，几乎相当于租赁开始日租赁资产的公允价值；出承租人在赁开始日的最低租赁收款额现值，几乎相当于租赁开始日租</w:t>
      </w:r>
      <w:r>
        <w:rPr>
          <w:spacing w:val="-63"/>
        </w:rPr>
        <w:t> </w:t>
      </w:r>
      <w:r>
        <w:rPr>
          <w:spacing w:val="-63"/>
        </w:rPr>
      </w:r>
      <w:r>
        <w:rPr>
          <w:spacing w:val="-2"/>
        </w:rPr>
        <w:t>赁资产的公允价值；⑤租赁资产性质特殊，如果不作较大改造，只有承人才能使用。计价方法：在租赁期开始日，融资入固</w:t>
      </w:r>
      <w:r>
        <w:rPr>
          <w:spacing w:val="-68"/>
        </w:rPr>
        <w:t> </w:t>
      </w:r>
      <w:r>
        <w:rPr>
          <w:spacing w:val="-68"/>
        </w:rPr>
      </w:r>
      <w:r>
        <w:rPr/>
        <w:t>定产的入账价值为租赁开始日租赁资产的公允价值与最低租赁付款额的现值两着较低者。</w:t>
      </w:r>
    </w:p>
    <w:p>
      <w:pPr>
        <w:spacing w:line="240" w:lineRule="auto" w:before="9"/>
        <w:rPr>
          <w:rFonts w:ascii="宋体" w:hAnsi="宋体" w:cs="宋体" w:eastAsia="宋体" w:hint="default"/>
          <w:sz w:val="22"/>
          <w:szCs w:val="22"/>
        </w:rPr>
      </w:pPr>
    </w:p>
    <w:p>
      <w:pPr>
        <w:pStyle w:val="Heading3"/>
        <w:spacing w:line="240" w:lineRule="auto"/>
        <w:ind w:right="89"/>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513" w:right="5493"/>
        <w:jc w:val="left"/>
      </w:pPr>
      <w:r>
        <w:rPr/>
        <w:t>（</w:t>
      </w:r>
      <w:r>
        <w:rPr>
          <w:rFonts w:ascii="宋体" w:hAnsi="宋体" w:cs="宋体" w:eastAsia="宋体" w:hint="default"/>
        </w:rPr>
        <w:t>1</w:t>
      </w:r>
      <w:r>
        <w:rPr/>
        <w:t>）</w:t>
      </w:r>
      <w:r>
        <w:rPr>
          <w:spacing w:val="-62"/>
        </w:rPr>
        <w:t> </w:t>
      </w:r>
      <w:r>
        <w:rPr/>
        <w:t>在建工程的类别</w:t>
      </w:r>
      <w:r>
        <w:rPr/>
        <w:t> 在建工程指兴建中的厂房与设备及其他固定资产。</w:t>
      </w:r>
    </w:p>
    <w:p>
      <w:pPr>
        <w:pStyle w:val="BodyText"/>
        <w:spacing w:line="316" w:lineRule="auto"/>
        <w:ind w:left="513" w:right="89"/>
        <w:jc w:val="left"/>
      </w:pPr>
      <w:r>
        <w:rPr/>
        <w:t>（</w:t>
      </w:r>
      <w:r>
        <w:rPr>
          <w:rFonts w:ascii="宋体" w:hAnsi="宋体" w:cs="宋体" w:eastAsia="宋体" w:hint="default"/>
        </w:rPr>
        <w:t>2</w:t>
      </w:r>
      <w:r>
        <w:rPr/>
        <w:t>）</w:t>
      </w:r>
      <w:r>
        <w:rPr>
          <w:spacing w:val="-62"/>
        </w:rPr>
        <w:t> </w:t>
      </w:r>
      <w:r>
        <w:rPr/>
        <w:t>在建工程结转为固定资产的标准和时点</w:t>
      </w:r>
      <w:r>
        <w:rPr/>
        <w:t> </w:t>
      </w:r>
      <w:r>
        <w:rPr>
          <w:spacing w:val="-2"/>
        </w:rPr>
        <w:t>在建工程在达到预定可使用状态时，确认为固定资产，并停止利息资本化。在建工程达到预定可使用状态时，按工程实</w:t>
      </w:r>
    </w:p>
    <w:p>
      <w:pPr>
        <w:pStyle w:val="BodyText"/>
        <w:spacing w:line="316" w:lineRule="auto"/>
        <w:ind w:right="89"/>
        <w:jc w:val="left"/>
      </w:pPr>
      <w:r>
        <w:rPr>
          <w:spacing w:val="-2"/>
        </w:rPr>
        <w:t>际成本转入固定资产。已达到预定可使用状态但尚未办理竣工决算的，先按估计价值计入固定资产，待办理竣工决算后再按</w:t>
      </w:r>
      <w:r>
        <w:rPr>
          <w:spacing w:val="-63"/>
        </w:rPr>
        <w:t> </w:t>
      </w:r>
      <w:r>
        <w:rPr>
          <w:spacing w:val="-63"/>
        </w:rPr>
      </w:r>
      <w:r>
        <w:rPr/>
        <w:t>实际成本调整原暂估价值，但不再调整已计提的折旧。</w:t>
      </w:r>
    </w:p>
    <w:p>
      <w:pPr>
        <w:pStyle w:val="BodyText"/>
        <w:spacing w:line="316" w:lineRule="auto"/>
        <w:ind w:left="513" w:right="175"/>
        <w:jc w:val="left"/>
      </w:pPr>
      <w:r>
        <w:rPr/>
        <w:t>（</w:t>
      </w:r>
      <w:r>
        <w:rPr>
          <w:rFonts w:ascii="宋体" w:hAnsi="宋体" w:cs="宋体" w:eastAsia="宋体" w:hint="default"/>
        </w:rPr>
        <w:t>3</w:t>
      </w:r>
      <w:r>
        <w:rPr/>
        <w:t>）</w:t>
      </w:r>
      <w:r>
        <w:rPr>
          <w:spacing w:val="-62"/>
        </w:rPr>
        <w:t> </w:t>
      </w:r>
      <w:r>
        <w:rPr/>
        <w:t>在建工程的减值测试方法、减值准备计提方法</w:t>
      </w:r>
      <w:r>
        <w:rPr/>
        <w:t> 期末需对在建工程进行全面检查，若在建工程长期停建并且预计在未来</w:t>
      </w:r>
      <w:r>
        <w:rPr>
          <w:rFonts w:ascii="宋体" w:hAnsi="宋体" w:cs="宋体" w:eastAsia="宋体" w:hint="default"/>
        </w:rPr>
        <w:t>3</w:t>
      </w:r>
      <w:r>
        <w:rPr>
          <w:rFonts w:ascii="宋体" w:hAnsi="宋体" w:cs="宋体" w:eastAsia="宋体" w:hint="default"/>
          <w:spacing w:val="-22"/>
        </w:rPr>
        <w:t> </w:t>
      </w:r>
      <w:r>
        <w:rPr>
          <w:spacing w:val="-3"/>
        </w:rPr>
        <w:t>年内不会重新开工，所建项目在性能上、技术</w:t>
      </w:r>
    </w:p>
    <w:p>
      <w:pPr>
        <w:pStyle w:val="BodyText"/>
        <w:spacing w:line="316" w:lineRule="auto"/>
        <w:ind w:right="89"/>
        <w:jc w:val="left"/>
      </w:pPr>
      <w:r>
        <w:rPr>
          <w:spacing w:val="-2"/>
        </w:rPr>
        <w:t>上已经落后并且所带来的经济效益具有很大的不确定性，或其他足以证明在建工程已经发生减值的，按可收回金额低于账面</w:t>
      </w:r>
      <w:r>
        <w:rPr>
          <w:spacing w:val="-64"/>
        </w:rPr>
        <w:t> </w:t>
      </w:r>
      <w:r>
        <w:rPr>
          <w:spacing w:val="-64"/>
        </w:rPr>
      </w:r>
      <w:r>
        <w:rPr/>
        <w:t>价值的差额计提在建工程减值准备。</w:t>
      </w:r>
    </w:p>
    <w:p>
      <w:pPr>
        <w:pStyle w:val="BodyText"/>
        <w:spacing w:line="240" w:lineRule="auto"/>
        <w:ind w:left="513" w:right="89"/>
        <w:jc w:val="left"/>
      </w:pPr>
      <w:r>
        <w:rPr/>
        <w:t>在建工程资产减值损失一经确认，在以后会计期间不得转回。</w:t>
      </w:r>
    </w:p>
    <w:p>
      <w:pPr>
        <w:spacing w:line="240" w:lineRule="auto" w:before="0"/>
        <w:rPr>
          <w:rFonts w:ascii="宋体" w:hAnsi="宋体" w:cs="宋体" w:eastAsia="宋体" w:hint="default"/>
          <w:sz w:val="18"/>
          <w:szCs w:val="18"/>
        </w:rPr>
      </w:pPr>
    </w:p>
    <w:p>
      <w:pPr>
        <w:pStyle w:val="Heading3"/>
        <w:spacing w:line="240" w:lineRule="auto" w:before="120"/>
        <w:ind w:right="89"/>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left="513" w:right="273"/>
        <w:jc w:val="left"/>
      </w:pPr>
      <w:r>
        <w:rPr/>
        <w:t>（</w:t>
      </w:r>
      <w:r>
        <w:rPr>
          <w:rFonts w:ascii="宋体" w:hAnsi="宋体" w:cs="宋体" w:eastAsia="宋体" w:hint="default"/>
        </w:rPr>
        <w:t>1</w:t>
      </w:r>
      <w:r>
        <w:rPr/>
        <w:t>）借款费用资本化的确认原则 符合资本化条件的资产，是指需要经过相当长时间的购建或者生产活动才能达到预定可使用或者可销售状态的固定资</w:t>
      </w:r>
    </w:p>
    <w:p>
      <w:pPr>
        <w:pStyle w:val="BodyText"/>
        <w:spacing w:line="316" w:lineRule="auto" w:before="17"/>
        <w:ind w:left="513" w:right="89" w:hanging="361"/>
        <w:jc w:val="left"/>
      </w:pPr>
      <w:r>
        <w:rPr/>
        <w:t>产、投资性房地产和存货等资产。 </w:t>
      </w:r>
      <w:r>
        <w:rPr>
          <w:spacing w:val="-4"/>
        </w:rPr>
        <w:t>借款费用包括借款利息、折价或者溢价的摊销、辅助费用以及因外币借款而发生的汇兑差额等。本公司发生的借款费用，</w:t>
      </w:r>
    </w:p>
    <w:p>
      <w:pPr>
        <w:pStyle w:val="BodyText"/>
        <w:spacing w:line="316" w:lineRule="auto"/>
        <w:ind w:right="89"/>
        <w:jc w:val="left"/>
      </w:pPr>
      <w:r>
        <w:rPr>
          <w:spacing w:val="-2"/>
        </w:rPr>
        <w:t>可直接归属于符合资本化条件的资产的购建或者生产的，予以资本化，计入相关资产成本；其他借款费用在发生时根据其发</w:t>
      </w:r>
      <w:r>
        <w:rPr>
          <w:spacing w:val="-63"/>
        </w:rPr>
        <w:t> </w:t>
      </w:r>
      <w:r>
        <w:rPr>
          <w:spacing w:val="-63"/>
        </w:rPr>
      </w:r>
      <w:r>
        <w:rPr/>
        <w:t>生额确认为费用，计入当期损益。</w:t>
      </w:r>
    </w:p>
    <w:p>
      <w:pPr>
        <w:pStyle w:val="BodyText"/>
        <w:spacing w:line="240" w:lineRule="auto"/>
        <w:ind w:left="513" w:right="89"/>
        <w:jc w:val="left"/>
      </w:pPr>
      <w:r>
        <w:rPr/>
        <w:t>借款费用同时满足下列条件时开始资本化：</w:t>
      </w:r>
    </w:p>
    <w:p>
      <w:pPr>
        <w:pStyle w:val="BodyText"/>
        <w:spacing w:line="316" w:lineRule="auto" w:before="76"/>
        <w:ind w:right="192" w:firstLine="360"/>
        <w:jc w:val="both"/>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ind w:left="513" w:right="89"/>
        <w:jc w:val="left"/>
      </w:pPr>
      <w:r>
        <w:rPr/>
        <w:t>②借款费用已经发生；</w:t>
      </w:r>
    </w:p>
    <w:p>
      <w:pPr>
        <w:pStyle w:val="BodyText"/>
        <w:spacing w:line="319" w:lineRule="auto" w:before="76"/>
        <w:ind w:left="513" w:right="89"/>
        <w:jc w:val="left"/>
      </w:pPr>
      <w:r>
        <w:rPr/>
        <w:t>③为使资产达到预定可使用或者可销售状态所必要的购建或者生产活动已经开始。 </w:t>
      </w:r>
      <w:r>
        <w:rPr>
          <w:spacing w:val="-2"/>
        </w:rPr>
        <w:t>当符合资本化条件的资产在购建或者生产过程中发生非正常中断、且中断时间连续超过</w:t>
      </w:r>
      <w:r>
        <w:rPr>
          <w:rFonts w:ascii="宋体" w:hAnsi="宋体" w:cs="宋体" w:eastAsia="宋体" w:hint="default"/>
          <w:spacing w:val="-2"/>
        </w:rPr>
        <w:t>3</w:t>
      </w:r>
      <w:r>
        <w:rPr>
          <w:spacing w:val="-2"/>
        </w:rPr>
        <w:t>个月的，借款费用暂停资本化。</w:t>
      </w:r>
    </w:p>
    <w:p>
      <w:pPr>
        <w:pStyle w:val="BodyText"/>
        <w:spacing w:line="240" w:lineRule="auto" w:before="17"/>
        <w:ind w:right="89"/>
        <w:jc w:val="left"/>
      </w:pPr>
      <w:r>
        <w:rPr/>
        <w:t>当购建或者生产符合资本化条件的资产达到预定可使用或者可销售状态时，借款费用停止资本化。</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573" w:right="0"/>
        <w:jc w:val="left"/>
      </w:pPr>
      <w:r>
        <w:rPr/>
        <w:t>（</w:t>
      </w:r>
      <w:r>
        <w:rPr>
          <w:rFonts w:ascii="宋体" w:hAnsi="宋体" w:cs="宋体" w:eastAsia="宋体"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ind w:left="212" w:right="0"/>
        <w:jc w:val="left"/>
      </w:pPr>
      <w:r>
        <w:rPr/>
        <w:t>款费用资本化。</w:t>
      </w:r>
    </w:p>
    <w:p>
      <w:pPr>
        <w:pStyle w:val="BodyText"/>
        <w:spacing w:line="316" w:lineRule="auto" w:before="76"/>
        <w:ind w:left="573" w:right="0"/>
        <w:jc w:val="left"/>
      </w:pPr>
      <w:r>
        <w:rPr/>
        <w:t>（</w:t>
      </w:r>
      <w:r>
        <w:rPr>
          <w:rFonts w:ascii="宋体" w:hAnsi="宋体" w:cs="宋体" w:eastAsia="宋体" w:hint="default"/>
        </w:rPr>
        <w:t>3</w:t>
      </w:r>
      <w:r>
        <w:rPr/>
        <w:t>）暂停资本化期间 </w:t>
      </w:r>
      <w:r>
        <w:rPr>
          <w:spacing w:val="-2"/>
        </w:rPr>
        <w:t>购建或者生产的资产的各部分分别完工，但必须等到整体完工后才可使用或可对外销售的符合资本化条件的资产在购建</w:t>
      </w:r>
    </w:p>
    <w:p>
      <w:pPr>
        <w:pStyle w:val="BodyText"/>
        <w:spacing w:line="316" w:lineRule="auto"/>
        <w:ind w:left="212" w:right="144"/>
        <w:jc w:val="both"/>
      </w:pPr>
      <w:r>
        <w:rPr/>
        <w:t>或生产过程中发生的非正常中断、且中断时间连续超过</w:t>
      </w:r>
      <w:r>
        <w:rPr>
          <w:spacing w:val="-40"/>
        </w:rPr>
        <w:t> </w:t>
      </w:r>
      <w:r>
        <w:rPr>
          <w:rFonts w:ascii="宋体" w:hAnsi="宋体" w:cs="宋体" w:eastAsia="宋体" w:hint="default"/>
        </w:rPr>
        <w:t>3</w:t>
      </w:r>
      <w:r>
        <w:rPr/>
        <w:t>个月的，则借款费用暂停资本化；该项中断如是所购建或生产的符 </w:t>
      </w:r>
      <w:r>
        <w:rPr>
          <w:spacing w:val="-2"/>
        </w:rPr>
        <w:t>合资本化条件的资产达到预定可使用状态或者可销售状态必要的程序，则借款费用继续资本化。在中断期间发生的借款费用</w:t>
      </w:r>
      <w:r>
        <w:rPr>
          <w:spacing w:val="-64"/>
        </w:rPr>
        <w:t> </w:t>
      </w:r>
      <w:r>
        <w:rPr>
          <w:spacing w:val="-64"/>
        </w:rPr>
      </w:r>
      <w:r>
        <w:rPr>
          <w:spacing w:val="-4"/>
        </w:rPr>
        <w:t>确认为当期损益，直至资产的购建或者生产活动重新开始后借款费用继续资本化。在该资产整体完工时停止借款费用资本化。</w:t>
      </w:r>
    </w:p>
    <w:p>
      <w:pPr>
        <w:pStyle w:val="BodyText"/>
        <w:spacing w:line="316" w:lineRule="auto"/>
        <w:ind w:left="573" w:right="0"/>
        <w:jc w:val="left"/>
      </w:pPr>
      <w:r>
        <w:rPr/>
        <w:t>（</w:t>
      </w:r>
      <w:r>
        <w:rPr>
          <w:rFonts w:ascii="宋体" w:hAnsi="宋体" w:cs="宋体" w:eastAsia="宋体"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316" w:lineRule="auto"/>
        <w:ind w:left="573" w:right="313" w:hanging="361"/>
        <w:jc w:val="left"/>
      </w:pPr>
      <w:r>
        <w:rPr/>
        <w:t>助费用在所购建或者生产的符合资本化条件的资产达到预定可使用或者可销售状态前，予以资本化。 一般借款应予资本化的利息金额根据累计资产支出超过专门借款部分的资产支出按年加权平均数乘以所占用一般借款</w:t>
      </w:r>
    </w:p>
    <w:p>
      <w:pPr>
        <w:pStyle w:val="BodyText"/>
        <w:spacing w:line="316" w:lineRule="auto"/>
        <w:ind w:left="573" w:right="673" w:hanging="361"/>
        <w:jc w:val="left"/>
      </w:pPr>
      <w:r>
        <w:rPr/>
        <w:t>的资本化率计算确定。资本化率根据一般借款加权平均利率计算确定。 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spacing w:line="240" w:lineRule="auto" w:before="10"/>
        <w:rPr>
          <w:rFonts w:ascii="宋体" w:hAnsi="宋体" w:cs="宋体" w:eastAsia="宋体" w:hint="default"/>
          <w:sz w:val="22"/>
          <w:szCs w:val="22"/>
        </w:rPr>
      </w:pPr>
    </w:p>
    <w:p>
      <w:pPr>
        <w:pStyle w:val="Heading3"/>
        <w:spacing w:line="240" w:lineRule="auto"/>
        <w:ind w:left="212" w:right="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573" w:right="6793"/>
        <w:jc w:val="left"/>
      </w:pPr>
      <w:r>
        <w:rPr/>
        <w:t>①计价方法、使用寿命、减值测试 无形资产按实际成本计价。</w:t>
      </w:r>
    </w:p>
    <w:p>
      <w:pPr>
        <w:pStyle w:val="BodyText"/>
        <w:spacing w:line="316" w:lineRule="auto"/>
        <w:ind w:left="212" w:right="229" w:firstLine="360"/>
        <w:jc w:val="both"/>
      </w:pPr>
      <w:r>
        <w:rPr>
          <w:spacing w:val="-2"/>
        </w:rPr>
        <w:t>外购无形资产按照成本（包括购买价款、相关税费以及直接归属于使该项资产达到预定用途所发生的其他支出）进行初</w:t>
      </w:r>
      <w:r>
        <w:rPr/>
        <w:t> </w:t>
      </w:r>
      <w:r>
        <w:rPr>
          <w:spacing w:val="-2"/>
        </w:rPr>
        <w:t>始计量；自行开发的无形资产成本按达到预定用途前所发生的支出总额确定；投资者投入的无形资产的成本，按投资合同或</w:t>
      </w:r>
      <w:r>
        <w:rPr>
          <w:spacing w:val="-63"/>
        </w:rPr>
        <w:t> </w:t>
      </w:r>
      <w:r>
        <w:rPr>
          <w:spacing w:val="-63"/>
        </w:rPr>
      </w:r>
      <w:r>
        <w:rPr>
          <w:spacing w:val="-2"/>
        </w:rPr>
        <w:t>协议约定的价值确定；非货币性交换、债务重组、企业合并和融资租赁取得的无形资产成本分别按照其他相关准则确定；计</w:t>
      </w:r>
      <w:r>
        <w:rPr>
          <w:spacing w:val="-66"/>
        </w:rPr>
        <w:t> </w:t>
      </w:r>
      <w:r>
        <w:rPr>
          <w:spacing w:val="-66"/>
        </w:rPr>
      </w:r>
      <w:r>
        <w:rPr/>
        <w:t>入无形资产成本的借款费用，按照《企业会计准则第</w:t>
      </w:r>
      <w:r>
        <w:rPr>
          <w:rFonts w:ascii="宋体" w:hAnsi="宋体" w:cs="宋体" w:eastAsia="宋体" w:hint="default"/>
        </w:rPr>
        <w:t>17</w:t>
      </w:r>
      <w:r>
        <w:rPr/>
        <w:t>号</w:t>
      </w:r>
      <w:r>
        <w:rPr>
          <w:rFonts w:ascii="宋体" w:hAnsi="宋体" w:cs="宋体" w:eastAsia="宋体" w:hint="default"/>
        </w:rPr>
        <w:t>-</w:t>
      </w:r>
      <w:r>
        <w:rPr/>
        <w:t>借款费用》的规定确定。</w:t>
      </w:r>
    </w:p>
    <w:p>
      <w:pPr>
        <w:pStyle w:val="BodyText"/>
        <w:spacing w:line="316" w:lineRule="auto"/>
        <w:ind w:left="573" w:right="0"/>
        <w:jc w:val="left"/>
      </w:pPr>
      <w:r>
        <w:rPr/>
        <w:t>②使用寿命有限的无形资产的使用寿命估计情况 使用寿命有限的无形资产在使用寿命内系统合理摊销，使用寿命不确定的无形资产不予摊销。 </w:t>
      </w:r>
      <w:r>
        <w:rPr>
          <w:spacing w:val="-2"/>
        </w:rPr>
        <w:t>公司于每年年度终了，对无形资产的使用寿命和摊销方法进行复核。使用寿命和摊销方法与以前估计不同的，改变其摊</w:t>
      </w:r>
    </w:p>
    <w:p>
      <w:pPr>
        <w:pStyle w:val="BodyText"/>
        <w:spacing w:line="240" w:lineRule="auto"/>
        <w:ind w:left="212" w:right="0"/>
        <w:jc w:val="left"/>
      </w:pPr>
      <w:r>
        <w:rPr/>
        <w:t>销期限和摊销方法。如果有证据表明无形资产的使用寿命是有限的，估计其使用寿命，并按规定处理。</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463"/>
        <w:gridCol w:w="2465"/>
        <w:gridCol w:w="2463"/>
        <w:gridCol w:w="2465"/>
      </w:tblGrid>
      <w:tr>
        <w:trPr>
          <w:trHeight w:val="322"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依据</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63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计算机软件</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97" w:right="144" w:hanging="452"/>
              <w:jc w:val="left"/>
              <w:rPr>
                <w:rFonts w:ascii="宋体" w:hAnsi="宋体" w:cs="宋体" w:eastAsia="宋体" w:hint="default"/>
                <w:sz w:val="18"/>
                <w:szCs w:val="18"/>
              </w:rPr>
            </w:pPr>
            <w:r>
              <w:rPr>
                <w:rFonts w:ascii="宋体" w:hAnsi="宋体" w:cs="宋体" w:eastAsia="宋体" w:hint="default"/>
                <w:sz w:val="18"/>
                <w:szCs w:val="18"/>
              </w:rPr>
              <w:t>根据同行业情况，历史经验 等综合因素判断</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63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86" w:right="144" w:hanging="541"/>
              <w:jc w:val="left"/>
              <w:rPr>
                <w:rFonts w:ascii="宋体" w:hAnsi="宋体" w:cs="宋体" w:eastAsia="宋体" w:hint="default"/>
                <w:sz w:val="18"/>
                <w:szCs w:val="18"/>
              </w:rPr>
            </w:pPr>
            <w:r>
              <w:rPr>
                <w:rFonts w:ascii="宋体" w:hAnsi="宋体" w:cs="宋体" w:eastAsia="宋体" w:hint="default"/>
                <w:sz w:val="18"/>
                <w:szCs w:val="18"/>
              </w:rPr>
              <w:t>依据国有土地出让合同中约 定的出让年限</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left="573" w:right="0"/>
        <w:jc w:val="left"/>
      </w:pPr>
      <w:r>
        <w:rPr/>
        <w:t>（</w:t>
      </w:r>
      <w:r>
        <w:rPr>
          <w:rFonts w:ascii="宋体" w:hAnsi="宋体" w:cs="宋体" w:eastAsia="宋体" w:hint="default"/>
        </w:rPr>
        <w:t>1</w:t>
      </w:r>
      <w:r>
        <w:rPr/>
        <w:t>）</w:t>
      </w:r>
      <w:r>
        <w:rPr>
          <w:spacing w:val="-62"/>
        </w:rPr>
        <w:t> </w:t>
      </w:r>
      <w:r>
        <w:rPr/>
        <w:t>划分公司内部研究开发项目的研究阶段和开发阶段具体标准</w:t>
      </w:r>
      <w:r>
        <w:rPr/>
        <w:t>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spacing w:after="0" w:line="319" w:lineRule="auto"/>
        <w:jc w:val="left"/>
        <w:sectPr>
          <w:pgSz w:w="11910" w:h="16840"/>
          <w:pgMar w:header="745" w:footer="979" w:top="1060" w:bottom="1160" w:left="920" w:right="90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进的材料、装置、产品等活动的阶段。</w:t>
      </w:r>
    </w:p>
    <w:p>
      <w:pPr>
        <w:pStyle w:val="BodyText"/>
        <w:spacing w:line="316" w:lineRule="auto" w:before="76"/>
        <w:ind w:left="513" w:right="4953"/>
        <w:jc w:val="left"/>
      </w:pPr>
      <w:r>
        <w:rPr/>
        <w:t>（</w:t>
      </w:r>
      <w:r>
        <w:rPr>
          <w:rFonts w:ascii="宋体" w:hAnsi="宋体" w:cs="宋体" w:eastAsia="宋体" w:hint="default"/>
        </w:rPr>
        <w:t>2</w:t>
      </w:r>
      <w:r>
        <w:rPr/>
        <w:t>）</w:t>
      </w:r>
      <w:r>
        <w:rPr>
          <w:spacing w:val="-62"/>
        </w:rPr>
        <w:t> </w:t>
      </w:r>
      <w:r>
        <w:rPr/>
        <w:t>内部研究开发项目支出的核算</w:t>
      </w:r>
      <w:r>
        <w:rPr/>
        <w:t> 研究阶段的支出于发生时计入当期损益。 开发阶段的支出同时满足下列条件的，确认为无形资产：</w:t>
      </w:r>
    </w:p>
    <w:p>
      <w:pPr>
        <w:pStyle w:val="BodyText"/>
        <w:spacing w:line="240" w:lineRule="auto"/>
        <w:ind w:left="513" w:right="89"/>
        <w:jc w:val="left"/>
      </w:pPr>
      <w:r>
        <w:rPr/>
        <w:t>①完成该无形资产以使其能够使用或出售在技术上具有可行性；</w:t>
      </w:r>
    </w:p>
    <w:p>
      <w:pPr>
        <w:pStyle w:val="BodyText"/>
        <w:spacing w:line="240" w:lineRule="auto" w:before="76"/>
        <w:ind w:left="513" w:right="89"/>
        <w:jc w:val="left"/>
      </w:pPr>
      <w:r>
        <w:rPr/>
        <w:t>②具有完成该无形资产并使用或出售的意图；</w:t>
      </w:r>
    </w:p>
    <w:p>
      <w:pPr>
        <w:pStyle w:val="BodyText"/>
        <w:spacing w:line="316" w:lineRule="auto" w:before="76"/>
        <w:ind w:right="89"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ind w:left="513" w:right="89"/>
        <w:jc w:val="left"/>
      </w:pPr>
      <w:r>
        <w:rPr/>
        <w:t>④有足够的技术、财务资源和其他资源支持，以完成该无形资产的开发，并有能力使用或出售该无形资产；</w:t>
      </w:r>
    </w:p>
    <w:p>
      <w:pPr>
        <w:pStyle w:val="BodyText"/>
        <w:spacing w:line="316" w:lineRule="auto" w:before="76"/>
        <w:ind w:left="513" w:right="89"/>
        <w:jc w:val="left"/>
      </w:pPr>
      <w:r>
        <w:rPr/>
        <w:t>⑤归属于该无形资产开发阶段的支出能够可靠地计量。 </w:t>
      </w:r>
      <w:r>
        <w:rPr>
          <w:spacing w:val="-2"/>
        </w:rPr>
        <w:t>不能满足下述条件的开发阶段的支出计入当期损益；无法区分研究阶段支出和开发阶段支出的，将发生的研发支出全部</w:t>
      </w:r>
    </w:p>
    <w:p>
      <w:pPr>
        <w:pStyle w:val="BodyText"/>
        <w:spacing w:line="240" w:lineRule="auto"/>
        <w:ind w:right="0"/>
        <w:jc w:val="both"/>
      </w:pPr>
      <w:r>
        <w:rPr/>
        <w:t>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84" w:firstLine="360"/>
        <w:jc w:val="left"/>
      </w:pPr>
      <w:r>
        <w:rPr/>
        <w:t>在每个资产负债表日判断长期股权投资、固定资产、在建工程、使用寿命确定的无形资产等是否存在减值迹象</w:t>
      </w:r>
      <w:r>
        <w:rPr>
          <w:rFonts w:ascii="宋体" w:hAnsi="宋体" w:cs="宋体" w:eastAsia="宋体" w:hint="default"/>
        </w:rPr>
        <w:t>,</w:t>
      </w:r>
      <w:r>
        <w:rPr/>
        <w:t>对存在 减值迹象的</w:t>
      </w:r>
      <w:r>
        <w:rPr>
          <w:rFonts w:ascii="宋体" w:hAnsi="宋体" w:cs="宋体" w:eastAsia="宋体" w:hint="default"/>
        </w:rPr>
        <w:t>,</w:t>
      </w:r>
      <w:r>
        <w:rPr/>
        <w:t>估计其可收回金额</w:t>
      </w:r>
      <w:r>
        <w:rPr>
          <w:rFonts w:ascii="宋体" w:hAnsi="宋体" w:cs="宋体" w:eastAsia="宋体" w:hint="default"/>
        </w:rPr>
        <w:t>,</w:t>
      </w:r>
      <w:r>
        <w:rPr/>
        <w:t>可收回金额低于其账面价值的</w:t>
      </w:r>
      <w:r>
        <w:rPr>
          <w:rFonts w:ascii="宋体" w:hAnsi="宋体" w:cs="宋体" w:eastAsia="宋体" w:hint="default"/>
        </w:rPr>
        <w:t>,</w:t>
      </w:r>
      <w:r>
        <w:rPr/>
        <w:t>将资产的账面价值减记至可收回金额</w:t>
      </w:r>
      <w:r>
        <w:rPr>
          <w:rFonts w:ascii="宋体" w:hAnsi="宋体" w:cs="宋体" w:eastAsia="宋体" w:hint="default"/>
        </w:rPr>
        <w:t>,</w:t>
      </w:r>
      <w:r>
        <w:rPr/>
        <w:t>减记的金额确认相应</w:t>
      </w:r>
      <w:r>
        <w:rPr>
          <w:spacing w:val="-85"/>
        </w:rPr>
        <w:t> </w:t>
      </w:r>
      <w:r>
        <w:rPr/>
        <w:t>的减值损失</w:t>
      </w:r>
      <w:r>
        <w:rPr>
          <w:rFonts w:ascii="宋体" w:hAnsi="宋体" w:cs="宋体" w:eastAsia="宋体" w:hint="default"/>
        </w:rPr>
        <w:t>,</w:t>
      </w:r>
      <w:r>
        <w:rPr/>
        <w:t>计入当期损益</w:t>
      </w:r>
      <w:r>
        <w:rPr>
          <w:rFonts w:ascii="宋体" w:hAnsi="宋体" w:cs="宋体" w:eastAsia="宋体" w:hint="default"/>
        </w:rPr>
        <w:t>,</w:t>
      </w:r>
      <w:r>
        <w:rPr/>
        <w:t>同时计提相应的减值准备。</w:t>
      </w:r>
    </w:p>
    <w:p>
      <w:pPr>
        <w:pStyle w:val="BodyText"/>
        <w:spacing w:line="319" w:lineRule="auto"/>
        <w:ind w:right="184" w:firstLine="360"/>
        <w:jc w:val="left"/>
      </w:pPr>
      <w:r>
        <w:rPr/>
        <w:t>资产可收回金额的估计</w:t>
      </w:r>
      <w:r>
        <w:rPr>
          <w:rFonts w:ascii="宋体" w:hAnsi="宋体" w:cs="宋体" w:eastAsia="宋体" w:hint="default"/>
        </w:rPr>
        <w:t>,</w:t>
      </w:r>
      <w:r>
        <w:rPr/>
        <w:t>根据其公允价值减去处置费用后的诤额与其预计未来现金流量的现值两者之间较高者确定。公 司以单项资产为基础估计其可收回金额</w:t>
      </w:r>
      <w:r>
        <w:rPr>
          <w:rFonts w:ascii="宋体" w:hAnsi="宋体" w:cs="宋体" w:eastAsia="宋体" w:hint="default"/>
        </w:rPr>
        <w:t>,</w:t>
      </w:r>
      <w:r>
        <w:rPr/>
        <w:t>在难以对单项资产可回收金额进行估计的情况下</w:t>
      </w:r>
      <w:r>
        <w:rPr>
          <w:rFonts w:ascii="宋体" w:hAnsi="宋体" w:cs="宋体" w:eastAsia="宋体" w:hint="default"/>
        </w:rPr>
        <w:t>,</w:t>
      </w:r>
      <w:r>
        <w:rPr/>
        <w:t>以资产所属的资产组为基础确定</w:t>
      </w:r>
      <w:r>
        <w:rPr>
          <w:spacing w:val="-87"/>
        </w:rPr>
        <w:t> </w:t>
      </w:r>
      <w:r>
        <w:rPr/>
        <w:t>资产组的可收回金额。资产减值损失确认后</w:t>
      </w:r>
      <w:r>
        <w:rPr>
          <w:rFonts w:ascii="宋体" w:hAnsi="宋体" w:cs="宋体" w:eastAsia="宋体" w:hint="default"/>
        </w:rPr>
        <w:t>,</w:t>
      </w:r>
      <w:r>
        <w:rPr/>
        <w:t>减值资产的折旧或者摊销费用在未来期间做相应调整</w:t>
      </w:r>
      <w:r>
        <w:rPr>
          <w:rFonts w:ascii="宋体" w:hAnsi="宋体" w:cs="宋体" w:eastAsia="宋体" w:hint="default"/>
        </w:rPr>
        <w:t>,</w:t>
      </w:r>
      <w:r>
        <w:rPr/>
        <w:t>使资产在剩余寿命内</w:t>
      </w:r>
      <w:r>
        <w:rPr>
          <w:rFonts w:ascii="宋体" w:hAnsi="宋体" w:cs="宋体" w:eastAsia="宋体" w:hint="default"/>
        </w:rPr>
        <w:t>,</w:t>
      </w:r>
      <w:r>
        <w:rPr/>
        <w:t>系 统地分摊调整后的资产账面价值。</w:t>
      </w:r>
    </w:p>
    <w:p>
      <w:pPr>
        <w:pStyle w:val="BodyText"/>
        <w:spacing w:line="316" w:lineRule="auto" w:before="17"/>
        <w:ind w:left="513" w:right="183"/>
        <w:jc w:val="left"/>
      </w:pPr>
      <w:r>
        <w:rPr/>
        <w:t>对于使用寿命不确定的无形资产、尚未达到使用状态的无形资以及合并所形成的商誉每年年度终了进行减值测试。 关于商誉减值测试</w:t>
      </w:r>
      <w:r>
        <w:rPr>
          <w:rFonts w:ascii="宋体" w:hAnsi="宋体" w:cs="宋体" w:eastAsia="宋体" w:hint="default"/>
        </w:rPr>
        <w:t>,</w:t>
      </w:r>
      <w:r>
        <w:rPr/>
        <w:t>对于因企业合并形成的商誉的账面价值</w:t>
      </w:r>
      <w:r>
        <w:rPr>
          <w:rFonts w:ascii="宋体" w:hAnsi="宋体" w:cs="宋体" w:eastAsia="宋体" w:hint="default"/>
        </w:rPr>
        <w:t>,</w:t>
      </w:r>
      <w:r>
        <w:rPr/>
        <w:t>自购买日起按照合理的方法分摊至相关的资产组</w:t>
      </w:r>
      <w:r>
        <w:rPr>
          <w:rFonts w:ascii="宋体" w:hAnsi="宋体" w:cs="宋体" w:eastAsia="宋体" w:hint="default"/>
        </w:rPr>
        <w:t>;</w:t>
      </w:r>
      <w:r>
        <w:rPr/>
        <w:t>难以分摊</w:t>
      </w:r>
    </w:p>
    <w:p>
      <w:pPr>
        <w:pStyle w:val="BodyText"/>
        <w:spacing w:line="316" w:lineRule="auto"/>
        <w:ind w:right="188"/>
        <w:jc w:val="both"/>
      </w:pPr>
      <w:r>
        <w:rPr>
          <w:spacing w:val="-2"/>
        </w:rPr>
        <w:t>至相关的资产组的</w:t>
      </w:r>
      <w:r>
        <w:rPr>
          <w:rFonts w:ascii="宋体" w:hAnsi="宋体" w:cs="宋体" w:eastAsia="宋体" w:hint="default"/>
          <w:spacing w:val="-2"/>
        </w:rPr>
        <w:t>,</w:t>
      </w:r>
      <w:r>
        <w:rPr>
          <w:spacing w:val="-2"/>
        </w:rPr>
        <w:t>将其分摊至相关的资产组组合。在将商誉的账面价值分摊至相关的资产组或者资产组组合时</w:t>
      </w:r>
      <w:r>
        <w:rPr>
          <w:rFonts w:ascii="宋体" w:hAnsi="宋体" w:cs="宋体" w:eastAsia="宋体" w:hint="default"/>
          <w:spacing w:val="-2"/>
        </w:rPr>
        <w:t>,</w:t>
      </w:r>
      <w:r>
        <w:rPr>
          <w:spacing w:val="-2"/>
        </w:rPr>
        <w:t>按照各资产</w:t>
      </w:r>
      <w:r>
        <w:rPr>
          <w:spacing w:val="-59"/>
        </w:rPr>
        <w:t> </w:t>
      </w:r>
      <w:r>
        <w:rPr/>
        <w:t>组或者资产组组合的公允价值占相关资产组或者资产组组合公允价值总额的比例进行分摊。公允价值难以可靠计量的</w:t>
      </w:r>
      <w:r>
        <w:rPr>
          <w:rFonts w:ascii="宋体" w:hAnsi="宋体" w:cs="宋体" w:eastAsia="宋体" w:hint="default"/>
        </w:rPr>
        <w:t>,</w:t>
      </w:r>
      <w:r>
        <w:rPr/>
        <w:t>按照</w:t>
      </w:r>
      <w:r>
        <w:rPr>
          <w:spacing w:val="-87"/>
        </w:rPr>
        <w:t> </w:t>
      </w:r>
      <w:r>
        <w:rPr/>
        <w:t>各资产组或者资产组组合的账面价值占相关资产组或者资产组组合账面价值总额的比例进行分摊。</w:t>
      </w:r>
    </w:p>
    <w:p>
      <w:pPr>
        <w:pStyle w:val="BodyText"/>
        <w:spacing w:line="316" w:lineRule="auto"/>
        <w:ind w:right="184" w:firstLine="360"/>
        <w:jc w:val="left"/>
      </w:pPr>
      <w:r>
        <w:rPr/>
        <w:t>在对包含商誉的相关资产组或者资产组组合进行减值测试时</w:t>
      </w:r>
      <w:r>
        <w:rPr>
          <w:rFonts w:ascii="宋体" w:hAnsi="宋体" w:cs="宋体" w:eastAsia="宋体" w:hint="default"/>
        </w:rPr>
        <w:t>,</w:t>
      </w:r>
      <w:r>
        <w:rPr/>
        <w:t>如与商誉相关的资产组或者资产组组合存在减值迹象的</w:t>
      </w:r>
      <w:r>
        <w:rPr>
          <w:rFonts w:ascii="宋体" w:hAnsi="宋体" w:cs="宋体" w:eastAsia="宋体" w:hint="default"/>
        </w:rPr>
        <w:t>, </w:t>
      </w:r>
      <w:r>
        <w:rPr/>
        <w:t>先对不包含商誉的资产组或者资产组组合进行减值测试</w:t>
      </w:r>
      <w:r>
        <w:rPr>
          <w:rFonts w:ascii="宋体" w:hAnsi="宋体" w:cs="宋体" w:eastAsia="宋体" w:hint="default"/>
        </w:rPr>
        <w:t>,</w:t>
      </w:r>
      <w:r>
        <w:rPr/>
        <w:t>计算可收回金额</w:t>
      </w:r>
      <w:r>
        <w:rPr>
          <w:rFonts w:ascii="宋体" w:hAnsi="宋体" w:cs="宋体" w:eastAsia="宋体" w:hint="default"/>
        </w:rPr>
        <w:t>,</w:t>
      </w:r>
      <w:r>
        <w:rPr/>
        <w:t>并与相关账面价值相比较</w:t>
      </w:r>
      <w:r>
        <w:rPr>
          <w:rFonts w:ascii="宋体" w:hAnsi="宋体" w:cs="宋体" w:eastAsia="宋体" w:hint="default"/>
        </w:rPr>
        <w:t>,</w:t>
      </w:r>
      <w:r>
        <w:rPr/>
        <w:t>确认相应的减值损失。</w:t>
      </w:r>
      <w:r>
        <w:rPr>
          <w:spacing w:val="-86"/>
        </w:rPr>
        <w:t> </w:t>
      </w:r>
      <w:r>
        <w:rPr/>
        <w:t>再对包含商誉的资产组或者资产组组合进行减值测试</w:t>
      </w:r>
      <w:r>
        <w:rPr>
          <w:rFonts w:ascii="宋体" w:hAnsi="宋体" w:cs="宋体" w:eastAsia="宋体" w:hint="default"/>
        </w:rPr>
        <w:t>,</w:t>
      </w:r>
      <w:r>
        <w:rPr/>
        <w:t>比较这些相关资产组或者资产组组合的账面价值</w:t>
      </w:r>
      <w:r>
        <w:rPr>
          <w:rFonts w:ascii="宋体" w:hAnsi="宋体" w:cs="宋体" w:eastAsia="宋体" w:hint="default"/>
        </w:rPr>
        <w:t>(</w:t>
      </w:r>
      <w:r>
        <w:rPr/>
        <w:t>包括所分摊的商誉</w:t>
      </w:r>
      <w:r>
        <w:rPr>
          <w:spacing w:val="-86"/>
        </w:rPr>
        <w:t> </w:t>
      </w:r>
      <w:r>
        <w:rPr/>
        <w:t>的账面价值部分</w:t>
      </w:r>
      <w:r>
        <w:rPr>
          <w:rFonts w:ascii="宋体" w:hAnsi="宋体" w:cs="宋体" w:eastAsia="宋体" w:hint="default"/>
        </w:rPr>
        <w:t>)</w:t>
      </w:r>
      <w:r>
        <w:rPr/>
        <w:t>与其可收回金额</w:t>
      </w:r>
      <w:r>
        <w:rPr>
          <w:rFonts w:ascii="宋体" w:hAnsi="宋体" w:cs="宋体" w:eastAsia="宋体" w:hint="default"/>
        </w:rPr>
        <w:t>,</w:t>
      </w:r>
      <w:r>
        <w:rPr/>
        <w:t>如相关资产组或者资产组组合的可收回金额低于其账面价值的</w:t>
      </w:r>
      <w:r>
        <w:rPr>
          <w:rFonts w:ascii="宋体" w:hAnsi="宋体" w:cs="宋体" w:eastAsia="宋体" w:hint="default"/>
        </w:rPr>
        <w:t>,</w:t>
      </w:r>
      <w:r>
        <w:rPr/>
        <w:t>确认商誉的减值损失。</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89" w:firstLine="360"/>
        <w:jc w:val="left"/>
      </w:pPr>
      <w:r>
        <w:rPr>
          <w:spacing w:val="-2"/>
        </w:rPr>
        <w:t>长期待摊费用中能够确定收益期限的，采用平均年限法按受益期限分期平均摊销，不能确定受益期限的按照不超过十年</w:t>
      </w:r>
      <w:r>
        <w:rPr/>
        <w:t> 的期限分期平均摊销。</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89"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after="0" w:line="319" w:lineRule="auto"/>
        <w:jc w:val="left"/>
        <w:sectPr>
          <w:footerReference w:type="default" r:id="rId20"/>
          <w:pgSz w:w="11910" w:h="16840"/>
          <w:pgMar w:footer="979" w:header="745" w:top="1060" w:bottom="1160" w:left="980" w:right="94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13" w:right="89"/>
        <w:jc w:val="left"/>
      </w:pPr>
      <w:r>
        <w:rPr/>
        <w:t>离职后福利主要包括设定提存计划和设定受益计划。 </w:t>
      </w:r>
      <w:r>
        <w:rPr>
          <w:spacing w:val="-2"/>
        </w:rPr>
        <w:t>设定提存计划：本公司按当地政府的相关规定为职工缴纳基本养老保险和失业保险，在职工为本公司提供服务的会计期</w:t>
      </w:r>
    </w:p>
    <w:p>
      <w:pPr>
        <w:pStyle w:val="BodyText"/>
        <w:spacing w:line="316" w:lineRule="auto"/>
        <w:ind w:left="513" w:right="273" w:hanging="361"/>
        <w:jc w:val="left"/>
      </w:pPr>
      <w:r>
        <w:rPr/>
        <w:t>间，按以当地规定的缴纳基数和比例计算应缴纳金额，确认为负债，并计入当期损益或相关资产成本。 设定受益计划：本公司根据预期累计福利单位法确定的公式将设定受益计划产生的福利义务归属于职工提供服务的期</w:t>
      </w:r>
    </w:p>
    <w:p>
      <w:pPr>
        <w:pStyle w:val="BodyText"/>
        <w:spacing w:line="319" w:lineRule="auto"/>
        <w:ind w:right="190"/>
        <w:jc w:val="both"/>
      </w:pPr>
      <w:r>
        <w:rPr>
          <w:spacing w:val="-2"/>
        </w:rPr>
        <w:t>间，并计入当期损益或相关资产成本。设定受益计划义务现值减去设定受益计划资产公允价值所形成的赤字或盈余确认为一</w:t>
      </w:r>
      <w:r>
        <w:rPr>
          <w:spacing w:val="-64"/>
        </w:rPr>
        <w:t> </w:t>
      </w:r>
      <w:r>
        <w:rPr>
          <w:spacing w:val="-64"/>
        </w:rPr>
      </w:r>
      <w:r>
        <w:rPr>
          <w:spacing w:val="-2"/>
        </w:rPr>
        <w:t>项设定受益计划净负债或净资产。设定受益计划存在盈余的，本公司以设定受益计划的盈余和资产上限两项的孰低者计量设</w:t>
      </w:r>
      <w:r>
        <w:rPr>
          <w:spacing w:val="-64"/>
        </w:rPr>
        <w:t> </w:t>
      </w:r>
      <w:r>
        <w:rPr>
          <w:spacing w:val="-64"/>
        </w:rPr>
      </w:r>
      <w:r>
        <w:rPr>
          <w:spacing w:val="-2"/>
        </w:rPr>
        <w:t>定受益计划净资产。所有设定受益计划义务，包括预期在职工提供服务的年度报告期间结束后的十二个月内支付的义务，根</w:t>
      </w:r>
      <w:r>
        <w:rPr>
          <w:spacing w:val="-63"/>
        </w:rPr>
        <w:t> </w:t>
      </w:r>
      <w:r>
        <w:rPr>
          <w:spacing w:val="-63"/>
        </w:rPr>
      </w:r>
      <w:r>
        <w:rPr>
          <w:spacing w:val="-2"/>
        </w:rPr>
        <w:t>据资产负债表日与设定受益计划义务期限和币种相匹配的国债或活跃市场上的高质量公司债券的市场收益率予以折现。设定</w:t>
      </w:r>
      <w:r>
        <w:rPr>
          <w:spacing w:val="-63"/>
        </w:rPr>
        <w:t> </w:t>
      </w:r>
      <w:r>
        <w:rPr>
          <w:spacing w:val="-63"/>
        </w:rPr>
      </w:r>
      <w:r>
        <w:rPr>
          <w:spacing w:val="-2"/>
        </w:rPr>
        <w:t>受益计划产生的服务成本和设定受益计划净负债或净资产的利息净额计入当期损益或相关资产成本；重新计量设定受益计划</w:t>
      </w:r>
      <w:r>
        <w:rPr>
          <w:spacing w:val="-64"/>
        </w:rPr>
        <w:t> </w:t>
      </w:r>
      <w:r>
        <w:rPr>
          <w:spacing w:val="-64"/>
        </w:rPr>
      </w:r>
      <w:r>
        <w:rPr>
          <w:spacing w:val="-2"/>
        </w:rPr>
        <w:t>净负债或净资产所产生的变动计入其他综合收益，并且在后续会计期间不转回至损益。在设定受益计划结算时，按在结算日</w:t>
      </w:r>
      <w:r>
        <w:rPr>
          <w:spacing w:val="-63"/>
        </w:rPr>
        <w:t> </w:t>
      </w:r>
      <w:r>
        <w:rPr>
          <w:spacing w:val="-63"/>
        </w:rPr>
      </w:r>
      <w:r>
        <w:rPr/>
        <w:t>确定的设定受益计划义务现值和结算价格两者的差额，确认结算利得或损失。</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89"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spacing w:val="-2"/>
        </w:rPr>
        <w:t>按照其他长期职工薪酬处理。职工内部退休计划采用上述辞退福利相同的原则处理。本公司将自职工停止提供服务日至正常</w:t>
      </w:r>
      <w:r>
        <w:rPr>
          <w:spacing w:val="-64"/>
        </w:rPr>
        <w:t> </w:t>
      </w:r>
      <w:r>
        <w:rPr>
          <w:spacing w:val="-64"/>
        </w:rPr>
      </w:r>
      <w:r>
        <w:rPr/>
        <w:t>退休日的期间拟支付的内退人员工资和缴纳的社会保险费等，在符合预计负债确认条件时，计入当期损益（辞退福利）。</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89"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513" w:right="3333"/>
        <w:jc w:val="left"/>
      </w:pPr>
      <w:r>
        <w:rPr/>
        <w:t>（</w:t>
      </w:r>
      <w:r>
        <w:rPr>
          <w:rFonts w:ascii="宋体" w:hAnsi="宋体" w:cs="宋体" w:eastAsia="宋体" w:hint="default"/>
        </w:rPr>
        <w:t>1</w:t>
      </w:r>
      <w:r>
        <w:rPr/>
        <w:t>）预计负债的确认标准 如果与或有事项相关的义务同时符合以下条件，本公司将其确认为预计负债：</w:t>
      </w:r>
    </w:p>
    <w:p>
      <w:pPr>
        <w:pStyle w:val="BodyText"/>
        <w:spacing w:line="240" w:lineRule="auto"/>
        <w:ind w:left="513" w:right="89"/>
        <w:jc w:val="left"/>
      </w:pPr>
      <w:r>
        <w:rPr/>
        <w:t>①该义务是本公司承担的现时义务；</w:t>
      </w:r>
    </w:p>
    <w:p>
      <w:pPr>
        <w:pStyle w:val="BodyText"/>
        <w:spacing w:line="240" w:lineRule="auto" w:before="77"/>
        <w:ind w:left="513" w:right="89"/>
        <w:jc w:val="left"/>
      </w:pPr>
      <w:r>
        <w:rPr/>
        <w:t>②该义务的履行很可能导致经济利益流出本公司；</w:t>
      </w:r>
    </w:p>
    <w:p>
      <w:pPr>
        <w:pStyle w:val="BodyText"/>
        <w:spacing w:line="240" w:lineRule="auto" w:before="76"/>
        <w:ind w:left="513" w:right="89"/>
        <w:jc w:val="left"/>
      </w:pPr>
      <w:r>
        <w:rPr/>
        <w:t>③该义务的金额能够可靠地计量。</w:t>
      </w:r>
    </w:p>
    <w:p>
      <w:pPr>
        <w:pStyle w:val="BodyText"/>
        <w:spacing w:line="316" w:lineRule="auto" w:before="76"/>
        <w:ind w:left="513" w:right="89"/>
        <w:jc w:val="left"/>
      </w:pPr>
      <w:r>
        <w:rPr/>
        <w:t>（</w:t>
      </w:r>
      <w:r>
        <w:rPr>
          <w:rFonts w:ascii="宋体" w:hAnsi="宋体" w:cs="宋体" w:eastAsia="宋体" w:hint="default"/>
        </w:rPr>
        <w:t>2</w:t>
      </w:r>
      <w:r>
        <w:rPr/>
        <w:t>）预计负债的计量方法 </w:t>
      </w:r>
      <w:r>
        <w:rPr>
          <w:spacing w:val="-2"/>
        </w:rPr>
        <w:t>预计负债按照履行相关现时义务所需支出的最佳估计数进行初始计量，并综合考虑与或有事项有关的风险、不确定性和</w:t>
      </w:r>
    </w:p>
    <w:p>
      <w:pPr>
        <w:pStyle w:val="BodyText"/>
        <w:spacing w:line="316" w:lineRule="auto"/>
        <w:ind w:right="89"/>
        <w:jc w:val="left"/>
      </w:pPr>
      <w:r>
        <w:rPr>
          <w:spacing w:val="-2"/>
        </w:rPr>
        <w:t>货币时间价值等因素。货币时间价值影响重大的，通过对相关未来现金流出进行折现后确定最佳估计数。本公司于资产负债</w:t>
      </w:r>
      <w:r>
        <w:rPr>
          <w:spacing w:val="-62"/>
        </w:rPr>
        <w:t> </w:t>
      </w:r>
      <w:r>
        <w:rPr>
          <w:spacing w:val="-62"/>
        </w:rPr>
      </w:r>
      <w:r>
        <w:rPr/>
        <w:t>表日对预计负债的账面价值进行复核，并对账面价值进行调整以反映当前最佳估计数。</w:t>
      </w:r>
    </w:p>
    <w:p>
      <w:pPr>
        <w:pStyle w:val="BodyText"/>
        <w:spacing w:line="316" w:lineRule="auto"/>
        <w:ind w:right="89" w:firstLine="360"/>
        <w:jc w:val="left"/>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left="513" w:right="89"/>
        <w:jc w:val="left"/>
      </w:pPr>
      <w:r>
        <w:rPr/>
        <w:t>（</w:t>
      </w:r>
      <w:r>
        <w:rPr>
          <w:rFonts w:ascii="宋体" w:hAnsi="宋体" w:cs="宋体" w:eastAsia="宋体" w:hint="default"/>
        </w:rPr>
        <w:t>1</w:t>
      </w:r>
      <w:r>
        <w:rPr/>
        <w:t>）</w:t>
      </w:r>
      <w:r>
        <w:rPr>
          <w:spacing w:val="-62"/>
        </w:rPr>
        <w:t> </w:t>
      </w:r>
      <w:r>
        <w:rPr/>
        <w:t>股份支付的种类</w:t>
      </w:r>
      <w:r>
        <w:rPr/>
        <w:t> </w:t>
      </w:r>
      <w:r>
        <w:rPr>
          <w:spacing w:val="-2"/>
        </w:rPr>
        <w:t>股份支付是为了获取职工或其他方提供服务而授予权益工具或者承担以权益工具为基础确定的负债的交易。股份支付分</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为以权益结算的股份支付和以现金结算的股份支付。</w:t>
      </w:r>
    </w:p>
    <w:p>
      <w:pPr>
        <w:pStyle w:val="BodyText"/>
        <w:spacing w:line="316" w:lineRule="auto" w:before="76"/>
        <w:ind w:right="191" w:firstLine="360"/>
        <w:jc w:val="both"/>
      </w:pPr>
      <w:r>
        <w:rPr>
          <w:spacing w:val="-2"/>
        </w:rPr>
        <w:t>①以权益结算的股份支付公司的股票期权计划为用以换取职工提供服务的权益结算的股份支付，以授予职工的权益工具</w:t>
      </w:r>
      <w:r>
        <w:rPr/>
        <w:t> </w:t>
      </w:r>
      <w:r>
        <w:rPr>
          <w:spacing w:val="-2"/>
        </w:rPr>
        <w:t>在授予日的公允价值计量。在完成等待期内的服务或达到规定业绩条件才可行权，在等待期内以对可行权权益工具数量的最</w:t>
      </w:r>
      <w:r>
        <w:rPr>
          <w:spacing w:val="-64"/>
        </w:rPr>
        <w:t> </w:t>
      </w:r>
      <w:r>
        <w:rPr>
          <w:spacing w:val="-64"/>
        </w:rPr>
      </w:r>
      <w:r>
        <w:rPr/>
        <w:t>佳估计为基础，按照权益工具授予日的公允价值，将当期取得的服务计入相关成本或费用，相应增加资本公积。</w:t>
      </w:r>
    </w:p>
    <w:p>
      <w:pPr>
        <w:pStyle w:val="BodyText"/>
        <w:spacing w:line="316" w:lineRule="auto"/>
        <w:ind w:right="104" w:firstLine="360"/>
        <w:jc w:val="both"/>
      </w:pPr>
      <w:r>
        <w:rPr>
          <w:spacing w:val="-2"/>
        </w:rPr>
        <w:t>②以现金结算的股份支付公司的股票增值权计划为以现金结算的股份支付，按照公司承担的以本公司股份数量为基础确</w:t>
      </w:r>
      <w:r>
        <w:rPr/>
        <w:t> </w:t>
      </w:r>
      <w:r>
        <w:rPr>
          <w:spacing w:val="-2"/>
        </w:rPr>
        <w:t>定的负债的公允价值计量。该以现金结算的股份支付须完成等待期内的服务或达到规定业绩条件以后才可行权，在等待期的</w:t>
      </w:r>
      <w:r>
        <w:rPr>
          <w:spacing w:val="-64"/>
        </w:rPr>
        <w:t> </w:t>
      </w:r>
      <w:r>
        <w:rPr>
          <w:spacing w:val="-64"/>
        </w:rPr>
      </w:r>
      <w:r>
        <w:rPr>
          <w:spacing w:val="-2"/>
        </w:rPr>
        <w:t>每个资产负债表日以对可行权情况的最佳估计为基础，按照公司承担负债的公允价值金额，将当期取得的服务计入成本或费</w:t>
      </w:r>
      <w:r>
        <w:rPr>
          <w:spacing w:val="-63"/>
        </w:rPr>
        <w:t> </w:t>
      </w:r>
      <w:r>
        <w:rPr>
          <w:spacing w:val="-63"/>
        </w:rPr>
      </w:r>
      <w:r>
        <w:rPr>
          <w:spacing w:val="-4"/>
        </w:rPr>
        <w:t>用，相应增加负债。在相关负债结算前的每个资产负债表日以及结算日，对负债的公允价值重新计量，其变动计入当期损益。</w:t>
      </w:r>
    </w:p>
    <w:p>
      <w:pPr>
        <w:pStyle w:val="BodyText"/>
        <w:spacing w:line="316" w:lineRule="auto"/>
        <w:ind w:left="513" w:right="89"/>
        <w:jc w:val="left"/>
      </w:pPr>
      <w:r>
        <w:rPr/>
        <w:t>（</w:t>
      </w:r>
      <w:r>
        <w:rPr>
          <w:rFonts w:ascii="宋体" w:hAnsi="宋体" w:cs="宋体" w:eastAsia="宋体" w:hint="default"/>
        </w:rPr>
        <w:t>2</w:t>
      </w:r>
      <w:r>
        <w:rPr/>
        <w:t>）</w:t>
      </w:r>
      <w:r>
        <w:rPr>
          <w:spacing w:val="-62"/>
        </w:rPr>
        <w:t> </w:t>
      </w:r>
      <w:r>
        <w:rPr/>
        <w:t>权益工具公允价值的确定方法</w:t>
      </w:r>
      <w:r>
        <w:rPr/>
        <w:t> </w:t>
      </w:r>
      <w:r>
        <w:rPr>
          <w:spacing w:val="-2"/>
        </w:rPr>
        <w:t>本公司对于授予的存在活跃市场的期权等权益工具，按照活跃市场中的报价确定其公允价值。对于授予的不存在活跃市</w:t>
      </w:r>
    </w:p>
    <w:p>
      <w:pPr>
        <w:pStyle w:val="BodyText"/>
        <w:spacing w:line="319" w:lineRule="auto"/>
        <w:ind w:right="107"/>
        <w:jc w:val="both"/>
      </w:pPr>
      <w:r>
        <w:rPr/>
        <w:t>场的期权等权益工具，采用期权定价模型等确定其公允价值。选用的期权定价模型考虑以下因素：</w:t>
      </w:r>
      <w:r>
        <w:rPr>
          <w:rFonts w:ascii="宋体" w:hAnsi="宋体" w:cs="宋体" w:eastAsia="宋体" w:hint="default"/>
        </w:rPr>
        <w:t>A</w:t>
      </w:r>
      <w:r>
        <w:rPr/>
        <w:t>、期权的行权价格；</w:t>
      </w:r>
      <w:r>
        <w:rPr>
          <w:rFonts w:ascii="宋体" w:hAnsi="宋体" w:cs="宋体" w:eastAsia="宋体" w:hint="default"/>
        </w:rPr>
        <w:t>B</w:t>
      </w:r>
      <w:r>
        <w:rPr/>
        <w:t>、</w:t>
      </w:r>
      <w:r>
        <w:rPr>
          <w:spacing w:val="-86"/>
        </w:rPr>
        <w:t> </w:t>
      </w:r>
      <w:r>
        <w:rPr/>
        <w:t>期权的有效期；</w:t>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p>
    <w:p>
      <w:pPr>
        <w:pStyle w:val="BodyText"/>
        <w:spacing w:line="316" w:lineRule="auto" w:before="17"/>
        <w:ind w:left="513" w:right="89"/>
        <w:jc w:val="left"/>
      </w:pPr>
      <w:r>
        <w:rPr/>
        <w:t>（</w:t>
      </w:r>
      <w:r>
        <w:rPr>
          <w:rFonts w:ascii="宋体" w:hAnsi="宋体" w:cs="宋体" w:eastAsia="宋体" w:hint="default"/>
        </w:rPr>
        <w:t>3</w:t>
      </w:r>
      <w:r>
        <w:rPr/>
        <w:t>）</w:t>
      </w:r>
      <w:r>
        <w:rPr>
          <w:spacing w:val="-62"/>
        </w:rPr>
        <w:t> </w:t>
      </w:r>
      <w:r>
        <w:rPr/>
        <w:t>确认可行权权益工具最佳估计的依据</w:t>
      </w:r>
      <w:r>
        <w:rPr/>
        <w:t> </w:t>
      </w:r>
      <w:r>
        <w:rPr>
          <w:spacing w:val="-2"/>
        </w:rPr>
        <w:t>等待期内每个资产负债表日，本公司根据最新取得的可行权职工人数变动等后续信息作出最佳估计，修正预计可行权的</w:t>
      </w:r>
    </w:p>
    <w:p>
      <w:pPr>
        <w:pStyle w:val="BodyText"/>
        <w:spacing w:line="240" w:lineRule="auto"/>
        <w:ind w:right="0"/>
        <w:jc w:val="both"/>
      </w:pPr>
      <w:r>
        <w:rPr/>
        <w:t>权益工具数量。在可行权日，最终预计可行权权益工具的数量应当与实际可行权数量一致。</w:t>
      </w:r>
    </w:p>
    <w:p>
      <w:pPr>
        <w:pStyle w:val="BodyText"/>
        <w:spacing w:line="316" w:lineRule="auto" w:before="76"/>
        <w:ind w:left="513" w:right="89"/>
        <w:jc w:val="left"/>
      </w:pPr>
      <w:r>
        <w:rPr/>
        <w:t>（</w:t>
      </w:r>
      <w:r>
        <w:rPr>
          <w:rFonts w:ascii="宋体" w:hAnsi="宋体" w:cs="宋体" w:eastAsia="宋体" w:hint="default"/>
        </w:rPr>
        <w:t>4</w:t>
      </w:r>
      <w:r>
        <w:rPr/>
        <w:t>）</w:t>
      </w:r>
      <w:r>
        <w:rPr>
          <w:spacing w:val="-62"/>
        </w:rPr>
        <w:t> </w:t>
      </w:r>
      <w:r>
        <w:rPr/>
        <w:t>实施、修改、终止股份支付计划的相关会计处理</w:t>
      </w:r>
      <w:r>
        <w:rPr/>
        <w:t> </w:t>
      </w:r>
      <w:r>
        <w:rPr>
          <w:spacing w:val="-2"/>
        </w:rPr>
        <w:t>以权益结算的股份支付，按授予职工权益工具的公允价值计量。授予后立即可行权的，在授予日按照权益工具的公允价</w:t>
      </w:r>
    </w:p>
    <w:p>
      <w:pPr>
        <w:pStyle w:val="BodyText"/>
        <w:spacing w:line="316" w:lineRule="auto"/>
        <w:ind w:right="188"/>
        <w:jc w:val="both"/>
      </w:pPr>
      <w:r>
        <w:rPr>
          <w:spacing w:val="-2"/>
        </w:rPr>
        <w:t>值计入相关成本或费用，相应增加资本公积。在完成等待期内的服务或达到规定业绩条件才可行权的，在等待期内的每个资</w:t>
      </w:r>
      <w:r>
        <w:rPr>
          <w:spacing w:val="-61"/>
        </w:rPr>
        <w:t> </w:t>
      </w:r>
      <w:r>
        <w:rPr>
          <w:spacing w:val="-61"/>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319" w:lineRule="auto"/>
        <w:ind w:right="188"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1"/>
        </w:rPr>
        <w:t> </w:t>
      </w:r>
      <w:r>
        <w:rPr>
          <w:spacing w:val="-61"/>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16" w:lineRule="auto" w:before="17"/>
        <w:ind w:right="94" w:firstLine="360"/>
        <w:jc w:val="left"/>
      </w:pPr>
      <w:r>
        <w:rPr>
          <w:spacing w:val="-2"/>
        </w:rPr>
        <w:t>本公司对股份支付计划进行修改时，若修改增加了所授予权益工具的公允价值，按照权益工具公允价值的增加相应地确</w:t>
      </w:r>
      <w:r>
        <w:rPr/>
        <w:t> 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pStyle w:val="BodyText"/>
        <w:spacing w:line="319" w:lineRule="auto"/>
        <w:ind w:right="190" w:firstLine="360"/>
        <w:jc w:val="both"/>
      </w:pPr>
      <w:r>
        <w:rPr>
          <w:spacing w:val="-2"/>
        </w:rPr>
        <w:t>在等待期内，如果取消了授予的权益工具（因未满足可行权条件的非市场条件而被取消的除外），本公司对取消所授予</w:t>
      </w:r>
      <w:r>
        <w:rPr/>
        <w:t> </w:t>
      </w:r>
      <w:r>
        <w:rPr>
          <w:spacing w:val="-2"/>
        </w:rPr>
        <w:t>的权益性工具作为加速行权处理，将剩余等待期内应确认的金额立即计入当期损益，同时确认资本公积。职工或其他方能够</w:t>
      </w:r>
      <w:r>
        <w:rPr>
          <w:spacing w:val="-63"/>
        </w:rPr>
        <w:t> </w:t>
      </w:r>
      <w:r>
        <w:rPr>
          <w:spacing w:val="-63"/>
        </w:rPr>
      </w:r>
      <w:r>
        <w:rPr/>
        <w:t>选择满足非可行权条件但在等待期内未满足的，本公司将其作为授予权益工具的取消处理。</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513" w:right="2973"/>
        <w:jc w:val="left"/>
      </w:pPr>
      <w:r>
        <w:rPr/>
        <w:t>（</w:t>
      </w:r>
      <w:r>
        <w:rPr>
          <w:rFonts w:ascii="宋体" w:hAnsi="宋体" w:cs="宋体" w:eastAsia="宋体" w:hint="default"/>
        </w:rPr>
        <w:t>1</w:t>
      </w:r>
      <w:r>
        <w:rPr/>
        <w:t>）永续债和优先股等的区分 本公司发行的永续债和优先股等金融工具，同时符合以下条件的，作为权益工具：</w:t>
      </w:r>
    </w:p>
    <w:p>
      <w:pPr>
        <w:pStyle w:val="BodyText"/>
        <w:spacing w:line="316" w:lineRule="auto"/>
        <w:ind w:right="192"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9" w:lineRule="auto"/>
        <w:ind w:right="19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240" w:lineRule="auto" w:before="17"/>
        <w:ind w:left="513" w:right="89"/>
        <w:jc w:val="left"/>
      </w:pPr>
      <w:r>
        <w:rPr/>
        <w:t>除按上述条件可归类为权益工具的金融工具以外，本公司发行的其他金融工具应归类为金融负债。</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2" w:firstLine="360"/>
        <w:jc w:val="both"/>
      </w:pPr>
      <w:r>
        <w:rPr>
          <w:spacing w:val="-2"/>
        </w:rPr>
        <w:t>本公司发行的金融工具为复合金融工具的，按照负债成分的公允价值确认为一项负债，按实际收到的金额扣除负债成分</w:t>
      </w:r>
      <w:r>
        <w:rPr/>
        <w:t> </w:t>
      </w:r>
      <w:r>
        <w:rPr>
          <w:spacing w:val="-2"/>
        </w:rPr>
        <w:t>的公允价值后的金额，确认为“其他权益工具”。发行复合金融工具发生的交易费用，在负债成分和权益成分之间按照各自</w:t>
      </w:r>
      <w:r>
        <w:rPr>
          <w:spacing w:val="-65"/>
        </w:rPr>
        <w:t> </w:t>
      </w:r>
      <w:r>
        <w:rPr>
          <w:spacing w:val="-65"/>
        </w:rPr>
      </w:r>
      <w:r>
        <w:rPr/>
        <w:t>占总发行价款的比例进行分摊。</w:t>
      </w:r>
    </w:p>
    <w:p>
      <w:pPr>
        <w:pStyle w:val="BodyText"/>
        <w:spacing w:line="316" w:lineRule="auto"/>
        <w:ind w:left="513" w:right="89"/>
        <w:jc w:val="left"/>
      </w:pPr>
      <w:r>
        <w:rPr/>
        <w:t>（</w:t>
      </w:r>
      <w:r>
        <w:rPr>
          <w:rFonts w:ascii="宋体" w:hAnsi="宋体" w:cs="宋体" w:eastAsia="宋体"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16" w:lineRule="auto"/>
        <w:ind w:left="513" w:right="89" w:hanging="361"/>
        <w:jc w:val="left"/>
      </w:pPr>
      <w:r>
        <w:rPr/>
        <w:t>利得或损失等，除符合资本化条件的借款费用以外，均计入当期损益。 </w:t>
      </w:r>
      <w:r>
        <w:rPr>
          <w:spacing w:val="-2"/>
        </w:rPr>
        <w:t>归类为权益工具的永续债和优先股等金融工具，其发行（含再融资）、回购、出售或注销时，本公司作为权益的变动处</w:t>
      </w:r>
    </w:p>
    <w:p>
      <w:pPr>
        <w:pStyle w:val="BodyText"/>
        <w:spacing w:line="316" w:lineRule="auto"/>
        <w:ind w:left="513" w:right="2794" w:hanging="361"/>
        <w:jc w:val="left"/>
      </w:pPr>
      <w:r>
        <w:rPr/>
        <w:t>理，相关交易费用亦从权益中扣减。本公司对权益工具持有方的分配作为利润分配处理。 本公司不确认权益工具的公允价值变动。</w:t>
      </w:r>
    </w:p>
    <w:p>
      <w:pPr>
        <w:spacing w:line="240" w:lineRule="auto" w:before="10"/>
        <w:rPr>
          <w:rFonts w:ascii="宋体" w:hAnsi="宋体" w:cs="宋体" w:eastAsia="宋体" w:hint="default"/>
          <w:sz w:val="22"/>
          <w:szCs w:val="22"/>
        </w:rPr>
      </w:pPr>
    </w:p>
    <w:p>
      <w:pPr>
        <w:pStyle w:val="Heading3"/>
        <w:spacing w:line="240" w:lineRule="auto"/>
        <w:ind w:right="89"/>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left="513" w:right="89"/>
        <w:jc w:val="left"/>
      </w:pPr>
      <w:r>
        <w:rPr/>
        <w:t>（</w:t>
      </w:r>
      <w:r>
        <w:rPr>
          <w:rFonts w:ascii="宋体" w:hAnsi="宋体" w:cs="宋体" w:eastAsia="宋体" w:hint="default"/>
        </w:rPr>
        <w:t>1</w:t>
      </w:r>
      <w:r>
        <w:rPr/>
        <w:t>）销售商品收入确认时间的具体判断标准 </w:t>
      </w:r>
      <w:r>
        <w:rPr>
          <w:spacing w:val="-2"/>
        </w:rPr>
        <w:t>商品销售收入：主要是本公司为客户提供技术服务过程中，销售网络产品及相关设备配件获得的收入。对于商品销售本</w:t>
      </w:r>
    </w:p>
    <w:p>
      <w:pPr>
        <w:pStyle w:val="BodyText"/>
        <w:spacing w:line="240" w:lineRule="auto"/>
        <w:ind w:right="89"/>
        <w:jc w:val="left"/>
      </w:pPr>
      <w:r>
        <w:rPr/>
        <w:t>公司在相关的收入已经收到或取得了收款的证据时确认销售收入。</w:t>
      </w:r>
    </w:p>
    <w:p>
      <w:pPr>
        <w:pStyle w:val="BodyText"/>
        <w:spacing w:line="316" w:lineRule="auto" w:before="76"/>
        <w:ind w:left="513" w:right="3063"/>
        <w:jc w:val="left"/>
      </w:pPr>
      <w:r>
        <w:rPr/>
        <w:t>（</w:t>
      </w:r>
      <w:r>
        <w:rPr>
          <w:rFonts w:ascii="宋体" w:hAnsi="宋体" w:cs="宋体" w:eastAsia="宋体" w:hint="default"/>
        </w:rPr>
        <w:t>2</w:t>
      </w:r>
      <w:r>
        <w:rPr/>
        <w:t>）确认提供劳务收入的依据 本公司的营业收入包括互联网宽带接入服务、</w:t>
      </w:r>
      <w:r>
        <w:rPr>
          <w:rFonts w:ascii="宋体" w:hAnsi="宋体" w:cs="宋体" w:eastAsia="宋体" w:hint="default"/>
        </w:rPr>
        <w:t>IDC</w:t>
      </w:r>
      <w:r>
        <w:rPr/>
        <w:t>及其增值服务收入和其他收入。</w:t>
      </w:r>
    </w:p>
    <w:p>
      <w:pPr>
        <w:pStyle w:val="BodyText"/>
        <w:spacing w:line="316" w:lineRule="auto"/>
        <w:ind w:left="513" w:right="89"/>
        <w:jc w:val="left"/>
      </w:pPr>
      <w:r>
        <w:rPr>
          <w:spacing w:val="-4"/>
        </w:rPr>
        <w:t>互联网宽带接入服务：主要是通过专线、光纤等各种传输手段向用户提供将计算机或者其他终端设备接入互联网的服务。</w:t>
      </w:r>
      <w:r>
        <w:rPr>
          <w:spacing w:val="-53"/>
        </w:rPr>
        <w:t> </w:t>
      </w:r>
      <w:r>
        <w:rPr>
          <w:spacing w:val="-53"/>
        </w:rPr>
      </w:r>
      <w:r>
        <w:rPr>
          <w:rFonts w:ascii="宋体" w:hAnsi="宋体" w:cs="宋体" w:eastAsia="宋体" w:hint="default"/>
        </w:rPr>
        <w:t>IDC</w:t>
      </w:r>
      <w:r>
        <w:rPr/>
        <w:t>及其增值服务收入：是电信企业利用已有的互联网通信线路、带宽资源，建立标准化的电信专业级机房环境，为企</w:t>
      </w:r>
    </w:p>
    <w:p>
      <w:pPr>
        <w:pStyle w:val="BodyText"/>
        <w:spacing w:line="316" w:lineRule="auto"/>
        <w:ind w:left="513" w:right="183" w:hanging="361"/>
        <w:jc w:val="left"/>
      </w:pPr>
      <w:r>
        <w:rPr/>
        <w:t>业、政府部门等提供服务器托管、租用以及相关增值等方面的全方位服务。 互联网宽带接入服务、</w:t>
      </w:r>
      <w:r>
        <w:rPr>
          <w:rFonts w:ascii="宋体" w:hAnsi="宋体" w:cs="宋体" w:eastAsia="宋体" w:hint="default"/>
        </w:rPr>
        <w:t>IDC</w:t>
      </w:r>
      <w:r>
        <w:rPr/>
        <w:t>及其增值服务收入确认原则：公司根据合同约定提供相应服务，公司统计客户的带宽使用量</w:t>
      </w:r>
    </w:p>
    <w:p>
      <w:pPr>
        <w:pStyle w:val="BodyText"/>
        <w:spacing w:line="316" w:lineRule="auto"/>
        <w:ind w:right="89"/>
        <w:jc w:val="left"/>
      </w:pPr>
      <w:r>
        <w:rPr>
          <w:spacing w:val="-2"/>
        </w:rPr>
        <w:t>得到客户确认，相关的成本能够可靠计量时确认收入。公司的主要成本构成包括向电信运营商租用的带宽费用和房屋租赁费</w:t>
      </w:r>
      <w:r>
        <w:rPr>
          <w:spacing w:val="-64"/>
        </w:rPr>
        <w:t> </w:t>
      </w:r>
      <w:r>
        <w:rPr>
          <w:spacing w:val="-64"/>
        </w:rPr>
      </w:r>
      <w:r>
        <w:rPr/>
        <w:t>用、设备折旧费用及维修等其他费用。</w:t>
      </w:r>
    </w:p>
    <w:p>
      <w:pPr>
        <w:pStyle w:val="BodyText"/>
        <w:spacing w:line="316" w:lineRule="auto"/>
        <w:ind w:left="513" w:right="175"/>
        <w:jc w:val="left"/>
      </w:pPr>
      <w:r>
        <w:rPr/>
        <w:t>互联网宽带接入服务、</w:t>
      </w:r>
      <w:r>
        <w:rPr>
          <w:rFonts w:ascii="宋体" w:hAnsi="宋体" w:cs="宋体" w:eastAsia="宋体" w:hint="default"/>
        </w:rPr>
        <w:t>IDC</w:t>
      </w:r>
      <w:r>
        <w:rPr/>
        <w:t>及其增值服务收入确认的具体方法 公司互联网宽带接入服务的合同一般为固定合同，该类合同一般为明确约定服务提供量，每月按固定金额确认收入。 </w:t>
      </w:r>
      <w:r>
        <w:rPr>
          <w:rFonts w:ascii="宋体" w:hAnsi="宋体" w:cs="宋体" w:eastAsia="宋体" w:hint="default"/>
        </w:rPr>
        <w:t>IDC</w:t>
      </w:r>
      <w:r>
        <w:rPr>
          <w:rFonts w:ascii="宋体" w:hAnsi="宋体" w:cs="宋体" w:eastAsia="宋体" w:hint="default"/>
          <w:spacing w:val="18"/>
        </w:rPr>
        <w:t> </w:t>
      </w:r>
      <w:r>
        <w:rPr>
          <w:spacing w:val="-2"/>
        </w:rPr>
        <w:t>服务及其增值服务合同分为固定合同与敞口合同。固定合同即合同明确约定服务提供量，敞口合同仅约定单价，主</w:t>
      </w:r>
    </w:p>
    <w:p>
      <w:pPr>
        <w:pStyle w:val="BodyText"/>
        <w:spacing w:line="316" w:lineRule="auto"/>
        <w:ind w:right="191"/>
        <w:jc w:val="both"/>
      </w:pPr>
      <w:r>
        <w:rPr>
          <w:spacing w:val="-2"/>
        </w:rPr>
        <w:t>要约定带宽与电费的单价。对于固定合同，在合同服务期限内按月平均确认；对于敞口合同，实际使用带宽流量根据监控系</w:t>
      </w:r>
      <w:r>
        <w:rPr>
          <w:spacing w:val="-65"/>
        </w:rPr>
        <w:t> </w:t>
      </w:r>
      <w:r>
        <w:rPr>
          <w:spacing w:val="-65"/>
        </w:rPr>
      </w:r>
      <w:r>
        <w:rPr>
          <w:spacing w:val="-2"/>
        </w:rPr>
        <w:t>统统计的当月平均带宽使用量编制月客户收费通知单，并经客户核对确认，实际使用电费根据电表计量编制月客户收费通知</w:t>
      </w:r>
      <w:r>
        <w:rPr>
          <w:spacing w:val="-64"/>
        </w:rPr>
        <w:t> </w:t>
      </w:r>
      <w:r>
        <w:rPr>
          <w:spacing w:val="-64"/>
        </w:rPr>
      </w:r>
      <w:r>
        <w:rPr/>
        <w:t>单，并经客户核对确认。</w:t>
      </w:r>
    </w:p>
    <w:p>
      <w:pPr>
        <w:pStyle w:val="BodyText"/>
        <w:spacing w:line="316" w:lineRule="auto"/>
        <w:ind w:left="513" w:right="89"/>
        <w:jc w:val="left"/>
      </w:pPr>
      <w:r>
        <w:rPr/>
        <w:t>（</w:t>
      </w:r>
      <w:r>
        <w:rPr>
          <w:rFonts w:ascii="宋体" w:hAnsi="宋体" w:cs="宋体" w:eastAsia="宋体" w:hint="default"/>
        </w:rPr>
        <w:t>3</w:t>
      </w:r>
      <w:r>
        <w:rPr/>
        <w:t>）按完工百分比法确认提供劳务的收入和建造合同收入时，确定合同完工进度的依据和方法 </w:t>
      </w:r>
      <w:r>
        <w:rPr>
          <w:spacing w:val="-2"/>
        </w:rPr>
        <w:t>系统集成收入：主要是本公司为客户提供网络及综合布线系统、自动化控制系统、安全防范系统、视频及多媒体系统等</w:t>
      </w:r>
    </w:p>
    <w:p>
      <w:pPr>
        <w:pStyle w:val="BodyText"/>
        <w:spacing w:line="319" w:lineRule="auto"/>
        <w:ind w:left="513" w:right="5673" w:hanging="361"/>
        <w:jc w:val="left"/>
      </w:pPr>
      <w:r>
        <w:rPr/>
        <w:t>智能化系统工程所获得的收入。 对于系统集成收入按照项目进度比例确认收入。</w:t>
      </w:r>
    </w:p>
    <w:p>
      <w:pPr>
        <w:spacing w:line="240" w:lineRule="auto" w:before="9"/>
        <w:rPr>
          <w:rFonts w:ascii="宋体" w:hAnsi="宋体" w:cs="宋体" w:eastAsia="宋体" w:hint="default"/>
          <w:sz w:val="22"/>
          <w:szCs w:val="22"/>
        </w:rPr>
      </w:pPr>
    </w:p>
    <w:p>
      <w:pPr>
        <w:pStyle w:val="Heading3"/>
        <w:spacing w:line="240" w:lineRule="auto"/>
        <w:ind w:right="89"/>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89"/>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92" w:firstLine="360"/>
        <w:jc w:val="both"/>
      </w:pPr>
      <w:r>
        <w:rPr>
          <w:spacing w:val="-2"/>
        </w:rPr>
        <w:t>本公司政府补助包括与资产相关的政府补助和与收益相关的政府补助。对取得的、用于购建或以其他方式形成长期资产</w:t>
      </w:r>
      <w:r>
        <w:rPr/>
        <w:t> 的政府补助划分为与资产相关的政府补助。除与资产相关的政府补助之外的政府补助划分为与收益相关的政府补助。</w:t>
      </w:r>
    </w:p>
    <w:p>
      <w:pPr>
        <w:pStyle w:val="BodyText"/>
        <w:spacing w:line="316" w:lineRule="auto"/>
        <w:ind w:left="604" w:right="93" w:hanging="92"/>
        <w:jc w:val="left"/>
      </w:pPr>
      <w:r>
        <w:rPr/>
        <w:t>政府补助在同时满足下列条件的，才能予以确认： ① 公司能够满足政府补助所附条件； ②</w:t>
      </w:r>
      <w:r>
        <w:rPr>
          <w:spacing w:val="1"/>
        </w:rPr>
        <w:t> </w:t>
      </w:r>
      <w:r>
        <w:rPr/>
        <w:t>公司能够收到政府补助。</w:t>
      </w:r>
      <w:r>
        <w:rPr/>
        <w:t> 政府补助为货币性资产的，按照收到或应收的金额计量．政府补助为非货币性资产的，按照公允价值计量；公允价值</w:t>
      </w:r>
    </w:p>
    <w:p>
      <w:pPr>
        <w:pStyle w:val="BodyText"/>
        <w:spacing w:line="316" w:lineRule="auto"/>
        <w:ind w:left="513" w:right="89" w:hanging="361"/>
        <w:jc w:val="left"/>
      </w:pPr>
      <w:r>
        <w:rPr/>
        <w:t>不能可靠取得的，按照名义金额（</w:t>
      </w:r>
      <w:r>
        <w:rPr>
          <w:rFonts w:ascii="宋体" w:hAnsi="宋体" w:cs="宋体" w:eastAsia="宋体" w:hint="default"/>
        </w:rPr>
        <w:t>1</w:t>
      </w:r>
      <w:r>
        <w:rPr/>
        <w:t>元）计量。 </w:t>
      </w:r>
      <w:r>
        <w:rPr>
          <w:spacing w:val="-2"/>
        </w:rPr>
        <w:t>与资产相关的政府补助，确认为递延收益，并在相关资产使用寿命内平均分配，计入当期损益。但是，按照名义金额计</w:t>
      </w:r>
    </w:p>
    <w:p>
      <w:pPr>
        <w:pStyle w:val="BodyText"/>
        <w:spacing w:line="240" w:lineRule="auto"/>
        <w:ind w:right="89"/>
        <w:jc w:val="left"/>
      </w:pPr>
      <w:r>
        <w:rPr/>
        <w:t>量的政府补助，直接计入当期损益。</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firstLine="360"/>
        <w:jc w:val="left"/>
      </w:pPr>
      <w:r>
        <w:rPr>
          <w:spacing w:val="-2"/>
        </w:rPr>
        <w:t>与收益相关的政府补助，分别情况处理：用于补偿本公司以后期间的相关费用或损失的，确认为递延收益，并在确认相</w:t>
      </w:r>
      <w:r>
        <w:rPr/>
        <w:t> 关费用的期间，计入当期损益。用于补偿本公司已发生的相关费用或损失的，直接计入当期损益。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513" w:right="0"/>
        <w:jc w:val="left"/>
      </w:pPr>
      <w:r>
        <w:rPr/>
        <w:t>（</w:t>
      </w:r>
      <w:r>
        <w:rPr>
          <w:rFonts w:ascii="宋体" w:hAnsi="宋体" w:cs="宋体" w:eastAsia="宋体" w:hint="default"/>
        </w:rPr>
        <w:t>1</w:t>
      </w:r>
      <w:r>
        <w:rPr/>
        <w:t>）确认递延所得税资产的依据 </w:t>
      </w:r>
      <w:r>
        <w:rPr>
          <w:spacing w:val="-2"/>
        </w:rPr>
        <w:t>根据资产、负债的账面价值与其计税基础之间的差额（未作为资产和负债确认的项目按照税法规定可以确定其计税基础</w:t>
      </w:r>
    </w:p>
    <w:p>
      <w:pPr>
        <w:pStyle w:val="BodyText"/>
        <w:spacing w:line="316" w:lineRule="auto"/>
        <w:ind w:right="0"/>
        <w:jc w:val="left"/>
      </w:pPr>
      <w:r>
        <w:rPr>
          <w:spacing w:val="-2"/>
        </w:rPr>
        <w:t>的，该计税基础与其账面数之间的差额），按照预期收回该资产或清偿该负债期间的适用税率计算确认递延所得税资产或递</w:t>
      </w:r>
      <w:r>
        <w:rPr>
          <w:spacing w:val="-66"/>
        </w:rPr>
        <w:t> </w:t>
      </w:r>
      <w:r>
        <w:rPr>
          <w:spacing w:val="-66"/>
        </w:rPr>
      </w:r>
      <w:r>
        <w:rPr/>
        <w:t>延所得税负债。</w:t>
      </w:r>
    </w:p>
    <w:p>
      <w:pPr>
        <w:pStyle w:val="BodyText"/>
        <w:spacing w:line="316" w:lineRule="auto"/>
        <w:ind w:left="513" w:right="0"/>
        <w:jc w:val="left"/>
      </w:pPr>
      <w:r>
        <w:rPr/>
        <w:t>（</w:t>
      </w:r>
      <w:r>
        <w:rPr>
          <w:rFonts w:ascii="宋体" w:hAnsi="宋体" w:cs="宋体" w:eastAsia="宋体" w:hint="default"/>
        </w:rPr>
        <w:t>2</w:t>
      </w:r>
      <w:r>
        <w:rPr/>
        <w:t>）确认递延所得税负债的依据 </w:t>
      </w:r>
      <w:r>
        <w:rPr>
          <w:spacing w:val="-2"/>
        </w:rPr>
        <w:t>根据资产、负债的账面价值与其计税基础之间的差额（未作为资产和负债确认的项目按照税法规定可以确定其计税基础</w:t>
      </w:r>
    </w:p>
    <w:p>
      <w:pPr>
        <w:pStyle w:val="BodyText"/>
        <w:spacing w:line="316" w:lineRule="auto"/>
        <w:ind w:right="0"/>
        <w:jc w:val="left"/>
      </w:pPr>
      <w:r>
        <w:rPr>
          <w:spacing w:val="-2"/>
        </w:rPr>
        <w:t>的，该计税基础与其账面数之间的差额），按照预期收回该资产或清偿该负债期间的适用税率计算确认递延所得税资产或递</w:t>
      </w:r>
      <w:r>
        <w:rPr>
          <w:spacing w:val="-66"/>
        </w:rPr>
        <w:t> </w:t>
      </w:r>
      <w:r>
        <w:rPr>
          <w:spacing w:val="-66"/>
        </w:rPr>
      </w:r>
      <w:r>
        <w:rPr/>
        <w:t>延所得税负债。</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42" w:firstLine="360"/>
        <w:jc w:val="left"/>
      </w:pPr>
      <w:r>
        <w:rPr/>
        <w:t>对于经营租赁的租金，出租人、承租人在租赁期内各个期间按照直线法确认为当期损益。</w:t>
      </w:r>
      <w:r>
        <w:rPr>
          <w:spacing w:val="2"/>
        </w:rPr>
        <w:t> </w:t>
      </w:r>
      <w:r>
        <w:rPr/>
        <w:t>出租人、承租人发生的初始</w:t>
      </w:r>
      <w:r>
        <w:rPr/>
        <w:t> 直接费用，计入当期损益。或有租金在实际发生时计入当期损益。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13" w:right="0"/>
        <w:jc w:val="left"/>
      </w:pPr>
      <w:r>
        <w:rPr/>
        <w:t>①</w:t>
      </w:r>
      <w:r>
        <w:rPr>
          <w:spacing w:val="1"/>
        </w:rPr>
        <w:t> </w:t>
      </w:r>
      <w:r>
        <w:rPr/>
        <w:t>承租人的会计处理</w:t>
      </w:r>
      <w:r>
        <w:rPr/>
        <w:t> </w:t>
      </w:r>
      <w:r>
        <w:rPr>
          <w:spacing w:val="-2"/>
        </w:rPr>
        <w:t>在租赁期开始日，将租赁开始日租赁资产公允价值与最低租赁付款额现值两者中较低者作为租入资产的入账价值，将最</w:t>
      </w:r>
    </w:p>
    <w:p>
      <w:pPr>
        <w:pStyle w:val="BodyText"/>
        <w:spacing w:line="316" w:lineRule="auto"/>
        <w:ind w:right="150"/>
        <w:jc w:val="both"/>
      </w:pPr>
      <w:r>
        <w:rPr>
          <w:spacing w:val="-2"/>
        </w:rPr>
        <w:t>低租赁付款额作为长期应付款的入账价值，其差额作为未确认融资费用．在租赁谈判和签订租赁合同过程中发生的，可归属</w:t>
      </w:r>
      <w:r>
        <w:rPr>
          <w:spacing w:val="-63"/>
        </w:rPr>
        <w:t> </w:t>
      </w:r>
      <w:r>
        <w:rPr>
          <w:spacing w:val="-63"/>
        </w:rPr>
      </w:r>
      <w:r>
        <w:rPr>
          <w:spacing w:val="-2"/>
        </w:rPr>
        <w:t>于租赁项目的手续费等初始直接费用（下同），计入租入资产价值．未确认融资费用在租赁期内按照实际利率法计算确认当</w:t>
      </w:r>
      <w:r>
        <w:rPr>
          <w:spacing w:val="-66"/>
        </w:rPr>
        <w:t> </w:t>
      </w:r>
      <w:r>
        <w:rPr>
          <w:spacing w:val="-66"/>
        </w:rPr>
      </w:r>
      <w:r>
        <w:rPr>
          <w:spacing w:val="-2"/>
        </w:rPr>
        <w:t>期的融资费用。或有租金在实际发生时计入当期损益。本公司采用与自有固定资产相一致的折旧政策计提租赁资产折旧。能</w:t>
      </w:r>
      <w:r>
        <w:rPr>
          <w:spacing w:val="-63"/>
        </w:rPr>
        <w:t> </w:t>
      </w:r>
      <w:r>
        <w:rPr>
          <w:spacing w:val="-63"/>
        </w:rPr>
      </w:r>
      <w:r>
        <w:rPr>
          <w:spacing w:val="-2"/>
        </w:rPr>
        <w:t>够合理确定租赁期届满时取得租赁资产所有权的，在租赁资产使用寿命内计提折旧。无法合理确定租赁期届满时能够取得租</w:t>
      </w:r>
      <w:r>
        <w:rPr>
          <w:spacing w:val="-62"/>
        </w:rPr>
        <w:t> </w:t>
      </w:r>
      <w:r>
        <w:rPr>
          <w:spacing w:val="-62"/>
        </w:rPr>
      </w:r>
      <w:r>
        <w:rPr/>
        <w:t>赁资产所有权的，在租赁期与租赁资产使用寿命两者中较短的期间内计提折旧。</w:t>
      </w:r>
    </w:p>
    <w:p>
      <w:pPr>
        <w:pStyle w:val="BodyText"/>
        <w:spacing w:line="316" w:lineRule="auto"/>
        <w:ind w:left="513" w:right="0"/>
        <w:jc w:val="left"/>
      </w:pPr>
      <w:r>
        <w:rPr/>
        <w:t>②</w:t>
      </w:r>
      <w:r>
        <w:rPr>
          <w:spacing w:val="1"/>
        </w:rPr>
        <w:t> </w:t>
      </w:r>
      <w:r>
        <w:rPr/>
        <w:t>出租人的会计处理</w:t>
      </w:r>
      <w:r>
        <w:rPr/>
        <w:t> </w:t>
      </w:r>
      <w:r>
        <w:rPr>
          <w:spacing w:val="-2"/>
        </w:rPr>
        <w:t>在租赁期开始日，出租人将租赁开始日最低租赁收款额与初始直接费用之和作为应收融资租赁款的入账价值，同时记录</w:t>
      </w:r>
    </w:p>
    <w:p>
      <w:pPr>
        <w:pStyle w:val="BodyText"/>
        <w:spacing w:line="316" w:lineRule="auto"/>
        <w:ind w:right="0"/>
        <w:jc w:val="left"/>
      </w:pPr>
      <w:r>
        <w:rPr>
          <w:spacing w:val="-2"/>
        </w:rPr>
        <w:t>未担保余值；将最低租赁收款额、初始直接费用及未担保余值之和与其现值之和的差额确认为未实现融资收益．未实现融资</w:t>
      </w:r>
      <w:r>
        <w:rPr>
          <w:spacing w:val="-63"/>
        </w:rPr>
        <w:t> </w:t>
      </w:r>
      <w:r>
        <w:rPr>
          <w:spacing w:val="-63"/>
        </w:rPr>
      </w:r>
      <w:r>
        <w:rPr/>
        <w:t>收益在租赁期内按照实际利率法计算确认当期的融资收入。或有租金在实际发生时计入当期损益。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3"/>
              <w:jc w:val="center"/>
              <w:rPr>
                <w:rFonts w:ascii="宋体" w:hAnsi="宋体" w:cs="宋体" w:eastAsia="宋体" w:hint="default"/>
                <w:sz w:val="18"/>
                <w:szCs w:val="18"/>
              </w:rPr>
            </w:pPr>
            <w:r>
              <w:rPr>
                <w:rFonts w:ascii="宋体" w:hAnsi="宋体" w:cs="宋体" w:eastAsia="宋体" w:hint="default"/>
                <w:sz w:val="18"/>
                <w:szCs w:val="18"/>
              </w:rPr>
              <w:t>为更加客观公正地反映公司财务状况和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公司第二届董事会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年第三次会议审</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201.410004pt;margin-top:277.849976pt;width:174.15pt;height:156.050pt;mso-position-horizontal-relative:page;mso-position-vertical-relative:page;z-index:-1028680" type="#_x0000_t202" filled="false" stroked="false">
            <v:textbox inset="0,0,0,0">
              <w:txbxContent>
                <w:p>
                  <w:pPr>
                    <w:pStyle w:val="BodyText"/>
                    <w:spacing w:line="240" w:lineRule="auto" w:before="49"/>
                    <w:ind w:left="0" w:right="0"/>
                    <w:jc w:val="left"/>
                  </w:pPr>
                  <w:r>
                    <w:rPr/>
                    <w:t>号、</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107" w:hRule="exact"/>
        </w:trPr>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经营成果，提供更可靠、更准确的会计 </w:t>
            </w:r>
            <w:r>
              <w:rPr>
                <w:rFonts w:ascii="宋体" w:hAnsi="宋体" w:cs="宋体" w:eastAsia="宋体" w:hint="default"/>
                <w:spacing w:val="-3"/>
                <w:sz w:val="18"/>
                <w:szCs w:val="18"/>
              </w:rPr>
              <w:t>信息，公司于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日变更现有 会计政策。原会计政策：公司按业务合 同金额的大小进行分类管理，对合同金 额五万元以上的客户建立了相对完善的 </w:t>
            </w:r>
            <w:r>
              <w:rPr>
                <w:rFonts w:ascii="宋体" w:hAnsi="宋体" w:cs="宋体" w:eastAsia="宋体" w:hint="default"/>
                <w:spacing w:val="-3"/>
                <w:sz w:val="18"/>
                <w:szCs w:val="18"/>
              </w:rPr>
              <w:t>管理制度，根据合同期限分期确认收入；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对合同金额在五万元以下（含五万元）</w:t>
            </w:r>
            <w:r>
              <w:rPr>
                <w:rFonts w:ascii="宋体" w:hAnsi="宋体" w:cs="宋体" w:eastAsia="宋体" w:hint="default"/>
                <w:sz w:val="18"/>
                <w:szCs w:val="18"/>
              </w:rPr>
              <w:t> 的客户，由于数量较多，考虑到成本效 益原则和业务量相对稳定的特点，在收 到客户款项的当月计入收入，不再进行 分摊。变更后会计政策：对原五万元以 下</w:t>
            </w:r>
            <w:r>
              <w:rPr>
                <w:rFonts w:ascii="Times New Roman" w:hAnsi="Times New Roman" w:cs="Times New Roman" w:eastAsia="Times New Roman" w:hint="default"/>
                <w:sz w:val="18"/>
                <w:szCs w:val="18"/>
              </w:rPr>
              <w:t>(</w:t>
            </w:r>
            <w:r>
              <w:rPr>
                <w:rFonts w:ascii="宋体" w:hAnsi="宋体" w:cs="宋体" w:eastAsia="宋体" w:hint="default"/>
                <w:sz w:val="18"/>
                <w:szCs w:val="18"/>
              </w:rPr>
              <w:t>含五万元</w:t>
            </w:r>
            <w:r>
              <w:rPr>
                <w:rFonts w:ascii="Times New Roman" w:hAnsi="Times New Roman" w:cs="Times New Roman" w:eastAsia="Times New Roman" w:hint="default"/>
                <w:sz w:val="18"/>
                <w:szCs w:val="18"/>
              </w:rPr>
              <w:t>)</w:t>
            </w:r>
            <w:r>
              <w:rPr>
                <w:rFonts w:ascii="宋体" w:hAnsi="宋体" w:cs="宋体" w:eastAsia="宋体" w:hint="default"/>
                <w:sz w:val="18"/>
                <w:szCs w:val="18"/>
              </w:rPr>
              <w:t>的客户合同按照权责发生 制原则根据合同期限分期计入收入。</w:t>
            </w:r>
          </w:p>
        </w:tc>
        <w:tc>
          <w:tcPr>
            <w:tcW w:w="3188" w:type="dxa"/>
            <w:tcBorders>
              <w:top w:val="single" w:sz="4" w:space="0" w:color="000000"/>
              <w:left w:val="single" w:sz="10" w:space="0" w:color="FFFFFF"/>
              <w:bottom w:val="single" w:sz="4" w:space="0" w:color="000000"/>
              <w:right w:val="single" w:sz="4" w:space="0" w:color="000000"/>
            </w:tcBorders>
          </w:tcPr>
          <w:p>
            <w:pPr>
              <w:pStyle w:val="TableParagraph"/>
              <w:spacing w:line="312" w:lineRule="auto" w:before="8"/>
              <w:ind w:left="16" w:right="17"/>
              <w:jc w:val="left"/>
              <w:rPr>
                <w:rFonts w:ascii="宋体" w:hAnsi="宋体" w:cs="宋体" w:eastAsia="宋体" w:hint="default"/>
                <w:sz w:val="18"/>
                <w:szCs w:val="18"/>
              </w:rPr>
            </w:pPr>
            <w:r>
              <w:rPr>
                <w:rFonts w:ascii="宋体" w:hAnsi="宋体" w:cs="宋体" w:eastAsia="宋体" w:hint="default"/>
                <w:sz w:val="18"/>
                <w:szCs w:val="18"/>
              </w:rPr>
              <w:t>议通过了上述变更事项，公司独立董事 及监事会均发表了明确意见。本次会计 政策变更不会对最近一个会计年度经审 计的净利润影响比例超过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，不会对 最近一期经审计的所有者权益的影响比 例超过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，不会产生对定期报告公司 的盈亏性质发生变化的影响。根据《创 业板信息披露业务备忘录第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号：会计</w:t>
            </w:r>
            <w:r>
              <w:rPr>
                <w:rFonts w:ascii="宋体" w:hAnsi="宋体" w:cs="宋体" w:eastAsia="宋体" w:hint="default"/>
                <w:sz w:val="18"/>
                <w:szCs w:val="18"/>
              </w:rPr>
              <w:t> 政策及会计估计变更》的要求，本次会 计政策变更无需提交股东大会审议。</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2" w:lineRule="exact"/>
              <w:ind w:left="16" w:right="-29"/>
              <w:jc w:val="left"/>
              <w:rPr>
                <w:rFonts w:ascii="宋体" w:hAnsi="宋体" w:cs="宋体" w:eastAsia="宋体" w:hint="default"/>
                <w:sz w:val="20"/>
                <w:szCs w:val="20"/>
              </w:rPr>
            </w:pPr>
            <w:r>
              <w:rPr>
                <w:rFonts w:ascii="宋体" w:hAnsi="宋体" w:cs="宋体" w:eastAsia="宋体" w:hint="default"/>
                <w:position w:val="-5"/>
                <w:sz w:val="20"/>
                <w:szCs w:val="20"/>
              </w:rPr>
              <w:pict>
                <v:group style="width:156.65pt;height:15.6pt;mso-position-horizontal-relative:char;mso-position-vertical-relative:line" coordorigin="0,0" coordsize="3133,312">
                  <v:group style="position:absolute;left:0;top:0;width:3133;height:312" coordorigin="0,0" coordsize="3133,312">
                    <v:shape style="position:absolute;left:0;top:0;width:3133;height:312" coordorigin="0,0" coordsize="3133,312" path="m0,312l3132,312,313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年初</w:t>
            </w:r>
            <w:r>
              <w:rPr>
                <w:rFonts w:ascii="宋体" w:hAnsi="宋体" w:cs="宋体" w:eastAsia="宋体" w:hint="default"/>
                <w:spacing w:val="-92"/>
                <w:sz w:val="18"/>
                <w:szCs w:val="18"/>
              </w:rPr>
              <w:t>，</w:t>
            </w:r>
            <w:r>
              <w:rPr>
                <w:rFonts w:ascii="宋体" w:hAnsi="宋体" w:cs="宋体" w:eastAsia="宋体" w:hint="default"/>
                <w:sz w:val="18"/>
                <w:szCs w:val="18"/>
              </w:rPr>
              <w:t>财政部分别以财</w:t>
            </w:r>
            <w:r>
              <w:rPr>
                <w:rFonts w:ascii="宋体" w:hAnsi="宋体" w:cs="宋体" w:eastAsia="宋体" w:hint="default"/>
                <w:spacing w:val="-1"/>
                <w:sz w:val="18"/>
                <w:szCs w:val="18"/>
              </w:rPr>
              <w:t>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]6</w:t>
            </w:r>
          </w:p>
          <w:p>
            <w:pPr>
              <w:pStyle w:val="TableParagraph"/>
              <w:spacing w:line="300"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8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10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11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14 </w:t>
            </w:r>
            <w:r>
              <w:rPr>
                <w:rFonts w:ascii="宋体" w:hAnsi="宋体" w:cs="宋体" w:eastAsia="宋体" w:hint="default"/>
                <w:sz w:val="18"/>
                <w:szCs w:val="18"/>
              </w:rPr>
              <w:t>号及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 发布了《企业会计准则第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w:t>
            </w:r>
          </w:p>
          <w:p>
            <w:pPr>
              <w:pStyle w:val="TableParagraph"/>
              <w:spacing w:line="300" w:lineRule="auto" w:before="13"/>
              <w:ind w:left="24" w:right="17"/>
              <w:jc w:val="left"/>
              <w:rPr>
                <w:rFonts w:ascii="宋体" w:hAnsi="宋体" w:cs="宋体" w:eastAsia="宋体" w:hint="default"/>
                <w:sz w:val="18"/>
                <w:szCs w:val="18"/>
              </w:rPr>
            </w:pPr>
            <w:r>
              <w:rPr>
                <w:rFonts w:ascii="宋体" w:hAnsi="宋体" w:cs="宋体" w:eastAsia="宋体" w:hint="default"/>
                <w:spacing w:val="-15"/>
                <w:sz w:val="18"/>
                <w:szCs w:val="18"/>
              </w:rPr>
              <w:t>价值计量》、《企业会计准则第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财务报表列报（</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pacing w:val="-31"/>
                <w:sz w:val="18"/>
                <w:szCs w:val="18"/>
              </w:rPr>
              <w:t>年修订）》、《企业会</w:t>
            </w:r>
            <w:r>
              <w:rPr>
                <w:rFonts w:ascii="宋体" w:hAnsi="宋体" w:cs="宋体" w:eastAsia="宋体" w:hint="default"/>
                <w:sz w:val="18"/>
                <w:szCs w:val="18"/>
              </w:rPr>
              <w:t> 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 </w:t>
            </w:r>
            <w:r>
              <w:rPr>
                <w:rFonts w:ascii="宋体" w:hAnsi="宋体" w:cs="宋体" w:eastAsia="宋体" w:hint="default"/>
                <w:spacing w:val="-23"/>
                <w:sz w:val="18"/>
                <w:szCs w:val="18"/>
              </w:rPr>
              <w:t>订）》、《企业会计准则第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合并</w:t>
            </w:r>
            <w:r>
              <w:rPr>
                <w:rFonts w:ascii="宋体" w:hAnsi="宋体" w:cs="宋体" w:eastAsia="宋体" w:hint="default"/>
                <w:spacing w:val="-87"/>
                <w:sz w:val="18"/>
                <w:szCs w:val="18"/>
              </w:rPr>
              <w:t> </w:t>
            </w:r>
            <w:r>
              <w:rPr>
                <w:rFonts w:ascii="宋体" w:hAnsi="宋体" w:cs="宋体" w:eastAsia="宋体" w:hint="default"/>
                <w:spacing w:val="-4"/>
                <w:sz w:val="18"/>
                <w:szCs w:val="18"/>
              </w:rPr>
              <w:t>财务报表（</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pacing w:val="-26"/>
                <w:sz w:val="18"/>
                <w:szCs w:val="18"/>
              </w:rPr>
              <w:t>年修订）》、《企业会计准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合营安排》、《企业会计准</w:t>
            </w:r>
            <w:r>
              <w:rPr>
                <w:rFonts w:ascii="宋体" w:hAnsi="宋体" w:cs="宋体" w:eastAsia="宋体" w:hint="default"/>
                <w:sz w:val="18"/>
                <w:szCs w:val="18"/>
              </w:rPr>
              <w:t> 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 </w:t>
            </w:r>
            <w:r>
              <w:rPr>
                <w:rFonts w:ascii="宋体" w:hAnsi="宋体" w:cs="宋体" w:eastAsia="宋体" w:hint="default"/>
                <w:spacing w:val="-8"/>
                <w:sz w:val="18"/>
                <w:szCs w:val="18"/>
              </w:rPr>
              <w:t>订）》及《企业会计准则第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其他主体中权益的披露</w:t>
            </w:r>
            <w:r>
              <w:rPr>
                <w:rFonts w:ascii="宋体" w:hAnsi="宋体" w:cs="宋体" w:eastAsia="宋体" w:hint="default"/>
                <w:spacing w:val="-92"/>
                <w:sz w:val="18"/>
                <w:szCs w:val="18"/>
              </w:rPr>
              <w:t>》</w:t>
            </w:r>
            <w:r>
              <w:rPr>
                <w:rFonts w:ascii="宋体" w:hAnsi="宋体" w:cs="宋体" w:eastAsia="宋体" w:hint="default"/>
                <w:sz w:val="18"/>
                <w:szCs w:val="18"/>
              </w:rPr>
              <w:t>，要</w:t>
            </w:r>
            <w:r>
              <w:rPr>
                <w:rFonts w:ascii="宋体" w:hAnsi="宋体" w:cs="宋体" w:eastAsia="宋体" w:hint="default"/>
                <w:spacing w:val="2"/>
                <w:sz w:val="18"/>
                <w:szCs w:val="18"/>
              </w:rPr>
              <w:t>求</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p>
          <w:p>
            <w:pPr>
              <w:pStyle w:val="TableParagraph"/>
              <w:spacing w:line="307"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日起在所有执行企业会计准则 的企业范围内施行，鼓励在境外上市的 企业提前执行。同时，财政部以财会 </w:t>
            </w:r>
            <w:r>
              <w:rPr>
                <w:rFonts w:ascii="Times New Roman" w:hAnsi="Times New Roman" w:cs="Times New Roman" w:eastAsia="Times New Roman" w:hint="default"/>
                <w:sz w:val="18"/>
                <w:szCs w:val="18"/>
              </w:rPr>
              <w:t>[2014]23 </w:t>
            </w:r>
            <w:r>
              <w:rPr>
                <w:rFonts w:ascii="宋体" w:hAnsi="宋体" w:cs="宋体" w:eastAsia="宋体" w:hint="default"/>
                <w:sz w:val="18"/>
                <w:szCs w:val="18"/>
              </w:rPr>
              <w:t>号发布了《企业会计准则第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金融工具列报（</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pacing w:val="-38"/>
                <w:sz w:val="18"/>
                <w:szCs w:val="18"/>
              </w:rPr>
              <w:t>年修订）》（以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w w:val="100"/>
                <w:sz w:val="18"/>
                <w:szCs w:val="18"/>
              </w:rPr>
              <w:t>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金融工具列报准则</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），要求在</w:t>
            </w:r>
            <w:r>
              <w:rPr>
                <w:rFonts w:ascii="宋体" w:hAnsi="宋体" w:cs="宋体" w:eastAsia="宋体" w:hint="default"/>
                <w:spacing w:val="-76"/>
                <w:w w:val="100"/>
                <w:sz w:val="18"/>
                <w:szCs w:val="18"/>
              </w:rPr>
              <w:t> </w:t>
            </w:r>
            <w:r>
              <w:rPr>
                <w:rFonts w:ascii="宋体" w:hAnsi="宋体" w:cs="宋体" w:eastAsia="宋体" w:hint="default"/>
                <w:spacing w:val="-76"/>
                <w:w w:val="100"/>
                <w:sz w:val="18"/>
                <w:szCs w:val="18"/>
              </w:rPr>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年年度及以后期间的财务报告中按 照该准则的要求对金融工具进行列报。 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日开始执行前述</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除金融工具列报准则以外的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或修订的企业会计准则，在编制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年度财务报告时开始执行金融工具列报 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20" w:lineRule="exact"/>
              <w:ind w:right="-53"/>
              <w:jc w:val="left"/>
              <w:rPr>
                <w:rFonts w:ascii="宋体" w:hAnsi="宋体" w:cs="宋体" w:eastAsia="宋体" w:hint="default"/>
                <w:sz w:val="20"/>
                <w:szCs w:val="20"/>
              </w:rPr>
            </w:pPr>
            <w:r>
              <w:rPr>
                <w:rFonts w:ascii="宋体" w:hAnsi="宋体" w:cs="宋体" w:eastAsia="宋体" w:hint="default"/>
                <w:position w:val="-61"/>
                <w:sz w:val="20"/>
                <w:szCs w:val="20"/>
              </w:rPr>
              <w:pict>
                <v:group style="width:159.050pt;height:156.050pt;mso-position-horizontal-relative:char;mso-position-vertical-relative:line" coordorigin="0,0" coordsize="3181,3121">
                  <v:group style="position:absolute;left:0;top:0;width:3181;height:3121" coordorigin="0,0" coordsize="3181,3121">
                    <v:shape style="position:absolute;left:0;top:0;width:3181;height:3121" coordorigin="0,0" coordsize="3181,3121" path="m0,3120l3180,3120,3180,0,0,0,0,3120xe" filled="true" fillcolor="#ffffff" stroked="false">
                      <v:path arrowok="t"/>
                      <v:fill type="solid"/>
                    </v:shape>
                  </v:group>
                </v:group>
              </w:pict>
            </w:r>
            <w:r>
              <w:rPr>
                <w:rFonts w:ascii="宋体" w:hAnsi="宋体" w:cs="宋体" w:eastAsia="宋体" w:hint="default"/>
                <w:position w:val="-61"/>
                <w:sz w:val="20"/>
                <w:szCs w:val="20"/>
              </w:rPr>
            </w:r>
          </w:p>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公司第二届董事会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年第二次会议审 议通过了上述变更事项，公司独立董事 及监事会均发表了明确意见。新准则的 实施不会对公司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年度及</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 财务报表产生影响。</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148" w:firstLine="360"/>
        <w:jc w:val="both"/>
      </w:pPr>
      <w:r>
        <w:rPr>
          <w:spacing w:val="-2"/>
        </w:rPr>
        <w:t>①为更加客观公正地反映公司财务状况和经营成果，提供更可靠、更准确的会计信息，公司于</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日变更合同金</w:t>
      </w:r>
      <w:r>
        <w:rPr/>
        <w:t> </w:t>
      </w:r>
      <w:r>
        <w:rPr>
          <w:spacing w:val="-2"/>
        </w:rPr>
        <w:t>额在五万元以下（含五万元）的客户的收入确认政策。由于过去各期五万元以下（含五万元）的客户数量较多，公司未建立</w:t>
      </w:r>
      <w:r>
        <w:rPr>
          <w:spacing w:val="-68"/>
        </w:rPr>
        <w:t> </w:t>
      </w:r>
      <w:r>
        <w:rPr>
          <w:spacing w:val="-68"/>
        </w:rPr>
      </w:r>
      <w:r>
        <w:rPr>
          <w:spacing w:val="-2"/>
        </w:rPr>
        <w:t>客户信息管理系统，五万元以下的收款涵盖期间无法追溯获得，对其进行重新分期确认收入以确定该项会计政策变更对以前</w:t>
      </w:r>
      <w:r>
        <w:rPr>
          <w:spacing w:val="-64"/>
        </w:rPr>
        <w:t> </w:t>
      </w:r>
      <w:r>
        <w:rPr>
          <w:spacing w:val="-64"/>
        </w:rPr>
      </w:r>
      <w:r>
        <w:rPr/>
        <w:t>各期累计影响数并不切实可行，因而该项会计政策变更采用未来适用法进行会计处理。</w:t>
      </w:r>
    </w:p>
    <w:p>
      <w:pPr>
        <w:pStyle w:val="BodyText"/>
        <w:spacing w:line="316" w:lineRule="auto"/>
        <w:ind w:right="153" w:firstLine="360"/>
        <w:jc w:val="both"/>
      </w:pPr>
      <w:r>
        <w:rPr>
          <w:spacing w:val="-2"/>
        </w:rPr>
        <w:t>本次会计政策变更能更准确地反映公司当期收入，提供更可靠、更相关的会计信息，不会对公司所有者权益、净利润等</w:t>
      </w:r>
      <w:r>
        <w:rPr/>
        <w:t> 指标产生实质性影响。</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0" w:firstLine="360"/>
        <w:jc w:val="left"/>
      </w:pPr>
      <w:r>
        <w:rPr>
          <w:spacing w:val="-2"/>
        </w:rPr>
        <w:t>②本公司将持有</w:t>
      </w:r>
      <w:r>
        <w:rPr>
          <w:rFonts w:ascii="宋体" w:hAnsi="宋体" w:cs="宋体" w:eastAsia="宋体" w:hint="default"/>
          <w:spacing w:val="-2"/>
        </w:rPr>
        <w:t>5%</w:t>
      </w:r>
      <w:r>
        <w:rPr>
          <w:spacing w:val="-2"/>
        </w:rPr>
        <w:t>股份的北京亚太中立信息技术有限公司的列报由长期股权投资调整至可供出售金融资产，并追溯调整</w:t>
      </w:r>
      <w:r>
        <w:rPr/>
        <w:t> 前期比较报表；将其他非流动负债中与资产相关的政府补助调整到递延收益，并追溯调整前期比较报表。</w:t>
      </w:r>
    </w:p>
    <w:p>
      <w:pPr>
        <w:spacing w:line="240" w:lineRule="auto" w:before="11"/>
        <w:rPr>
          <w:rFonts w:ascii="宋体" w:hAnsi="宋体" w:cs="宋体" w:eastAsia="宋体" w:hint="default"/>
          <w:sz w:val="20"/>
          <w:szCs w:val="20"/>
        </w:rPr>
      </w:pPr>
    </w:p>
    <w:p>
      <w:pPr>
        <w:pStyle w:val="Heading2"/>
        <w:spacing w:line="240" w:lineRule="auto" w:before="0"/>
        <w:ind w:right="329"/>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329"/>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1028"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年以前为核定征收，应纳税所得率为营业收入的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 企业所得税税率为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年认定为高新技术企业，企业 所得税税率为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51" w:firstLine="360"/>
        <w:jc w:val="both"/>
      </w:pP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日经北京市科学技术委员会批准取得编号为</w:t>
      </w:r>
      <w:r>
        <w:rPr>
          <w:rFonts w:ascii="宋体" w:hAnsi="宋体" w:cs="宋体" w:eastAsia="宋体" w:hint="default"/>
          <w:spacing w:val="-2"/>
        </w:rPr>
        <w:t>GR201411000556</w:t>
      </w:r>
      <w:r>
        <w:rPr>
          <w:spacing w:val="-2"/>
        </w:rPr>
        <w:t>号的高新技术企业证书，根据《国家</w:t>
      </w:r>
      <w:r>
        <w:rPr/>
        <w:t> </w:t>
      </w:r>
      <w:r>
        <w:rPr>
          <w:spacing w:val="-2"/>
        </w:rPr>
        <w:t>税务总局关于企业所得税减免税管理问题的通知》（国税发</w:t>
      </w:r>
      <w:r>
        <w:rPr>
          <w:rFonts w:ascii="宋体" w:hAnsi="宋体" w:cs="宋体" w:eastAsia="宋体" w:hint="default"/>
          <w:spacing w:val="-2"/>
        </w:rPr>
        <w:t>[2008]111</w:t>
      </w:r>
      <w:r>
        <w:rPr>
          <w:spacing w:val="-2"/>
        </w:rPr>
        <w:t>号）文件的相关规定，公司自</w:t>
      </w:r>
      <w:r>
        <w:rPr>
          <w:rFonts w:ascii="宋体" w:hAnsi="宋体" w:cs="宋体" w:eastAsia="宋体" w:hint="default"/>
          <w:spacing w:val="-2"/>
        </w:rPr>
        <w:t>2014</w:t>
      </w:r>
      <w:r>
        <w:rPr>
          <w:spacing w:val="-2"/>
        </w:rPr>
        <w:t>年开始按</w:t>
      </w:r>
      <w:r>
        <w:rPr>
          <w:rFonts w:ascii="宋体" w:hAnsi="宋体" w:cs="宋体" w:eastAsia="宋体" w:hint="default"/>
          <w:spacing w:val="-2"/>
        </w:rPr>
        <w:t>15%</w:t>
      </w:r>
      <w:r>
        <w:rPr>
          <w:spacing w:val="-2"/>
        </w:rPr>
        <w:t>征收企</w:t>
      </w:r>
      <w:r>
        <w:rPr>
          <w:spacing w:val="-54"/>
        </w:rPr>
        <w:t> </w:t>
      </w:r>
      <w:r>
        <w:rPr>
          <w:spacing w:val="-54"/>
        </w:rPr>
      </w:r>
      <w:r>
        <w:rPr/>
        <w:t>业所得税，有效期三年。</w:t>
      </w:r>
    </w:p>
    <w:p>
      <w:pPr>
        <w:pStyle w:val="BodyText"/>
        <w:spacing w:line="316" w:lineRule="auto" w:before="17"/>
        <w:ind w:right="153" w:firstLine="360"/>
        <w:jc w:val="both"/>
      </w:pPr>
      <w:r>
        <w:rPr/>
        <w:t>本公司子公司光环云谷科技有限公司于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19</w:t>
      </w:r>
      <w:r>
        <w:rPr/>
        <w:t>日河北省科学技术厅批准取得编号为</w:t>
      </w:r>
      <w:r>
        <w:rPr>
          <w:rFonts w:ascii="宋体" w:hAnsi="宋体" w:cs="宋体" w:eastAsia="宋体" w:hint="default"/>
        </w:rPr>
        <w:t>GR201413000164</w:t>
      </w:r>
      <w:r>
        <w:rPr/>
        <w:t>号的高新技术 企业证书，根据《国家税务总局关于企业所得税减免税管理问题的通知》（国税发</w:t>
      </w:r>
      <w:r>
        <w:rPr>
          <w:rFonts w:ascii="宋体" w:hAnsi="宋体" w:cs="宋体" w:eastAsia="宋体" w:hint="default"/>
        </w:rPr>
        <w:t>[2008]111</w:t>
      </w:r>
      <w:r>
        <w:rPr/>
        <w:t>号）文件的相关规定，光环云 谷科技有限公司自</w:t>
      </w:r>
      <w:r>
        <w:rPr>
          <w:rFonts w:ascii="宋体" w:hAnsi="宋体" w:cs="宋体" w:eastAsia="宋体" w:hint="default"/>
        </w:rPr>
        <w:t>2014</w:t>
      </w:r>
      <w:r>
        <w:rPr/>
        <w:t>年开始按</w:t>
      </w:r>
      <w:r>
        <w:rPr>
          <w:rFonts w:ascii="宋体" w:hAnsi="宋体" w:cs="宋体" w:eastAsia="宋体" w:hint="default"/>
        </w:rPr>
        <w:t>15%</w:t>
      </w:r>
      <w:r>
        <w:rPr/>
        <w:t>征收企业所得税，有效期三年。</w:t>
      </w:r>
    </w:p>
    <w:p>
      <w:pPr>
        <w:spacing w:line="240" w:lineRule="auto" w:before="10"/>
        <w:rPr>
          <w:rFonts w:ascii="宋体" w:hAnsi="宋体" w:cs="宋体" w:eastAsia="宋体" w:hint="default"/>
          <w:sz w:val="22"/>
          <w:szCs w:val="22"/>
        </w:rPr>
      </w:pPr>
    </w:p>
    <w:p>
      <w:pPr>
        <w:pStyle w:val="Heading3"/>
        <w:spacing w:line="240" w:lineRule="auto"/>
        <w:ind w:right="329"/>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13" w:right="0"/>
        <w:jc w:val="left"/>
      </w:pPr>
      <w:r>
        <w:rPr/>
        <w:t>本公司之子公司北京瑞科新网科技有限公司的技术推广服务收入为增值税应税收入，增值税率为</w:t>
      </w:r>
      <w:r>
        <w:rPr>
          <w:rFonts w:ascii="宋体" w:hAnsi="宋体" w:cs="宋体" w:eastAsia="宋体" w:hint="default"/>
        </w:rPr>
        <w:t>3%</w:t>
      </w:r>
      <w:r>
        <w:rPr/>
        <w:t>。</w:t>
      </w:r>
      <w:r>
        <w:rPr>
          <w:spacing w:val="-87"/>
        </w:rPr>
        <w:t> </w:t>
      </w:r>
      <w:r>
        <w:rPr>
          <w:spacing w:val="-2"/>
        </w:rPr>
        <w:t>本公司及子公司光环云谷科技有限公司主要业务自</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日起按增值电信服务类别纳入电信业营改增，增值税税率</w:t>
      </w:r>
    </w:p>
    <w:p>
      <w:pPr>
        <w:pStyle w:val="BodyText"/>
        <w:spacing w:line="240" w:lineRule="auto"/>
        <w:ind w:right="329"/>
        <w:jc w:val="left"/>
      </w:pPr>
      <w:r>
        <w:rPr/>
        <w:t>为</w:t>
      </w:r>
      <w:r>
        <w:rPr>
          <w:rFonts w:ascii="宋体" w:hAnsi="宋体" w:cs="宋体" w:eastAsia="宋体" w:hint="default"/>
        </w:rPr>
        <w:t>6%</w:t>
      </w:r>
      <w:r>
        <w:rPr/>
        <w:t>。</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329"/>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13,558.72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238,933,162.21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42,989,720.68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32,088.39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238,977,816.19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43,035,367.79</w:t>
            </w:r>
          </w:p>
        </w:tc>
      </w:tr>
    </w:tbl>
    <w:p>
      <w:pPr>
        <w:pStyle w:val="BodyText"/>
        <w:spacing w:line="360" w:lineRule="auto" w:before="49"/>
        <w:ind w:right="5319"/>
        <w:jc w:val="left"/>
      </w:pPr>
      <w:r>
        <w:rPr/>
        <w:t>其他说明 期末银行存款余额中募投资金账户余额</w:t>
      </w:r>
      <w:r>
        <w:rPr>
          <w:rFonts w:ascii="Times New Roman" w:hAnsi="Times New Roman" w:cs="Times New Roman" w:eastAsia="Times New Roman" w:hint="default"/>
        </w:rPr>
        <w:t>62,022,722.93</w:t>
      </w:r>
      <w:r>
        <w:rPr/>
        <w:t>元。</w:t>
      </w:r>
    </w:p>
    <w:p>
      <w:pPr>
        <w:spacing w:line="240" w:lineRule="auto" w:before="7"/>
        <w:rPr>
          <w:rFonts w:ascii="宋体" w:hAnsi="宋体" w:cs="宋体" w:eastAsia="宋体" w:hint="default"/>
          <w:sz w:val="18"/>
          <w:szCs w:val="18"/>
        </w:rPr>
      </w:pPr>
    </w:p>
    <w:p>
      <w:pPr>
        <w:pStyle w:val="Heading3"/>
        <w:spacing w:line="240" w:lineRule="auto"/>
        <w:ind w:right="329"/>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45,414,2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98.86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1,465,35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43,948,94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27,078,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345.06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843,835.1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26,234,509.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45,414,2</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98.86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1,465,35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3.40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3.23%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43,948,94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5.46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27,078,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345.06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843,835.1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26,234,509.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44,707,332.75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1,341,219.98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44,707,332.75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1,341,219.98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517,782.07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51,778.21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161,184.04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45,414,298.86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1,465,353.40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240" w:lineRule="auto" w:before="29"/>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2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329"/>
        <w:jc w:val="left"/>
      </w:pPr>
      <w:r>
        <w:rPr/>
        <w:t>本期计提坏账准备金额</w:t>
      </w:r>
      <w:r>
        <w:rPr>
          <w:spacing w:val="-46"/>
        </w:rPr>
        <w:t> </w:t>
      </w:r>
      <w:r>
        <w:rPr>
          <w:rFonts w:ascii="Times New Roman" w:hAnsi="Times New Roman" w:cs="Times New Roman" w:eastAsia="Times New Roman" w:hint="default"/>
        </w:rPr>
        <w:t>621,518.23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329"/>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44" w:firstLine="360"/>
        <w:jc w:val="left"/>
      </w:pPr>
      <w:r>
        <w:rPr/>
        <w:t>本公司本年按欠款方归集的年末余额前五名应收账款汇总金额为</w:t>
      </w:r>
      <w:r>
        <w:rPr>
          <w:rFonts w:ascii="宋体" w:hAnsi="宋体" w:cs="宋体" w:eastAsia="宋体" w:hint="default"/>
        </w:rPr>
        <w:t>32,948,050.26</w:t>
      </w:r>
      <w:r>
        <w:rPr/>
        <w:t>元，占应收账款年末余额合计数的比例 为</w:t>
      </w:r>
      <w:r>
        <w:rPr>
          <w:rFonts w:ascii="宋体" w:hAnsi="宋体" w:cs="宋体" w:eastAsia="宋体" w:hint="default"/>
        </w:rPr>
        <w:t>72.55%</w:t>
      </w:r>
      <w:r>
        <w:rPr/>
        <w:t>，相应计提的坏账准备年末余额汇总金额为</w:t>
      </w:r>
      <w:r>
        <w:rPr>
          <w:rFonts w:ascii="宋体" w:hAnsi="宋体" w:cs="宋体" w:eastAsia="宋体" w:hint="default"/>
        </w:rPr>
        <w:t>988,441.51</w:t>
      </w:r>
      <w:r>
        <w:rPr/>
        <w:t>元。</w:t>
      </w:r>
    </w:p>
    <w:p>
      <w:pPr>
        <w:spacing w:line="240" w:lineRule="auto" w:before="10"/>
        <w:rPr>
          <w:rFonts w:ascii="宋体" w:hAnsi="宋体" w:cs="宋体" w:eastAsia="宋体" w:hint="default"/>
          <w:sz w:val="22"/>
          <w:szCs w:val="22"/>
        </w:rPr>
      </w:pPr>
    </w:p>
    <w:p>
      <w:pPr>
        <w:pStyle w:val="Heading3"/>
        <w:spacing w:line="240" w:lineRule="auto"/>
        <w:ind w:right="329"/>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2,564,139.47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27,868,598.82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25,632,170.67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47.91%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2,564,139.47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53,500,769.49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234" w:firstLine="360"/>
        <w:jc w:val="left"/>
      </w:pPr>
      <w:r>
        <w:rPr/>
        <w:t>本公司按预付对象归集的年末余额前五名预付账款汇总金额为</w:t>
      </w:r>
      <w:r>
        <w:rPr>
          <w:rFonts w:ascii="宋体" w:hAnsi="宋体" w:cs="宋体" w:eastAsia="宋体" w:hint="default"/>
        </w:rPr>
        <w:t>2,366,360.60</w:t>
      </w:r>
      <w:r>
        <w:rPr/>
        <w:t>元，占预付账款年末余额合计数的比例为 </w:t>
      </w:r>
      <w:r>
        <w:rPr>
          <w:rFonts w:ascii="宋体" w:hAnsi="宋体" w:cs="宋体" w:eastAsia="宋体" w:hint="default"/>
        </w:rPr>
        <w:t>92.29%</w:t>
      </w:r>
      <w:r>
        <w:rPr/>
        <w:t>。</w:t>
      </w:r>
    </w:p>
    <w:p>
      <w:pPr>
        <w:spacing w:line="240" w:lineRule="auto" w:before="10"/>
        <w:rPr>
          <w:rFonts w:ascii="宋体" w:hAnsi="宋体" w:cs="宋体" w:eastAsia="宋体" w:hint="default"/>
          <w:sz w:val="22"/>
          <w:szCs w:val="22"/>
        </w:rPr>
      </w:pPr>
    </w:p>
    <w:p>
      <w:pPr>
        <w:pStyle w:val="Heading3"/>
        <w:spacing w:line="240" w:lineRule="auto"/>
        <w:ind w:right="329"/>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8"/>
        <w:gridCol w:w="1416"/>
        <w:gridCol w:w="1748"/>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2" w:type="dxa"/>
            <w:vMerge/>
            <w:tcBorders>
              <w:left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3,270,37</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8.65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229,692.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7.02%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3,040,686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5,043,9</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62.87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171,617.9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4,872,344.9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3,270,37</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8.65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229,692.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7.02%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3,040,686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5,043,9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62.87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171,617.9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3.40%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4,872,344.9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2,421,429.15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72,642.87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2,421,429.15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72,642.87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3,270,378.65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229,692.37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274"/>
        <w:jc w:val="left"/>
      </w:pPr>
      <w:r>
        <w:rPr/>
        <w:t>确定该组合依据的说明： 组合中，采用余额百分比法计提坏账准备的其他应收款：</w:t>
      </w:r>
    </w:p>
    <w:p>
      <w:pPr>
        <w:pStyle w:val="BodyText"/>
        <w:spacing w:line="340" w:lineRule="auto" w:before="2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32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t>本期计提坏账准备金额</w:t>
      </w:r>
      <w:r>
        <w:rPr>
          <w:spacing w:val="-46"/>
        </w:rPr>
        <w:t> </w:t>
      </w:r>
      <w:r>
        <w:rPr>
          <w:rFonts w:ascii="Times New Roman" w:hAnsi="Times New Roman" w:cs="Times New Roman" w:eastAsia="Times New Roman" w:hint="default"/>
        </w:rPr>
        <w:t>58,074.47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329"/>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91,811.00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3,123,567.65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2,799,462.87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2,162,000.00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3,270,378.65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5,043,962.87</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北京银达物业管理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1,279,882.15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38,396.46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廊坊三河供电有限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中国移动通信集团 北京有限公司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北京盛世伟业岩土 工程有限公司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上海江南造船厂房 地产开发经营公司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1,989.30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2,966,192.15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139,385.76</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1,146,459.61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1,146,459.61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792,312.00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792,312.00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1,146,459.61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1,146,459.61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792,312.00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792,312.00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6,404,802.59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6,404,802.59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5" w:top="1060" w:bottom="1160" w:left="980" w:right="98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329"/>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北京亚太 中立信息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811,046.0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811,046.0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811,046.0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9"/>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329"/>
        <w:jc w:val="left"/>
      </w:pPr>
      <w:r>
        <w:rPr/>
        <w:t>其他说明</w:t>
      </w:r>
    </w:p>
    <w:p>
      <w:pPr>
        <w:pStyle w:val="BodyText"/>
        <w:spacing w:line="300" w:lineRule="auto" w:before="115"/>
        <w:ind w:right="146"/>
        <w:jc w:val="left"/>
      </w:pPr>
      <w:r>
        <w:rPr>
          <w:spacing w:val="-1"/>
        </w:rPr>
        <w:t>北京长城光环宽带网络技术有限公司于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月已经开始清算，</w:t>
      </w:r>
      <w:r>
        <w:rPr>
          <w:rFonts w:ascii="Times New Roman" w:hAnsi="Times New Roman" w:cs="Times New Roman" w:eastAsia="Times New Roman" w:hint="default"/>
          <w:spacing w:val="-1"/>
        </w:rPr>
        <w:t>2007</w:t>
      </w:r>
      <w:r>
        <w:rPr>
          <w:spacing w:val="-1"/>
        </w:rPr>
        <w:t>年末按账面价值</w:t>
      </w:r>
      <w:r>
        <w:rPr>
          <w:rFonts w:ascii="Times New Roman" w:hAnsi="Times New Roman" w:cs="Times New Roman" w:eastAsia="Times New Roman" w:hint="default"/>
          <w:spacing w:val="-1"/>
        </w:rPr>
        <w:t>50%</w:t>
      </w:r>
      <w:r>
        <w:rPr>
          <w:spacing w:val="-1"/>
        </w:rPr>
        <w:t>计提减值准备，</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月末全额</w:t>
      </w:r>
      <w:r>
        <w:rPr>
          <w:spacing w:val="-83"/>
        </w:rPr>
        <w:t> </w:t>
      </w:r>
      <w:r>
        <w:rPr>
          <w:spacing w:val="-83"/>
        </w:rPr>
      </w:r>
      <w:r>
        <w:rPr/>
        <w:t>计提减值准备。</w:t>
      </w:r>
    </w:p>
    <w:p>
      <w:pPr>
        <w:spacing w:line="240" w:lineRule="auto" w:before="10"/>
        <w:rPr>
          <w:rFonts w:ascii="宋体" w:hAnsi="宋体" w:cs="宋体" w:eastAsia="宋体" w:hint="default"/>
          <w:sz w:val="23"/>
          <w:szCs w:val="23"/>
        </w:rPr>
      </w:pPr>
    </w:p>
    <w:p>
      <w:pPr>
        <w:pStyle w:val="Heading3"/>
        <w:spacing w:line="240" w:lineRule="auto"/>
        <w:ind w:right="329"/>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29,810,650.00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206,967,351.83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55,558,802.92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5,949,115.63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3,212,937.64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301,498,858.02</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58,952,464.44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83,242,932.19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4,302,221.15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1,562,654.82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343,376.76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148,403,649.36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58,952,464.44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91,350.44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2,977,278.44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1,562,654.82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343,376.76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63,927,124.90</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83,151,581.75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1,324,942.71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84,476,524.46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4,193,329.00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4,283,729.00</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4,193,329.00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4,283,729.00</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88,763,114.44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290,210,284.02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55,667,695.07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7,421,370.45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3,556,314.40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445,618,778.38</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2,157,258.75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26,040,841.71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25,136,924.94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1,561,829.59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2,038,286.97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56,935,141.96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3,182,791.41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20,383,558.01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5,901,920.17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599,500.53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408,936.55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30,486,110.31</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837,264.98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20,383,558.01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5,901,920.17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599,500.53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407,305.66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28,129,549.35</w:t>
            </w: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2,354,930.07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1,630.89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2,356,560.96</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4,107,902.26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85,880.00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4,193,782.26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4,107,902.26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85,880.00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4,193,782.26</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5,349,453.80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46,424,399.72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26,930,942.85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2,075,450.12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2,447,223.52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83,227,470.01</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97" w:right="0"/>
              <w:jc w:val="center"/>
              <w:rPr>
                <w:rFonts w:ascii="Times New Roman" w:hAnsi="Times New Roman" w:cs="Times New Roman" w:eastAsia="Times New Roman" w:hint="default"/>
                <w:sz w:val="18"/>
                <w:szCs w:val="18"/>
              </w:rPr>
            </w:pPr>
            <w:r>
              <w:rPr>
                <w:rFonts w:ascii="Times New Roman"/>
                <w:sz w:val="18"/>
              </w:rPr>
              <w:t>83,413,660.64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243,785,884.30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28,736,752.22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5,345,920.33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1,109,090.88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362,391,308.37</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27,653,391.25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180,926,510.12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30,421,877.98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4,387,286.04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1,174,650.67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244,563,716.06</w:t>
            </w:r>
          </w:p>
        </w:tc>
      </w:tr>
    </w:tbl>
    <w:p>
      <w:pPr>
        <w:pStyle w:val="BodyText"/>
        <w:spacing w:line="240" w:lineRule="auto" w:before="49"/>
        <w:ind w:right="0"/>
        <w:jc w:val="both"/>
      </w:pPr>
      <w:r>
        <w:rPr/>
        <w:t>其他说明</w:t>
      </w:r>
    </w:p>
    <w:p>
      <w:pPr>
        <w:pStyle w:val="BodyText"/>
        <w:spacing w:line="240" w:lineRule="auto" w:before="115"/>
        <w:ind w:left="513" w:right="89"/>
        <w:jc w:val="left"/>
      </w:pPr>
      <w:r>
        <w:rPr/>
        <w:t>“机器设备”指公司互联网数据中心的构筑物资产。</w:t>
      </w:r>
    </w:p>
    <w:p>
      <w:pPr>
        <w:pStyle w:val="BodyText"/>
        <w:spacing w:line="316" w:lineRule="auto" w:before="77"/>
        <w:ind w:left="513" w:right="89"/>
        <w:jc w:val="left"/>
      </w:pPr>
      <w:r>
        <w:rPr/>
        <w:t>（</w:t>
      </w:r>
      <w:r>
        <w:rPr>
          <w:rFonts w:ascii="宋体" w:hAnsi="宋体" w:cs="宋体" w:eastAsia="宋体" w:hint="default"/>
        </w:rPr>
        <w:t>1</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日，固定资产抵押和所有权受限情况： </w:t>
      </w:r>
      <w:r>
        <w:rPr>
          <w:spacing w:val="-2"/>
        </w:rPr>
        <w:t>子公司北京瑞科新网科技有限公司与招商银行股份有限公司北京建国路支行于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日签订了编号为“</w:t>
      </w:r>
      <w:r>
        <w:rPr>
          <w:rFonts w:ascii="宋体" w:hAnsi="宋体" w:cs="宋体" w:eastAsia="宋体" w:hint="default"/>
          <w:spacing w:val="-2"/>
        </w:rPr>
        <w:t>2014</w:t>
      </w:r>
      <w:r>
        <w:rPr>
          <w:spacing w:val="-2"/>
        </w:rPr>
        <w:t>年建</w:t>
      </w:r>
    </w:p>
    <w:p>
      <w:pPr>
        <w:pStyle w:val="BodyText"/>
        <w:spacing w:line="316" w:lineRule="auto"/>
        <w:ind w:right="109"/>
        <w:jc w:val="both"/>
      </w:pPr>
      <w:r>
        <w:rPr>
          <w:spacing w:val="-2"/>
        </w:rPr>
        <w:t>授字第</w:t>
      </w:r>
      <w:r>
        <w:rPr>
          <w:rFonts w:ascii="宋体" w:hAnsi="宋体" w:cs="宋体" w:eastAsia="宋体" w:hint="default"/>
          <w:spacing w:val="-2"/>
        </w:rPr>
        <w:t>010</w:t>
      </w:r>
      <w:r>
        <w:rPr>
          <w:spacing w:val="-2"/>
        </w:rPr>
        <w:t>号”《最高额抵押合同》，将位于朝阳区酒仙桥北路甲</w:t>
      </w:r>
      <w:r>
        <w:rPr>
          <w:rFonts w:ascii="宋体" w:hAnsi="宋体" w:cs="宋体" w:eastAsia="宋体" w:hint="default"/>
          <w:spacing w:val="-2"/>
        </w:rPr>
        <w:t>10</w:t>
      </w:r>
      <w:r>
        <w:rPr>
          <w:spacing w:val="-2"/>
        </w:rPr>
        <w:t>号院</w:t>
      </w:r>
      <w:r>
        <w:rPr>
          <w:rFonts w:ascii="宋体" w:hAnsi="宋体" w:cs="宋体" w:eastAsia="宋体" w:hint="default"/>
          <w:spacing w:val="-2"/>
        </w:rPr>
        <w:t>402</w:t>
      </w:r>
      <w:r>
        <w:rPr>
          <w:spacing w:val="-2"/>
        </w:rPr>
        <w:t>号楼</w:t>
      </w:r>
      <w:r>
        <w:rPr>
          <w:rFonts w:ascii="宋体" w:hAnsi="宋体" w:cs="宋体" w:eastAsia="宋体" w:hint="default"/>
          <w:spacing w:val="-2"/>
        </w:rPr>
        <w:t>6</w:t>
      </w:r>
      <w:r>
        <w:rPr>
          <w:spacing w:val="-2"/>
        </w:rPr>
        <w:t>层</w:t>
      </w:r>
      <w:r>
        <w:rPr>
          <w:rFonts w:ascii="宋体" w:hAnsi="宋体" w:cs="宋体" w:eastAsia="宋体" w:hint="default"/>
          <w:spacing w:val="-2"/>
        </w:rPr>
        <w:t>601</w:t>
      </w:r>
      <w:r>
        <w:rPr>
          <w:spacing w:val="-2"/>
        </w:rPr>
        <w:t>的房产（即德信大厦</w:t>
      </w:r>
      <w:r>
        <w:rPr>
          <w:rFonts w:ascii="宋体" w:hAnsi="宋体" w:cs="宋体" w:eastAsia="宋体" w:hint="default"/>
          <w:spacing w:val="-2"/>
        </w:rPr>
        <w:t>6</w:t>
      </w:r>
      <w:r>
        <w:rPr>
          <w:spacing w:val="-2"/>
        </w:rPr>
        <w:t>层，</w:t>
      </w:r>
      <w:r>
        <w:rPr>
          <w:rFonts w:ascii="宋体" w:hAnsi="宋体" w:cs="宋体" w:eastAsia="宋体" w:hint="default"/>
          <w:spacing w:val="-2"/>
        </w:rPr>
        <w:t>X</w:t>
      </w:r>
      <w:r>
        <w:rPr>
          <w:spacing w:val="-2"/>
        </w:rPr>
        <w:t>京房权证</w:t>
      </w:r>
      <w:r>
        <w:rPr>
          <w:spacing w:val="-57"/>
        </w:rPr>
        <w:t> </w:t>
      </w:r>
      <w:r>
        <w:rPr>
          <w:spacing w:val="-2"/>
        </w:rPr>
        <w:t>朝字第</w:t>
      </w:r>
      <w:r>
        <w:rPr>
          <w:rFonts w:ascii="宋体" w:hAnsi="宋体" w:cs="宋体" w:eastAsia="宋体" w:hint="default"/>
          <w:spacing w:val="-2"/>
        </w:rPr>
        <w:t>937056</w:t>
      </w:r>
      <w:r>
        <w:rPr>
          <w:spacing w:val="-2"/>
        </w:rPr>
        <w:t>号）用于抵押。截至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日，该房产账面净值</w:t>
      </w:r>
      <w:r>
        <w:rPr>
          <w:rFonts w:ascii="宋体" w:hAnsi="宋体" w:cs="宋体" w:eastAsia="宋体" w:hint="default"/>
          <w:spacing w:val="-2"/>
        </w:rPr>
        <w:t>26,934,081.60</w:t>
      </w:r>
      <w:r>
        <w:rPr>
          <w:spacing w:val="-2"/>
        </w:rPr>
        <w:t>元，抵押期限</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9</w:t>
      </w:r>
      <w:r>
        <w:rPr>
          <w:rFonts w:ascii="宋体" w:hAnsi="宋体" w:cs="宋体" w:eastAsia="宋体" w:hint="default"/>
          <w:spacing w:val="-39"/>
        </w:rPr>
        <w:t> </w:t>
      </w:r>
      <w:r>
        <w:rPr/>
        <w:t>月</w:t>
      </w:r>
      <w:r>
        <w:rPr>
          <w:rFonts w:ascii="宋体" w:hAnsi="宋体" w:cs="宋体" w:eastAsia="宋体" w:hint="default"/>
        </w:rPr>
        <w:t>16</w:t>
      </w:r>
      <w:r>
        <w:rPr/>
        <w:t>日。招商银行股份有限公司北京建国路支行向公司提供人民币叁仟万元的授信额度（详见本节七“</w:t>
      </w:r>
      <w:r>
        <w:rPr>
          <w:rFonts w:ascii="宋体" w:hAnsi="宋体" w:cs="宋体" w:eastAsia="宋体" w:hint="default"/>
        </w:rPr>
        <w:t>16</w:t>
      </w:r>
      <w:r>
        <w:rPr/>
        <w:t>、短期借款”）。</w:t>
      </w:r>
    </w:p>
    <w:p>
      <w:pPr>
        <w:pStyle w:val="BodyText"/>
        <w:spacing w:line="316" w:lineRule="auto"/>
        <w:ind w:right="89" w:firstLine="360"/>
        <w:jc w:val="left"/>
      </w:pPr>
      <w:r>
        <w:rPr>
          <w:spacing w:val="-2"/>
        </w:rPr>
        <w:t>（</w:t>
      </w:r>
      <w:r>
        <w:rPr>
          <w:rFonts w:ascii="宋体" w:hAnsi="宋体" w:cs="宋体" w:eastAsia="宋体" w:hint="default"/>
          <w:spacing w:val="-2"/>
        </w:rPr>
        <w:t>2</w:t>
      </w:r>
      <w:r>
        <w:rPr>
          <w:spacing w:val="-2"/>
        </w:rPr>
        <w:t>）本期计提的折旧额为</w:t>
      </w:r>
      <w:r>
        <w:rPr>
          <w:rFonts w:ascii="宋体" w:hAnsi="宋体" w:cs="宋体" w:eastAsia="宋体" w:hint="default"/>
          <w:spacing w:val="-2"/>
        </w:rPr>
        <w:t>28,129,549.35</w:t>
      </w:r>
      <w:r>
        <w:rPr>
          <w:spacing w:val="-2"/>
        </w:rPr>
        <w:t>元，收购上海明月光学有限公司（现已更名为光环新网（上海）信息服务有限</w:t>
      </w:r>
      <w:r>
        <w:rPr/>
        <w:t> 公司）增加累计折旧</w:t>
      </w:r>
      <w:r>
        <w:rPr>
          <w:rFonts w:ascii="宋体" w:hAnsi="宋体" w:cs="宋体" w:eastAsia="宋体" w:hint="default"/>
        </w:rPr>
        <w:t>2,356,560.96</w:t>
      </w:r>
      <w:r>
        <w:rPr/>
        <w:t>元，本期减少的固定资产原价</w:t>
      </w:r>
      <w:r>
        <w:rPr>
          <w:rFonts w:ascii="宋体" w:hAnsi="宋体" w:cs="宋体" w:eastAsia="宋体" w:hint="default"/>
        </w:rPr>
        <w:t>4,283,729.00</w:t>
      </w:r>
      <w:r>
        <w:rPr/>
        <w:t>元。</w:t>
      </w:r>
    </w:p>
    <w:p>
      <w:pPr>
        <w:pStyle w:val="BodyText"/>
        <w:spacing w:line="240" w:lineRule="auto"/>
        <w:ind w:left="513" w:right="89"/>
        <w:jc w:val="left"/>
      </w:pPr>
      <w:r>
        <w:rPr/>
        <w:t>（</w:t>
      </w:r>
      <w:r>
        <w:rPr>
          <w:rFonts w:ascii="宋体" w:hAnsi="宋体" w:cs="宋体" w:eastAsia="宋体" w:hint="default"/>
        </w:rPr>
        <w:t>3</w:t>
      </w:r>
      <w:r>
        <w:rPr/>
        <w:t>）期末已提足折旧仍在使用固定资产原值</w:t>
      </w:r>
      <w:r>
        <w:rPr>
          <w:rFonts w:ascii="宋体" w:hAnsi="宋体" w:cs="宋体" w:eastAsia="宋体" w:hint="default"/>
        </w:rPr>
        <w:t>7,736,984.83</w:t>
      </w:r>
      <w:r>
        <w:rPr/>
        <w:t>元。</w:t>
      </w:r>
    </w:p>
    <w:p>
      <w:pPr>
        <w:pStyle w:val="BodyText"/>
        <w:spacing w:line="240" w:lineRule="auto" w:before="76"/>
        <w:ind w:left="513" w:right="89"/>
        <w:jc w:val="left"/>
      </w:pPr>
      <w:r>
        <w:rPr/>
        <w:t>（</w:t>
      </w:r>
      <w:r>
        <w:rPr>
          <w:rFonts w:ascii="宋体" w:hAnsi="宋体" w:cs="宋体" w:eastAsia="宋体" w:hint="default"/>
        </w:rPr>
        <w:t>4</w:t>
      </w:r>
      <w:r>
        <w:rPr/>
        <w:t>）本公司年末对固定资产进行检查，未发现减值迹象，故未计提减值准备。</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酒仙桥机房二期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495,664.50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495,664.50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燕郊机房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11,879,086.35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11,879,086.35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22,432,614.20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22,432,614.20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城域网主干互联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1,044,104.00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1,044,104.00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1,044,104.00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1,044,104.00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东直门机房加固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903,076.92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903,076.92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14,321,931.77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14,321,931.77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24,057,718.20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24,057,718.20</w:t>
            </w:r>
          </w:p>
        </w:tc>
      </w:tr>
    </w:tbl>
    <w:p>
      <w:pPr>
        <w:spacing w:line="240" w:lineRule="auto" w:before="3"/>
        <w:rPr>
          <w:rFonts w:ascii="宋体" w:hAnsi="宋体" w:cs="宋体" w:eastAsia="宋体" w:hint="default"/>
          <w:sz w:val="19"/>
          <w:szCs w:val="19"/>
        </w:rPr>
      </w:pPr>
    </w:p>
    <w:p>
      <w:pPr>
        <w:pStyle w:val="Heading3"/>
        <w:spacing w:line="240" w:lineRule="auto" w:before="36"/>
        <w:ind w:right="89"/>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酒仙桥 机房二 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1,132,75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723,186.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495,664.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燕郊机 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209,000,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22,432,6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85,486,1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82,083,9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83.95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13,955,7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26.79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11,879,0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95.81%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城域网 主干互 联</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1,044,10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2,860,82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1,170,25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1,690,56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1,044,10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东直门 机房加 固</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1,150,03</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5.90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272,958.</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903,076.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酒仙桥 机房一 期项目 改造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499,097.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499,097.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209,000,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24,057,7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91,128,8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84,476,5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24.46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16,388,1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51.76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14,321,9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31.77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814"/>
        <w:jc w:val="left"/>
      </w:pPr>
      <w:r>
        <w:rPr/>
        <w:t>其他说明 其他减少为转入长期待摊费用和营业成本的金额。</w:t>
      </w:r>
    </w:p>
    <w:p>
      <w:pPr>
        <w:spacing w:line="240" w:lineRule="auto" w:before="6"/>
        <w:rPr>
          <w:rFonts w:ascii="宋体" w:hAnsi="宋体" w:cs="宋体" w:eastAsia="宋体" w:hint="default"/>
          <w:sz w:val="20"/>
          <w:szCs w:val="20"/>
        </w:rPr>
      </w:pPr>
    </w:p>
    <w:p>
      <w:pPr>
        <w:pStyle w:val="Heading3"/>
        <w:spacing w:line="240" w:lineRule="auto"/>
        <w:ind w:right="329"/>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1,393,890.00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1,393,890.00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38,678,539.24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74,817.09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38,753,356.33</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38,678,539.24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74,817.09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38,753,356.33</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38,678,539.24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1,468,707.09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40,147,246.33</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336,934.52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336,934.52</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1,781,682.23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291,615.55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2,073,297.78</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71,367.23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291,615.55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362,982.78</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1,710,315.00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1,710,315.00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1,781,682.23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628,550.07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2,410,232.30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36,896,857.01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840,157.02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37,737,014.03</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1,056,955.48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1,056,955.48</w:t>
            </w:r>
          </w:p>
        </w:tc>
      </w:tr>
    </w:tbl>
    <w:p>
      <w:pPr>
        <w:pStyle w:val="BodyText"/>
        <w:spacing w:line="338" w:lineRule="auto" w:before="49"/>
        <w:ind w:right="4044"/>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 其他说明：</w:t>
      </w:r>
    </w:p>
    <w:p>
      <w:pPr>
        <w:pStyle w:val="BodyText"/>
        <w:spacing w:line="240" w:lineRule="auto" w:before="43"/>
        <w:ind w:right="329"/>
        <w:jc w:val="left"/>
      </w:pP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类无形资产为公司购买的各类办公系统。</w:t>
      </w:r>
    </w:p>
    <w:p>
      <w:pPr>
        <w:spacing w:line="240" w:lineRule="auto" w:before="2"/>
        <w:rPr>
          <w:rFonts w:ascii="宋体" w:hAnsi="宋体" w:cs="宋体" w:eastAsia="宋体" w:hint="default"/>
          <w:sz w:val="26"/>
          <w:szCs w:val="26"/>
        </w:rPr>
      </w:pPr>
    </w:p>
    <w:p>
      <w:pPr>
        <w:pStyle w:val="Heading3"/>
        <w:spacing w:line="240" w:lineRule="auto"/>
        <w:ind w:right="329"/>
        <w:jc w:val="left"/>
        <w:rPr>
          <w:b w:val="0"/>
          <w:bCs w:val="0"/>
        </w:rPr>
      </w:pP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1,693,240.00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1,693,240.00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1,693,240.00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1,693,240.00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1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left="513" w:right="203" w:hanging="361"/>
        <w:jc w:val="left"/>
      </w:pPr>
      <w:r>
        <w:rPr/>
        <w:t>说明商誉减值测试过程、参数及商誉减值损失的确认方法： 将非同一控制企业合并北京瑞科新网科技有限公司形成的商誉的账面价值</w:t>
      </w:r>
      <w:r>
        <w:rPr>
          <w:rFonts w:ascii="宋体" w:hAnsi="宋体" w:cs="宋体" w:eastAsia="宋体" w:hint="default"/>
        </w:rPr>
        <w:t>,</w:t>
      </w:r>
      <w:r>
        <w:rPr/>
        <w:t>按照合理的方法分摊至相关的资产组，先对</w:t>
      </w:r>
    </w:p>
    <w:p>
      <w:pPr>
        <w:pStyle w:val="BodyText"/>
        <w:spacing w:line="224" w:lineRule="exact" w:before="0"/>
        <w:ind w:right="0"/>
        <w:jc w:val="left"/>
      </w:pPr>
      <w:r>
        <w:rPr/>
        <w:t>不包含商誉的资产组进行减值测试</w:t>
      </w:r>
      <w:r>
        <w:rPr>
          <w:rFonts w:ascii="宋体" w:hAnsi="宋体" w:cs="宋体" w:eastAsia="宋体" w:hint="default"/>
        </w:rPr>
        <w:t>,</w:t>
      </w:r>
      <w:r>
        <w:rPr/>
        <w:t>可回收金额高于账面价值，未发生减值损失。再对包含商誉的资产组进行减值测试</w:t>
      </w:r>
      <w:r>
        <w:rPr>
          <w:rFonts w:ascii="宋体" w:hAnsi="宋体" w:cs="宋体" w:eastAsia="宋体" w:hint="default"/>
        </w:rPr>
        <w:t>,</w:t>
      </w:r>
      <w:r>
        <w:rPr/>
        <w:t>相关</w:t>
      </w:r>
    </w:p>
    <w:p>
      <w:pPr>
        <w:pStyle w:val="BodyText"/>
        <w:spacing w:line="316" w:lineRule="auto" w:before="76"/>
        <w:ind w:left="513" w:right="4524" w:hanging="361"/>
        <w:jc w:val="left"/>
      </w:pPr>
      <w:r>
        <w:rPr/>
        <w:t>资产组的可收回金额高于其账面价值</w:t>
      </w:r>
      <w:r>
        <w:rPr>
          <w:rFonts w:ascii="宋体" w:hAnsi="宋体" w:cs="宋体" w:eastAsia="宋体" w:hint="default"/>
        </w:rPr>
        <w:t>,</w:t>
      </w:r>
      <w:r>
        <w:rPr/>
        <w:t>因此未发生商誉的减值损失。 其他说明</w:t>
      </w:r>
    </w:p>
    <w:p>
      <w:pPr>
        <w:pStyle w:val="BodyText"/>
        <w:spacing w:line="319" w:lineRule="auto"/>
        <w:ind w:right="122" w:firstLine="360"/>
        <w:jc w:val="left"/>
      </w:pPr>
      <w:r>
        <w:rPr/>
        <w:t>本公司</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19</w:t>
      </w:r>
      <w:r>
        <w:rPr/>
        <w:t>日非同一控制下收购北京瑞科新网科技有限公司为其全资子公司，合并成本为</w:t>
      </w:r>
      <w:r>
        <w:rPr>
          <w:rFonts w:ascii="宋体" w:hAnsi="宋体" w:cs="宋体" w:eastAsia="宋体" w:hint="default"/>
        </w:rPr>
        <w:t>38,301,227.50</w:t>
      </w:r>
      <w:r>
        <w:rPr/>
        <w:t>元， 北京瑞科新网科技有限公司可辨认净资产公允价值为</w:t>
      </w:r>
      <w:r>
        <w:rPr>
          <w:rFonts w:ascii="宋体" w:hAnsi="宋体" w:cs="宋体" w:eastAsia="宋体" w:hint="default"/>
        </w:rPr>
        <w:t>38,810,650.00</w:t>
      </w:r>
      <w:r>
        <w:rPr/>
        <w:t>元，账面价值为在合并报表时，差额部分</w:t>
      </w:r>
      <w:r>
        <w:rPr>
          <w:rFonts w:ascii="宋体" w:hAnsi="宋体" w:cs="宋体" w:eastAsia="宋体" w:hint="default"/>
        </w:rPr>
        <w:t>-509,422.50 </w:t>
      </w:r>
      <w:r>
        <w:rPr>
          <w:spacing w:val="-3"/>
        </w:rPr>
        <w:t>元在合并报表时确认为商誉。非同一控制企业合并产生的应纳税暂时性差异</w:t>
      </w:r>
      <w:r>
        <w:rPr>
          <w:rFonts w:ascii="宋体" w:hAnsi="宋体" w:cs="宋体" w:eastAsia="宋体" w:hint="default"/>
          <w:spacing w:val="-3"/>
        </w:rPr>
        <w:t>8,810,650.00</w:t>
      </w:r>
      <w:r>
        <w:rPr>
          <w:spacing w:val="-3"/>
        </w:rPr>
        <w:t>元，在确认递延所得税负债的同时，</w:t>
      </w:r>
      <w:r>
        <w:rPr>
          <w:spacing w:val="-84"/>
        </w:rPr>
        <w:t> </w:t>
      </w:r>
      <w:r>
        <w:rPr>
          <w:spacing w:val="-84"/>
        </w:rPr>
      </w:r>
      <w:r>
        <w:rPr/>
        <w:t>相关的递延所得税费用（或收益）应调整企业合并中所确认的商誉</w:t>
      </w:r>
      <w:r>
        <w:rPr>
          <w:rFonts w:ascii="宋体" w:hAnsi="宋体" w:cs="宋体" w:eastAsia="宋体" w:hint="default"/>
        </w:rPr>
        <w:t>2,202,662.50</w:t>
      </w:r>
      <w:r>
        <w:rPr/>
        <w:t>元。综上所述，在合并报表确认的商誉为 </w:t>
      </w:r>
      <w:r>
        <w:rPr>
          <w:rFonts w:ascii="宋体" w:hAnsi="宋体" w:cs="宋体" w:eastAsia="宋体" w:hint="default"/>
        </w:rPr>
        <w:t>1,693,240.00</w:t>
      </w:r>
      <w:r>
        <w:rPr/>
        <w:t>元。</w:t>
      </w:r>
    </w:p>
    <w:p>
      <w:pPr>
        <w:spacing w:line="240" w:lineRule="auto" w:before="9"/>
        <w:rPr>
          <w:rFonts w:ascii="宋体" w:hAnsi="宋体" w:cs="宋体" w:eastAsia="宋体" w:hint="default"/>
          <w:sz w:val="22"/>
          <w:szCs w:val="22"/>
        </w:rPr>
      </w:pPr>
    </w:p>
    <w:p>
      <w:pPr>
        <w:pStyle w:val="Heading3"/>
        <w:spacing w:line="240" w:lineRule="auto"/>
        <w:ind w:right="113"/>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东直门机房装修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770,850.95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64,344.99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706,505.96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酒仙桥机房一期装 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5,370,119.77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317,445.48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5,052,674.29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酒仙桥机房二期装 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9,983,280.78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576,669.84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9,406,610.94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电力通道租金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514,696.00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29,694.00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485,002.00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管井租赁费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847,174.90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107,641.14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1,710,633.76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通信管孔</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4,270,539.33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2,210,777.55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609,863.33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5,871,453.55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燕郊机房装修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14,035,074.40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13,821,977.85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784,232.71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27,072,819.54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燕郊房租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12,142,783.50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6,071,391.73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6,071,391.77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35,791,736.13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29,146,638.90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8,561,283.22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56,377,091.81</w:t>
            </w:r>
          </w:p>
        </w:tc>
      </w:tr>
    </w:tbl>
    <w:p>
      <w:pPr>
        <w:pStyle w:val="BodyText"/>
        <w:spacing w:line="240" w:lineRule="auto" w:before="49"/>
        <w:ind w:right="113"/>
        <w:jc w:val="left"/>
      </w:pPr>
      <w:r>
        <w:rPr/>
        <w:t>其他说明</w:t>
      </w:r>
    </w:p>
    <w:p>
      <w:pPr>
        <w:pStyle w:val="BodyText"/>
        <w:spacing w:line="316" w:lineRule="auto" w:before="115"/>
        <w:ind w:right="117" w:firstLine="360"/>
        <w:jc w:val="left"/>
      </w:pPr>
      <w:r>
        <w:rPr>
          <w:spacing w:val="-2"/>
        </w:rPr>
        <w:t>本公司之子公司光环云谷科技有限公司经营用数据机房所用场地的租赁性质为经营租赁，合同总金额</w:t>
      </w:r>
      <w:r>
        <w:rPr>
          <w:rFonts w:ascii="宋体" w:hAnsi="宋体" w:cs="宋体" w:eastAsia="宋体" w:hint="default"/>
          <w:spacing w:val="-2"/>
        </w:rPr>
        <w:t>60,713,917.50</w:t>
      </w:r>
      <w:r>
        <w:rPr>
          <w:spacing w:val="-2"/>
        </w:rPr>
        <w:t>元，</w:t>
      </w:r>
      <w:r>
        <w:rPr/>
        <w:t> 租期</w:t>
      </w:r>
      <w:r>
        <w:rPr>
          <w:rFonts w:ascii="宋体" w:hAnsi="宋体" w:cs="宋体" w:eastAsia="宋体" w:hint="default"/>
        </w:rPr>
        <w:t>10</w:t>
      </w:r>
      <w:r>
        <w:rPr/>
        <w:t>年，年租金</w:t>
      </w:r>
      <w:r>
        <w:rPr>
          <w:rFonts w:ascii="宋体" w:hAnsi="宋体" w:cs="宋体" w:eastAsia="宋体" w:hint="default"/>
        </w:rPr>
        <w:t>6,071,391.75</w:t>
      </w:r>
      <w:r>
        <w:rPr/>
        <w:t>元，本公司已支付</w:t>
      </w:r>
      <w:r>
        <w:rPr>
          <w:rFonts w:ascii="宋体" w:hAnsi="宋体" w:cs="宋体" w:eastAsia="宋体" w:hint="default"/>
        </w:rPr>
        <w:t>2014-2015</w:t>
      </w:r>
      <w:r>
        <w:rPr/>
        <w:t>年度租金</w:t>
      </w:r>
      <w:r>
        <w:rPr>
          <w:rFonts w:ascii="宋体" w:hAnsi="宋体" w:cs="宋体" w:eastAsia="宋体" w:hint="default"/>
        </w:rPr>
        <w:t>12,142,783.50</w:t>
      </w:r>
      <w:r>
        <w:rPr/>
        <w:t>元。</w:t>
      </w:r>
    </w:p>
    <w:p>
      <w:pPr>
        <w:spacing w:line="240" w:lineRule="auto" w:before="10"/>
        <w:rPr>
          <w:rFonts w:ascii="宋体" w:hAnsi="宋体" w:cs="宋体" w:eastAsia="宋体" w:hint="default"/>
          <w:sz w:val="22"/>
          <w:szCs w:val="22"/>
        </w:rPr>
      </w:pPr>
    </w:p>
    <w:p>
      <w:pPr>
        <w:pStyle w:val="Heading3"/>
        <w:spacing w:line="240" w:lineRule="auto"/>
        <w:ind w:right="113"/>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0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2,503,567.46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375,535.12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1,621,051.95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243,157.79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4,766,202.79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714,930.42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4,536,300.26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680,445.05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7,269,770.25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1,090,465.54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6,157,352.21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923,602.84</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7,929,585.00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1,982,396.25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8,149,851.25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2,037,462.82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7,929,585.00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1,982,396.25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8,149,851.25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2,037,462.82</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1,090,465.54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923,602.84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1,982,396.25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2,037,462.82</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2,524.38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205,447.19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2,843,289.36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581,859.05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2,845,813.74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787,306.24</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373,975.75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373,975.75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238,387.30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207,883.30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2,230,926.31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2,843,289.36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581,859.05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13"/>
        <w:jc w:val="left"/>
        <w:rPr>
          <w:b w:val="0"/>
          <w:bCs w:val="0"/>
        </w:rPr>
      </w:pPr>
      <w:r>
        <w:rPr>
          <w:rFonts w:ascii="Times New Roman" w:hAnsi="Times New Roman" w:cs="Times New Roman" w:eastAsia="Times New Roman" w:hint="default"/>
        </w:rPr>
        <w:t>15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77,758,315.77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77,758,315.77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
        <w:jc w:val="left"/>
      </w:pPr>
      <w:r>
        <w:rPr/>
        <w:t>其他说明：</w:t>
      </w:r>
    </w:p>
    <w:p>
      <w:pPr>
        <w:pStyle w:val="BodyText"/>
        <w:spacing w:line="319" w:lineRule="auto" w:before="115"/>
        <w:ind w:right="114" w:firstLine="360"/>
        <w:jc w:val="left"/>
      </w:pPr>
      <w:r>
        <w:rPr/>
        <w:t>（</w:t>
      </w:r>
      <w:r>
        <w:rPr>
          <w:rFonts w:ascii="宋体" w:hAnsi="宋体" w:cs="宋体" w:eastAsia="宋体" w:hint="default"/>
        </w:rPr>
        <w:t>1</w:t>
      </w:r>
      <w:r>
        <w:rPr/>
        <w:t>）本公司分别在</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9</w:t>
      </w:r>
      <w:r>
        <w:rPr/>
        <w:t>日、</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8</w:t>
      </w:r>
      <w:r>
        <w:rPr/>
        <w:t>日、</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13</w:t>
      </w:r>
      <w:r>
        <w:rPr/>
        <w:t>日与德信智能手机技术（北京）有限公司签订了《房 </w:t>
      </w:r>
      <w:r>
        <w:rPr>
          <w:spacing w:val="-2"/>
        </w:rPr>
        <w:t>屋买卖合同》、《</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之补充合同二》约定其向公司出售房屋（朝阳区酒仙桥</w:t>
      </w:r>
      <w:r>
        <w:rPr>
          <w:spacing w:val="-67"/>
        </w:rPr>
        <w:t> </w:t>
      </w:r>
      <w:r>
        <w:rPr>
          <w:spacing w:val="-67"/>
        </w:rPr>
      </w:r>
      <w:r>
        <w:rPr/>
        <w:t>北路甲</w:t>
      </w:r>
      <w:r>
        <w:rPr>
          <w:rFonts w:ascii="宋体" w:hAnsi="宋体" w:cs="宋体" w:eastAsia="宋体" w:hint="default"/>
        </w:rPr>
        <w:t>10</w:t>
      </w:r>
      <w:r>
        <w:rPr/>
        <w:t>号院</w:t>
      </w:r>
      <w:r>
        <w:rPr>
          <w:rFonts w:ascii="宋体" w:hAnsi="宋体" w:cs="宋体" w:eastAsia="宋体" w:hint="default"/>
        </w:rPr>
        <w:t>402</w:t>
      </w:r>
      <w:r>
        <w:rPr/>
        <w:t>号楼</w:t>
      </w:r>
      <w:r>
        <w:rPr>
          <w:rFonts w:ascii="宋体" w:hAnsi="宋体" w:cs="宋体" w:eastAsia="宋体" w:hint="default"/>
        </w:rPr>
        <w:t>5</w:t>
      </w:r>
      <w:r>
        <w:rPr/>
        <w:t>层）作为数据机房使用，交易价格为</w:t>
      </w:r>
      <w:r>
        <w:rPr>
          <w:rFonts w:ascii="宋体" w:hAnsi="宋体" w:cs="宋体" w:eastAsia="宋体" w:hint="default"/>
        </w:rPr>
        <w:t>41,634,880.00</w:t>
      </w:r>
      <w:r>
        <w:rPr/>
        <w:t>元，公司已累计支付交易价款</w:t>
      </w:r>
      <w:r>
        <w:rPr>
          <w:rFonts w:ascii="宋体" w:hAnsi="宋体" w:cs="宋体" w:eastAsia="宋体" w:hint="default"/>
        </w:rPr>
        <w:t>41,634,880.00</w:t>
      </w:r>
      <w:r>
        <w:rPr/>
        <w:t>元，</w:t>
      </w:r>
      <w:r>
        <w:rPr>
          <w:spacing w:val="-3"/>
        </w:rPr>
        <w:t> </w:t>
      </w:r>
      <w:r>
        <w:rPr/>
        <w:t>截至报告日房屋产权证尚在办理中，未过户至本公司；</w:t>
      </w:r>
      <w:r>
        <w:rPr>
          <w:rFonts w:ascii="宋体" w:hAnsi="宋体" w:cs="宋体" w:eastAsia="宋体" w:hint="default"/>
        </w:rPr>
        <w:t>2012</w:t>
      </w:r>
      <w:r>
        <w:rPr/>
        <w:t>年</w:t>
      </w:r>
      <w:r>
        <w:rPr>
          <w:rFonts w:ascii="宋体" w:hAnsi="宋体" w:cs="宋体" w:eastAsia="宋体" w:hint="default"/>
        </w:rPr>
        <w:t>8</w:t>
      </w:r>
      <w:r>
        <w:rPr/>
        <w:t>月，公司在标的房屋建设的酒仙桥机房二期已投入使用并结 </w:t>
      </w:r>
      <w:r>
        <w:rPr>
          <w:spacing w:val="-2"/>
        </w:rPr>
        <w:t>转固定资产，出于谨慎性和配比原则考虑，公司比照房屋建筑物折旧政策进行摊销，摊销年限</w:t>
      </w:r>
      <w:r>
        <w:rPr>
          <w:rFonts w:ascii="宋体" w:hAnsi="宋体" w:cs="宋体" w:eastAsia="宋体" w:hint="default"/>
          <w:spacing w:val="-2"/>
        </w:rPr>
        <w:t>40</w:t>
      </w:r>
      <w:r>
        <w:rPr>
          <w:spacing w:val="-2"/>
        </w:rPr>
        <w:t>年，截至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日累</w:t>
      </w:r>
      <w:r>
        <w:rPr>
          <w:spacing w:val="-60"/>
        </w:rPr>
        <w:t> </w:t>
      </w:r>
      <w:r>
        <w:rPr/>
        <w:t>计摊销</w:t>
      </w:r>
      <w:r>
        <w:rPr>
          <w:rFonts w:ascii="宋体" w:hAnsi="宋体" w:cs="宋体" w:eastAsia="宋体" w:hint="default"/>
        </w:rPr>
        <w:t>28</w:t>
      </w:r>
      <w:r>
        <w:rPr/>
        <w:t>个月，摊销金额</w:t>
      </w:r>
      <w:r>
        <w:rPr>
          <w:rFonts w:ascii="宋体" w:hAnsi="宋体" w:cs="宋体" w:eastAsia="宋体" w:hint="default"/>
        </w:rPr>
        <w:t>2,407,956.23</w:t>
      </w:r>
      <w:r>
        <w:rPr/>
        <w:t>元，摊销后余额</w:t>
      </w:r>
      <w:r>
        <w:rPr>
          <w:rFonts w:ascii="宋体" w:hAnsi="宋体" w:cs="宋体" w:eastAsia="宋体" w:hint="default"/>
        </w:rPr>
        <w:t>39,226,923.77</w:t>
      </w:r>
      <w:r>
        <w:rPr/>
        <w:t>元。</w:t>
      </w:r>
    </w:p>
    <w:p>
      <w:pPr>
        <w:pStyle w:val="BodyText"/>
        <w:spacing w:line="316" w:lineRule="auto" w:before="17"/>
        <w:ind w:right="211" w:firstLine="360"/>
        <w:jc w:val="both"/>
      </w:pPr>
      <w:r>
        <w:rPr>
          <w:spacing w:val="-2"/>
        </w:rPr>
        <w:t>（</w:t>
      </w:r>
      <w:r>
        <w:rPr>
          <w:rFonts w:ascii="宋体" w:hAnsi="宋体" w:cs="宋体" w:eastAsia="宋体" w:hint="default"/>
          <w:spacing w:val="-2"/>
        </w:rPr>
        <w:t>2</w:t>
      </w:r>
      <w:r>
        <w:rPr>
          <w:spacing w:val="-2"/>
        </w:rPr>
        <w:t>）本公司</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spacing w:val="-2"/>
        </w:rPr>
        <w:t>日与德信智能手机技术（北京）有限公司签订了《</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之补充合同三》约定其向公</w:t>
      </w:r>
      <w:r>
        <w:rPr/>
        <w:t> 司出售房屋（朝阳区酒仙桥北路甲</w:t>
      </w:r>
      <w:r>
        <w:rPr>
          <w:rFonts w:ascii="宋体" w:hAnsi="宋体" w:cs="宋体" w:eastAsia="宋体" w:hint="default"/>
        </w:rPr>
        <w:t>10</w:t>
      </w:r>
      <w:r>
        <w:rPr/>
        <w:t>号院</w:t>
      </w:r>
      <w:r>
        <w:rPr>
          <w:rFonts w:ascii="宋体" w:hAnsi="宋体" w:cs="宋体" w:eastAsia="宋体" w:hint="default"/>
        </w:rPr>
        <w:t>402</w:t>
      </w:r>
      <w:r>
        <w:rPr/>
        <w:t>号楼</w:t>
      </w:r>
      <w:r>
        <w:rPr>
          <w:rFonts w:ascii="宋体" w:hAnsi="宋体" w:cs="宋体" w:eastAsia="宋体" w:hint="default"/>
        </w:rPr>
        <w:t>4</w:t>
      </w:r>
      <w:r>
        <w:rPr/>
        <w:t>层）作为数据机房使用，交易价格为</w:t>
      </w:r>
      <w:r>
        <w:rPr>
          <w:rFonts w:ascii="宋体" w:hAnsi="宋体" w:cs="宋体" w:eastAsia="宋体" w:hint="default"/>
        </w:rPr>
        <w:t>41,034,880.00</w:t>
      </w:r>
      <w:r>
        <w:rPr/>
        <w:t>元，截止</w:t>
      </w:r>
      <w:r>
        <w:rPr>
          <w:rFonts w:ascii="宋体" w:hAnsi="宋体" w:cs="宋体" w:eastAsia="宋体" w:hint="default"/>
        </w:rPr>
        <w:t>2014</w:t>
      </w:r>
      <w:r>
        <w:rPr/>
        <w:t>年</w:t>
      </w:r>
      <w:r>
        <w:rPr>
          <w:rFonts w:ascii="宋体" w:hAnsi="宋体" w:cs="宋体" w:eastAsia="宋体" w:hint="default"/>
        </w:rPr>
        <w:t>12</w:t>
      </w:r>
      <w:r>
        <w:rPr/>
        <w:t>月 </w:t>
      </w:r>
      <w:r>
        <w:rPr>
          <w:rFonts w:ascii="宋体" w:hAnsi="宋体" w:cs="宋体" w:eastAsia="宋体" w:hint="default"/>
        </w:rPr>
        <w:t>31</w:t>
      </w:r>
      <w:r>
        <w:rPr/>
        <w:t>日，公司已累计支付交易价款</w:t>
      </w:r>
      <w:r>
        <w:rPr>
          <w:rFonts w:ascii="宋体" w:hAnsi="宋体" w:cs="宋体" w:eastAsia="宋体" w:hint="default"/>
        </w:rPr>
        <w:t>38,531,392.00</w:t>
      </w:r>
      <w:r>
        <w:rPr/>
        <w:t>元，截至报告日房屋产权证尚在办理中，未过户至本公司，目前四层机房正 建设中。</w:t>
      </w:r>
    </w:p>
    <w:p>
      <w:pPr>
        <w:spacing w:line="240" w:lineRule="auto" w:before="10"/>
        <w:rPr>
          <w:rFonts w:ascii="宋体" w:hAnsi="宋体" w:cs="宋体" w:eastAsia="宋体" w:hint="default"/>
          <w:sz w:val="22"/>
          <w:szCs w:val="22"/>
        </w:rPr>
      </w:pPr>
    </w:p>
    <w:p>
      <w:pPr>
        <w:pStyle w:val="Heading3"/>
        <w:spacing w:line="240" w:lineRule="auto"/>
        <w:ind w:right="113"/>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42,396,232.54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56,912,418.46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42,396,232.54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56,912,418.46</w:t>
            </w:r>
          </w:p>
        </w:tc>
      </w:tr>
    </w:tbl>
    <w:p>
      <w:pPr>
        <w:pStyle w:val="BodyText"/>
        <w:spacing w:line="240" w:lineRule="auto" w:before="49"/>
        <w:ind w:right="113"/>
        <w:jc w:val="left"/>
      </w:pPr>
      <w:r>
        <w:rPr/>
        <w:t>短期借款分类的说明：</w:t>
      </w:r>
    </w:p>
    <w:p>
      <w:pPr>
        <w:pStyle w:val="BodyText"/>
        <w:spacing w:line="319" w:lineRule="auto" w:before="115"/>
        <w:ind w:right="114" w:firstLine="360"/>
        <w:jc w:val="left"/>
      </w:pPr>
      <w:r>
        <w:rPr/>
        <w:t>（</w:t>
      </w:r>
      <w:r>
        <w:rPr>
          <w:rFonts w:ascii="宋体" w:hAnsi="宋体" w:cs="宋体" w:eastAsia="宋体" w:hint="default"/>
        </w:rPr>
        <w:t>1</w:t>
      </w:r>
      <w:r>
        <w:rPr/>
        <w:t>）公司以子公司北京瑞科新网科技有限公司房产为抵押（即德信大厦</w:t>
      </w:r>
      <w:r>
        <w:rPr>
          <w:rFonts w:ascii="宋体" w:hAnsi="宋体" w:cs="宋体" w:eastAsia="宋体" w:hint="default"/>
        </w:rPr>
        <w:t>6</w:t>
      </w:r>
      <w:r>
        <w:rPr/>
        <w:t>层，</w:t>
      </w:r>
      <w:r>
        <w:rPr>
          <w:rFonts w:ascii="宋体" w:hAnsi="宋体" w:cs="宋体" w:eastAsia="宋体" w:hint="default"/>
        </w:rPr>
        <w:t>X</w:t>
      </w:r>
      <w:r>
        <w:rPr/>
        <w:t>京房权证朝字第</w:t>
      </w:r>
      <w:r>
        <w:rPr>
          <w:rFonts w:ascii="宋体" w:hAnsi="宋体" w:cs="宋体" w:eastAsia="宋体" w:hint="default"/>
        </w:rPr>
        <w:t>937056</w:t>
      </w:r>
      <w:r>
        <w:rPr/>
        <w:t>号），并由公司 董事长耿殿根作为连带责任保证人，与招商银行股份有限公司北京建国路支行于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28</w:t>
      </w:r>
      <w:r>
        <w:rPr/>
        <w:t>日签订《授信协议》（编号： </w:t>
      </w:r>
      <w:r>
        <w:rPr>
          <w:rFonts w:ascii="宋体" w:hAnsi="宋体" w:cs="宋体" w:eastAsia="宋体" w:hint="default"/>
        </w:rPr>
        <w:t>2014</w:t>
      </w:r>
      <w:r>
        <w:rPr/>
        <w:t>年建授字第</w:t>
      </w:r>
      <w:r>
        <w:rPr>
          <w:rFonts w:ascii="宋体" w:hAnsi="宋体" w:cs="宋体" w:eastAsia="宋体" w:hint="default"/>
        </w:rPr>
        <w:t>010</w:t>
      </w:r>
      <w:r>
        <w:rPr/>
        <w:t>号），招商银行股份有限公司北京建国路支行向本公司提供授信额度人民币叁仟万元整，授信期为</w:t>
      </w:r>
      <w:r>
        <w:rPr>
          <w:rFonts w:ascii="宋体" w:hAnsi="宋体" w:cs="宋体" w:eastAsia="宋体" w:hint="default"/>
        </w:rPr>
        <w:t>2014 </w:t>
      </w:r>
      <w:r>
        <w:rPr/>
        <w:t>年</w:t>
      </w:r>
      <w:r>
        <w:rPr>
          <w:rFonts w:ascii="宋体" w:hAnsi="宋体" w:cs="宋体" w:eastAsia="宋体" w:hint="default"/>
        </w:rPr>
        <w:t>10</w:t>
      </w:r>
      <w:r>
        <w:rPr/>
        <w:t>月</w:t>
      </w:r>
      <w:r>
        <w:rPr>
          <w:rFonts w:ascii="宋体" w:hAnsi="宋体" w:cs="宋体" w:eastAsia="宋体" w:hint="default"/>
        </w:rPr>
        <w:t>28</w:t>
      </w:r>
      <w:r>
        <w:rPr/>
        <w:t>日起至</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16</w:t>
      </w:r>
      <w:r>
        <w:rPr/>
        <w:t>日止。</w:t>
      </w:r>
    </w:p>
    <w:p>
      <w:pPr>
        <w:pStyle w:val="BodyText"/>
        <w:spacing w:line="316" w:lineRule="auto" w:before="17"/>
        <w:ind w:right="113" w:firstLine="360"/>
        <w:jc w:val="left"/>
      </w:pPr>
      <w:r>
        <w:rPr>
          <w:spacing w:val="-7"/>
        </w:rPr>
        <w:t>（</w:t>
      </w:r>
      <w:r>
        <w:rPr>
          <w:rFonts w:ascii="宋体" w:hAnsi="宋体" w:cs="宋体" w:eastAsia="宋体" w:hint="default"/>
          <w:spacing w:val="-7"/>
        </w:rPr>
        <w:t>2</w:t>
      </w:r>
      <w:r>
        <w:rPr>
          <w:spacing w:val="-7"/>
        </w:rPr>
        <w:t>）公司以德信智能手机技术（北京）有限公司房产抵押（《</w:t>
      </w:r>
      <w:r>
        <w:rPr>
          <w:rFonts w:ascii="宋体" w:hAnsi="宋体" w:cs="宋体" w:eastAsia="宋体" w:hint="default"/>
          <w:spacing w:val="-7"/>
        </w:rPr>
        <w:t>X</w:t>
      </w:r>
      <w:r>
        <w:rPr>
          <w:spacing w:val="-7"/>
        </w:rPr>
        <w:t>京房权证朝字第</w:t>
      </w:r>
      <w:r>
        <w:rPr>
          <w:rFonts w:ascii="宋体" w:hAnsi="宋体" w:cs="宋体" w:eastAsia="宋体" w:hint="default"/>
          <w:spacing w:val="-7"/>
        </w:rPr>
        <w:t>808948</w:t>
      </w:r>
      <w:r>
        <w:rPr>
          <w:spacing w:val="-7"/>
        </w:rPr>
        <w:t>号》即酒仙桥二期机房所在房产），</w:t>
      </w:r>
      <w:r>
        <w:rPr/>
        <w:t> </w:t>
      </w:r>
      <w:r>
        <w:rPr>
          <w:spacing w:val="-5"/>
        </w:rPr>
        <w:t>与中国建设银行股份有限公司北京朝阳支行于</w:t>
      </w:r>
      <w:r>
        <w:rPr>
          <w:rFonts w:ascii="宋体" w:hAnsi="宋体" w:cs="宋体" w:eastAsia="宋体" w:hint="default"/>
          <w:spacing w:val="-5"/>
        </w:rPr>
        <w:t>2014</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22</w:t>
      </w:r>
      <w:r>
        <w:rPr>
          <w:spacing w:val="-5"/>
        </w:rPr>
        <w:t>日签订人民币额度借款合同（编号：建京</w:t>
      </w:r>
      <w:r>
        <w:rPr>
          <w:rFonts w:ascii="宋体" w:hAnsi="宋体" w:cs="宋体" w:eastAsia="宋体" w:hint="default"/>
          <w:spacing w:val="-5"/>
        </w:rPr>
        <w:t>2014</w:t>
      </w:r>
      <w:r>
        <w:rPr>
          <w:spacing w:val="-5"/>
        </w:rPr>
        <w:t>年额小字第</w:t>
      </w:r>
      <w:r>
        <w:rPr>
          <w:rFonts w:ascii="宋体" w:hAnsi="宋体" w:cs="宋体" w:eastAsia="宋体" w:hint="default"/>
          <w:spacing w:val="-5"/>
        </w:rPr>
        <w:t>0215</w:t>
      </w:r>
      <w:r>
        <w:rPr>
          <w:spacing w:val="-5"/>
        </w:rPr>
        <w:t>号），</w:t>
      </w:r>
      <w:r>
        <w:rPr>
          <w:spacing w:val="-40"/>
        </w:rPr>
        <w:t> </w:t>
      </w:r>
      <w:r>
        <w:rPr>
          <w:spacing w:val="-40"/>
        </w:rPr>
      </w:r>
      <w:r>
        <w:rPr/>
        <w:t>中国建设银行股份有限公司北京朝阳支行向本公司提供授信额度为人民币肆仟零伍拾万元整，授信期限为：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22</w:t>
      </w:r>
      <w:r>
        <w:rPr/>
        <w:t>日 至</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22</w:t>
      </w:r>
      <w:r>
        <w:rPr/>
        <w:t>日。</w:t>
      </w:r>
    </w:p>
    <w:p>
      <w:pPr>
        <w:spacing w:line="240" w:lineRule="auto" w:before="10"/>
        <w:rPr>
          <w:rFonts w:ascii="宋体" w:hAnsi="宋体" w:cs="宋体" w:eastAsia="宋体" w:hint="default"/>
          <w:sz w:val="22"/>
          <w:szCs w:val="22"/>
        </w:rPr>
      </w:pPr>
    </w:p>
    <w:p>
      <w:pPr>
        <w:pStyle w:val="Heading3"/>
        <w:spacing w:line="240" w:lineRule="auto"/>
        <w:ind w:right="113"/>
        <w:jc w:val="left"/>
        <w:rPr>
          <w:b w:val="0"/>
          <w:bCs w:val="0"/>
        </w:rPr>
      </w:pPr>
      <w:r>
        <w:rPr>
          <w:rFonts w:ascii="Times New Roman" w:hAnsi="Times New Roman" w:cs="Times New Roman" w:eastAsia="Times New Roman" w:hint="default"/>
        </w:rPr>
        <w:t>17</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after="0" w:line="240" w:lineRule="auto"/>
        <w:jc w:val="right"/>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52,726,476.32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19,418,619.45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1,862,244.90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3,157,256.85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2,756.00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278,113.05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278,113.05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54,869,590.27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22,853,989.35</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18</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47,430,588.65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48,411,502.45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2,442,591.83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1,708,590.26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319,155.39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116,636.79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55,835.75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84,338.59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50,248,171.62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50,321,068.09</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4,356,702.75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43,570,474.95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43,035,828.02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4,891,349.68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257,759.88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3,521,037.68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3,463,793.99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315,003.57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4,614,462.63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47,097,512.63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46,505,622.01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5,206,353.25</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3,959,161.89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37,141,039.02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36,691,002.92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4,409,197.99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1,180,340.32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1,144,527.43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116,182.89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153,635.56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2,055,526.18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2,027,273.49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181,888.25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138,411.20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1,852,908.53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1,828,106.83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163,212.90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4,151.93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58,347.34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5,234.79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11,072.43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144,270.31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141,902.18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13,440.56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2,513,826.60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2,501,448.60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12,378.00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163,535.30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679,742.83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671,575.58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171,702.55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4,356,702.75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43,570,474.95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43,035,828.02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4,891,349.68</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245,485.60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3,347,301.00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3,292,801.20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299,985.40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173,736.68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170,992.79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15,018.17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257,759.88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3,521,037.68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3,463,793.99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315,003.57</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1,163,499.54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3,192,410.39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2,838,959.47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274,758.67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257,908.28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83,730.52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35,884.51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23,923.01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3,467,169.06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4,403,905.33</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5,056,262.96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568,318.53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184,613.78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202,799.56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5,249,376.74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774,293.09</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北京长城光环宽带网络技术有限公司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180,113.78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北京长城光环宽带网络技术有限公司已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月开始清算，截止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日尚未清算完毕。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180,113.78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22</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见说明</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1,248,000.00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329"/>
        <w:jc w:val="left"/>
      </w:pPr>
      <w:r>
        <w:rPr/>
        <w:t>涉及政府补助的项目：</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1,248,000.00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329"/>
        <w:jc w:val="left"/>
      </w:pPr>
      <w:r>
        <w:rPr/>
        <w:t>其他说明：</w:t>
      </w:r>
    </w:p>
    <w:p>
      <w:pPr>
        <w:pStyle w:val="BodyText"/>
        <w:spacing w:line="319" w:lineRule="auto" w:before="115"/>
        <w:ind w:right="150" w:firstLine="360"/>
        <w:jc w:val="both"/>
      </w:pPr>
      <w:r>
        <w:rPr>
          <w:spacing w:val="-3"/>
        </w:rPr>
        <w:t>依据《北京市经济和信息化委员会关于下达</w:t>
      </w:r>
      <w:r>
        <w:rPr>
          <w:rFonts w:ascii="宋体" w:hAnsi="宋体" w:cs="宋体" w:eastAsia="宋体" w:hint="default"/>
          <w:spacing w:val="-3"/>
        </w:rPr>
        <w:t>2010</w:t>
      </w:r>
      <w:r>
        <w:rPr>
          <w:spacing w:val="-3"/>
        </w:rPr>
        <w:t>年度第二批中小企业发展专项资金计划的通知》（京经信委发</w:t>
      </w:r>
      <w:r>
        <w:rPr>
          <w:rFonts w:ascii="宋体" w:hAnsi="宋体" w:cs="宋体" w:eastAsia="宋体" w:hint="default"/>
          <w:spacing w:val="-3"/>
        </w:rPr>
        <w:t>[2010]200</w:t>
      </w:r>
      <w:r>
        <w:rPr>
          <w:rFonts w:ascii="宋体" w:hAnsi="宋体" w:cs="宋体" w:eastAsia="宋体" w:hint="default"/>
        </w:rPr>
        <w:t> </w:t>
      </w:r>
      <w:r>
        <w:rPr>
          <w:spacing w:val="-2"/>
        </w:rPr>
        <w:t>号），本公司</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月收到北京市经济和信息化委员会拨付的互联网数据服务一体化财政资金</w:t>
      </w:r>
      <w:r>
        <w:rPr>
          <w:rFonts w:ascii="宋体" w:hAnsi="宋体" w:cs="宋体" w:eastAsia="宋体" w:hint="default"/>
          <w:spacing w:val="-2"/>
        </w:rPr>
        <w:t>1,920,000.00</w:t>
      </w:r>
      <w:r>
        <w:rPr>
          <w:spacing w:val="-2"/>
        </w:rPr>
        <w:t>元，属于与资</w:t>
      </w:r>
      <w:r>
        <w:rPr>
          <w:spacing w:val="-56"/>
        </w:rPr>
        <w:t> </w:t>
      </w:r>
      <w:r>
        <w:rPr>
          <w:spacing w:val="-56"/>
        </w:rPr>
      </w:r>
      <w:r>
        <w:rPr/>
        <w:t>产相关的政府补助，从</w:t>
      </w:r>
      <w:r>
        <w:rPr>
          <w:rFonts w:ascii="宋体" w:hAnsi="宋体" w:cs="宋体" w:eastAsia="宋体" w:hint="default"/>
        </w:rPr>
        <w:t>2011</w:t>
      </w:r>
      <w:r>
        <w:rPr/>
        <w:t>年</w:t>
      </w:r>
      <w:r>
        <w:rPr>
          <w:rFonts w:ascii="宋体" w:hAnsi="宋体" w:cs="宋体" w:eastAsia="宋体" w:hint="default"/>
        </w:rPr>
        <w:t>7</w:t>
      </w:r>
      <w:r>
        <w:rPr/>
        <w:t>月起按</w:t>
      </w:r>
      <w:r>
        <w:rPr>
          <w:rFonts w:ascii="宋体" w:hAnsi="宋体" w:cs="宋体" w:eastAsia="宋体" w:hint="default"/>
        </w:rPr>
        <w:t>10</w:t>
      </w:r>
      <w:r>
        <w:rPr/>
        <w:t>年结转递延收益，本期结转营业外收入</w:t>
      </w:r>
      <w:r>
        <w:rPr>
          <w:rFonts w:ascii="宋体" w:hAnsi="宋体" w:cs="宋体" w:eastAsia="宋体" w:hint="default"/>
        </w:rPr>
        <w:t>192,000.00</w:t>
      </w:r>
      <w:r>
        <w:rPr/>
        <w:t>元。</w:t>
      </w:r>
    </w:p>
    <w:p>
      <w:pPr>
        <w:spacing w:line="240" w:lineRule="auto" w:before="9"/>
        <w:rPr>
          <w:rFonts w:ascii="宋体" w:hAnsi="宋体" w:cs="宋体" w:eastAsia="宋体" w:hint="default"/>
          <w:sz w:val="22"/>
          <w:szCs w:val="22"/>
        </w:rPr>
      </w:pPr>
    </w:p>
    <w:p>
      <w:pPr>
        <w:pStyle w:val="Heading3"/>
        <w:spacing w:line="240" w:lineRule="auto"/>
        <w:ind w:right="329"/>
        <w:jc w:val="left"/>
        <w:rPr>
          <w:b w:val="0"/>
          <w:bCs w:val="0"/>
        </w:rPr>
      </w:pPr>
      <w:r>
        <w:rPr>
          <w:rFonts w:ascii="Times New Roman" w:hAnsi="Times New Roman" w:cs="Times New Roman" w:eastAsia="Times New Roman" w:hint="default"/>
        </w:rPr>
        <w:t>23</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45,800,000.00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8,780,000.00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54,580,000.00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63,360,000.00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109,160,000.00</w:t>
            </w:r>
          </w:p>
        </w:tc>
      </w:tr>
    </w:tbl>
    <w:p>
      <w:pPr>
        <w:pStyle w:val="BodyText"/>
        <w:spacing w:line="240" w:lineRule="auto" w:before="49"/>
        <w:ind w:right="329"/>
        <w:jc w:val="left"/>
      </w:pPr>
      <w:r>
        <w:rPr/>
        <w:t>其他说明：</w:t>
      </w:r>
    </w:p>
    <w:p>
      <w:pPr>
        <w:pStyle w:val="BodyText"/>
        <w:spacing w:line="316" w:lineRule="auto" w:before="117"/>
        <w:ind w:right="0" w:firstLine="36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24</w:t>
      </w:r>
      <w:r>
        <w:rPr>
          <w:spacing w:val="-2"/>
        </w:rPr>
        <w:t>日，经中国证券监督管理委员会《关于核准北京光环新网科技股份有限公司首次公开发行股票并在创</w:t>
      </w:r>
      <w:r>
        <w:rPr/>
        <w:t> </w:t>
      </w:r>
      <w:r>
        <w:rPr>
          <w:spacing w:val="-2"/>
        </w:rPr>
        <w:t>业板上市的批复》（证监许可【</w:t>
      </w:r>
      <w:r>
        <w:rPr>
          <w:rFonts w:ascii="宋体" w:hAnsi="宋体" w:cs="宋体" w:eastAsia="宋体" w:hint="default"/>
          <w:spacing w:val="-2"/>
        </w:rPr>
        <w:t>2014</w:t>
      </w:r>
      <w:r>
        <w:rPr>
          <w:spacing w:val="-2"/>
        </w:rPr>
        <w:t>】</w:t>
      </w:r>
      <w:r>
        <w:rPr>
          <w:rFonts w:ascii="宋体" w:hAnsi="宋体" w:cs="宋体" w:eastAsia="宋体" w:hint="default"/>
          <w:spacing w:val="-2"/>
        </w:rPr>
        <w:t>68</w:t>
      </w:r>
      <w:r>
        <w:rPr>
          <w:spacing w:val="-2"/>
        </w:rPr>
        <w:t>号）核准，本公司向社会公众公开发行人民币普通股</w:t>
      </w:r>
      <w:r>
        <w:rPr>
          <w:rFonts w:ascii="宋体" w:hAnsi="宋体" w:cs="宋体" w:eastAsia="宋体" w:hint="default"/>
          <w:spacing w:val="-2"/>
        </w:rPr>
        <w:t>1,364.50</w:t>
      </w:r>
      <w:r>
        <w:rPr>
          <w:spacing w:val="-2"/>
        </w:rPr>
        <w:t>万股，其中发行新股</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89"/>
        <w:jc w:val="left"/>
      </w:pPr>
      <w:r>
        <w:rPr>
          <w:rFonts w:ascii="宋体" w:hAnsi="宋体" w:cs="宋体" w:eastAsia="宋体" w:hint="default"/>
        </w:rPr>
        <w:t>878.00</w:t>
      </w:r>
      <w:r>
        <w:rPr/>
        <w:t>万股，老股转让</w:t>
      </w:r>
      <w:r>
        <w:rPr>
          <w:rFonts w:ascii="宋体" w:hAnsi="宋体" w:cs="宋体" w:eastAsia="宋体" w:hint="default"/>
        </w:rPr>
        <w:t>486.50</w:t>
      </w:r>
      <w:r>
        <w:rPr/>
        <w:t>万股，每股面值</w:t>
      </w:r>
      <w:r>
        <w:rPr>
          <w:rFonts w:ascii="宋体" w:hAnsi="宋体" w:cs="宋体" w:eastAsia="宋体" w:hint="default"/>
        </w:rPr>
        <w:t>1</w:t>
      </w:r>
      <w:r>
        <w:rPr/>
        <w:t>元，每股发行价人民币</w:t>
      </w:r>
      <w:r>
        <w:rPr>
          <w:rFonts w:ascii="宋体" w:hAnsi="宋体" w:cs="宋体" w:eastAsia="宋体" w:hint="default"/>
        </w:rPr>
        <w:t>38.30</w:t>
      </w:r>
      <w:r>
        <w:rPr/>
        <w:t>元。本公司实际募集资金净额人民币</w:t>
      </w:r>
    </w:p>
    <w:p>
      <w:pPr>
        <w:pStyle w:val="BodyText"/>
        <w:spacing w:line="316" w:lineRule="auto" w:before="76"/>
        <w:ind w:right="94"/>
        <w:jc w:val="left"/>
      </w:pPr>
      <w:r>
        <w:rPr>
          <w:rFonts w:ascii="宋体" w:hAnsi="宋体" w:cs="宋体" w:eastAsia="宋体" w:hint="default"/>
        </w:rPr>
        <w:t>310,808,270.00</w:t>
      </w:r>
      <w:r>
        <w:rPr/>
        <w:t>元，其中新增注册资本人民币</w:t>
      </w:r>
      <w:r>
        <w:rPr>
          <w:rFonts w:ascii="宋体" w:hAnsi="宋体" w:cs="宋体" w:eastAsia="宋体" w:hint="default"/>
        </w:rPr>
        <w:t>8,780,000.00</w:t>
      </w:r>
      <w:r>
        <w:rPr/>
        <w:t>元，增加资本公积人民币</w:t>
      </w:r>
      <w:r>
        <w:rPr>
          <w:rFonts w:ascii="宋体" w:hAnsi="宋体" w:cs="宋体" w:eastAsia="宋体" w:hint="default"/>
        </w:rPr>
        <w:t>302,028,270.00</w:t>
      </w:r>
      <w:r>
        <w:rPr/>
        <w:t>元，已经亚太（集团） 会计师事务所（特殊普通合伙）验资并出具亚会</w:t>
      </w:r>
      <w:r>
        <w:rPr>
          <w:rFonts w:ascii="宋体" w:hAnsi="宋体" w:cs="宋体" w:eastAsia="宋体" w:hint="default"/>
        </w:rPr>
        <w:t>A</w:t>
      </w:r>
      <w:r>
        <w:rPr/>
        <w:t>验字</w:t>
      </w:r>
      <w:r>
        <w:rPr>
          <w:rFonts w:ascii="宋体" w:hAnsi="宋体" w:cs="宋体" w:eastAsia="宋体" w:hint="default"/>
        </w:rPr>
        <w:t>[2014]001</w:t>
      </w:r>
      <w:r>
        <w:rPr/>
        <w:t>号验资报告。</w:t>
      </w:r>
    </w:p>
    <w:p>
      <w:pPr>
        <w:pStyle w:val="BodyText"/>
        <w:spacing w:line="316" w:lineRule="auto"/>
        <w:ind w:right="102" w:firstLine="36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日，公司</w:t>
      </w:r>
      <w:r>
        <w:rPr>
          <w:rFonts w:ascii="宋体" w:hAnsi="宋体" w:cs="宋体" w:eastAsia="宋体" w:hint="default"/>
          <w:spacing w:val="-2"/>
        </w:rPr>
        <w:t>2013</w:t>
      </w:r>
      <w:r>
        <w:rPr>
          <w:spacing w:val="-2"/>
        </w:rPr>
        <w:t>年度股东大会审议通过《关于公司</w:t>
      </w:r>
      <w:r>
        <w:rPr>
          <w:rFonts w:ascii="宋体" w:hAnsi="宋体" w:cs="宋体" w:eastAsia="宋体" w:hint="default"/>
          <w:spacing w:val="-2"/>
        </w:rPr>
        <w:t>2013</w:t>
      </w:r>
      <w:r>
        <w:rPr>
          <w:spacing w:val="-2"/>
        </w:rPr>
        <w:t>年度利润分配及资本公积转增股本方案的议案》，</w:t>
      </w:r>
      <w:r>
        <w:rPr/>
        <w:t> 以公司总股本</w:t>
      </w:r>
      <w:r>
        <w:rPr>
          <w:rFonts w:ascii="宋体" w:hAnsi="宋体" w:cs="宋体" w:eastAsia="宋体" w:hint="default"/>
        </w:rPr>
        <w:t>5,458.00</w:t>
      </w:r>
      <w:r>
        <w:rPr/>
        <w:t>万股为基数，向全体股东每</w:t>
      </w:r>
      <w:r>
        <w:rPr>
          <w:rFonts w:ascii="宋体" w:hAnsi="宋体" w:cs="宋体" w:eastAsia="宋体" w:hint="default"/>
        </w:rPr>
        <w:t>10</w:t>
      </w:r>
      <w:r>
        <w:rPr/>
        <w:t>股转增</w:t>
      </w:r>
      <w:r>
        <w:rPr>
          <w:rFonts w:ascii="宋体" w:hAnsi="宋体" w:cs="宋体" w:eastAsia="宋体" w:hint="default"/>
        </w:rPr>
        <w:t>10</w:t>
      </w:r>
      <w:r>
        <w:rPr/>
        <w:t>股，转增后公司总股本将增加至</w:t>
      </w:r>
      <w:r>
        <w:rPr>
          <w:rFonts w:ascii="宋体" w:hAnsi="宋体" w:cs="宋体" w:eastAsia="宋体" w:hint="default"/>
        </w:rPr>
        <w:t>10,916.00</w:t>
      </w:r>
      <w:r>
        <w:rPr/>
        <w:t>万股。已经中兴华 会计师事务所（特殊普通合伙）验资并出具中兴华验字（</w:t>
      </w:r>
      <w:r>
        <w:rPr>
          <w:rFonts w:ascii="宋体" w:hAnsi="宋体" w:cs="宋体" w:eastAsia="宋体" w:hint="default"/>
        </w:rPr>
        <w:t>2014</w:t>
      </w:r>
      <w:r>
        <w:rPr/>
        <w:t>）</w:t>
      </w:r>
      <w:r>
        <w:rPr>
          <w:rFonts w:ascii="宋体" w:hAnsi="宋体" w:cs="宋体" w:eastAsia="宋体" w:hint="default"/>
        </w:rPr>
        <w:t>BJ06-002</w:t>
      </w:r>
      <w:r>
        <w:rPr/>
        <w:t>号验资报告。</w:t>
      </w:r>
    </w:p>
    <w:p>
      <w:pPr>
        <w:spacing w:line="240" w:lineRule="auto" w:before="10"/>
        <w:rPr>
          <w:rFonts w:ascii="宋体" w:hAnsi="宋体" w:cs="宋体" w:eastAsia="宋体" w:hint="default"/>
          <w:sz w:val="22"/>
          <w:szCs w:val="22"/>
        </w:rPr>
      </w:pPr>
    </w:p>
    <w:p>
      <w:pPr>
        <w:pStyle w:val="Heading3"/>
        <w:spacing w:line="240" w:lineRule="auto"/>
        <w:ind w:right="89"/>
        <w:jc w:val="left"/>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62,717,592.23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302,028,270.00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310,165,862.23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997,321.60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997,321.60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63,714,913.83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302,028,270.00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311,163,183.83</w:t>
            </w:r>
          </w:p>
        </w:tc>
      </w:tr>
    </w:tbl>
    <w:p>
      <w:pPr>
        <w:pStyle w:val="BodyText"/>
        <w:spacing w:line="360" w:lineRule="auto" w:before="49"/>
        <w:ind w:right="5674"/>
        <w:jc w:val="left"/>
      </w:pPr>
      <w:r>
        <w:rPr/>
        <w:t>其他说明，包括本期增减变动情况、变动原因说明： 本期增减变动情况见股本。</w:t>
      </w:r>
    </w:p>
    <w:p>
      <w:pPr>
        <w:spacing w:line="240" w:lineRule="auto" w:before="4"/>
        <w:rPr>
          <w:rFonts w:ascii="宋体" w:hAnsi="宋体" w:cs="宋体" w:eastAsia="宋体" w:hint="default"/>
          <w:sz w:val="20"/>
          <w:szCs w:val="20"/>
        </w:rPr>
      </w:pPr>
    </w:p>
    <w:p>
      <w:pPr>
        <w:pStyle w:val="Heading3"/>
        <w:spacing w:line="240" w:lineRule="auto"/>
        <w:ind w:right="89"/>
        <w:jc w:val="left"/>
        <w:rPr>
          <w:b w:val="0"/>
          <w:bCs w:val="0"/>
        </w:rPr>
      </w:pPr>
      <w:r>
        <w:rPr>
          <w:rFonts w:ascii="Times New Roman" w:hAnsi="Times New Roman" w:cs="Times New Roman" w:eastAsia="Times New Roman" w:hint="default"/>
        </w:rPr>
        <w:t>25</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20,203,181.53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9,745,379.49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29,948,561.02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20,203,181.53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9,745,379.49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29,948,561.02</w:t>
            </w:r>
          </w:p>
        </w:tc>
      </w:tr>
    </w:tbl>
    <w:p>
      <w:pPr>
        <w:pStyle w:val="BodyText"/>
        <w:spacing w:line="357" w:lineRule="auto" w:before="49"/>
        <w:ind w:right="4264"/>
        <w:jc w:val="left"/>
      </w:pPr>
      <w:r>
        <w:rPr/>
        <w:t>盈余公积说明，包括本期增减变动情况、变动原因说明： 公司本期盈余公积增加为依据母公司</w:t>
      </w:r>
      <w:r>
        <w:rPr>
          <w:rFonts w:ascii="Times New Roman" w:hAnsi="Times New Roman" w:cs="Times New Roman" w:eastAsia="Times New Roman" w:hint="default"/>
        </w:rPr>
        <w:t>2014</w:t>
      </w:r>
      <w:r>
        <w:rPr/>
        <w:t>年度净利润的</w:t>
      </w:r>
      <w:r>
        <w:rPr>
          <w:rFonts w:ascii="Times New Roman" w:hAnsi="Times New Roman" w:cs="Times New Roman" w:eastAsia="Times New Roman" w:hint="default"/>
        </w:rPr>
        <w:t>10%</w:t>
      </w:r>
      <w:r>
        <w:rPr/>
        <w:t>计提金额。</w:t>
      </w:r>
    </w:p>
    <w:p>
      <w:pPr>
        <w:spacing w:line="240" w:lineRule="auto" w:before="9"/>
        <w:rPr>
          <w:rFonts w:ascii="宋体" w:hAnsi="宋体" w:cs="宋体" w:eastAsia="宋体" w:hint="default"/>
          <w:sz w:val="18"/>
          <w:szCs w:val="18"/>
        </w:rPr>
      </w:pPr>
    </w:p>
    <w:p>
      <w:pPr>
        <w:pStyle w:val="Heading3"/>
        <w:spacing w:line="240" w:lineRule="auto"/>
        <w:ind w:right="89"/>
        <w:jc w:val="left"/>
        <w:rPr>
          <w:b w:val="0"/>
          <w:bCs w:val="0"/>
        </w:rPr>
      </w:pPr>
      <w:r>
        <w:rPr>
          <w:rFonts w:ascii="Times New Roman" w:hAnsi="Times New Roman" w:cs="Times New Roman" w:eastAsia="Times New Roman" w:hint="default"/>
        </w:rPr>
        <w:t>26</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178,247,845.01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127,372,653.18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178,247,845.01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127,372,653.18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95,184,364.67</w:t>
            </w:r>
            <w:r>
              <w:rPr>
                <w:rFonts w:ascii="Times New Roman"/>
                <w:sz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67,264,610.13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9,745,379.49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6,130,218.30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16,374,000.00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10,259,200.00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247,312,830.19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178,247,845.01</w:t>
            </w:r>
          </w:p>
        </w:tc>
      </w:tr>
    </w:tbl>
    <w:p>
      <w:pPr>
        <w:spacing w:line="240" w:lineRule="auto" w:before="3"/>
        <w:rPr>
          <w:rFonts w:ascii="宋体" w:hAnsi="宋体" w:cs="宋体" w:eastAsia="宋体" w:hint="default"/>
          <w:sz w:val="19"/>
          <w:szCs w:val="19"/>
        </w:rPr>
      </w:pPr>
    </w:p>
    <w:p>
      <w:pPr>
        <w:pStyle w:val="Heading3"/>
        <w:spacing w:line="240" w:lineRule="auto" w:before="36"/>
        <w:ind w:right="89"/>
        <w:jc w:val="left"/>
        <w:rPr>
          <w:b w:val="0"/>
          <w:bCs w:val="0"/>
        </w:rPr>
      </w:pPr>
      <w:r>
        <w:rPr>
          <w:rFonts w:ascii="Times New Roman" w:hAnsi="Times New Roman" w:cs="Times New Roman" w:eastAsia="Times New Roman" w:hint="default"/>
        </w:rPr>
        <w:t>27</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after="0" w:line="240" w:lineRule="auto"/>
        <w:jc w:val="right"/>
        <w:sectPr>
          <w:footerReference w:type="default" r:id="rId22"/>
          <w:pgSz w:w="11910" w:h="16840"/>
          <w:pgMar w:footer="979" w:header="745" w:top="1060" w:bottom="1160" w:left="980" w:right="940"/>
          <w:pgNumType w:start="132"/>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434,543,129.87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247,699,370.31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308,149,551.59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163,589,335.22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434,543,129.87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247,699,370.31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308,149,551.59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163,589,335.22</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28</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5,001,298.25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9,741,101.00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771,385.93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684,162.62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330,593.97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293,212.57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220,395.97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195,475.04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6,323,674.12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10,913,951.23</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29</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16,202,421.19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16,190,162.01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602,386.32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620,088.52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299,249.11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460,430.47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717,487.42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638,197.70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17,821,544.04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17,908,878.70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30</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10,572,127.58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8,844,046.39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5,707,929.67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5,064,829.46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1,144,375.28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702,042.97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2,524,483.31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1,989,231.53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1,732,508.38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1,062,291.10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1,319,717.39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1,056,411.24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2,026,321.70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17,496,873.92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14,126,695.82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412,440.85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287,572.50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750,490.02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451,800.00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6,817,945.70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1,639,663.35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50,505,213.80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35,224,584.36</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31</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1,540,210.68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1,683,173.76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2,603,966.47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65,152.72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-1,063,755.79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1,618,021.04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41,407.62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41,407.62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105,128.36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21,913.09</w:t>
            </w:r>
            <w:r>
              <w:rPr>
                <w:rFonts w:ascii="Times New Roman"/>
                <w:sz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-917,219.81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1,639,934.13</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679,592.70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166,822.03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679,592.70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166,822.03</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33</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1,480.00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1,480.00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69,185.00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198,480.00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198,480.00</w:t>
            </w:r>
          </w:p>
        </w:tc>
      </w:tr>
    </w:tbl>
    <w:p>
      <w:pPr>
        <w:pStyle w:val="BodyText"/>
        <w:spacing w:line="240" w:lineRule="auto" w:before="49"/>
        <w:ind w:right="329"/>
        <w:jc w:val="left"/>
      </w:pPr>
      <w:r>
        <w:rPr/>
        <w:t>计入当期损益的政府补助：</w:t>
      </w:r>
    </w:p>
    <w:p>
      <w:pPr>
        <w:pStyle w:val="BodyText"/>
        <w:spacing w:line="240" w:lineRule="auto" w:before="117"/>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互联网数据服务一体化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残保金补贴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197,000.00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195,000.00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994"/>
        <w:jc w:val="left"/>
      </w:pPr>
      <w:r>
        <w:rPr/>
        <w:t>其他说明： 互联网数据服务一体化政府补助详见递延收益。</w:t>
      </w:r>
    </w:p>
    <w:p>
      <w:pPr>
        <w:spacing w:line="240" w:lineRule="auto" w:before="6"/>
        <w:rPr>
          <w:rFonts w:ascii="宋体" w:hAnsi="宋体" w:cs="宋体" w:eastAsia="宋体" w:hint="default"/>
          <w:sz w:val="20"/>
          <w:szCs w:val="20"/>
        </w:rPr>
      </w:pPr>
    </w:p>
    <w:p>
      <w:pPr>
        <w:pStyle w:val="Heading3"/>
        <w:spacing w:line="240" w:lineRule="auto"/>
        <w:ind w:right="329"/>
        <w:jc w:val="left"/>
        <w:rPr>
          <w:b w:val="0"/>
          <w:bCs w:val="0"/>
        </w:rPr>
      </w:pPr>
      <w:r>
        <w:rPr>
          <w:rFonts w:ascii="Times New Roman" w:hAnsi="Times New Roman" w:cs="Times New Roman" w:eastAsia="Times New Roman" w:hint="default"/>
        </w:rPr>
        <w:t>34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138,941.29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138,941.29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138,941.29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138,941.29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1,745.71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1,745.71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140,687.00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140,687.00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17,524,692.90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11,875,032.00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-221,929.27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-169,860.03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17,302,763.63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11,705,171.97</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112,488,747.71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16,873,312.16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-199,001.55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129,982.71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558,362.67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上期未确认递延所得税资产的可抵扣暂时性差异或可抵扣亏</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-31,717.48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6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境外所得调整应纳税额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-28,174.88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17,302,763.63</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36</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269,897.27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65,152.72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27,535,908.49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4,100,979.00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1,670,753.37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267,270.76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342,053.65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32,229,476.52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6,178,938.74</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20,415,063.82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13,693,559.04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28,694,426.99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4,119,979.00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441,004.78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6,548,905.65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441,150.52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1,977,438.05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49,991,646.11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26,339,881.74</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2,336,900.98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收到股权转让印花税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186,329.51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2,523,230.49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499.209991pt;width:151.25pt;height:40.7pt;mso-position-horizontal-relative:page;mso-position-vertical-relative:page;z-index:-1028656" coordorigin="4467,9984" coordsize="3025,814">
            <v:group style="position:absolute;left:4478;top:9995;width:2;height:392" coordorigin="4478,9995" coordsize="2,392">
              <v:shape style="position:absolute;left:4478;top:9995;width:2;height:392" coordorigin="4478,9995" coordsize="0,392" path="m4478,9995l4478,10386e" filled="false" stroked="true" strokeweight="1.08pt" strokecolor="#ffffff">
                <v:path arrowok="t"/>
              </v:shape>
            </v:group>
            <v:group style="position:absolute;left:4489;top:9995;width:3003;height:392" coordorigin="4489,9995" coordsize="3003,392">
              <v:shape style="position:absolute;left:4489;top:9995;width:3003;height:392" coordorigin="4489,9995" coordsize="3003,392" path="m4489,10386l7492,10386,7492,9995,4489,9995,4489,10386xe" filled="true" fillcolor="#ffffff" stroked="false">
                <v:path arrowok="t"/>
                <v:fill type="solid"/>
              </v:shape>
            </v:group>
            <v:group style="position:absolute;left:4478;top:10396;width:2;height:392" coordorigin="4478,10396" coordsize="2,392">
              <v:shape style="position:absolute;left:4478;top:10396;width:2;height:392" coordorigin="4478,10396" coordsize="0,392" path="m4478,10396l4478,10787e" filled="false" stroked="true" strokeweight="1.08pt" strokecolor="#ffffff">
                <v:path arrowok="t"/>
              </v:shape>
            </v:group>
            <v:group style="position:absolute;left:4489;top:10396;width:3003;height:392" coordorigin="4489,10396" coordsize="3003,392">
              <v:shape style="position:absolute;left:4489;top:10396;width:3003;height:392" coordorigin="4489,10396" coordsize="3003,392" path="m4489,10787l7492,10787,7492,10396,4489,10396,4489,1078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上市中介费用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8,364,250.00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支付股权转让印花税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186,329.51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8,550,579.51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37</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121"/>
        <w:gridCol w:w="1948"/>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95,185,984.08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67,263,342.84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679,592.70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166,822.03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29,169,676.25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20,430,709.15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362,982.78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166,123.72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8,561,283.22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1,415,072.52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54,004.93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83,456.36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1,716.11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-796,690.30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1,683,173.76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-166,862.70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-114,793.47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-55,066.57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-55,066.56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-354,147.61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-534,522.66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-17,685,287.20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-5,031,493.68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05" w:right="0"/>
              <w:jc w:val="left"/>
              <w:rPr>
                <w:rFonts w:ascii="Times New Roman" w:hAnsi="Times New Roman" w:cs="Times New Roman" w:eastAsia="Times New Roman" w:hint="default"/>
                <w:sz w:val="18"/>
                <w:szCs w:val="18"/>
              </w:rPr>
            </w:pPr>
            <w:r>
              <w:rPr>
                <w:rFonts w:ascii="Times New Roman"/>
                <w:sz w:val="18"/>
              </w:rPr>
              <w:t>30,119,876.11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20,053,139.54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149,158,802.05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101,444,223.30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238,977,816.19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39,035,367.79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39,035,367.79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26,037,985.60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199,942,448.40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12,997,382.19</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89,110,000.00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上海明月光学有限公司（现已更名为光环新网（上海）信息服 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89,110,000.00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7,830.95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上海明月光学有限公司（现已更名为光环新网（上海）信息服 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7,830.95</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89,102,169.05</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238,977,816.19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39,035,367.79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44,653.98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13,558.72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238,933,162.21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38,989,720.68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32,088.39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238,977,816.19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39,035,367.79</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38</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26,934,081.60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26,934,081.60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4304"/>
        <w:jc w:val="left"/>
      </w:pPr>
      <w:r>
        <w:rPr/>
        <w:t>其他说明： 贷款抵押担保情况详见本节七、</w:t>
      </w:r>
      <w:r>
        <w:rPr>
          <w:rFonts w:ascii="Times New Roman" w:hAnsi="Times New Roman" w:cs="Times New Roman" w:eastAsia="Times New Roman" w:hint="default"/>
        </w:rPr>
        <w:t>9</w:t>
      </w:r>
      <w:r>
        <w:rPr>
          <w:rFonts w:ascii="Times New Roman" w:hAnsi="Times New Roman" w:cs="Times New Roman" w:eastAsia="Times New Roman" w:hint="default"/>
        </w:rPr>
        <w:t>“</w:t>
      </w:r>
      <w:r>
        <w:rPr/>
        <w:t>固定资产抵押和所有权受限情况</w:t>
      </w:r>
      <w:r>
        <w:rPr>
          <w:rFonts w:ascii="Times New Roman" w:hAnsi="Times New Roman" w:cs="Times New Roman" w:eastAsia="Times New Roman" w:hint="default"/>
        </w:rPr>
        <w:t>”</w:t>
      </w:r>
      <w:r>
        <w:rPr/>
        <w:t>。</w:t>
      </w:r>
    </w:p>
    <w:p>
      <w:pPr>
        <w:spacing w:after="0" w:line="357"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329"/>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329"/>
        <w:jc w:val="left"/>
      </w:pPr>
      <w:r>
        <w:rPr/>
        <w:t>说明其他原因导致的合并范围变动（如，新设子公司、清算子公司等）及其相关情况：</w:t>
      </w:r>
    </w:p>
    <w:p>
      <w:pPr>
        <w:pStyle w:val="BodyText"/>
        <w:spacing w:line="316" w:lineRule="auto" w:before="117"/>
        <w:ind w:right="158" w:firstLine="360"/>
        <w:jc w:val="both"/>
      </w:pPr>
      <w:r>
        <w:rPr/>
        <w:t>（</w:t>
      </w:r>
      <w:r>
        <w:rPr>
          <w:rFonts w:ascii="宋体" w:hAnsi="宋体" w:cs="宋体" w:eastAsia="宋体" w:hint="default"/>
        </w:rPr>
        <w:t>1</w:t>
      </w:r>
      <w:r>
        <w:rPr/>
        <w:t>）本公司于</w:t>
      </w:r>
      <w:r>
        <w:rPr>
          <w:rFonts w:ascii="宋体" w:hAnsi="宋体" w:cs="宋体" w:eastAsia="宋体" w:hint="default"/>
        </w:rPr>
        <w:t>2014</w:t>
      </w:r>
      <w:r>
        <w:rPr/>
        <w:t>年</w:t>
      </w:r>
      <w:r>
        <w:rPr>
          <w:rFonts w:ascii="宋体" w:hAnsi="宋体" w:cs="宋体" w:eastAsia="宋体" w:hint="default"/>
        </w:rPr>
        <w:t>12</w:t>
      </w:r>
      <w:r>
        <w:rPr/>
        <w:t>月以</w:t>
      </w:r>
      <w:r>
        <w:rPr>
          <w:rFonts w:ascii="宋体" w:hAnsi="宋体" w:cs="宋体" w:eastAsia="宋体" w:hint="default"/>
        </w:rPr>
        <w:t>9,380.00</w:t>
      </w:r>
      <w:r>
        <w:rPr/>
        <w:t>万元购买上海明月光学有限公司（现已更名为光环新网（上海）信息服务有限公 司）</w:t>
      </w:r>
      <w:r>
        <w:rPr>
          <w:rFonts w:ascii="宋体" w:hAnsi="宋体" w:cs="宋体" w:eastAsia="宋体" w:hint="default"/>
        </w:rPr>
        <w:t>100.00%</w:t>
      </w:r>
      <w:r>
        <w:rPr/>
        <w:t>股权，由于明月光学不构成业务，不属于非同一控制下企业合并，从购买日起明月光学成为本公司的子公司。</w:t>
      </w:r>
    </w:p>
    <w:p>
      <w:pPr>
        <w:pStyle w:val="BodyText"/>
        <w:spacing w:line="316" w:lineRule="auto"/>
        <w:ind w:right="149" w:firstLine="360"/>
        <w:jc w:val="both"/>
      </w:pPr>
      <w:r>
        <w:rPr>
          <w:spacing w:val="-2"/>
        </w:rPr>
        <w:t>（</w:t>
      </w:r>
      <w:r>
        <w:rPr>
          <w:rFonts w:ascii="宋体" w:hAnsi="宋体" w:cs="宋体" w:eastAsia="宋体" w:hint="default"/>
          <w:spacing w:val="-2"/>
        </w:rPr>
        <w:t>2</w:t>
      </w:r>
      <w:r>
        <w:rPr>
          <w:spacing w:val="-2"/>
        </w:rPr>
        <w:t>）公司于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日召开的第二届董事会</w:t>
      </w:r>
      <w:r>
        <w:rPr>
          <w:rFonts w:ascii="宋体" w:hAnsi="宋体" w:cs="宋体" w:eastAsia="宋体" w:hint="default"/>
          <w:spacing w:val="-2"/>
        </w:rPr>
        <w:t>2014</w:t>
      </w:r>
      <w:r>
        <w:rPr>
          <w:spacing w:val="-2"/>
        </w:rPr>
        <w:t>年第三次会议审议通过了《关于注销全资子公司北京光环恒通数字</w:t>
      </w:r>
      <w:r>
        <w:rPr/>
        <w:t> </w:t>
      </w:r>
      <w:r>
        <w:rPr>
          <w:spacing w:val="-2"/>
        </w:rPr>
        <w:t>技术有限公司的议案》，决定注销全资子公司光环恒通。</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月公司收到北京市工商行政管理局发出的《注销核准通知</w:t>
      </w:r>
      <w:r>
        <w:rPr>
          <w:spacing w:val="-59"/>
        </w:rPr>
        <w:t> </w:t>
      </w:r>
      <w:r>
        <w:rPr>
          <w:spacing w:val="-59"/>
        </w:rPr>
      </w:r>
      <w:r>
        <w:rPr/>
        <w:t>书》，全资子公司北京光环恒通数字技术有限公司的注销登记手续已办理完毕。</w:t>
      </w:r>
    </w:p>
    <w:p>
      <w:pPr>
        <w:spacing w:line="240" w:lineRule="auto" w:before="12"/>
        <w:rPr>
          <w:rFonts w:ascii="宋体" w:hAnsi="宋体" w:cs="宋体" w:eastAsia="宋体" w:hint="default"/>
          <w:sz w:val="20"/>
          <w:szCs w:val="20"/>
        </w:rPr>
      </w:pPr>
    </w:p>
    <w:p>
      <w:pPr>
        <w:pStyle w:val="Heading2"/>
        <w:spacing w:line="240" w:lineRule="auto" w:before="0"/>
        <w:ind w:right="329"/>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燕郊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燕郊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软件和信息技术 服务业、互联网 和相关服务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上海明月光学有 限公司（现已更 名为光环新网</w:t>
            </w:r>
          </w:p>
          <w:p>
            <w:pPr>
              <w:pStyle w:val="TableParagraph"/>
              <w:spacing w:line="316" w:lineRule="auto" w:before="19"/>
              <w:ind w:left="24" w:right="75"/>
              <w:jc w:val="both"/>
              <w:rPr>
                <w:rFonts w:ascii="宋体" w:hAnsi="宋体" w:cs="宋体" w:eastAsia="宋体" w:hint="default"/>
                <w:sz w:val="18"/>
                <w:szCs w:val="18"/>
              </w:rPr>
            </w:pPr>
            <w:r>
              <w:rPr>
                <w:rFonts w:ascii="宋体" w:hAnsi="宋体" w:cs="宋体" w:eastAsia="宋体" w:hint="default"/>
                <w:sz w:val="18"/>
                <w:szCs w:val="18"/>
              </w:rPr>
              <w:t>（上海）信息服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西安博凯创达数 字科技有限公司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北京光环恒通数 字技术有限公司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329"/>
        <w:jc w:val="left"/>
      </w:pPr>
      <w:r>
        <w:rPr/>
        <w:t>其他说明：</w:t>
      </w:r>
    </w:p>
    <w:p>
      <w:pPr>
        <w:pStyle w:val="BodyText"/>
        <w:spacing w:line="316" w:lineRule="auto" w:before="115"/>
        <w:ind w:right="149" w:firstLine="360"/>
        <w:jc w:val="both"/>
      </w:pPr>
      <w:r>
        <w:rPr>
          <w:spacing w:val="-2"/>
        </w:rPr>
        <w:t>（</w:t>
      </w:r>
      <w:r>
        <w:rPr>
          <w:rFonts w:ascii="宋体" w:hAnsi="宋体" w:cs="宋体" w:eastAsia="宋体" w:hint="default"/>
          <w:spacing w:val="-2"/>
        </w:rPr>
        <w:t>1</w:t>
      </w:r>
      <w:r>
        <w:rPr>
          <w:spacing w:val="-2"/>
        </w:rPr>
        <w:t>）公司于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日召开的第二届董事会</w:t>
      </w:r>
      <w:r>
        <w:rPr>
          <w:rFonts w:ascii="宋体" w:hAnsi="宋体" w:cs="宋体" w:eastAsia="宋体" w:hint="default"/>
          <w:spacing w:val="-2"/>
        </w:rPr>
        <w:t>2014</w:t>
      </w:r>
      <w:r>
        <w:rPr>
          <w:spacing w:val="-2"/>
        </w:rPr>
        <w:t>年第三次会议审议通过了《关于注销全资子公司北京光环恒通数字</w:t>
      </w:r>
      <w:r>
        <w:rPr/>
        <w:t> </w:t>
      </w:r>
      <w:r>
        <w:rPr>
          <w:spacing w:val="-2"/>
        </w:rPr>
        <w:t>技术有限公司的议案》，决定注销全资子公司光环恒通。</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月公司收到北京市工商行政管理局发出的《注销核准通知</w:t>
      </w:r>
      <w:r>
        <w:rPr>
          <w:spacing w:val="-59"/>
        </w:rPr>
        <w:t> </w:t>
      </w:r>
      <w:r>
        <w:rPr>
          <w:spacing w:val="-59"/>
        </w:rPr>
      </w:r>
      <w:r>
        <w:rPr/>
        <w:t>书》，全资子公司北京光环恒通数字技术有限公司的注销登记手续已办理完毕。</w:t>
      </w:r>
    </w:p>
    <w:p>
      <w:pPr>
        <w:pStyle w:val="BodyText"/>
        <w:spacing w:line="319" w:lineRule="auto"/>
        <w:ind w:right="158" w:firstLine="360"/>
        <w:jc w:val="both"/>
      </w:pPr>
      <w:r>
        <w:rPr/>
        <w:t>（</w:t>
      </w:r>
      <w:r>
        <w:rPr>
          <w:rFonts w:ascii="宋体" w:hAnsi="宋体" w:cs="宋体" w:eastAsia="宋体" w:hint="default"/>
        </w:rPr>
        <w:t>2</w:t>
      </w:r>
      <w:r>
        <w:rPr/>
        <w:t>）根据公司</w:t>
      </w:r>
      <w:r>
        <w:rPr>
          <w:rFonts w:ascii="宋体" w:hAnsi="宋体" w:cs="宋体" w:eastAsia="宋体" w:hint="default"/>
        </w:rPr>
        <w:t>2014</w:t>
      </w:r>
      <w:r>
        <w:rPr/>
        <w:t>年第二次临时股东大会《关于收购上海明月光学有限公司</w:t>
      </w:r>
      <w:r>
        <w:rPr>
          <w:rFonts w:ascii="宋体" w:hAnsi="宋体" w:cs="宋体" w:eastAsia="宋体" w:hint="default"/>
        </w:rPr>
        <w:t>100%</w:t>
      </w:r>
      <w:r>
        <w:rPr/>
        <w:t>股权的议案》的决议，公司与江苏明 月光电科技有限公司和上海明月光学眼镜有限公司签订股权收购协议，以</w:t>
      </w:r>
      <w:r>
        <w:rPr>
          <w:rFonts w:ascii="宋体" w:hAnsi="宋体" w:cs="宋体" w:eastAsia="宋体" w:hint="default"/>
        </w:rPr>
        <w:t>9,380</w:t>
      </w:r>
      <w:r>
        <w:rPr/>
        <w:t>万元收购上海明月光学有限公司（现已更名 为光环新网（上海）信息服务有限公司）</w:t>
      </w:r>
      <w:r>
        <w:rPr>
          <w:rFonts w:ascii="宋体" w:hAnsi="宋体" w:cs="宋体" w:eastAsia="宋体" w:hint="default"/>
        </w:rPr>
        <w:t>100%</w:t>
      </w:r>
      <w:r>
        <w:rPr/>
        <w:t>股权。由于明月光学不构成业务，不属于非同一控制下企业合并。</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北京光环金网科技有限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0" w:right="0"/>
              <w:jc w:val="left"/>
              <w:rPr>
                <w:rFonts w:ascii="Times New Roman" w:hAnsi="Times New Roman" w:cs="Times New Roman" w:eastAsia="Times New Roman" w:hint="default"/>
                <w:sz w:val="18"/>
                <w:szCs w:val="18"/>
              </w:rPr>
            </w:pPr>
            <w:r>
              <w:rPr>
                <w:rFonts w:ascii="Times New Roman"/>
                <w:sz w:val="18"/>
              </w:rPr>
              <w:t>1,619.41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490,352.12</w:t>
            </w:r>
          </w:p>
        </w:tc>
      </w:tr>
    </w:tbl>
    <w:p>
      <w:pPr>
        <w:pStyle w:val="BodyText"/>
        <w:spacing w:line="240" w:lineRule="auto" w:before="49"/>
        <w:ind w:right="329"/>
        <w:jc w:val="left"/>
      </w:pPr>
      <w:r>
        <w:rPr/>
        <w:t>子公司少数股东的持股比例不同于表决权比例的说明：</w:t>
      </w:r>
    </w:p>
    <w:p>
      <w:pPr>
        <w:spacing w:line="240" w:lineRule="auto" w:before="0"/>
        <w:rPr>
          <w:rFonts w:ascii="宋体" w:hAnsi="宋体" w:cs="宋体" w:eastAsia="宋体" w:hint="default"/>
          <w:sz w:val="18"/>
          <w:szCs w:val="18"/>
        </w:rPr>
      </w:pPr>
    </w:p>
    <w:p>
      <w:pPr>
        <w:pStyle w:val="Heading3"/>
        <w:spacing w:line="240" w:lineRule="auto" w:before="120"/>
        <w:ind w:right="329"/>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北京光 环金网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99.85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99.85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997,413.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997,413.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北京光环金 网科技有限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3,304.92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3,304.92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3,404.77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-2,586.30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-2,586.30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-2,586.30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329"/>
        <w:jc w:val="left"/>
      </w:pPr>
      <w:r>
        <w:rPr/>
        <w:t>本公司使用企业集团资产和清偿企业集团债务不存在重大限制。</w:t>
      </w:r>
    </w:p>
    <w:p>
      <w:pPr>
        <w:spacing w:line="240" w:lineRule="auto" w:before="0"/>
        <w:rPr>
          <w:rFonts w:ascii="宋体" w:hAnsi="宋体" w:cs="宋体" w:eastAsia="宋体" w:hint="default"/>
          <w:sz w:val="18"/>
          <w:szCs w:val="18"/>
        </w:rPr>
      </w:pPr>
    </w:p>
    <w:p>
      <w:pPr>
        <w:pStyle w:val="Heading3"/>
        <w:spacing w:line="240" w:lineRule="auto" w:before="120"/>
        <w:ind w:right="329"/>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t>本公司未向纳入合并财务报表范围的结构化主体提供重大财务支持或其他支持。</w:t>
      </w:r>
    </w:p>
    <w:p>
      <w:pPr>
        <w:spacing w:line="240" w:lineRule="auto" w:before="0"/>
        <w:rPr>
          <w:rFonts w:ascii="宋体" w:hAnsi="宋体" w:cs="宋体" w:eastAsia="宋体" w:hint="default"/>
          <w:sz w:val="18"/>
          <w:szCs w:val="18"/>
        </w:rPr>
      </w:pPr>
    </w:p>
    <w:p>
      <w:pPr>
        <w:pStyle w:val="Heading3"/>
        <w:spacing w:line="240" w:lineRule="auto" w:before="120"/>
        <w:ind w:right="329"/>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4"/>
              <w:ind w:left="47" w:right="47"/>
              <w:jc w:val="left"/>
              <w:rPr>
                <w:rFonts w:ascii="宋体" w:hAnsi="宋体" w:cs="宋体" w:eastAsia="宋体" w:hint="default"/>
                <w:sz w:val="18"/>
                <w:szCs w:val="18"/>
              </w:rPr>
            </w:pPr>
            <w:r>
              <w:rPr>
                <w:rFonts w:ascii="宋体" w:hAnsi="宋体" w:cs="宋体" w:eastAsia="宋体" w:hint="default"/>
                <w:sz w:val="18"/>
                <w:szCs w:val="18"/>
              </w:rPr>
              <w:t>对合营企业或联 营企业投资的会</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计处理方法</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北京长城光环宽 带网络技术有限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
        <w:rPr>
          <w:rFonts w:ascii="宋体" w:hAnsi="宋体" w:cs="宋体" w:eastAsia="宋体" w:hint="default"/>
          <w:b/>
          <w:bCs/>
          <w:sz w:val="18"/>
          <w:szCs w:val="18"/>
        </w:rPr>
      </w:pPr>
    </w:p>
    <w:p>
      <w:pPr>
        <w:pStyle w:val="Heading2"/>
        <w:spacing w:line="240" w:lineRule="auto"/>
        <w:ind w:right="89"/>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89" w:firstLine="360"/>
        <w:jc w:val="left"/>
      </w:pPr>
      <w:r>
        <w:rPr>
          <w:spacing w:val="-2"/>
        </w:rPr>
        <w:t>本公司具有多种因经营而直接产生的其他金融资产和负债，如应收账款和应付账款等。各项金融工具的详细情况说明见</w:t>
      </w:r>
      <w:r>
        <w:rPr/>
        <w:t> 本节“七、合并财务报表主要项目注释”。公司在经营过程中面临各种金融风险：信用风险、市场风险和流动性风险。</w:t>
      </w:r>
    </w:p>
    <w:p>
      <w:pPr>
        <w:pStyle w:val="BodyText"/>
        <w:spacing w:line="319" w:lineRule="auto"/>
        <w:ind w:left="513" w:right="89"/>
        <w:jc w:val="left"/>
      </w:pPr>
      <w:r>
        <w:rPr>
          <w:rFonts w:ascii="宋体" w:hAnsi="宋体" w:cs="宋体" w:eastAsia="宋体" w:hint="default"/>
        </w:rPr>
        <w:t>1</w:t>
      </w:r>
      <w:r>
        <w:rPr/>
        <w:t>、各类风险管理目标和政策 </w:t>
      </w:r>
      <w:r>
        <w:rPr>
          <w:spacing w:val="-2"/>
        </w:rPr>
        <w:t>公司经营管理层全面负责风险管理目标和政策的确定，并对风险管理目标和政策承担最终责任。公司风险管理的总体目</w:t>
      </w:r>
    </w:p>
    <w:p>
      <w:pPr>
        <w:pStyle w:val="BodyText"/>
        <w:spacing w:line="316" w:lineRule="auto" w:before="17"/>
        <w:ind w:left="513" w:right="2794" w:hanging="361"/>
        <w:jc w:val="left"/>
      </w:pPr>
      <w:r>
        <w:rPr/>
        <w:t>标是在不过度影响公司竞争力和应变力的情况下，制定尽可能降低风险的风险管理政策。 </w:t>
      </w:r>
      <w:r>
        <w:rPr>
          <w:rFonts w:ascii="宋体" w:hAnsi="宋体" w:cs="宋体" w:eastAsia="宋体" w:hint="default"/>
        </w:rPr>
        <w:t>2</w:t>
      </w:r>
      <w:r>
        <w:rPr/>
        <w:t>、风险管理</w:t>
      </w:r>
    </w:p>
    <w:p>
      <w:pPr>
        <w:pStyle w:val="BodyText"/>
        <w:spacing w:line="316" w:lineRule="auto"/>
        <w:ind w:left="513" w:right="273"/>
        <w:jc w:val="left"/>
        <w:rPr>
          <w:rFonts w:ascii="宋体" w:hAnsi="宋体" w:cs="宋体" w:eastAsia="宋体" w:hint="default"/>
        </w:rPr>
      </w:pPr>
      <w:r>
        <w:rPr/>
        <w:t>（一）信用风险 信用风险是指金融工具的一方不履行义务，造成另一方发生财务损失的风险</w:t>
      </w:r>
      <w:r>
        <w:rPr>
          <w:rFonts w:ascii="宋体" w:hAnsi="宋体" w:cs="宋体" w:eastAsia="宋体" w:hint="default"/>
        </w:rPr>
        <w:t>,</w:t>
      </w:r>
      <w:r>
        <w:rPr/>
        <w:t>本公司对信用风险按组合分类进行管理</w:t>
      </w:r>
      <w:r>
        <w:rPr>
          <w:rFonts w:ascii="宋体" w:hAnsi="宋体" w:cs="宋体" w:eastAsia="宋体" w:hint="default"/>
        </w:rPr>
        <w:t>,</w:t>
      </w:r>
    </w:p>
    <w:p>
      <w:pPr>
        <w:pStyle w:val="BodyText"/>
        <w:spacing w:line="316" w:lineRule="auto"/>
        <w:ind w:left="513" w:right="89" w:hanging="361"/>
        <w:jc w:val="left"/>
      </w:pPr>
      <w:r>
        <w:rPr/>
        <w:t>信用风险主要产生于银行存款、应收账款和其他应收款等。 本公司的流动资金存放在信用评级较高的银行，故流动资金的信用风险较低。 </w:t>
      </w:r>
      <w:r>
        <w:rPr>
          <w:spacing w:val="-2"/>
        </w:rPr>
        <w:t>对于应收账款本公司采用了必要的政策确保所有销售客户均具有良好的信用记录。本公司基于对客户的财务状况、从第</w:t>
      </w:r>
    </w:p>
    <w:p>
      <w:pPr>
        <w:pStyle w:val="BodyText"/>
        <w:spacing w:line="316" w:lineRule="auto"/>
        <w:ind w:right="193"/>
        <w:jc w:val="both"/>
      </w:pPr>
      <w:r>
        <w:rPr>
          <w:spacing w:val="-2"/>
        </w:rPr>
        <w:t>三方获取担保的可能性、信用记录及其它因素诸如目前市场状况等评估客户的信用资质并设置相应信用期。本公司的其他应</w:t>
      </w:r>
      <w:r>
        <w:rPr>
          <w:spacing w:val="-64"/>
        </w:rPr>
        <w:t> </w:t>
      </w:r>
      <w:r>
        <w:rPr>
          <w:spacing w:val="-64"/>
        </w:rPr>
      </w:r>
      <w:r>
        <w:rPr>
          <w:spacing w:val="-2"/>
        </w:rPr>
        <w:t>收款，主要为保证金、押金及备用金等，预计可以收回，为防范其他应收款不发生坏账风险提供了合理保证，另根据报告期</w:t>
      </w:r>
      <w:r>
        <w:rPr>
          <w:spacing w:val="-67"/>
        </w:rPr>
        <w:t> </w:t>
      </w:r>
      <w:r>
        <w:rPr>
          <w:spacing w:val="-67"/>
        </w:rPr>
      </w:r>
      <w:r>
        <w:rPr/>
        <w:t>内保证金回收等历史信息，不存在坏账情况。</w:t>
      </w:r>
    </w:p>
    <w:p>
      <w:pPr>
        <w:pStyle w:val="BodyText"/>
        <w:spacing w:line="316" w:lineRule="auto"/>
        <w:ind w:right="89" w:firstLine="360"/>
        <w:jc w:val="left"/>
      </w:pPr>
      <w:r>
        <w:rPr>
          <w:spacing w:val="-2"/>
        </w:rPr>
        <w:t>同时本公司对单项金额重大的应收款项单独进行减值测试，对单项金额重大及单项金额不重大、但经单独测试后未发生</w:t>
      </w:r>
      <w:r>
        <w:rPr/>
        <w:t> </w:t>
      </w:r>
      <w:r>
        <w:rPr>
          <w:spacing w:val="-4"/>
        </w:rPr>
        <w:t>减值的应收款项，以账龄为类似信用风险特征，结合现时情况确定类似信用风险特征组合采用账龄分析计提坏账准备，因此，</w:t>
      </w:r>
      <w:r>
        <w:rPr>
          <w:spacing w:val="-44"/>
        </w:rPr>
        <w:t> </w:t>
      </w:r>
      <w:r>
        <w:rPr>
          <w:spacing w:val="-44"/>
        </w:rPr>
      </w:r>
      <w:r>
        <w:rPr/>
        <w:t>本公司管理层认为本公司所承担的信用风险已经大为降低。</w:t>
      </w:r>
    </w:p>
    <w:p>
      <w:pPr>
        <w:pStyle w:val="BodyText"/>
        <w:spacing w:line="316" w:lineRule="auto"/>
        <w:ind w:left="513" w:right="89"/>
        <w:jc w:val="left"/>
      </w:pPr>
      <w:r>
        <w:rPr/>
        <w:t>（二）流动风险 </w:t>
      </w:r>
      <w:r>
        <w:rPr>
          <w:spacing w:val="-2"/>
        </w:rPr>
        <w:t>流动风险，是指本公司在到期日无法履行其财务义务的风险。本公司的政策是确保拥有充足的现金以偿还到期债务。流</w:t>
      </w:r>
    </w:p>
    <w:p>
      <w:pPr>
        <w:pStyle w:val="BodyText"/>
        <w:spacing w:line="316" w:lineRule="auto"/>
        <w:ind w:right="191"/>
        <w:jc w:val="both"/>
      </w:pPr>
      <w:r>
        <w:rPr>
          <w:spacing w:val="-2"/>
        </w:rPr>
        <w:t>动性风险由本公司的财务部门集中控制。财务部门通过监控现金余额以及对未来</w:t>
      </w:r>
      <w:r>
        <w:rPr>
          <w:rFonts w:ascii="宋体" w:hAnsi="宋体" w:cs="宋体" w:eastAsia="宋体" w:hint="default"/>
          <w:spacing w:val="-2"/>
        </w:rPr>
        <w:t>12</w:t>
      </w:r>
      <w:r>
        <w:rPr>
          <w:spacing w:val="-2"/>
        </w:rPr>
        <w:t>个月现金流量的滚动预测，确保公司在所</w:t>
      </w:r>
      <w:r>
        <w:rPr>
          <w:spacing w:val="-62"/>
        </w:rPr>
        <w:t> </w:t>
      </w:r>
      <w:r>
        <w:rPr>
          <w:spacing w:val="-62"/>
        </w:rPr>
      </w:r>
      <w:r>
        <w:rPr/>
        <w:t>有合理预测的情况下拥有充足的资金偿还债务。</w:t>
      </w:r>
    </w:p>
    <w:p>
      <w:pPr>
        <w:pStyle w:val="BodyText"/>
        <w:spacing w:line="316" w:lineRule="auto"/>
        <w:ind w:left="513" w:right="89"/>
        <w:jc w:val="left"/>
      </w:pPr>
      <w:r>
        <w:rPr/>
        <w:t>（三）市场风险 </w:t>
      </w:r>
      <w:r>
        <w:rPr>
          <w:spacing w:val="-2"/>
        </w:rPr>
        <w:t>金融工具的市场风险，是指金融工具的公允价值或未来现金流量因市场价格变动而发生波动的风险，包括利率风险、外</w:t>
      </w:r>
    </w:p>
    <w:p>
      <w:pPr>
        <w:pStyle w:val="BodyText"/>
        <w:spacing w:line="240" w:lineRule="auto"/>
        <w:ind w:right="89"/>
        <w:jc w:val="left"/>
      </w:pPr>
      <w:r>
        <w:rPr/>
        <w:t>汇风险和其他价格风险。</w:t>
      </w:r>
    </w:p>
    <w:p>
      <w:pPr>
        <w:pStyle w:val="BodyText"/>
        <w:spacing w:line="240" w:lineRule="auto" w:before="77"/>
        <w:ind w:left="513" w:right="89"/>
        <w:jc w:val="left"/>
      </w:pPr>
      <w:r>
        <w:rPr/>
        <w:t>（</w:t>
      </w:r>
      <w:r>
        <w:rPr>
          <w:rFonts w:ascii="宋体" w:hAnsi="宋体" w:cs="宋体" w:eastAsia="宋体" w:hint="default"/>
        </w:rPr>
        <w:t>1</w:t>
      </w:r>
      <w:r>
        <w:rPr/>
        <w:t>）利率风险</w:t>
      </w:r>
    </w:p>
    <w:p>
      <w:pPr>
        <w:pStyle w:val="BodyText"/>
        <w:spacing w:line="316" w:lineRule="auto" w:before="76"/>
        <w:ind w:right="182" w:firstLine="360"/>
        <w:jc w:val="left"/>
      </w:pPr>
      <w:r>
        <w:rPr/>
        <w:t>利率风险，是指金融工具的公允价值或未来现金流量因市场利率变动而发生波动的风险。</w:t>
      </w:r>
      <w:r>
        <w:rPr>
          <w:spacing w:val="2"/>
        </w:rPr>
        <w:t> </w:t>
      </w:r>
      <w:r>
        <w:rPr/>
        <w:t>本公司的银行贷款均为固定</w:t>
      </w:r>
      <w:r>
        <w:rPr/>
        <w:t> 利率，不存在利率风险。</w:t>
      </w:r>
    </w:p>
    <w:p>
      <w:pPr>
        <w:pStyle w:val="BodyText"/>
        <w:spacing w:line="316" w:lineRule="auto"/>
        <w:ind w:left="513" w:right="89"/>
        <w:jc w:val="left"/>
      </w:pPr>
      <w:r>
        <w:rPr/>
        <w:t>（</w:t>
      </w:r>
      <w:r>
        <w:rPr>
          <w:rFonts w:ascii="宋体" w:hAnsi="宋体" w:cs="宋体" w:eastAsia="宋体" w:hint="default"/>
        </w:rPr>
        <w:t>2</w:t>
      </w:r>
      <w:r>
        <w:rPr/>
        <w:t>）外汇风险 </w:t>
      </w:r>
      <w:r>
        <w:rPr>
          <w:spacing w:val="-2"/>
        </w:rPr>
        <w:t>外汇风险，是指金融工具的公允价值或未来现金流量因外汇汇率变动而发生波动的风险。本公司外币金融资产和负债占</w:t>
      </w:r>
    </w:p>
    <w:p>
      <w:pPr>
        <w:pStyle w:val="BodyText"/>
        <w:spacing w:line="240" w:lineRule="auto"/>
        <w:ind w:right="89"/>
        <w:jc w:val="left"/>
      </w:pPr>
      <w:r>
        <w:rPr/>
        <w:t>总资产比重极小。</w:t>
      </w:r>
    </w:p>
    <w:p>
      <w:pPr>
        <w:pStyle w:val="BodyText"/>
        <w:spacing w:line="316" w:lineRule="auto" w:before="76"/>
        <w:ind w:left="513" w:right="7833"/>
        <w:jc w:val="left"/>
      </w:pPr>
      <w:r>
        <w:rPr/>
        <w:t>（四）金融资产转移 无。</w:t>
      </w:r>
    </w:p>
    <w:p>
      <w:pPr>
        <w:pStyle w:val="BodyText"/>
        <w:spacing w:line="316" w:lineRule="auto"/>
        <w:ind w:left="513" w:right="6753"/>
        <w:jc w:val="left"/>
      </w:pPr>
      <w:r>
        <w:rPr/>
        <w:t>（五）金融资产与金融负债的抵销 无。</w:t>
      </w:r>
    </w:p>
    <w:p>
      <w:pPr>
        <w:spacing w:after="0" w:line="316"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ind w:right="329"/>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北京百汇达投资管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46.90%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46.90%</w:t>
            </w:r>
          </w:p>
        </w:tc>
      </w:tr>
    </w:tbl>
    <w:p>
      <w:pPr>
        <w:pStyle w:val="BodyText"/>
        <w:spacing w:line="360" w:lineRule="auto" w:before="49"/>
        <w:ind w:right="7434"/>
        <w:jc w:val="left"/>
      </w:pPr>
      <w:r>
        <w:rPr/>
        <w:t>本企业的母公司情况的说明 本企业最终控制方是耿殿根。</w:t>
      </w:r>
    </w:p>
    <w:p>
      <w:pPr>
        <w:spacing w:line="240" w:lineRule="auto" w:before="2"/>
        <w:rPr>
          <w:rFonts w:ascii="宋体" w:hAnsi="宋体" w:cs="宋体" w:eastAsia="宋体" w:hint="default"/>
          <w:sz w:val="20"/>
          <w:szCs w:val="20"/>
        </w:rPr>
      </w:pPr>
    </w:p>
    <w:p>
      <w:pPr>
        <w:spacing w:line="547" w:lineRule="auto" w:before="0"/>
        <w:ind w:left="152" w:right="34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本企业子公司的情况详见本节九、在其他主体中的权益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在子公司中的权益。</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6"/>
        <w:ind w:right="329"/>
        <w:jc w:val="left"/>
      </w:pPr>
      <w:r>
        <w:rPr/>
        <w:t>本企业重要的合营或联营企业详见本节九、在其他主体中的权益 </w:t>
      </w:r>
      <w:r>
        <w:rPr>
          <w:rFonts w:ascii="Times New Roman" w:hAnsi="Times New Roman" w:cs="Times New Roman" w:eastAsia="Times New Roman" w:hint="default"/>
        </w:rPr>
        <w:t>2</w:t>
      </w:r>
      <w:r>
        <w:rPr/>
        <w:t>、</w:t>
      </w:r>
      <w:r>
        <w:rPr>
          <w:spacing w:val="-45"/>
        </w:rPr>
        <w:t> </w:t>
      </w:r>
      <w:r>
        <w:rPr/>
        <w:t>在联营企业中的权益。</w:t>
      </w:r>
    </w:p>
    <w:p>
      <w:pPr>
        <w:spacing w:line="240" w:lineRule="auto" w:before="13"/>
        <w:rPr>
          <w:rFonts w:ascii="宋体" w:hAnsi="宋体" w:cs="宋体" w:eastAsia="宋体" w:hint="default"/>
          <w:sz w:val="25"/>
          <w:szCs w:val="25"/>
        </w:rPr>
      </w:pPr>
    </w:p>
    <w:p>
      <w:pPr>
        <w:pStyle w:val="Heading3"/>
        <w:spacing w:line="240" w:lineRule="auto"/>
        <w:ind w:right="329"/>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天津红杉资本投资基金中心（有限合伙）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中卫普信宽带通信有限公司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杨宇航任职董事企业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 </w:t>
            </w:r>
            <w:r>
              <w:rPr>
                <w:rFonts w:ascii="宋体" w:hAnsi="宋体" w:cs="宋体" w:eastAsia="宋体" w:hint="default"/>
                <w:spacing w:val="2"/>
                <w:sz w:val="18"/>
                <w:szCs w:val="18"/>
              </w:rPr>
              <w:t> </w:t>
            </w:r>
            <w:r>
              <w:rPr>
                <w:rFonts w:ascii="宋体" w:hAnsi="宋体" w:cs="宋体" w:eastAsia="宋体" w:hint="default"/>
                <w:sz w:val="18"/>
                <w:szCs w:val="18"/>
              </w:rPr>
              <w:t>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宋寅虎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 </w:t>
            </w:r>
            <w:r>
              <w:rPr>
                <w:rFonts w:ascii="宋体" w:hAnsi="宋体" w:cs="宋体" w:eastAsia="宋体" w:hint="default"/>
                <w:spacing w:val="2"/>
                <w:sz w:val="18"/>
                <w:szCs w:val="18"/>
              </w:rPr>
              <w:t> </w:t>
            </w:r>
            <w:r>
              <w:rPr>
                <w:rFonts w:ascii="宋体" w:hAnsi="宋体" w:cs="宋体" w:eastAsia="宋体" w:hint="default"/>
                <w:sz w:val="18"/>
                <w:szCs w:val="18"/>
              </w:rPr>
              <w:t>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董事、人事行政部总监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监事会主席、人事行政部经理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监事、宽带技术总监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刘吉衡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系统集成部总监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监事、运营管理中心总监</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 </w:t>
            </w:r>
            <w:r>
              <w:rPr>
                <w:rFonts w:ascii="宋体" w:hAnsi="宋体" w:cs="宋体" w:eastAsia="宋体" w:hint="default"/>
                <w:spacing w:val="2"/>
                <w:sz w:val="18"/>
                <w:szCs w:val="18"/>
              </w:rPr>
              <w:t> </w:t>
            </w:r>
            <w:r>
              <w:rPr>
                <w:rFonts w:ascii="宋体" w:hAnsi="宋体" w:cs="宋体" w:eastAsia="宋体" w:hint="default"/>
                <w:sz w:val="18"/>
                <w:szCs w:val="18"/>
              </w:rPr>
              <w:t>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副总裁、耿殿根之侄子</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网管中心经理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吴国雄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酒仙桥数据中心运营总监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韩冠华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燕郊数据中心运营总监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技术支持部经理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李激波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技术响应中心经理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郭明强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审计部经理</w:t>
            </w:r>
          </w:p>
        </w:tc>
      </w:tr>
    </w:tbl>
    <w:p>
      <w:pPr>
        <w:pStyle w:val="BodyText"/>
        <w:spacing w:line="240" w:lineRule="auto" w:before="49"/>
        <w:ind w:right="3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329"/>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29"/>
        <w:jc w:val="left"/>
      </w:pPr>
      <w:r>
        <w:rPr/>
        <w:t>本公司作为被担保方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北京瑞科新网科技有限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北京瑞科新网科技有限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49"/>
        <w:ind w:left="513" w:right="0" w:hanging="361"/>
        <w:jc w:val="left"/>
      </w:pPr>
      <w:r>
        <w:rPr/>
        <w:t>关联担保情况说明 </w:t>
      </w:r>
      <w:r>
        <w:rPr>
          <w:spacing w:val="-2"/>
        </w:rPr>
        <w:t>公司以子公司北京瑞科新网科技有限公司房产为抵押，并由公司董事长耿殿根作为连带责任保证人，取得招商银行股份</w:t>
      </w:r>
    </w:p>
    <w:p>
      <w:pPr>
        <w:pStyle w:val="BodyText"/>
        <w:spacing w:line="236" w:lineRule="exact" w:before="0"/>
        <w:ind w:right="329"/>
        <w:jc w:val="left"/>
      </w:pPr>
      <w:r>
        <w:rPr/>
        <w:t>有限公司北京建国路支行授信额度人民币叁仟万元整，该笔授信已于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日到期终止。</w:t>
      </w:r>
    </w:p>
    <w:p>
      <w:pPr>
        <w:pStyle w:val="BodyText"/>
        <w:spacing w:line="316" w:lineRule="auto" w:before="63"/>
        <w:ind w:right="153" w:firstLine="360"/>
        <w:jc w:val="both"/>
      </w:pPr>
      <w:r>
        <w:rPr>
          <w:spacing w:val="-2"/>
        </w:rPr>
        <w:t>公司以德信智能手机技术（北京）有限公司房产抵押（即酒仙桥二期机房所在房产），并由公司董事长耿殿根作为连带</w:t>
      </w:r>
      <w:r>
        <w:rPr/>
        <w:t> </w:t>
      </w:r>
      <w:r>
        <w:rPr>
          <w:spacing w:val="-2"/>
        </w:rPr>
        <w:t>责任保证人，取得中国建设银行股份有限公司北京朝阳支行向本公司提供授信额度为人民币肆仟零伍拾万元整，该笔授信已</w:t>
      </w:r>
      <w:r>
        <w:rPr>
          <w:spacing w:val="-64"/>
        </w:rPr>
        <w:t> </w:t>
      </w:r>
      <w:r>
        <w:rPr>
          <w:spacing w:val="-64"/>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日到期终止。</w:t>
      </w:r>
    </w:p>
    <w:p>
      <w:pPr>
        <w:pStyle w:val="BodyText"/>
        <w:spacing w:line="316" w:lineRule="auto" w:before="0"/>
        <w:ind w:right="152" w:firstLine="360"/>
        <w:jc w:val="both"/>
      </w:pPr>
      <w:r>
        <w:rPr>
          <w:spacing w:val="-2"/>
        </w:rPr>
        <w:t>公司以子公司北京瑞科新网科技有限公司房产为抵押，并由公司董事长耿殿根作为连带责任保证人，取得招商银行股份</w:t>
      </w:r>
      <w:r>
        <w:rPr/>
        <w:t> 有限公司北京建国路支行授信额度人民币叁仟万元整，授信期为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日止。</w:t>
      </w:r>
    </w:p>
    <w:p>
      <w:pPr>
        <w:spacing w:line="240" w:lineRule="auto" w:before="4"/>
        <w:rPr>
          <w:rFonts w:ascii="宋体" w:hAnsi="宋体" w:cs="宋体" w:eastAsia="宋体" w:hint="default"/>
          <w:sz w:val="21"/>
          <w:szCs w:val="21"/>
        </w:rPr>
      </w:pPr>
    </w:p>
    <w:p>
      <w:pPr>
        <w:pStyle w:val="Heading3"/>
        <w:spacing w:line="240" w:lineRule="auto"/>
        <w:ind w:right="329"/>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6,952,561.00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6,447,400.27</w:t>
            </w:r>
          </w:p>
        </w:tc>
      </w:tr>
    </w:tbl>
    <w:p>
      <w:pPr>
        <w:spacing w:line="240" w:lineRule="auto" w:before="3"/>
        <w:rPr>
          <w:rFonts w:ascii="宋体" w:hAnsi="宋体" w:cs="宋体" w:eastAsia="宋体" w:hint="default"/>
          <w:sz w:val="19"/>
          <w:szCs w:val="19"/>
        </w:rPr>
      </w:pPr>
    </w:p>
    <w:p>
      <w:pPr>
        <w:spacing w:line="544" w:lineRule="auto" w:before="36"/>
        <w:ind w:left="152" w:right="32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）其他关联交易</w:t>
      </w:r>
      <w:r>
        <w:rPr>
          <w:rFonts w:ascii="宋体" w:hAnsi="宋体" w:cs="宋体" w:eastAsia="宋体" w:hint="default"/>
          <w:b/>
          <w:bCs/>
          <w:spacing w:val="-104"/>
          <w:sz w:val="21"/>
          <w:szCs w:val="21"/>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年度确认中卫普信宽带通信有限公司互联网宽带接入服务收入</w:t>
      </w:r>
      <w:r>
        <w:rPr>
          <w:rFonts w:ascii="Times New Roman" w:hAnsi="Times New Roman" w:cs="Times New Roman" w:eastAsia="Times New Roman" w:hint="default"/>
          <w:sz w:val="18"/>
          <w:szCs w:val="18"/>
        </w:rPr>
        <w:t>1,075.31</w:t>
      </w:r>
      <w:r>
        <w:rPr>
          <w:rFonts w:ascii="宋体" w:hAnsi="宋体" w:cs="宋体" w:eastAsia="宋体" w:hint="default"/>
          <w:sz w:val="18"/>
          <w:szCs w:val="18"/>
        </w:rPr>
        <w:t>元。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pStyle w:val="Heading3"/>
        <w:spacing w:line="240" w:lineRule="auto" w:before="28"/>
        <w:ind w:right="329"/>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中卫普信宽带通信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18,000.00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北京长城光环宽带网络技术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5" w:right="0"/>
              <w:jc w:val="left"/>
              <w:rPr>
                <w:rFonts w:ascii="Times New Roman" w:hAnsi="Times New Roman" w:cs="Times New Roman" w:eastAsia="Times New Roman" w:hint="default"/>
                <w:sz w:val="18"/>
                <w:szCs w:val="18"/>
              </w:rPr>
            </w:pPr>
            <w:r>
              <w:rPr>
                <w:rFonts w:ascii="Times New Roman"/>
                <w:sz w:val="18"/>
              </w:rPr>
              <w:t>180,113.78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180,113.78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中卫普信宽带通信有限公司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1,075.31</w:t>
            </w:r>
          </w:p>
        </w:tc>
      </w:tr>
    </w:tbl>
    <w:p>
      <w:pPr>
        <w:spacing w:line="240" w:lineRule="auto" w:before="1"/>
        <w:rPr>
          <w:rFonts w:ascii="宋体" w:hAnsi="宋体" w:cs="宋体" w:eastAsia="宋体" w:hint="default"/>
          <w:sz w:val="18"/>
          <w:szCs w:val="18"/>
        </w:rPr>
      </w:pPr>
    </w:p>
    <w:p>
      <w:pPr>
        <w:pStyle w:val="Heading2"/>
        <w:spacing w:line="240" w:lineRule="auto"/>
        <w:ind w:right="329"/>
        <w:jc w:val="left"/>
        <w:rPr>
          <w:b w:val="0"/>
          <w:bCs w:val="0"/>
        </w:rPr>
      </w:pPr>
      <w:r>
        <w:rPr/>
        <w:t>十二、资产负债表日后事项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716"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025"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基数，向全体股东每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32,748,000.00</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329"/>
        <w:jc w:val="left"/>
        <w:rPr>
          <w:b w:val="0"/>
          <w:bCs w:val="0"/>
        </w:rPr>
      </w:pPr>
      <w:r>
        <w:rPr/>
        <w:t>十三、母公司财务报表主要项目注释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36,481,6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48.98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1,197,37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35,284,27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21,201,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772.06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667,537.9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20,534,234.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36,481,6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48.98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1,197,37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3.90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3.28%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35,284,27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21,201,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772.06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20,534,234.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35,774,682.87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1,073,240.48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35,774,682.87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1,073,240.48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517,782.07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51,778.21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161,184.04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48,355.21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36,481,648.98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1,197,373.90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240" w:lineRule="auto" w:before="29"/>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32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t>本期计提坏账准备金额</w:t>
      </w:r>
      <w:r>
        <w:rPr>
          <w:spacing w:val="-46"/>
        </w:rPr>
        <w:t> </w:t>
      </w:r>
      <w:r>
        <w:rPr>
          <w:rFonts w:ascii="Times New Roman" w:hAnsi="Times New Roman" w:cs="Times New Roman" w:eastAsia="Times New Roman" w:hint="default"/>
        </w:rPr>
        <w:t>529,835.92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44" w:firstLine="360"/>
        <w:jc w:val="left"/>
      </w:pPr>
      <w:r>
        <w:rPr/>
        <w:t>本公司本年按欠款方归集的年末余额前五名应收账款汇总金额为</w:t>
      </w:r>
      <w:r>
        <w:rPr>
          <w:rFonts w:ascii="宋体" w:hAnsi="宋体" w:cs="宋体" w:eastAsia="宋体" w:hint="default"/>
        </w:rPr>
        <w:t>25,303,986.57</w:t>
      </w:r>
      <w:r>
        <w:rPr/>
        <w:t>元，占应收账款年末余额合计数的比例 为</w:t>
      </w:r>
      <w:r>
        <w:rPr>
          <w:rFonts w:ascii="宋体" w:hAnsi="宋体" w:cs="宋体" w:eastAsia="宋体" w:hint="default"/>
        </w:rPr>
        <w:t>69.36%</w:t>
      </w:r>
      <w:r>
        <w:rPr/>
        <w:t>，相应计提的坏账准备年末余额汇总金额为</w:t>
      </w:r>
      <w:r>
        <w:rPr>
          <w:rFonts w:ascii="宋体" w:hAnsi="宋体" w:cs="宋体" w:eastAsia="宋体" w:hint="default"/>
        </w:rPr>
        <w:t>759,119.60</w:t>
      </w:r>
      <w:r>
        <w:rPr/>
        <w:t>元。</w:t>
      </w:r>
    </w:p>
    <w:p>
      <w:pPr>
        <w:spacing w:line="240" w:lineRule="auto" w:before="10"/>
        <w:rPr>
          <w:rFonts w:ascii="宋体" w:hAnsi="宋体" w:cs="宋体" w:eastAsia="宋体" w:hint="default"/>
          <w:sz w:val="22"/>
          <w:szCs w:val="22"/>
        </w:rPr>
      </w:pPr>
    </w:p>
    <w:p>
      <w:pPr>
        <w:pStyle w:val="Heading3"/>
        <w:spacing w:line="240" w:lineRule="auto"/>
        <w:ind w:right="32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29"/>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138,293,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108.18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193,472.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138,099,6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35.19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82,117,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126.87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81,974,658.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138,293,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108.18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193,472.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0.14%</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138,099,6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35.19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82,117,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126.87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81,974,658.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1,435,783.15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43,073.49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1,435,783.15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72,450.00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70,949.50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70,949.50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2,249,232.65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193,472.99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240" w:lineRule="auto" w:before="29"/>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329"/>
        <w:jc w:val="left"/>
      </w:pPr>
      <w:r>
        <w:rPr/>
        <w:t>组合中，采用其他方法计提坏账准备的其他应收款：</w:t>
      </w:r>
    </w:p>
    <w:p>
      <w:pPr>
        <w:pStyle w:val="BodyText"/>
        <w:spacing w:line="319" w:lineRule="auto" w:before="117"/>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日，按照款项性质组合</w:t>
      </w:r>
      <w:r>
        <w:rPr>
          <w:rFonts w:ascii="Times New Roman" w:hAnsi="Times New Roman" w:cs="Times New Roman" w:eastAsia="Times New Roman" w:hint="default"/>
        </w:rPr>
        <w:t>136,043,875.53</w:t>
      </w:r>
      <w:r>
        <w:rPr/>
        <w:t>元，全部为本期应收子公司款项，经过减值测试未发生减值迹象， 不计提坏账准备。</w:t>
      </w:r>
    </w:p>
    <w:p>
      <w:pPr>
        <w:spacing w:line="240" w:lineRule="auto" w:before="9"/>
        <w:rPr>
          <w:rFonts w:ascii="宋体" w:hAnsi="宋体" w:cs="宋体" w:eastAsia="宋体" w:hint="default"/>
          <w:sz w:val="22"/>
          <w:szCs w:val="22"/>
        </w:rPr>
      </w:pPr>
    </w:p>
    <w:p>
      <w:pPr>
        <w:pStyle w:val="Heading3"/>
        <w:spacing w:line="240" w:lineRule="auto"/>
        <w:ind w:right="32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329"/>
        <w:jc w:val="left"/>
      </w:pPr>
      <w:r>
        <w:rPr/>
        <w:t>本期计提坏账准备金额</w:t>
      </w:r>
      <w:r>
        <w:rPr>
          <w:spacing w:val="-46"/>
        </w:rPr>
        <w:t> </w:t>
      </w:r>
      <w:r>
        <w:rPr>
          <w:rFonts w:ascii="Times New Roman" w:hAnsi="Times New Roman" w:cs="Times New Roman" w:eastAsia="Times New Roman" w:hint="default"/>
        </w:rPr>
        <w:t>51,005.09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329"/>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71,811.00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2,137,421.65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1,898,962.87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136,083,875.53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78,008,664.00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138,293,108.18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82,117,126.87</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光环云谷科技有限公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59,226,251.61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光环云谷科技有限公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76,208,664.00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北京银达物业管理有 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1,279,882.15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38,396.46</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中国移动通信集团北 京有限公司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62,000.00</w:t>
            </w: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上海明月光学有限公 司（现已更名为光环 新网（上海）信息服 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608,959.92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北京盛世伟业岩土工 程有限公司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138,043,757.68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110,396.46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329"/>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185,411,227.50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185,411,227.50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96,611,227.50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96,611,227.50</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186,222,273.57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185,411,227.50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97,422,273.57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96,611,227.50</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北京光环恒通数 字技术有限公司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西安博凯创达数 字技术有限公司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38,301,227.50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38,301,227.50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光环新网（上海） 信息服务有限公</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93,800,000.00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96,611,227.50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93,800,000.00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185,411,227.50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pStyle w:val="Heading3"/>
        <w:spacing w:line="240" w:lineRule="auto" w:before="36"/>
        <w:ind w:right="329"/>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49" w:firstLine="360"/>
        <w:jc w:val="righ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月，根据</w:t>
      </w:r>
      <w:r>
        <w:rPr>
          <w:rFonts w:ascii="宋体" w:hAnsi="宋体" w:cs="宋体" w:eastAsia="宋体" w:hint="default"/>
          <w:spacing w:val="-1"/>
        </w:rPr>
        <w:t>2014</w:t>
      </w:r>
      <w:r>
        <w:rPr>
          <w:spacing w:val="-1"/>
        </w:rPr>
        <w:t>年第二次临时股东大会《关于收购上海明月光学有限公司</w:t>
      </w:r>
      <w:r>
        <w:rPr>
          <w:rFonts w:ascii="Times New Roman" w:hAnsi="Times New Roman" w:cs="Times New Roman" w:eastAsia="Times New Roman" w:hint="default"/>
          <w:spacing w:val="-1"/>
        </w:rPr>
        <w:t>100%</w:t>
      </w:r>
      <w:r>
        <w:rPr>
          <w:spacing w:val="-1"/>
        </w:rPr>
        <w:t>股权的议案》的决议；公司与</w:t>
      </w:r>
      <w:r>
        <w:rPr/>
        <w:t> </w:t>
      </w:r>
      <w:r>
        <w:rPr>
          <w:spacing w:val="-1"/>
        </w:rPr>
        <w:t>江苏明月光电科技有限公司和上海明月光学眼镜有限公司签订股权收购协议，以</w:t>
      </w:r>
      <w:r>
        <w:rPr>
          <w:rFonts w:ascii="Times New Roman" w:hAnsi="Times New Roman" w:cs="Times New Roman" w:eastAsia="Times New Roman" w:hint="default"/>
          <w:spacing w:val="-1"/>
        </w:rPr>
        <w:t>93,800,000.00</w:t>
      </w:r>
      <w:r>
        <w:rPr>
          <w:spacing w:val="-1"/>
        </w:rPr>
        <w:t>元收购上海明月光学有限公司</w:t>
      </w:r>
    </w:p>
    <w:p>
      <w:pPr>
        <w:pStyle w:val="BodyText"/>
        <w:spacing w:line="240" w:lineRule="auto" w:before="13"/>
        <w:ind w:right="329"/>
        <w:jc w:val="left"/>
      </w:pPr>
      <w:r>
        <w:rPr/>
        <w:t>（现已更名为光环新网（上海）信息服务有限公司）</w:t>
      </w:r>
      <w:r>
        <w:rPr>
          <w:rFonts w:ascii="Times New Roman" w:hAnsi="Times New Roman" w:cs="Times New Roman" w:eastAsia="Times New Roman" w:hint="default"/>
        </w:rPr>
        <w:t>100%</w:t>
      </w:r>
      <w:r>
        <w:rPr/>
        <w:t>股权。</w:t>
      </w:r>
    </w:p>
    <w:p>
      <w:pPr>
        <w:pStyle w:val="BodyText"/>
        <w:spacing w:line="240" w:lineRule="auto" w:before="63"/>
        <w:ind w:left="0" w:right="186"/>
        <w:jc w:val="righ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spacing w:val="-1"/>
        </w:rPr>
        <w:t>、北京长城光环宽带网络技术有限公司于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月已经开始清算，</w:t>
      </w:r>
      <w:r>
        <w:rPr>
          <w:rFonts w:ascii="Times New Roman" w:hAnsi="Times New Roman" w:cs="Times New Roman" w:eastAsia="Times New Roman" w:hint="default"/>
          <w:spacing w:val="-1"/>
        </w:rPr>
        <w:t>2007</w:t>
      </w:r>
      <w:r>
        <w:rPr>
          <w:spacing w:val="-1"/>
        </w:rPr>
        <w:t>年末按账面价值</w:t>
      </w:r>
      <w:r>
        <w:rPr>
          <w:rFonts w:ascii="Times New Roman" w:hAnsi="Times New Roman" w:cs="Times New Roman" w:eastAsia="Times New Roman" w:hint="default"/>
          <w:spacing w:val="-1"/>
        </w:rPr>
        <w:t>50%</w:t>
      </w:r>
      <w:r>
        <w:rPr>
          <w:spacing w:val="-1"/>
        </w:rPr>
        <w:t>计提减值准备，</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p>
    <w:p>
      <w:pPr>
        <w:pStyle w:val="BodyText"/>
        <w:spacing w:line="240" w:lineRule="auto" w:before="63"/>
        <w:ind w:right="329"/>
        <w:jc w:val="left"/>
      </w:pPr>
      <w:r>
        <w:rPr/>
        <w:t>月末全额计提减值准备。</w:t>
      </w:r>
    </w:p>
    <w:p>
      <w:pPr>
        <w:spacing w:line="240" w:lineRule="auto" w:before="0"/>
        <w:rPr>
          <w:rFonts w:ascii="宋体" w:hAnsi="宋体" w:cs="宋体" w:eastAsia="宋体" w:hint="default"/>
          <w:sz w:val="18"/>
          <w:szCs w:val="18"/>
        </w:rPr>
      </w:pPr>
    </w:p>
    <w:p>
      <w:pPr>
        <w:pStyle w:val="Heading3"/>
        <w:spacing w:line="240" w:lineRule="auto" w:before="120"/>
        <w:ind w:right="329"/>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382,317,995.39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212,463,917.22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285,650,563.65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150,473,868.79</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382,317,995.39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212,463,917.22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285,650,563.65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150,473,868.79</w:t>
            </w:r>
          </w:p>
        </w:tc>
      </w:tr>
    </w:tbl>
    <w:p>
      <w:pPr>
        <w:pStyle w:val="BodyText"/>
        <w:spacing w:line="240" w:lineRule="auto" w:before="49"/>
        <w:ind w:right="3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32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9,844,154.47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9,844,154.47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329"/>
        <w:jc w:val="left"/>
        <w:rPr>
          <w:b w:val="0"/>
          <w:bCs w:val="0"/>
        </w:rPr>
      </w:pPr>
      <w:r>
        <w:rPr/>
        <w:t>十四、补充资料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29"/>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-137,461.29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-1,745.71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17,031.55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40,761.45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29"/>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0.88</w:t>
            </w:r>
          </w:p>
        </w:tc>
      </w:tr>
      <w:tr>
        <w:trPr>
          <w:trHeight w:val="716"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0.88</w:t>
            </w:r>
          </w:p>
        </w:tc>
      </w:tr>
    </w:tbl>
    <w:p>
      <w:pPr>
        <w:spacing w:line="240" w:lineRule="auto" w:before="3"/>
        <w:rPr>
          <w:rFonts w:ascii="宋体" w:hAnsi="宋体" w:cs="宋体" w:eastAsia="宋体" w:hint="default"/>
          <w:b/>
          <w:bCs/>
          <w:sz w:val="19"/>
          <w:szCs w:val="19"/>
        </w:rPr>
      </w:pPr>
    </w:p>
    <w:p>
      <w:pPr>
        <w:pStyle w:val="Heading3"/>
        <w:spacing w:line="240" w:lineRule="auto" w:before="36"/>
        <w:ind w:right="329"/>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left="513"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公司根据财政部</w:t>
      </w:r>
      <w:r>
        <w:rPr>
          <w:rFonts w:ascii="宋体" w:hAnsi="宋体" w:cs="宋体" w:eastAsia="宋体" w:hint="default"/>
        </w:rPr>
        <w:t>2014</w:t>
      </w:r>
      <w:r>
        <w:rPr/>
        <w:t>年发布的《企业会计准则第</w:t>
      </w:r>
      <w:r>
        <w:rPr>
          <w:rFonts w:ascii="宋体" w:hAnsi="宋体" w:cs="宋体" w:eastAsia="宋体" w:hint="default"/>
        </w:rPr>
        <w:t>2</w:t>
      </w:r>
      <w:r>
        <w:rPr/>
        <w:t>号——长期股权投资》等八项会计准则变更了相关会计政策并对比较</w:t>
      </w:r>
    </w:p>
    <w:p>
      <w:pPr>
        <w:pStyle w:val="BodyText"/>
        <w:spacing w:line="240" w:lineRule="auto" w:before="1"/>
        <w:ind w:right="329"/>
        <w:jc w:val="left"/>
      </w:pPr>
      <w:r>
        <w:rPr/>
        <w:t>财务报表进行了追溯重述，重述后的</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日合并资产负债表如下：</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26,037,985.60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43,035,367.79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238,977,816.19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23,343,927.95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26,234,509.89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43,948,945.46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45,848,324.67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53,500,769.49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2,564,139.47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2,626,275.26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4,872,344.97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3,040,686.28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257,789.34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792,312.00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1,146,459.61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6,404,802.59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98,114,302.82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128,435,304.14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296,082,849.60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145,061,215.10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244,563,716.06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362,391,308.37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30,719,124.83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24,057,718.20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14,321,931.77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428,969.20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1,056,955.48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37,737,014.03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1,693,240.00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1,693,240.00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1,693,240.00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17,725,646.60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35,791,736.13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56,377,091.81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808,809.37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923,602.84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1,090,465.54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77,758,315.77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211,727,005.10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323,376,968.71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566,659,367.29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309,841,307.92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451,812,272.85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862,742,216.89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56,912,418.46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42,396,232.54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20,000,241.47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22,853,989.35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54,869,590.27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27,344,324.27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50,321,068.09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50,248,171.62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3,387,072.28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4,614,462.63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5,206,353.25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4,205,432.49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4,403,905.33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3,467,169.06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219,177.79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774,293.09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5,249,376.74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55,156,248.30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139,880,136.95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161,436,893.48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2,092,529.38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2,037,462.82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1,982,396.25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3,724,529.38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3,477,462.82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3,230,396.25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58,880,777.68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143,357,599.77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164,667,289.73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63,714,913.83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63,714,913.83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311,163,183.83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14,072,963.23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20,203,181.53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29,948,561.02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127,372,653.18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178,247,845.01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247,312,830.19</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250,960,530.24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307,965,940.37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697,584,575.04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488,732.71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490,352.12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250,960,530.24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308,454,673.08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698,074,927.16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309,841,307.92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451,812,272.85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862,742,216.89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470"/>
        <w:jc w:val="center"/>
        <w:rPr>
          <w:b w:val="0"/>
          <w:bCs w:val="0"/>
        </w:rPr>
      </w:pPr>
      <w:bookmarkStart w:name="_bookmark9" w:id="10"/>
      <w:bookmarkEnd w:id="10"/>
      <w:r>
        <w:rPr>
          <w:b w:val="0"/>
          <w:bCs w:val="0"/>
        </w:rPr>
      </w:r>
      <w:r>
        <w:rPr/>
        <w:t>第十节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16" w:lineRule="auto" w:before="0"/>
        <w:ind w:right="89"/>
        <w:jc w:val="left"/>
      </w:pPr>
      <w:r>
        <w:rPr>
          <w:spacing w:val="-4"/>
        </w:rPr>
        <w:t>一、载有法定代表人耿殿根先生、主管会计工作负责人张利军先生、会计机构负责人张利军先生签名并盖章的财务报告文本；</w:t>
      </w:r>
      <w:r>
        <w:rPr>
          <w:spacing w:val="-44"/>
        </w:rPr>
        <w:t> </w:t>
      </w:r>
      <w:r>
        <w:rPr>
          <w:spacing w:val="-44"/>
        </w:rPr>
      </w:r>
      <w:r>
        <w:rPr/>
        <w:t>二、载有会计师事务所盖章、注册会计师签名并盖章的审计报告原件； 三、经公司法定代表人耿殿根先生签名的</w:t>
      </w:r>
      <w:r>
        <w:rPr>
          <w:rFonts w:ascii="Times New Roman" w:hAnsi="Times New Roman" w:cs="Times New Roman" w:eastAsia="Times New Roman" w:hint="default"/>
        </w:rPr>
        <w:t>2014</w:t>
      </w:r>
      <w:r>
        <w:rPr/>
        <w:t>年年度报告文件原件。</w:t>
      </w:r>
    </w:p>
    <w:p>
      <w:pPr>
        <w:pStyle w:val="BodyText"/>
        <w:spacing w:line="235" w:lineRule="exact" w:before="0"/>
        <w:ind w:right="89"/>
        <w:jc w:val="left"/>
      </w:pPr>
      <w:r>
        <w:rPr/>
        <w:t>以上备查文件的备置地点：公司证券部。</w:t>
      </w:r>
    </w:p>
    <w:sectPr>
      <w:pgSz w:w="11910" w:h="16840"/>
      <w:pgMar w:header="745" w:footer="979" w:top="1060" w:bottom="116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02947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294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294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68</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02940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293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0293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293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293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029496" type="#_x0000_t202" filled="false" stroked="false">
          <v:textbox inset="0,0,0,0">
            <w:txbxContent>
              <w:p>
                <w:pPr>
                  <w:pStyle w:val="BodyText"/>
                  <w:spacing w:line="214" w:lineRule="exact" w:before="0"/>
                  <w:ind w:left="20" w:right="0"/>
                  <w:jc w:val="left"/>
                </w:pPr>
                <w:r>
                  <w:rPr/>
                  <w:t>北京光环新网科技股份有限公司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spacing w:before="19"/>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innet.com.cn/" TargetMode="External"/><Relationship Id="rId10" Type="http://schemas.openxmlformats.org/officeDocument/2006/relationships/hyperlink" Target="mailto:i_r@sinnet.com.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 TargetMode="External"/><Relationship Id="rId16" Type="http://schemas.openxmlformats.org/officeDocument/2006/relationships/image" Target="media/image5.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北京光环新网科技股份有限公司</dc:creator>
  <dc:title>北京光环新网科技股份有限公司2014年年度报告全文</dc:title>
  <dcterms:created xsi:type="dcterms:W3CDTF">2020-05-06T19:39:52Z</dcterms:created>
  <dcterms:modified xsi:type="dcterms:W3CDTF">2020-05-06T19:39:52Z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2015-04-20T00:00:00Z</vt:filetime>
  </property>
  <property fmtid="{D5CDD505-2E9C-101B-9397-08002B2CF9AE}" pid="3" name="Creator">
    <vt:lpwstr>Microsoft® Word 2010</vt:lpwstr>
  </property>
  <property fmtid="{D5CDD505-2E9C-101B-9397-08002B2CF9AE}" pid="4" name="LastSaved">
    <vt:filetime>2020-05-06T00:00:00Z</vt:filetime>
  </property>
</Properties>
</file>