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Default Extension="png" ContentType="image/png"/>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0"/>
          <w:szCs w:val="20"/>
        </w:rPr>
      </w:pPr>
    </w:p>
    <w:p>
      <w:pPr>
        <w:spacing w:line="3247" w:lineRule="exact"/>
        <w:ind w:left="396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4"/>
          <w:sz w:val="20"/>
          <w:szCs w:val="20"/>
        </w:rPr>
        <w:drawing>
          <wp:inline distT="0" distB="0" distL="0" distR="0">
            <wp:extent cx="1460563" cy="206197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460563" cy="2061972"/>
                    </a:xfrm>
                    <a:prstGeom prst="rect">
                      <a:avLst/>
                    </a:prstGeom>
                  </pic:spPr>
                </pic:pic>
              </a:graphicData>
            </a:graphic>
          </wp:inline>
        </w:drawing>
      </w:r>
      <w:r>
        <w:rPr>
          <w:rFonts w:ascii="Times New Roman" w:hAnsi="Times New Roman" w:cs="Times New Roman" w:eastAsia="Times New Roman" w:hint="default"/>
          <w:position w:val="-64"/>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52" w:lineRule="auto" w:before="80"/>
        <w:ind w:left="3348" w:right="1134" w:hanging="2017"/>
        <w:jc w:val="left"/>
        <w:rPr>
          <w:rFonts w:ascii="黑体" w:hAnsi="黑体" w:cs="黑体" w:eastAsia="黑体" w:hint="default"/>
          <w:sz w:val="52"/>
          <w:szCs w:val="52"/>
        </w:rPr>
      </w:pPr>
      <w:r>
        <w:rPr>
          <w:rFonts w:ascii="黑体" w:hAnsi="黑体" w:cs="黑体" w:eastAsia="黑体" w:hint="default"/>
          <w:spacing w:val="-1"/>
          <w:sz w:val="52"/>
          <w:szCs w:val="52"/>
        </w:rPr>
        <w:t>北京光环新网科技股份有限公司</w:t>
      </w:r>
      <w:r>
        <w:rPr>
          <w:rFonts w:ascii="黑体" w:hAnsi="黑体" w:cs="黑体" w:eastAsia="黑体" w:hint="default"/>
          <w:spacing w:val="-244"/>
          <w:sz w:val="52"/>
          <w:szCs w:val="52"/>
        </w:rPr>
        <w:t> </w:t>
      </w:r>
      <w:r>
        <w:rPr>
          <w:rFonts w:ascii="黑体" w:hAnsi="黑体" w:cs="黑体" w:eastAsia="黑体" w:hint="default"/>
          <w:spacing w:val="-244"/>
          <w:sz w:val="52"/>
          <w:szCs w:val="52"/>
        </w:rPr>
      </w:r>
      <w:r>
        <w:rPr>
          <w:rFonts w:ascii="黑体" w:hAnsi="黑体" w:cs="黑体" w:eastAsia="黑体" w:hint="default"/>
          <w:sz w:val="52"/>
          <w:szCs w:val="52"/>
        </w:rPr>
        <w:t>2015</w:t>
      </w:r>
      <w:r>
        <w:rPr>
          <w:rFonts w:ascii="黑体" w:hAnsi="黑体" w:cs="黑体" w:eastAsia="黑体" w:hint="default"/>
          <w:spacing w:val="-130"/>
          <w:sz w:val="52"/>
          <w:szCs w:val="52"/>
        </w:rPr>
        <w:t> </w:t>
      </w:r>
      <w:r>
        <w:rPr>
          <w:rFonts w:ascii="黑体" w:hAnsi="黑体" w:cs="黑体" w:eastAsia="黑体" w:hint="default"/>
          <w:sz w:val="52"/>
          <w:szCs w:val="52"/>
        </w:rPr>
        <w:t>年度报告</w:t>
      </w: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9"/>
        <w:rPr>
          <w:rFonts w:ascii="黑体" w:hAnsi="黑体" w:cs="黑体" w:eastAsia="黑体" w:hint="default"/>
          <w:sz w:val="68"/>
          <w:szCs w:val="68"/>
        </w:rPr>
      </w:pPr>
    </w:p>
    <w:p>
      <w:pPr>
        <w:spacing w:line="264" w:lineRule="auto" w:before="0"/>
        <w:ind w:left="3513" w:right="2859" w:firstLine="0"/>
        <w:jc w:val="left"/>
        <w:rPr>
          <w:rFonts w:ascii="黑体" w:hAnsi="黑体" w:cs="黑体" w:eastAsia="黑体" w:hint="default"/>
          <w:sz w:val="28"/>
          <w:szCs w:val="28"/>
        </w:rPr>
      </w:pPr>
      <w:r>
        <w:rPr>
          <w:rFonts w:ascii="黑体" w:hAnsi="黑体" w:cs="黑体" w:eastAsia="黑体" w:hint="default"/>
          <w:sz w:val="28"/>
          <w:szCs w:val="28"/>
        </w:rPr>
        <w:t>证券代码：</w:t>
      </w:r>
      <w:r>
        <w:rPr>
          <w:rFonts w:ascii="黑体" w:hAnsi="黑体" w:cs="黑体" w:eastAsia="黑体" w:hint="default"/>
          <w:sz w:val="28"/>
          <w:szCs w:val="28"/>
        </w:rPr>
        <w:t>300383</w:t>
      </w:r>
      <w:r>
        <w:rPr>
          <w:rFonts w:ascii="黑体" w:hAnsi="黑体" w:cs="黑体" w:eastAsia="黑体" w:hint="default"/>
          <w:w w:val="100"/>
          <w:sz w:val="28"/>
          <w:szCs w:val="28"/>
        </w:rPr>
        <w:t> </w:t>
      </w:r>
      <w:r>
        <w:rPr>
          <w:rFonts w:ascii="黑体" w:hAnsi="黑体" w:cs="黑体" w:eastAsia="黑体" w:hint="default"/>
          <w:sz w:val="28"/>
          <w:szCs w:val="28"/>
        </w:rPr>
        <w:t>证券简称：光环新网</w:t>
      </w:r>
      <w:r>
        <w:rPr>
          <w:rFonts w:ascii="黑体" w:hAnsi="黑体" w:cs="黑体" w:eastAsia="黑体" w:hint="default"/>
          <w:w w:val="100"/>
          <w:sz w:val="28"/>
          <w:szCs w:val="28"/>
        </w:rPr>
        <w:t> </w:t>
      </w:r>
      <w:r>
        <w:rPr>
          <w:rFonts w:ascii="黑体" w:hAnsi="黑体" w:cs="黑体" w:eastAsia="黑体" w:hint="default"/>
          <w:sz w:val="28"/>
          <w:szCs w:val="28"/>
        </w:rPr>
        <w:t>公告编号：</w:t>
      </w:r>
      <w:r>
        <w:rPr>
          <w:rFonts w:ascii="黑体" w:hAnsi="黑体" w:cs="黑体" w:eastAsia="黑体" w:hint="default"/>
          <w:sz w:val="28"/>
          <w:szCs w:val="28"/>
        </w:rPr>
        <w:t>2016-036</w:t>
      </w:r>
      <w:r>
        <w:rPr>
          <w:rFonts w:ascii="黑体" w:hAnsi="黑体" w:cs="黑体" w:eastAsia="黑体" w:hint="default"/>
          <w:spacing w:val="-2"/>
          <w:w w:val="100"/>
          <w:sz w:val="28"/>
          <w:szCs w:val="28"/>
        </w:rPr>
        <w:t> </w:t>
      </w:r>
      <w:r>
        <w:rPr>
          <w:rFonts w:ascii="黑体" w:hAnsi="黑体" w:cs="黑体" w:eastAsia="黑体" w:hint="default"/>
          <w:sz w:val="28"/>
          <w:szCs w:val="28"/>
        </w:rPr>
        <w:t>公告日期：</w:t>
      </w:r>
      <w:r>
        <w:rPr>
          <w:rFonts w:ascii="黑体" w:hAnsi="黑体" w:cs="黑体" w:eastAsia="黑体" w:hint="default"/>
          <w:sz w:val="28"/>
          <w:szCs w:val="28"/>
        </w:rPr>
        <w:t>2016</w:t>
      </w:r>
      <w:r>
        <w:rPr>
          <w:rFonts w:ascii="黑体" w:hAnsi="黑体" w:cs="黑体" w:eastAsia="黑体" w:hint="default"/>
          <w:spacing w:val="-71"/>
          <w:sz w:val="28"/>
          <w:szCs w:val="28"/>
        </w:rPr>
        <w:t> </w:t>
      </w:r>
      <w:r>
        <w:rPr>
          <w:rFonts w:ascii="黑体" w:hAnsi="黑体" w:cs="黑体" w:eastAsia="黑体" w:hint="default"/>
          <w:sz w:val="28"/>
          <w:szCs w:val="28"/>
        </w:rPr>
        <w:t>年</w:t>
      </w:r>
      <w:r>
        <w:rPr>
          <w:rFonts w:ascii="黑体" w:hAnsi="黑体" w:cs="黑体" w:eastAsia="黑体" w:hint="default"/>
          <w:spacing w:val="-71"/>
          <w:sz w:val="28"/>
          <w:szCs w:val="28"/>
        </w:rPr>
        <w:t> </w:t>
      </w:r>
      <w:r>
        <w:rPr>
          <w:rFonts w:ascii="黑体" w:hAnsi="黑体" w:cs="黑体" w:eastAsia="黑体" w:hint="default"/>
          <w:sz w:val="28"/>
          <w:szCs w:val="28"/>
        </w:rPr>
        <w:t>3</w:t>
      </w:r>
      <w:r>
        <w:rPr>
          <w:rFonts w:ascii="黑体" w:hAnsi="黑体" w:cs="黑体" w:eastAsia="黑体" w:hint="default"/>
          <w:spacing w:val="-72"/>
          <w:sz w:val="28"/>
          <w:szCs w:val="28"/>
        </w:rPr>
        <w:t> </w:t>
      </w:r>
      <w:r>
        <w:rPr>
          <w:rFonts w:ascii="黑体" w:hAnsi="黑体" w:cs="黑体" w:eastAsia="黑体" w:hint="default"/>
          <w:sz w:val="28"/>
          <w:szCs w:val="28"/>
        </w:rPr>
        <w:t>月</w:t>
      </w:r>
      <w:r>
        <w:rPr>
          <w:rFonts w:ascii="黑体" w:hAnsi="黑体" w:cs="黑体" w:eastAsia="黑体" w:hint="default"/>
          <w:spacing w:val="-68"/>
          <w:sz w:val="28"/>
          <w:szCs w:val="28"/>
        </w:rPr>
        <w:t> </w:t>
      </w:r>
      <w:r>
        <w:rPr>
          <w:rFonts w:ascii="黑体" w:hAnsi="黑体" w:cs="黑体" w:eastAsia="黑体" w:hint="default"/>
          <w:sz w:val="28"/>
          <w:szCs w:val="28"/>
        </w:rPr>
        <w:t>14</w:t>
      </w:r>
      <w:r>
        <w:rPr>
          <w:rFonts w:ascii="黑体" w:hAnsi="黑体" w:cs="黑体" w:eastAsia="黑体" w:hint="default"/>
          <w:spacing w:val="-72"/>
          <w:sz w:val="28"/>
          <w:szCs w:val="28"/>
        </w:rPr>
        <w:t> </w:t>
      </w:r>
      <w:r>
        <w:rPr>
          <w:rFonts w:ascii="黑体" w:hAnsi="黑体" w:cs="黑体" w:eastAsia="黑体" w:hint="default"/>
          <w:sz w:val="28"/>
          <w:szCs w:val="28"/>
        </w:rPr>
        <w:t>日</w:t>
      </w:r>
    </w:p>
    <w:p>
      <w:pPr>
        <w:spacing w:after="0" w:line="264" w:lineRule="auto"/>
        <w:jc w:val="left"/>
        <w:rPr>
          <w:rFonts w:ascii="黑体" w:hAnsi="黑体" w:cs="黑体" w:eastAsia="黑体" w:hint="default"/>
          <w:sz w:val="28"/>
          <w:szCs w:val="28"/>
        </w:rPr>
        <w:sectPr>
          <w:headerReference w:type="default" r:id="rId5"/>
          <w:footerReference w:type="default" r:id="rId6"/>
          <w:type w:val="continuous"/>
          <w:pgSz w:w="11910" w:h="16840"/>
          <w:pgMar w:header="745" w:footer="979" w:top="1060" w:bottom="1160" w:left="980" w:right="980"/>
        </w:sectPr>
      </w:pPr>
    </w:p>
    <w:p>
      <w:pPr>
        <w:spacing w:line="240" w:lineRule="auto" w:before="11"/>
        <w:rPr>
          <w:rFonts w:ascii="黑体" w:hAnsi="黑体" w:cs="黑体" w:eastAsia="黑体" w:hint="default"/>
          <w:sz w:val="2"/>
          <w:szCs w:val="2"/>
        </w:rPr>
      </w:pPr>
    </w:p>
    <w:p>
      <w:pPr>
        <w:spacing w:line="20" w:lineRule="exact"/>
        <w:ind w:left="116" w:right="0" w:firstLine="0"/>
        <w:rPr>
          <w:rFonts w:ascii="黑体" w:hAnsi="黑体" w:cs="黑体" w:eastAsia="黑体" w:hint="default"/>
          <w:sz w:val="2"/>
          <w:szCs w:val="2"/>
        </w:rPr>
      </w:pPr>
      <w:r>
        <w:rPr>
          <w:rFonts w:ascii="黑体" w:hAnsi="黑体" w:cs="黑体" w:eastAsia="黑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黑体" w:hAnsi="黑体" w:cs="黑体" w:eastAsia="黑体" w:hint="default"/>
          <w:sz w:val="2"/>
          <w:szCs w:val="2"/>
        </w:rPr>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0"/>
        <w:rPr>
          <w:rFonts w:ascii="黑体" w:hAnsi="黑体" w:cs="黑体" w:eastAsia="黑体" w:hint="default"/>
          <w:sz w:val="15"/>
          <w:szCs w:val="15"/>
        </w:rPr>
      </w:pPr>
    </w:p>
    <w:p>
      <w:pPr>
        <w:pStyle w:val="Heading1"/>
        <w:spacing w:line="240" w:lineRule="auto"/>
        <w:ind w:left="2802" w:right="1134"/>
        <w:jc w:val="left"/>
        <w:rPr>
          <w:b w:val="0"/>
          <w:bCs w:val="0"/>
        </w:rPr>
      </w:pPr>
      <w:bookmarkStart w:name="_TOC_250010" w:id="1"/>
      <w:r>
        <w:rPr/>
        <w:t>第一节</w:t>
      </w:r>
      <w:r>
        <w:rPr>
          <w:spacing w:val="-5"/>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7"/>
        <w:ind w:left="152" w:right="156" w:firstLine="562"/>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2"/>
          <w:sz w:val="28"/>
          <w:szCs w:val="28"/>
        </w:rPr>
        <w:t>真实、准确、完整，不存在虚假记载、误导性陈述或重大遗漏，并承担个别和</w:t>
      </w:r>
      <w:r>
        <w:rPr>
          <w:rFonts w:ascii="宋体" w:hAnsi="宋体" w:cs="宋体" w:eastAsia="宋体" w:hint="default"/>
          <w:b/>
          <w:bCs/>
          <w:w w:val="99"/>
          <w:sz w:val="28"/>
          <w:szCs w:val="28"/>
        </w:rPr>
        <w:t> </w:t>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386" w:lineRule="auto" w:before="160"/>
        <w:ind w:left="152" w:right="15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公司负责人耿殿根、主管会计工作负责人张利军及会计机构负责人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张利军声明：保证年度报告中财务报告的真实、准确、完整。</w:t>
      </w:r>
      <w:r>
        <w:rPr>
          <w:rFonts w:ascii="宋体" w:hAnsi="宋体" w:cs="宋体" w:eastAsia="宋体" w:hint="default"/>
          <w:sz w:val="28"/>
          <w:szCs w:val="28"/>
        </w:rPr>
      </w:r>
    </w:p>
    <w:p>
      <w:pPr>
        <w:spacing w:line="475" w:lineRule="auto" w:before="148"/>
        <w:ind w:left="714" w:right="15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本年度报告涉及的未来计划、发展战略等前瞻性描述不构成公司对投资者</w:t>
      </w:r>
      <w:r>
        <w:rPr>
          <w:rFonts w:ascii="宋体" w:hAnsi="宋体" w:cs="宋体" w:eastAsia="宋体" w:hint="default"/>
          <w:spacing w:val="2"/>
          <w:sz w:val="28"/>
          <w:szCs w:val="28"/>
        </w:rPr>
      </w:r>
    </w:p>
    <w:p>
      <w:pPr>
        <w:spacing w:line="350" w:lineRule="exact" w:before="0"/>
        <w:ind w:left="152" w:right="0" w:firstLine="0"/>
        <w:jc w:val="both"/>
        <w:rPr>
          <w:rFonts w:ascii="宋体" w:hAnsi="宋体" w:cs="宋体" w:eastAsia="宋体" w:hint="default"/>
          <w:sz w:val="28"/>
          <w:szCs w:val="28"/>
        </w:rPr>
      </w:pPr>
      <w:r>
        <w:rPr>
          <w:rFonts w:ascii="宋体" w:hAnsi="宋体" w:cs="宋体" w:eastAsia="宋体" w:hint="default"/>
          <w:b/>
          <w:bCs/>
          <w:sz w:val="28"/>
          <w:szCs w:val="28"/>
        </w:rPr>
        <w:t>的实质承诺，敬请投资者注意投资风险。</w:t>
      </w:r>
      <w:r>
        <w:rPr>
          <w:rFonts w:ascii="宋体" w:hAnsi="宋体" w:cs="宋体" w:eastAsia="宋体" w:hint="default"/>
          <w:sz w:val="28"/>
          <w:szCs w:val="28"/>
        </w:rPr>
      </w:r>
    </w:p>
    <w:p>
      <w:pPr>
        <w:spacing w:line="240" w:lineRule="auto" w:before="3"/>
        <w:rPr>
          <w:rFonts w:ascii="宋体" w:hAnsi="宋体" w:cs="宋体" w:eastAsia="宋体" w:hint="default"/>
          <w:b/>
          <w:bCs/>
          <w:sz w:val="27"/>
          <w:szCs w:val="27"/>
        </w:rPr>
      </w:pPr>
    </w:p>
    <w:p>
      <w:pPr>
        <w:spacing w:line="448" w:lineRule="auto" w:before="0"/>
        <w:ind w:left="714"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1</w:t>
      </w:r>
      <w:r>
        <w:rPr>
          <w:rFonts w:ascii="宋体" w:hAnsi="宋体" w:cs="宋体" w:eastAsia="宋体" w:hint="default"/>
          <w:b/>
          <w:bCs/>
          <w:sz w:val="28"/>
          <w:szCs w:val="28"/>
        </w:rPr>
        <w:t>、市场竞争加剧的风险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伴随着互联网不断深入人们的生活，人们对于网络的依赖也超出了想象，</w:t>
      </w:r>
      <w:r>
        <w:rPr>
          <w:rFonts w:ascii="宋体" w:hAnsi="宋体" w:cs="宋体" w:eastAsia="宋体" w:hint="default"/>
          <w:spacing w:val="2"/>
          <w:sz w:val="28"/>
          <w:szCs w:val="28"/>
        </w:rPr>
      </w:r>
    </w:p>
    <w:p>
      <w:pPr>
        <w:spacing w:line="398" w:lineRule="auto" w:before="14"/>
        <w:ind w:left="152" w:right="152" w:firstLine="0"/>
        <w:jc w:val="both"/>
        <w:rPr>
          <w:rFonts w:ascii="宋体" w:hAnsi="宋体" w:cs="宋体" w:eastAsia="宋体" w:hint="default"/>
          <w:sz w:val="28"/>
          <w:szCs w:val="28"/>
        </w:rPr>
      </w:pPr>
      <w:r>
        <w:rPr>
          <w:rFonts w:ascii="宋体" w:hAnsi="宋体" w:cs="宋体" w:eastAsia="宋体" w:hint="default"/>
          <w:b/>
          <w:bCs/>
          <w:sz w:val="28"/>
          <w:szCs w:val="28"/>
        </w:rPr>
        <w:t>越来越多的企业进入宽带接入和</w:t>
      </w:r>
      <w:r>
        <w:rPr>
          <w:rFonts w:ascii="宋体" w:hAnsi="宋体" w:cs="宋体" w:eastAsia="宋体" w:hint="default"/>
          <w:b/>
          <w:bCs/>
          <w:spacing w:val="-77"/>
          <w:sz w:val="28"/>
          <w:szCs w:val="28"/>
        </w:rPr>
        <w:t> </w:t>
      </w:r>
      <w:r>
        <w:rPr>
          <w:rFonts w:ascii="Times New Roman" w:hAnsi="Times New Roman" w:cs="Times New Roman" w:eastAsia="Times New Roman" w:hint="default"/>
          <w:b/>
          <w:bCs/>
          <w:sz w:val="28"/>
          <w:szCs w:val="28"/>
        </w:rPr>
        <w:t>IDC</w:t>
      </w:r>
      <w:r>
        <w:rPr>
          <w:rFonts w:ascii="Times New Roman" w:hAnsi="Times New Roman" w:cs="Times New Roman" w:eastAsia="Times New Roman" w:hint="default"/>
          <w:b/>
          <w:bCs/>
          <w:spacing w:val="-8"/>
          <w:sz w:val="28"/>
          <w:szCs w:val="28"/>
        </w:rPr>
        <w:t> </w:t>
      </w:r>
      <w:r>
        <w:rPr>
          <w:rFonts w:ascii="宋体" w:hAnsi="宋体" w:cs="宋体" w:eastAsia="宋体" w:hint="default"/>
          <w:b/>
          <w:bCs/>
          <w:sz w:val="28"/>
          <w:szCs w:val="28"/>
        </w:rPr>
        <w:t>市场，并开始涉足云计算产业，使得市场</w:t>
      </w:r>
      <w:r>
        <w:rPr>
          <w:rFonts w:ascii="宋体" w:hAnsi="宋体" w:cs="宋体" w:eastAsia="宋体" w:hint="default"/>
          <w:b/>
          <w:bCs/>
          <w:w w:val="99"/>
          <w:sz w:val="28"/>
          <w:szCs w:val="28"/>
        </w:rPr>
        <w:t> </w:t>
      </w:r>
      <w:r>
        <w:rPr>
          <w:rFonts w:ascii="宋体" w:hAnsi="宋体" w:cs="宋体" w:eastAsia="宋体" w:hint="default"/>
          <w:b/>
          <w:bCs/>
          <w:spacing w:val="2"/>
          <w:sz w:val="28"/>
          <w:szCs w:val="28"/>
        </w:rPr>
        <w:t>竞争日益加剧。在这种市场环境下，公司可能面临市场份额减少的风险，同时</w:t>
      </w:r>
      <w:r>
        <w:rPr>
          <w:rFonts w:ascii="宋体" w:hAnsi="宋体" w:cs="宋体" w:eastAsia="宋体" w:hint="default"/>
          <w:b/>
          <w:bCs/>
          <w:w w:val="99"/>
          <w:sz w:val="28"/>
          <w:szCs w:val="28"/>
        </w:rPr>
        <w:t> </w:t>
      </w:r>
      <w:r>
        <w:rPr>
          <w:rFonts w:ascii="宋体" w:hAnsi="宋体" w:cs="宋体" w:eastAsia="宋体" w:hint="default"/>
          <w:b/>
          <w:bCs/>
          <w:sz w:val="28"/>
          <w:szCs w:val="28"/>
        </w:rPr>
        <w:t>竞争加剧还可能导致公司的利润率下降。</w:t>
      </w:r>
      <w:r>
        <w:rPr>
          <w:rFonts w:ascii="宋体" w:hAnsi="宋体" w:cs="宋体" w:eastAsia="宋体" w:hint="default"/>
          <w:sz w:val="28"/>
          <w:szCs w:val="28"/>
        </w:rPr>
      </w:r>
    </w:p>
    <w:p>
      <w:pPr>
        <w:spacing w:line="408" w:lineRule="auto" w:before="174"/>
        <w:ind w:left="152" w:right="151" w:firstLine="562"/>
        <w:jc w:val="both"/>
        <w:rPr>
          <w:rFonts w:ascii="宋体" w:hAnsi="宋体" w:cs="宋体" w:eastAsia="宋体" w:hint="default"/>
          <w:sz w:val="28"/>
          <w:szCs w:val="28"/>
        </w:rPr>
      </w:pPr>
      <w:r>
        <w:rPr>
          <w:rFonts w:ascii="宋体" w:hAnsi="宋体" w:cs="宋体" w:eastAsia="宋体" w:hint="default"/>
          <w:b/>
          <w:bCs/>
          <w:spacing w:val="2"/>
          <w:sz w:val="28"/>
          <w:szCs w:val="28"/>
        </w:rPr>
        <w:t>报告期内，公司积极推进各在建项目的建设进度，互联网数据服务一体化</w:t>
      </w:r>
      <w:r>
        <w:rPr>
          <w:rFonts w:ascii="宋体" w:hAnsi="宋体" w:cs="宋体" w:eastAsia="宋体" w:hint="default"/>
          <w:b/>
          <w:bCs/>
          <w:w w:val="99"/>
          <w:sz w:val="28"/>
          <w:szCs w:val="28"/>
        </w:rPr>
        <w:t> </w:t>
      </w:r>
      <w:r>
        <w:rPr>
          <w:rFonts w:ascii="宋体" w:hAnsi="宋体" w:cs="宋体" w:eastAsia="宋体" w:hint="default"/>
          <w:b/>
          <w:bCs/>
          <w:sz w:val="28"/>
          <w:szCs w:val="28"/>
        </w:rPr>
        <w:t>平台二期工程未尽项目已全部完工，可为公司增加近 </w:t>
      </w:r>
      <w:r>
        <w:rPr>
          <w:rFonts w:ascii="Times New Roman" w:hAnsi="Times New Roman" w:cs="Times New Roman" w:eastAsia="Times New Roman" w:hint="default"/>
          <w:b/>
          <w:bCs/>
          <w:sz w:val="28"/>
          <w:szCs w:val="28"/>
        </w:rPr>
        <w:t>900</w:t>
      </w:r>
      <w:r>
        <w:rPr>
          <w:rFonts w:ascii="Times New Roman" w:hAnsi="Times New Roman" w:cs="Times New Roman" w:eastAsia="Times New Roman" w:hint="default"/>
          <w:b/>
          <w:bCs/>
          <w:spacing w:val="7"/>
          <w:sz w:val="28"/>
          <w:szCs w:val="28"/>
        </w:rPr>
        <w:t> </w:t>
      </w:r>
      <w:r>
        <w:rPr>
          <w:rFonts w:ascii="宋体" w:hAnsi="宋体" w:cs="宋体" w:eastAsia="宋体" w:hint="default"/>
          <w:b/>
          <w:bCs/>
          <w:sz w:val="28"/>
          <w:szCs w:val="28"/>
        </w:rPr>
        <w:t>个机柜的服务能力；</w:t>
      </w:r>
      <w:r>
        <w:rPr>
          <w:rFonts w:ascii="宋体" w:hAnsi="宋体" w:cs="宋体" w:eastAsia="宋体" w:hint="default"/>
          <w:sz w:val="28"/>
          <w:szCs w:val="28"/>
        </w:rPr>
      </w:r>
    </w:p>
    <w:p>
      <w:pPr>
        <w:spacing w:line="393" w:lineRule="auto" w:before="19"/>
        <w:ind w:left="152" w:right="151" w:firstLine="0"/>
        <w:jc w:val="both"/>
        <w:rPr>
          <w:rFonts w:ascii="宋体" w:hAnsi="宋体" w:cs="宋体" w:eastAsia="宋体" w:hint="default"/>
          <w:sz w:val="28"/>
          <w:szCs w:val="28"/>
        </w:rPr>
      </w:pPr>
      <w:r>
        <w:rPr>
          <w:rFonts w:ascii="宋体" w:hAnsi="宋体" w:cs="宋体" w:eastAsia="宋体" w:hint="default"/>
          <w:b/>
          <w:bCs/>
          <w:spacing w:val="-3"/>
          <w:sz w:val="28"/>
          <w:szCs w:val="28"/>
        </w:rPr>
        <w:t>上海绿色云计算基地项目目前已进入建设阶段，预计</w:t>
      </w:r>
      <w:r>
        <w:rPr>
          <w:rFonts w:ascii="宋体" w:hAnsi="宋体" w:cs="宋体" w:eastAsia="宋体" w:hint="default"/>
          <w:b/>
          <w:bCs/>
          <w:spacing w:val="-66"/>
          <w:sz w:val="28"/>
          <w:szCs w:val="28"/>
        </w:rPr>
        <w:t> </w:t>
      </w:r>
      <w:r>
        <w:rPr>
          <w:rFonts w:ascii="Times New Roman" w:hAnsi="Times New Roman" w:cs="Times New Roman" w:eastAsia="Times New Roman" w:hint="default"/>
          <w:b/>
          <w:bCs/>
          <w:sz w:val="28"/>
          <w:szCs w:val="28"/>
        </w:rPr>
        <w:t>2016</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年内将有部分机柜可</w:t>
      </w:r>
      <w:r>
        <w:rPr>
          <w:rFonts w:ascii="宋体" w:hAnsi="宋体" w:cs="宋体" w:eastAsia="宋体" w:hint="default"/>
          <w:b/>
          <w:bCs/>
          <w:w w:val="99"/>
          <w:sz w:val="28"/>
          <w:szCs w:val="28"/>
        </w:rPr>
        <w:t> </w:t>
      </w:r>
      <w:r>
        <w:rPr>
          <w:rFonts w:ascii="宋体" w:hAnsi="宋体" w:cs="宋体" w:eastAsia="宋体" w:hint="default"/>
          <w:b/>
          <w:bCs/>
          <w:sz w:val="28"/>
          <w:szCs w:val="28"/>
        </w:rPr>
        <w:t>投入使用。</w:t>
      </w:r>
      <w:r>
        <w:rPr>
          <w:rFonts w:ascii="Times New Roman" w:hAnsi="Times New Roman" w:cs="Times New Roman" w:eastAsia="Times New Roman" w:hint="default"/>
          <w:b/>
          <w:bCs/>
          <w:sz w:val="28"/>
          <w:szCs w:val="28"/>
        </w:rPr>
        <w:t>2015 </w:t>
      </w:r>
      <w:r>
        <w:rPr>
          <w:rFonts w:ascii="宋体" w:hAnsi="宋体" w:cs="宋体" w:eastAsia="宋体" w:hint="default"/>
          <w:b/>
          <w:bCs/>
          <w:sz w:val="28"/>
          <w:szCs w:val="28"/>
        </w:rPr>
        <w:t>年度，公司完成了对北京德信致远科技有限公司</w:t>
      </w:r>
      <w:r>
        <w:rPr>
          <w:rFonts w:ascii="宋体" w:hAnsi="宋体" w:cs="宋体" w:eastAsia="宋体" w:hint="default"/>
          <w:b/>
          <w:bCs/>
          <w:spacing w:val="-64"/>
          <w:sz w:val="28"/>
          <w:szCs w:val="28"/>
        </w:rPr>
        <w:t> </w:t>
      </w:r>
      <w:r>
        <w:rPr>
          <w:rFonts w:ascii="Times New Roman" w:hAnsi="Times New Roman" w:cs="Times New Roman" w:eastAsia="Times New Roman" w:hint="default"/>
          <w:b/>
          <w:bCs/>
          <w:sz w:val="28"/>
          <w:szCs w:val="28"/>
        </w:rPr>
        <w:t>100%</w:t>
      </w:r>
      <w:r>
        <w:rPr>
          <w:rFonts w:ascii="宋体" w:hAnsi="宋体" w:cs="宋体" w:eastAsia="宋体" w:hint="default"/>
          <w:b/>
          <w:bCs/>
          <w:sz w:val="28"/>
          <w:szCs w:val="28"/>
        </w:rPr>
        <w:t>股权的</w:t>
      </w:r>
      <w:r>
        <w:rPr>
          <w:rFonts w:ascii="宋体" w:hAnsi="宋体" w:cs="宋体" w:eastAsia="宋体" w:hint="default"/>
          <w:b/>
          <w:bCs/>
          <w:w w:val="99"/>
          <w:sz w:val="28"/>
          <w:szCs w:val="28"/>
        </w:rPr>
        <w:t> </w:t>
      </w:r>
      <w:r>
        <w:rPr>
          <w:rFonts w:ascii="宋体" w:hAnsi="宋体" w:cs="宋体" w:eastAsia="宋体" w:hint="default"/>
          <w:b/>
          <w:bCs/>
          <w:spacing w:val="2"/>
          <w:sz w:val="28"/>
          <w:szCs w:val="28"/>
        </w:rPr>
        <w:t>收购，收购完成后北京德信致远科技有限公司成为公司全资子公司负责实施房</w:t>
      </w:r>
      <w:r>
        <w:rPr>
          <w:rFonts w:ascii="宋体" w:hAnsi="宋体" w:cs="宋体" w:eastAsia="宋体" w:hint="default"/>
          <w:b/>
          <w:bCs/>
          <w:w w:val="99"/>
          <w:sz w:val="28"/>
          <w:szCs w:val="28"/>
        </w:rPr>
        <w:t> </w:t>
      </w:r>
      <w:r>
        <w:rPr>
          <w:rFonts w:ascii="宋体" w:hAnsi="宋体" w:cs="宋体" w:eastAsia="宋体" w:hint="default"/>
          <w:b/>
          <w:bCs/>
          <w:sz w:val="28"/>
          <w:szCs w:val="28"/>
        </w:rPr>
        <w:t>山绿色云计算基地项目，该项目竣工后将可提供</w:t>
      </w:r>
      <w:r>
        <w:rPr>
          <w:rFonts w:ascii="宋体" w:hAnsi="宋体" w:cs="宋体" w:eastAsia="宋体" w:hint="default"/>
          <w:b/>
          <w:bCs/>
          <w:spacing w:val="-84"/>
          <w:sz w:val="28"/>
          <w:szCs w:val="28"/>
        </w:rPr>
        <w:t> </w:t>
      </w:r>
      <w:r>
        <w:rPr>
          <w:rFonts w:ascii="Times New Roman" w:hAnsi="Times New Roman" w:cs="Times New Roman" w:eastAsia="Times New Roman" w:hint="default"/>
          <w:b/>
          <w:bCs/>
          <w:sz w:val="28"/>
          <w:szCs w:val="28"/>
        </w:rPr>
        <w:t>6000</w:t>
      </w:r>
      <w:r>
        <w:rPr>
          <w:rFonts w:ascii="Times New Roman" w:hAnsi="Times New Roman" w:cs="Times New Roman" w:eastAsia="Times New Roman" w:hint="default"/>
          <w:b/>
          <w:bCs/>
          <w:spacing w:val="-15"/>
          <w:sz w:val="28"/>
          <w:szCs w:val="28"/>
        </w:rPr>
        <w:t> </w:t>
      </w:r>
      <w:r>
        <w:rPr>
          <w:rFonts w:ascii="宋体" w:hAnsi="宋体" w:cs="宋体" w:eastAsia="宋体" w:hint="default"/>
          <w:b/>
          <w:bCs/>
          <w:spacing w:val="-3"/>
          <w:sz w:val="28"/>
          <w:szCs w:val="28"/>
        </w:rPr>
        <w:t>个机柜的服务能力；公司</w:t>
      </w:r>
      <w:r>
        <w:rPr>
          <w:rFonts w:ascii="宋体" w:hAnsi="宋体" w:cs="宋体" w:eastAsia="宋体" w:hint="default"/>
          <w:spacing w:val="-3"/>
          <w:sz w:val="28"/>
          <w:szCs w:val="28"/>
        </w:rPr>
      </w:r>
    </w:p>
    <w:p>
      <w:pPr>
        <w:spacing w:after="0" w:line="393" w:lineRule="auto"/>
        <w:jc w:val="both"/>
        <w:rPr>
          <w:rFonts w:ascii="宋体" w:hAnsi="宋体" w:cs="宋体" w:eastAsia="宋体" w:hint="default"/>
          <w:sz w:val="28"/>
          <w:szCs w:val="28"/>
        </w:rPr>
        <w:sectPr>
          <w:footerReference w:type="default" r:id="rId8"/>
          <w:pgSz w:w="11910" w:h="16840"/>
          <w:pgMar w:footer="979" w:header="745" w:top="1060" w:bottom="1160" w:left="980" w:right="98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29"/>
          <w:szCs w:val="29"/>
        </w:rPr>
      </w:pPr>
    </w:p>
    <w:p>
      <w:pPr>
        <w:spacing w:line="398" w:lineRule="auto" w:before="14"/>
        <w:ind w:left="152" w:right="98" w:firstLine="0"/>
        <w:jc w:val="left"/>
        <w:rPr>
          <w:rFonts w:ascii="宋体" w:hAnsi="宋体" w:cs="宋体" w:eastAsia="宋体" w:hint="default"/>
          <w:sz w:val="28"/>
          <w:szCs w:val="28"/>
        </w:rPr>
      </w:pPr>
      <w:r>
        <w:rPr>
          <w:rFonts w:ascii="宋体" w:hAnsi="宋体" w:cs="宋体" w:eastAsia="宋体" w:hint="default"/>
          <w:b/>
          <w:bCs/>
          <w:sz w:val="28"/>
          <w:szCs w:val="28"/>
        </w:rPr>
        <w:t>与控股股东共同投资北京科信盛彩置业有限公司</w:t>
      </w:r>
      <w:r>
        <w:rPr>
          <w:rFonts w:ascii="宋体" w:hAnsi="宋体" w:cs="宋体" w:eastAsia="宋体" w:hint="default"/>
          <w:b/>
          <w:bCs/>
          <w:spacing w:val="-58"/>
          <w:sz w:val="28"/>
          <w:szCs w:val="28"/>
        </w:rPr>
        <w:t> </w:t>
      </w:r>
      <w:r>
        <w:rPr>
          <w:rFonts w:ascii="Times New Roman" w:hAnsi="Times New Roman" w:cs="Times New Roman" w:eastAsia="Times New Roman" w:hint="default"/>
          <w:b/>
          <w:bCs/>
          <w:sz w:val="28"/>
          <w:szCs w:val="28"/>
        </w:rPr>
        <w:t>51%</w:t>
      </w:r>
      <w:r>
        <w:rPr>
          <w:rFonts w:ascii="宋体" w:hAnsi="宋体" w:cs="宋体" w:eastAsia="宋体" w:hint="default"/>
          <w:b/>
          <w:bCs/>
          <w:sz w:val="28"/>
          <w:szCs w:val="28"/>
        </w:rPr>
        <w:t>的股权，北京科信盛彩置</w:t>
      </w:r>
      <w:r>
        <w:rPr>
          <w:rFonts w:ascii="宋体" w:hAnsi="宋体" w:cs="宋体" w:eastAsia="宋体" w:hint="default"/>
          <w:b/>
          <w:bCs/>
          <w:w w:val="99"/>
          <w:sz w:val="28"/>
          <w:szCs w:val="28"/>
        </w:rPr>
        <w:t> </w:t>
      </w:r>
      <w:r>
        <w:rPr>
          <w:rFonts w:ascii="宋体" w:hAnsi="宋体" w:cs="宋体" w:eastAsia="宋体" w:hint="default"/>
          <w:b/>
          <w:bCs/>
          <w:sz w:val="28"/>
          <w:szCs w:val="28"/>
        </w:rPr>
        <w:t>业有限公司负责实施建设的亦庄绿色云计算基地项目建设完成后将可提供</w:t>
      </w:r>
      <w:r>
        <w:rPr>
          <w:rFonts w:ascii="宋体" w:hAnsi="宋体" w:cs="宋体" w:eastAsia="宋体" w:hint="default"/>
          <w:b/>
          <w:bCs/>
          <w:spacing w:val="-57"/>
          <w:sz w:val="28"/>
          <w:szCs w:val="28"/>
        </w:rPr>
        <w:t> </w:t>
      </w:r>
      <w:r>
        <w:rPr>
          <w:rFonts w:ascii="Times New Roman" w:hAnsi="Times New Roman" w:cs="Times New Roman" w:eastAsia="Times New Roman" w:hint="default"/>
          <w:b/>
          <w:bCs/>
          <w:sz w:val="28"/>
          <w:szCs w:val="28"/>
        </w:rPr>
        <w:t>6000</w:t>
      </w:r>
      <w:r>
        <w:rPr>
          <w:rFonts w:ascii="Times New Roman" w:hAnsi="Times New Roman" w:cs="Times New Roman" w:eastAsia="Times New Roman" w:hint="default"/>
          <w:b/>
          <w:bCs/>
          <w:w w:val="100"/>
          <w:sz w:val="28"/>
          <w:szCs w:val="28"/>
        </w:rPr>
        <w:t> </w:t>
      </w:r>
      <w:r>
        <w:rPr>
          <w:rFonts w:ascii="宋体" w:hAnsi="宋体" w:cs="宋体" w:eastAsia="宋体" w:hint="default"/>
          <w:b/>
          <w:bCs/>
          <w:spacing w:val="2"/>
          <w:sz w:val="28"/>
          <w:szCs w:val="28"/>
        </w:rPr>
        <w:t>机柜的服务能力；报告期内，公司还积极筹划并推进了收购北京中金云网科技</w:t>
      </w:r>
      <w:r>
        <w:rPr>
          <w:rFonts w:ascii="宋体" w:hAnsi="宋体" w:cs="宋体" w:eastAsia="宋体" w:hint="default"/>
          <w:b/>
          <w:bCs/>
          <w:w w:val="99"/>
          <w:sz w:val="28"/>
          <w:szCs w:val="28"/>
        </w:rPr>
        <w:t> </w:t>
      </w:r>
      <w:r>
        <w:rPr>
          <w:rFonts w:ascii="宋体" w:hAnsi="宋体" w:cs="宋体" w:eastAsia="宋体" w:hint="default"/>
          <w:b/>
          <w:bCs/>
          <w:sz w:val="28"/>
          <w:szCs w:val="28"/>
        </w:rPr>
        <w:t>有限公司 </w:t>
      </w:r>
      <w:r>
        <w:rPr>
          <w:rFonts w:ascii="Times New Roman" w:hAnsi="Times New Roman" w:cs="Times New Roman" w:eastAsia="Times New Roman" w:hint="default"/>
          <w:b/>
          <w:bCs/>
          <w:sz w:val="28"/>
          <w:szCs w:val="28"/>
        </w:rPr>
        <w:t>100%</w:t>
      </w:r>
      <w:r>
        <w:rPr>
          <w:rFonts w:ascii="宋体" w:hAnsi="宋体" w:cs="宋体" w:eastAsia="宋体" w:hint="default"/>
          <w:b/>
          <w:bCs/>
          <w:sz w:val="28"/>
          <w:szCs w:val="28"/>
        </w:rPr>
        <w:t>股权与北京无双科技有限公司</w:t>
      </w:r>
      <w:r>
        <w:rPr>
          <w:rFonts w:ascii="宋体" w:hAnsi="宋体" w:cs="宋体" w:eastAsia="宋体" w:hint="default"/>
          <w:b/>
          <w:bCs/>
          <w:spacing w:val="-58"/>
          <w:sz w:val="28"/>
          <w:szCs w:val="28"/>
        </w:rPr>
        <w:t> </w:t>
      </w:r>
      <w:r>
        <w:rPr>
          <w:rFonts w:ascii="Times New Roman" w:hAnsi="Times New Roman" w:cs="Times New Roman" w:eastAsia="Times New Roman" w:hint="default"/>
          <w:b/>
          <w:bCs/>
          <w:sz w:val="28"/>
          <w:szCs w:val="28"/>
        </w:rPr>
        <w:t>100%</w:t>
      </w:r>
      <w:r>
        <w:rPr>
          <w:rFonts w:ascii="宋体" w:hAnsi="宋体" w:cs="宋体" w:eastAsia="宋体" w:hint="default"/>
          <w:b/>
          <w:bCs/>
          <w:sz w:val="28"/>
          <w:szCs w:val="28"/>
        </w:rPr>
        <w:t>股权的重大资产重组事项，</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本次交易完成后，将对公司未来三年业绩增长产生积极影响。通过投资并购，</w:t>
      </w:r>
      <w:r>
        <w:rPr>
          <w:rFonts w:ascii="宋体" w:hAnsi="宋体" w:cs="宋体" w:eastAsia="宋体" w:hint="default"/>
          <w:b/>
          <w:bCs/>
          <w:w w:val="99"/>
          <w:sz w:val="28"/>
          <w:szCs w:val="28"/>
        </w:rPr>
        <w:t> </w:t>
      </w:r>
      <w:r>
        <w:rPr>
          <w:rFonts w:ascii="宋体" w:hAnsi="宋体" w:cs="宋体" w:eastAsia="宋体" w:hint="default"/>
          <w:b/>
          <w:bCs/>
          <w:spacing w:val="2"/>
          <w:sz w:val="28"/>
          <w:szCs w:val="28"/>
        </w:rPr>
        <w:t>扩大了公司原有业务规模，完善了云计算、大数据及金融服务等战略布局，公</w:t>
      </w:r>
      <w:r>
        <w:rPr>
          <w:rFonts w:ascii="宋体" w:hAnsi="宋体" w:cs="宋体" w:eastAsia="宋体" w:hint="default"/>
          <w:b/>
          <w:bCs/>
          <w:spacing w:val="-139"/>
          <w:sz w:val="28"/>
          <w:szCs w:val="28"/>
        </w:rPr>
        <w:t> </w:t>
      </w:r>
      <w:r>
        <w:rPr>
          <w:rFonts w:ascii="宋体" w:hAnsi="宋体" w:cs="宋体" w:eastAsia="宋体" w:hint="default"/>
          <w:b/>
          <w:bCs/>
          <w:spacing w:val="-139"/>
          <w:sz w:val="28"/>
          <w:szCs w:val="28"/>
        </w:rPr>
      </w:r>
      <w:r>
        <w:rPr>
          <w:rFonts w:ascii="宋体" w:hAnsi="宋体" w:cs="宋体" w:eastAsia="宋体" w:hint="default"/>
          <w:b/>
          <w:bCs/>
          <w:spacing w:val="2"/>
          <w:sz w:val="28"/>
          <w:szCs w:val="28"/>
        </w:rPr>
        <w:t>司各个在建云计算基地项目投入使用后，将大大增加公司的市场占有率，从而</w:t>
      </w:r>
      <w:r>
        <w:rPr>
          <w:rFonts w:ascii="宋体" w:hAnsi="宋体" w:cs="宋体" w:eastAsia="宋体" w:hint="default"/>
          <w:b/>
          <w:bCs/>
          <w:w w:val="99"/>
          <w:sz w:val="28"/>
          <w:szCs w:val="28"/>
        </w:rPr>
        <w:t> </w:t>
      </w:r>
      <w:r>
        <w:rPr>
          <w:rFonts w:ascii="宋体" w:hAnsi="宋体" w:cs="宋体" w:eastAsia="宋体" w:hint="default"/>
          <w:b/>
          <w:bCs/>
          <w:sz w:val="28"/>
          <w:szCs w:val="28"/>
        </w:rPr>
        <w:t>进一步提高综合竞争能力。</w:t>
      </w:r>
      <w:r>
        <w:rPr>
          <w:rFonts w:ascii="宋体" w:hAnsi="宋体" w:cs="宋体" w:eastAsia="宋体" w:hint="default"/>
          <w:sz w:val="28"/>
          <w:szCs w:val="28"/>
        </w:rPr>
      </w:r>
    </w:p>
    <w:p>
      <w:pPr>
        <w:spacing w:line="446" w:lineRule="auto" w:before="173"/>
        <w:ind w:left="714" w:right="317"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2</w:t>
      </w:r>
      <w:r>
        <w:rPr>
          <w:rFonts w:ascii="宋体" w:hAnsi="宋体" w:cs="宋体" w:eastAsia="宋体" w:hint="default"/>
          <w:b/>
          <w:bCs/>
          <w:sz w:val="28"/>
          <w:szCs w:val="28"/>
        </w:rPr>
        <w:t>、技术创新带来的风险</w:t>
      </w:r>
      <w:r>
        <w:rPr>
          <w:rFonts w:ascii="宋体" w:hAnsi="宋体" w:cs="宋体" w:eastAsia="宋体" w:hint="default"/>
          <w:b/>
          <w:bCs/>
          <w:w w:val="99"/>
          <w:sz w:val="28"/>
          <w:szCs w:val="28"/>
        </w:rPr>
        <w:t> </w:t>
      </w:r>
      <w:r>
        <w:rPr>
          <w:rFonts w:ascii="宋体" w:hAnsi="宋体" w:cs="宋体" w:eastAsia="宋体" w:hint="default"/>
          <w:b/>
          <w:bCs/>
          <w:sz w:val="28"/>
          <w:szCs w:val="28"/>
        </w:rPr>
        <w:t>互联网及其相关行业的高速发展，对公司紧跟行业发展趋势，不断提高技</w:t>
      </w:r>
      <w:r>
        <w:rPr>
          <w:rFonts w:ascii="宋体" w:hAnsi="宋体" w:cs="宋体" w:eastAsia="宋体" w:hint="default"/>
          <w:sz w:val="28"/>
          <w:szCs w:val="28"/>
        </w:rPr>
      </w:r>
    </w:p>
    <w:p>
      <w:pPr>
        <w:spacing w:line="408" w:lineRule="auto" w:before="17"/>
        <w:ind w:left="152" w:right="106" w:firstLine="0"/>
        <w:jc w:val="left"/>
        <w:rPr>
          <w:rFonts w:ascii="宋体" w:hAnsi="宋体" w:cs="宋体" w:eastAsia="宋体" w:hint="default"/>
          <w:sz w:val="28"/>
          <w:szCs w:val="28"/>
        </w:rPr>
      </w:pPr>
      <w:r>
        <w:rPr>
          <w:rFonts w:ascii="宋体" w:hAnsi="宋体" w:cs="宋体" w:eastAsia="宋体" w:hint="default"/>
          <w:b/>
          <w:bCs/>
          <w:spacing w:val="-2"/>
          <w:sz w:val="28"/>
          <w:szCs w:val="28"/>
        </w:rPr>
        <w:t>术创新能力提出了更高的要求，公司的核心技术研发不可避免地依赖专业人才，</w:t>
      </w:r>
      <w:r>
        <w:rPr>
          <w:rFonts w:ascii="宋体" w:hAnsi="宋体" w:cs="宋体" w:eastAsia="宋体" w:hint="default"/>
          <w:b/>
          <w:bCs/>
          <w:spacing w:val="-132"/>
          <w:sz w:val="28"/>
          <w:szCs w:val="28"/>
        </w:rPr>
        <w:t> </w:t>
      </w:r>
      <w:r>
        <w:rPr>
          <w:rFonts w:ascii="宋体" w:hAnsi="宋体" w:cs="宋体" w:eastAsia="宋体" w:hint="default"/>
          <w:b/>
          <w:bCs/>
          <w:spacing w:val="-132"/>
          <w:sz w:val="28"/>
          <w:szCs w:val="28"/>
        </w:rPr>
      </w:r>
      <w:r>
        <w:rPr>
          <w:rFonts w:ascii="宋体" w:hAnsi="宋体" w:cs="宋体" w:eastAsia="宋体" w:hint="default"/>
          <w:b/>
          <w:bCs/>
          <w:sz w:val="28"/>
          <w:szCs w:val="28"/>
        </w:rPr>
        <w:t>特别是核心技术人员，如果公司的核心技术人员流失，将导致以专有技术为主</w:t>
      </w:r>
      <w:r>
        <w:rPr>
          <w:rFonts w:ascii="宋体" w:hAnsi="宋体" w:cs="宋体" w:eastAsia="宋体" w:hint="default"/>
          <w:b/>
          <w:bCs/>
          <w:w w:val="99"/>
          <w:sz w:val="28"/>
          <w:szCs w:val="28"/>
        </w:rPr>
        <w:t> </w:t>
      </w:r>
      <w:r>
        <w:rPr>
          <w:rFonts w:ascii="宋体" w:hAnsi="宋体" w:cs="宋体" w:eastAsia="宋体" w:hint="default"/>
          <w:b/>
          <w:bCs/>
          <w:sz w:val="28"/>
          <w:szCs w:val="28"/>
        </w:rPr>
        <w:t>的核心技术流失或泄密，将可能会给公司的生产经营造成重大影响。</w:t>
      </w:r>
      <w:r>
        <w:rPr>
          <w:rFonts w:ascii="宋体" w:hAnsi="宋体" w:cs="宋体" w:eastAsia="宋体" w:hint="default"/>
          <w:sz w:val="28"/>
          <w:szCs w:val="28"/>
        </w:rPr>
      </w:r>
    </w:p>
    <w:p>
      <w:pPr>
        <w:spacing w:line="403" w:lineRule="auto" w:before="61"/>
        <w:ind w:left="152" w:right="332" w:firstLine="562"/>
        <w:jc w:val="both"/>
        <w:rPr>
          <w:rFonts w:ascii="宋体" w:hAnsi="宋体" w:cs="宋体" w:eastAsia="宋体" w:hint="default"/>
          <w:sz w:val="28"/>
          <w:szCs w:val="28"/>
        </w:rPr>
      </w:pPr>
      <w:r>
        <w:rPr>
          <w:rFonts w:ascii="宋体" w:hAnsi="宋体" w:cs="宋体" w:eastAsia="宋体" w:hint="default"/>
          <w:b/>
          <w:bCs/>
          <w:sz w:val="28"/>
          <w:szCs w:val="28"/>
        </w:rPr>
        <w:t>报告期内，为了防止技术更新风险及专项技术流失或泄密，公司持续加大</w:t>
      </w:r>
      <w:r>
        <w:rPr>
          <w:rFonts w:ascii="宋体" w:hAnsi="宋体" w:cs="宋体" w:eastAsia="宋体" w:hint="default"/>
          <w:b/>
          <w:bCs/>
          <w:w w:val="99"/>
          <w:sz w:val="28"/>
          <w:szCs w:val="28"/>
        </w:rPr>
        <w:t> </w:t>
      </w:r>
      <w:r>
        <w:rPr>
          <w:rFonts w:ascii="宋体" w:hAnsi="宋体" w:cs="宋体" w:eastAsia="宋体" w:hint="default"/>
          <w:b/>
          <w:bCs/>
          <w:sz w:val="28"/>
          <w:szCs w:val="28"/>
        </w:rPr>
        <w:t>研发投入，针对不断变化的市场需求，加强在业务响应和需求定制化方面的及</w:t>
      </w:r>
      <w:r>
        <w:rPr>
          <w:rFonts w:ascii="宋体" w:hAnsi="宋体" w:cs="宋体" w:eastAsia="宋体" w:hint="default"/>
          <w:b/>
          <w:bCs/>
          <w:w w:val="99"/>
          <w:sz w:val="28"/>
          <w:szCs w:val="28"/>
        </w:rPr>
        <w:t> </w:t>
      </w:r>
      <w:r>
        <w:rPr>
          <w:rFonts w:ascii="宋体" w:hAnsi="宋体" w:cs="宋体" w:eastAsia="宋体" w:hint="default"/>
          <w:b/>
          <w:bCs/>
          <w:sz w:val="28"/>
          <w:szCs w:val="28"/>
        </w:rPr>
        <w:t>时性和灵活性，增强公司在</w:t>
      </w:r>
      <w:r>
        <w:rPr>
          <w:rFonts w:ascii="Times New Roman" w:hAnsi="Times New Roman" w:cs="Times New Roman" w:eastAsia="Times New Roman" w:hint="default"/>
          <w:b/>
          <w:bCs/>
          <w:sz w:val="28"/>
          <w:szCs w:val="28"/>
        </w:rPr>
        <w:t>IDC</w:t>
      </w:r>
      <w:r>
        <w:rPr>
          <w:rFonts w:ascii="宋体" w:hAnsi="宋体" w:cs="宋体" w:eastAsia="宋体" w:hint="default"/>
          <w:b/>
          <w:bCs/>
          <w:sz w:val="28"/>
          <w:szCs w:val="28"/>
        </w:rPr>
        <w:t>领域的核心竞争力；通过提高核心技术人员的</w:t>
      </w:r>
      <w:r>
        <w:rPr>
          <w:rFonts w:ascii="宋体" w:hAnsi="宋体" w:cs="宋体" w:eastAsia="宋体" w:hint="default"/>
          <w:b/>
          <w:bCs/>
          <w:w w:val="99"/>
          <w:sz w:val="28"/>
          <w:szCs w:val="28"/>
        </w:rPr>
        <w:t> </w:t>
      </w:r>
      <w:r>
        <w:rPr>
          <w:rFonts w:ascii="宋体" w:hAnsi="宋体" w:cs="宋体" w:eastAsia="宋体" w:hint="default"/>
          <w:b/>
          <w:bCs/>
          <w:sz w:val="28"/>
          <w:szCs w:val="28"/>
        </w:rPr>
        <w:t>待遇，加大人才引进与培养、扩充所需人才，增强员工凝聚力。同时公司还将</w:t>
      </w:r>
      <w:r>
        <w:rPr>
          <w:rFonts w:ascii="宋体" w:hAnsi="宋体" w:cs="宋体" w:eastAsia="宋体" w:hint="default"/>
          <w:b/>
          <w:bCs/>
          <w:w w:val="99"/>
          <w:sz w:val="28"/>
          <w:szCs w:val="28"/>
        </w:rPr>
        <w:t> </w:t>
      </w:r>
      <w:r>
        <w:rPr>
          <w:rFonts w:ascii="宋体" w:hAnsi="宋体" w:cs="宋体" w:eastAsia="宋体" w:hint="default"/>
          <w:b/>
          <w:bCs/>
          <w:sz w:val="28"/>
          <w:szCs w:val="28"/>
        </w:rPr>
        <w:t>通过吸收合并专业的技术团队，进一步增强公司的核心技术能力，以此应对技</w:t>
      </w:r>
      <w:r>
        <w:rPr>
          <w:rFonts w:ascii="宋体" w:hAnsi="宋体" w:cs="宋体" w:eastAsia="宋体" w:hint="default"/>
          <w:b/>
          <w:bCs/>
          <w:w w:val="99"/>
          <w:sz w:val="28"/>
          <w:szCs w:val="28"/>
        </w:rPr>
        <w:t> </w:t>
      </w:r>
      <w:r>
        <w:rPr>
          <w:rFonts w:ascii="宋体" w:hAnsi="宋体" w:cs="宋体" w:eastAsia="宋体" w:hint="default"/>
          <w:b/>
          <w:bCs/>
          <w:sz w:val="28"/>
          <w:szCs w:val="28"/>
        </w:rPr>
        <w:t>术不断更新带来的风险。</w:t>
      </w:r>
      <w:r>
        <w:rPr>
          <w:rFonts w:ascii="宋体" w:hAnsi="宋体" w:cs="宋体" w:eastAsia="宋体" w:hint="default"/>
          <w:sz w:val="28"/>
          <w:szCs w:val="28"/>
        </w:rPr>
      </w:r>
    </w:p>
    <w:p>
      <w:pPr>
        <w:spacing w:line="448" w:lineRule="auto" w:before="168"/>
        <w:ind w:left="714" w:right="253"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3</w:t>
      </w:r>
      <w:r>
        <w:rPr>
          <w:rFonts w:ascii="宋体" w:hAnsi="宋体" w:cs="宋体" w:eastAsia="宋体" w:hint="default"/>
          <w:b/>
          <w:bCs/>
          <w:sz w:val="28"/>
          <w:szCs w:val="28"/>
        </w:rPr>
        <w:t>、并购重组整合的风险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报告期内，公司拟以发行股份及支付现金的方式购买北京中金云网科技有</w:t>
      </w:r>
      <w:r>
        <w:rPr>
          <w:rFonts w:ascii="宋体" w:hAnsi="宋体" w:cs="宋体" w:eastAsia="宋体" w:hint="default"/>
          <w:spacing w:val="2"/>
          <w:sz w:val="28"/>
          <w:szCs w:val="28"/>
        </w:rPr>
      </w:r>
    </w:p>
    <w:p>
      <w:pPr>
        <w:spacing w:after="0" w:line="448" w:lineRule="auto"/>
        <w:jc w:val="left"/>
        <w:rPr>
          <w:rFonts w:ascii="宋体" w:hAnsi="宋体" w:cs="宋体" w:eastAsia="宋体" w:hint="default"/>
          <w:sz w:val="28"/>
          <w:szCs w:val="28"/>
        </w:rPr>
        <w:sectPr>
          <w:pgSz w:w="11910" w:h="16840"/>
          <w:pgMar w:header="745" w:footer="979" w:top="1060" w:bottom="1160" w:left="980" w:right="88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3"/>
          <w:szCs w:val="13"/>
        </w:rPr>
      </w:pPr>
    </w:p>
    <w:p>
      <w:pPr>
        <w:spacing w:line="386" w:lineRule="auto" w:before="14"/>
        <w:ind w:left="152" w:right="390" w:firstLine="0"/>
        <w:jc w:val="both"/>
        <w:rPr>
          <w:rFonts w:ascii="Times New Roman" w:hAnsi="Times New Roman" w:cs="Times New Roman" w:eastAsia="Times New Roman" w:hint="default"/>
          <w:sz w:val="28"/>
          <w:szCs w:val="28"/>
        </w:rPr>
      </w:pPr>
      <w:r>
        <w:rPr>
          <w:rFonts w:ascii="宋体" w:hAnsi="宋体" w:cs="宋体" w:eastAsia="宋体" w:hint="default"/>
          <w:b/>
          <w:bCs/>
          <w:spacing w:val="2"/>
          <w:sz w:val="28"/>
          <w:szCs w:val="28"/>
        </w:rPr>
        <w:t>限公司</w:t>
      </w:r>
      <w:r>
        <w:rPr>
          <w:rFonts w:ascii="宋体" w:hAnsi="宋体" w:cs="宋体" w:eastAsia="宋体" w:hint="default"/>
          <w:b/>
          <w:bCs/>
          <w:spacing w:val="27"/>
          <w:sz w:val="28"/>
          <w:szCs w:val="28"/>
        </w:rPr>
        <w:t> </w:t>
      </w:r>
      <w:r>
        <w:rPr>
          <w:rFonts w:ascii="Times New Roman" w:hAnsi="Times New Roman" w:cs="Times New Roman" w:eastAsia="Times New Roman" w:hint="default"/>
          <w:b/>
          <w:bCs/>
          <w:sz w:val="28"/>
          <w:szCs w:val="28"/>
        </w:rPr>
        <w:t>100%</w:t>
      </w:r>
      <w:r>
        <w:rPr>
          <w:rFonts w:ascii="宋体" w:hAnsi="宋体" w:cs="宋体" w:eastAsia="宋体" w:hint="default"/>
          <w:b/>
          <w:bCs/>
          <w:sz w:val="28"/>
          <w:szCs w:val="28"/>
        </w:rPr>
        <w:t>股权和北京无双科技有限公司</w:t>
      </w:r>
      <w:r>
        <w:rPr>
          <w:rFonts w:ascii="宋体" w:hAnsi="宋体" w:cs="宋体" w:eastAsia="宋体" w:hint="default"/>
          <w:b/>
          <w:bCs/>
          <w:spacing w:val="30"/>
          <w:sz w:val="28"/>
          <w:szCs w:val="28"/>
        </w:rPr>
        <w:t> </w:t>
      </w:r>
      <w:r>
        <w:rPr>
          <w:rFonts w:ascii="Times New Roman" w:hAnsi="Times New Roman" w:cs="Times New Roman" w:eastAsia="Times New Roman" w:hint="default"/>
          <w:b/>
          <w:bCs/>
          <w:sz w:val="28"/>
          <w:szCs w:val="28"/>
        </w:rPr>
        <w:t>100%</w:t>
      </w:r>
      <w:r>
        <w:rPr>
          <w:rFonts w:ascii="宋体" w:hAnsi="宋体" w:cs="宋体" w:eastAsia="宋体" w:hint="default"/>
          <w:b/>
          <w:bCs/>
          <w:sz w:val="28"/>
          <w:szCs w:val="28"/>
        </w:rPr>
        <w:t>股权，购买资产交易作价为</w:t>
      </w:r>
      <w:r>
        <w:rPr>
          <w:rFonts w:ascii="宋体" w:hAnsi="宋体" w:cs="宋体" w:eastAsia="宋体" w:hint="default"/>
          <w:b/>
          <w:bCs/>
          <w:spacing w:val="-137"/>
          <w:sz w:val="28"/>
          <w:szCs w:val="28"/>
        </w:rPr>
        <w:t> </w:t>
      </w:r>
      <w:r>
        <w:rPr>
          <w:rFonts w:ascii="宋体" w:hAnsi="宋体" w:cs="宋体" w:eastAsia="宋体" w:hint="default"/>
          <w:b/>
          <w:bCs/>
          <w:spacing w:val="-137"/>
          <w:sz w:val="28"/>
          <w:szCs w:val="28"/>
        </w:rPr>
      </w:r>
      <w:r>
        <w:rPr>
          <w:rFonts w:ascii="Times New Roman" w:hAnsi="Times New Roman" w:cs="Times New Roman" w:eastAsia="Times New Roman" w:hint="default"/>
          <w:b/>
          <w:bCs/>
          <w:sz w:val="28"/>
          <w:szCs w:val="28"/>
        </w:rPr>
        <w:t>290,902.16  </w:t>
      </w:r>
      <w:r>
        <w:rPr>
          <w:rFonts w:ascii="宋体" w:hAnsi="宋体" w:cs="宋体" w:eastAsia="宋体" w:hint="default"/>
          <w:b/>
          <w:bCs/>
          <w:sz w:val="28"/>
          <w:szCs w:val="28"/>
        </w:rPr>
        <w:t>万元，募集配套资金总额不超过购买资产总额的 </w:t>
      </w:r>
      <w:r>
        <w:rPr>
          <w:rFonts w:ascii="Times New Roman" w:hAnsi="Times New Roman" w:cs="Times New Roman" w:eastAsia="Times New Roman" w:hint="default"/>
          <w:b/>
          <w:bCs/>
          <w:sz w:val="28"/>
          <w:szCs w:val="28"/>
        </w:rPr>
        <w:t>100%</w:t>
      </w:r>
      <w:r>
        <w:rPr>
          <w:rFonts w:ascii="宋体" w:hAnsi="宋体" w:cs="宋体" w:eastAsia="宋体" w:hint="default"/>
          <w:b/>
          <w:bCs/>
          <w:sz w:val="28"/>
          <w:szCs w:val="28"/>
        </w:rPr>
        <w:t>。</w:t>
      </w:r>
      <w:r>
        <w:rPr>
          <w:rFonts w:ascii="Times New Roman" w:hAnsi="Times New Roman" w:cs="Times New Roman" w:eastAsia="Times New Roman" w:hint="default"/>
          <w:b/>
          <w:bCs/>
          <w:sz w:val="28"/>
          <w:szCs w:val="28"/>
        </w:rPr>
        <w:t>2016  </w:t>
      </w:r>
      <w:r>
        <w:rPr>
          <w:rFonts w:ascii="宋体" w:hAnsi="宋体" w:cs="宋体" w:eastAsia="宋体" w:hint="default"/>
          <w:b/>
          <w:bCs/>
          <w:sz w:val="28"/>
          <w:szCs w:val="28"/>
        </w:rPr>
        <w:t>年</w:t>
      </w:r>
      <w:r>
        <w:rPr>
          <w:rFonts w:ascii="宋体" w:hAnsi="宋体" w:cs="宋体" w:eastAsia="宋体" w:hint="default"/>
          <w:b/>
          <w:bCs/>
          <w:spacing w:val="-61"/>
          <w:sz w:val="28"/>
          <w:szCs w:val="28"/>
        </w:rPr>
        <w:t> </w:t>
      </w:r>
      <w:r>
        <w:rPr>
          <w:rFonts w:ascii="Times New Roman" w:hAnsi="Times New Roman" w:cs="Times New Roman" w:eastAsia="Times New Roman" w:hint="default"/>
          <w:b/>
          <w:bCs/>
          <w:sz w:val="28"/>
          <w:szCs w:val="28"/>
        </w:rPr>
        <w:t>2</w:t>
      </w:r>
      <w:r>
        <w:rPr>
          <w:rFonts w:ascii="Times New Roman" w:hAnsi="Times New Roman" w:cs="Times New Roman" w:eastAsia="Times New Roman" w:hint="default"/>
          <w:sz w:val="28"/>
          <w:szCs w:val="28"/>
        </w:rPr>
      </w:r>
    </w:p>
    <w:p>
      <w:pPr>
        <w:spacing w:line="398" w:lineRule="auto" w:before="47"/>
        <w:ind w:left="152" w:right="393" w:firstLine="0"/>
        <w:jc w:val="both"/>
        <w:rPr>
          <w:rFonts w:ascii="宋体" w:hAnsi="宋体" w:cs="宋体" w:eastAsia="宋体" w:hint="default"/>
          <w:sz w:val="28"/>
          <w:szCs w:val="28"/>
        </w:rPr>
      </w:pPr>
      <w:r>
        <w:rPr>
          <w:rFonts w:ascii="宋体" w:hAnsi="宋体" w:cs="宋体" w:eastAsia="宋体" w:hint="default"/>
          <w:b/>
          <w:bCs/>
          <w:sz w:val="28"/>
          <w:szCs w:val="28"/>
        </w:rPr>
        <w:t>月 </w:t>
      </w:r>
      <w:r>
        <w:rPr>
          <w:rFonts w:ascii="Times New Roman" w:hAnsi="Times New Roman" w:cs="Times New Roman" w:eastAsia="Times New Roman" w:hint="default"/>
          <w:b/>
          <w:bCs/>
          <w:sz w:val="28"/>
          <w:szCs w:val="28"/>
        </w:rPr>
        <w:t>2</w:t>
      </w:r>
      <w:r>
        <w:rPr>
          <w:rFonts w:ascii="Times New Roman" w:hAnsi="Times New Roman" w:cs="Times New Roman" w:eastAsia="Times New Roman" w:hint="default"/>
          <w:b/>
          <w:bCs/>
          <w:spacing w:val="9"/>
          <w:sz w:val="28"/>
          <w:szCs w:val="28"/>
        </w:rPr>
        <w:t> </w:t>
      </w:r>
      <w:r>
        <w:rPr>
          <w:rFonts w:ascii="宋体" w:hAnsi="宋体" w:cs="宋体" w:eastAsia="宋体" w:hint="default"/>
          <w:b/>
          <w:bCs/>
          <w:sz w:val="28"/>
          <w:szCs w:val="28"/>
        </w:rPr>
        <w:t>日公司收到中国证监会出具的《关于核准北京光环新网科技股份有限公司</w:t>
      </w:r>
      <w:r>
        <w:rPr>
          <w:rFonts w:ascii="宋体" w:hAnsi="宋体" w:cs="宋体" w:eastAsia="宋体" w:hint="default"/>
          <w:b/>
          <w:bCs/>
          <w:w w:val="99"/>
          <w:sz w:val="28"/>
          <w:szCs w:val="28"/>
        </w:rPr>
        <w:t> </w:t>
      </w:r>
      <w:r>
        <w:rPr>
          <w:rFonts w:ascii="宋体" w:hAnsi="宋体" w:cs="宋体" w:eastAsia="宋体" w:hint="default"/>
          <w:b/>
          <w:bCs/>
          <w:spacing w:val="-6"/>
          <w:w w:val="99"/>
          <w:sz w:val="28"/>
          <w:szCs w:val="28"/>
        </w:rPr>
        <w:t>向中金盛世投资有限公司等发行股份购买资产并募集配套资金的批复》，具体内</w:t>
      </w:r>
      <w:r>
        <w:rPr>
          <w:rFonts w:ascii="宋体" w:hAnsi="宋体" w:cs="宋体" w:eastAsia="宋体" w:hint="default"/>
          <w:b/>
          <w:bCs/>
          <w:spacing w:val="-124"/>
          <w:w w:val="99"/>
          <w:sz w:val="28"/>
          <w:szCs w:val="28"/>
        </w:rPr>
        <w:t> </w:t>
      </w:r>
      <w:r>
        <w:rPr>
          <w:rFonts w:ascii="宋体" w:hAnsi="宋体" w:cs="宋体" w:eastAsia="宋体" w:hint="default"/>
          <w:b/>
          <w:bCs/>
          <w:spacing w:val="-124"/>
          <w:w w:val="99"/>
          <w:sz w:val="28"/>
          <w:szCs w:val="28"/>
        </w:rPr>
      </w:r>
      <w:r>
        <w:rPr>
          <w:rFonts w:ascii="宋体" w:hAnsi="宋体" w:cs="宋体" w:eastAsia="宋体" w:hint="default"/>
          <w:b/>
          <w:bCs/>
          <w:sz w:val="28"/>
          <w:szCs w:val="28"/>
        </w:rPr>
        <w:t>容请参见同日披露在中国证监会指定信息披露网站的相关公告。</w:t>
      </w:r>
      <w:r>
        <w:rPr>
          <w:rFonts w:ascii="宋体" w:hAnsi="宋体" w:cs="宋体" w:eastAsia="宋体" w:hint="default"/>
          <w:sz w:val="28"/>
          <w:szCs w:val="28"/>
        </w:rPr>
      </w:r>
    </w:p>
    <w:p>
      <w:pPr>
        <w:spacing w:line="408" w:lineRule="auto" w:before="174"/>
        <w:ind w:left="152" w:right="388" w:firstLine="562"/>
        <w:jc w:val="both"/>
        <w:rPr>
          <w:rFonts w:ascii="宋体" w:hAnsi="宋体" w:cs="宋体" w:eastAsia="宋体" w:hint="default"/>
          <w:sz w:val="28"/>
          <w:szCs w:val="28"/>
        </w:rPr>
      </w:pPr>
      <w:r>
        <w:rPr>
          <w:rFonts w:ascii="宋体" w:hAnsi="宋体" w:cs="宋体" w:eastAsia="宋体" w:hint="default"/>
          <w:b/>
          <w:bCs/>
          <w:spacing w:val="2"/>
          <w:sz w:val="28"/>
          <w:szCs w:val="28"/>
        </w:rPr>
        <w:t>本次交易完成后，北京中金云网科技有限公司和北京无双科技有限公司将</w:t>
      </w:r>
      <w:r>
        <w:rPr>
          <w:rFonts w:ascii="宋体" w:hAnsi="宋体" w:cs="宋体" w:eastAsia="宋体" w:hint="default"/>
          <w:b/>
          <w:bCs/>
          <w:w w:val="99"/>
          <w:sz w:val="28"/>
          <w:szCs w:val="28"/>
        </w:rPr>
        <w:t> </w:t>
      </w:r>
      <w:r>
        <w:rPr>
          <w:rFonts w:ascii="宋体" w:hAnsi="宋体" w:cs="宋体" w:eastAsia="宋体" w:hint="default"/>
          <w:b/>
          <w:bCs/>
          <w:spacing w:val="2"/>
          <w:sz w:val="28"/>
          <w:szCs w:val="28"/>
        </w:rPr>
        <w:t>成为公司的全资子公司，公司能否保持两家公司原有的竞争优势并充分发挥协</w:t>
      </w:r>
      <w:r>
        <w:rPr>
          <w:rFonts w:ascii="宋体" w:hAnsi="宋体" w:cs="宋体" w:eastAsia="宋体" w:hint="default"/>
          <w:b/>
          <w:bCs/>
          <w:w w:val="99"/>
          <w:sz w:val="28"/>
          <w:szCs w:val="28"/>
        </w:rPr>
        <w:t> </w:t>
      </w:r>
      <w:r>
        <w:rPr>
          <w:rFonts w:ascii="宋体" w:hAnsi="宋体" w:cs="宋体" w:eastAsia="宋体" w:hint="default"/>
          <w:b/>
          <w:bCs/>
          <w:spacing w:val="2"/>
          <w:sz w:val="28"/>
          <w:szCs w:val="28"/>
        </w:rPr>
        <w:t>同效应，是公司收购完成后面临的重要管理风险。公司将充分利用自身优势资</w:t>
      </w:r>
      <w:r>
        <w:rPr>
          <w:rFonts w:ascii="宋体" w:hAnsi="宋体" w:cs="宋体" w:eastAsia="宋体" w:hint="default"/>
          <w:b/>
          <w:bCs/>
          <w:w w:val="99"/>
          <w:sz w:val="28"/>
          <w:szCs w:val="28"/>
        </w:rPr>
        <w:t> </w:t>
      </w:r>
      <w:r>
        <w:rPr>
          <w:rFonts w:ascii="宋体" w:hAnsi="宋体" w:cs="宋体" w:eastAsia="宋体" w:hint="default"/>
          <w:b/>
          <w:bCs/>
          <w:sz w:val="28"/>
          <w:szCs w:val="28"/>
        </w:rPr>
        <w:t>源，最大程度地降低因收购导致的整合风险。</w:t>
      </w:r>
      <w:r>
        <w:rPr>
          <w:rFonts w:ascii="宋体" w:hAnsi="宋体" w:cs="宋体" w:eastAsia="宋体" w:hint="default"/>
          <w:sz w:val="28"/>
          <w:szCs w:val="28"/>
        </w:rPr>
      </w:r>
    </w:p>
    <w:p>
      <w:pPr>
        <w:spacing w:line="448" w:lineRule="auto" w:before="160"/>
        <w:ind w:left="714" w:right="237"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4</w:t>
      </w:r>
      <w:r>
        <w:rPr>
          <w:rFonts w:ascii="宋体" w:hAnsi="宋体" w:cs="宋体" w:eastAsia="宋体" w:hint="default"/>
          <w:b/>
          <w:bCs/>
          <w:sz w:val="28"/>
          <w:szCs w:val="28"/>
        </w:rPr>
        <w:t>、募集配套融资未能实施或低于预期的风险</w:t>
      </w:r>
      <w:r>
        <w:rPr>
          <w:rFonts w:ascii="宋体" w:hAnsi="宋体" w:cs="宋体" w:eastAsia="宋体" w:hint="default"/>
          <w:b/>
          <w:bCs/>
          <w:w w:val="99"/>
          <w:sz w:val="28"/>
          <w:szCs w:val="28"/>
        </w:rPr>
        <w:t> </w:t>
      </w:r>
      <w:r>
        <w:rPr>
          <w:rFonts w:ascii="宋体" w:hAnsi="宋体" w:cs="宋体" w:eastAsia="宋体" w:hint="default"/>
          <w:b/>
          <w:bCs/>
          <w:sz w:val="28"/>
          <w:szCs w:val="28"/>
        </w:rPr>
        <w:t>公司本次重大资产重组拟向不超过</w:t>
      </w:r>
      <w:r>
        <w:rPr>
          <w:rFonts w:ascii="宋体" w:hAnsi="宋体" w:cs="宋体" w:eastAsia="宋体" w:hint="default"/>
          <w:b/>
          <w:bCs/>
          <w:spacing w:val="-100"/>
          <w:sz w:val="28"/>
          <w:szCs w:val="28"/>
        </w:rPr>
        <w:t> </w:t>
      </w:r>
      <w:r>
        <w:rPr>
          <w:rFonts w:ascii="Times New Roman" w:hAnsi="Times New Roman" w:cs="Times New Roman" w:eastAsia="Times New Roman" w:hint="default"/>
          <w:b/>
          <w:bCs/>
          <w:sz w:val="28"/>
          <w:szCs w:val="28"/>
        </w:rPr>
        <w:t>5</w:t>
      </w:r>
      <w:r>
        <w:rPr>
          <w:rFonts w:ascii="Times New Roman" w:hAnsi="Times New Roman" w:cs="Times New Roman" w:eastAsia="Times New Roman" w:hint="default"/>
          <w:b/>
          <w:bCs/>
          <w:spacing w:val="-31"/>
          <w:sz w:val="28"/>
          <w:szCs w:val="28"/>
        </w:rPr>
        <w:t> </w:t>
      </w:r>
      <w:r>
        <w:rPr>
          <w:rFonts w:ascii="宋体" w:hAnsi="宋体" w:cs="宋体" w:eastAsia="宋体" w:hint="default"/>
          <w:b/>
          <w:bCs/>
          <w:sz w:val="28"/>
          <w:szCs w:val="28"/>
        </w:rPr>
        <w:t>名特定投资者发行股份募集配套资金，</w:t>
      </w:r>
      <w:r>
        <w:rPr>
          <w:rFonts w:ascii="宋体" w:hAnsi="宋体" w:cs="宋体" w:eastAsia="宋体" w:hint="default"/>
          <w:sz w:val="28"/>
          <w:szCs w:val="28"/>
        </w:rPr>
      </w:r>
    </w:p>
    <w:p>
      <w:pPr>
        <w:spacing w:line="354" w:lineRule="exact" w:before="0"/>
        <w:ind w:left="152" w:right="0" w:firstLine="0"/>
        <w:jc w:val="both"/>
        <w:rPr>
          <w:rFonts w:ascii="宋体" w:hAnsi="宋体" w:cs="宋体" w:eastAsia="宋体" w:hint="default"/>
          <w:sz w:val="28"/>
          <w:szCs w:val="28"/>
        </w:rPr>
      </w:pPr>
      <w:r>
        <w:rPr>
          <w:rFonts w:ascii="宋体" w:hAnsi="宋体" w:cs="宋体" w:eastAsia="宋体" w:hint="default"/>
          <w:b/>
          <w:bCs/>
          <w:sz w:val="28"/>
          <w:szCs w:val="28"/>
        </w:rPr>
        <w:t>募集资金总额不超过 </w:t>
      </w:r>
      <w:r>
        <w:rPr>
          <w:rFonts w:ascii="Times New Roman" w:hAnsi="Times New Roman" w:cs="Times New Roman" w:eastAsia="Times New Roman" w:hint="default"/>
          <w:b/>
          <w:bCs/>
          <w:sz w:val="28"/>
          <w:szCs w:val="28"/>
        </w:rPr>
        <w:t>290,900.00</w:t>
      </w:r>
      <w:r>
        <w:rPr>
          <w:rFonts w:ascii="Times New Roman" w:hAnsi="Times New Roman" w:cs="Times New Roman" w:eastAsia="Times New Roman" w:hint="default"/>
          <w:b/>
          <w:bCs/>
          <w:spacing w:val="9"/>
          <w:sz w:val="28"/>
          <w:szCs w:val="28"/>
        </w:rPr>
        <w:t> </w:t>
      </w:r>
      <w:r>
        <w:rPr>
          <w:rFonts w:ascii="宋体" w:hAnsi="宋体" w:cs="宋体" w:eastAsia="宋体" w:hint="default"/>
          <w:b/>
          <w:bCs/>
          <w:sz w:val="28"/>
          <w:szCs w:val="28"/>
        </w:rPr>
        <w:t>万元，扣除中介机构费用和其他发行费用后用</w:t>
      </w:r>
      <w:r>
        <w:rPr>
          <w:rFonts w:ascii="宋体" w:hAnsi="宋体" w:cs="宋体" w:eastAsia="宋体" w:hint="default"/>
          <w:sz w:val="28"/>
          <w:szCs w:val="28"/>
        </w:rPr>
      </w:r>
    </w:p>
    <w:p>
      <w:pPr>
        <w:spacing w:line="408" w:lineRule="auto" w:before="236"/>
        <w:ind w:left="152" w:right="401" w:firstLine="0"/>
        <w:jc w:val="both"/>
        <w:rPr>
          <w:rFonts w:ascii="宋体" w:hAnsi="宋体" w:cs="宋体" w:eastAsia="宋体" w:hint="default"/>
          <w:sz w:val="28"/>
          <w:szCs w:val="28"/>
        </w:rPr>
      </w:pPr>
      <w:r>
        <w:rPr>
          <w:rFonts w:ascii="宋体" w:hAnsi="宋体" w:cs="宋体" w:eastAsia="宋体" w:hint="default"/>
          <w:b/>
          <w:bCs/>
          <w:spacing w:val="2"/>
          <w:sz w:val="28"/>
          <w:szCs w:val="28"/>
        </w:rPr>
        <w:t>于支付本次交易的现金对价、投资建设募投项目。受股票市场波动及投资者预</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期的影响，募集配套资金能否顺利实施存在不确定性。如果配套融资未能实施</w:t>
      </w:r>
      <w:r>
        <w:rPr>
          <w:rFonts w:ascii="宋体" w:hAnsi="宋体" w:cs="宋体" w:eastAsia="宋体" w:hint="default"/>
          <w:b/>
          <w:bCs/>
          <w:w w:val="99"/>
          <w:sz w:val="28"/>
          <w:szCs w:val="28"/>
        </w:rPr>
        <w:t> </w:t>
      </w:r>
      <w:r>
        <w:rPr>
          <w:rFonts w:ascii="宋体" w:hAnsi="宋体" w:cs="宋体" w:eastAsia="宋体" w:hint="default"/>
          <w:b/>
          <w:bCs/>
          <w:spacing w:val="2"/>
          <w:sz w:val="28"/>
          <w:szCs w:val="28"/>
        </w:rPr>
        <w:t>或融资金额低于预期，则公司将自筹资金满足相关费用的支付，从而将可能对</w:t>
      </w:r>
      <w:r>
        <w:rPr>
          <w:rFonts w:ascii="宋体" w:hAnsi="宋体" w:cs="宋体" w:eastAsia="宋体" w:hint="default"/>
          <w:b/>
          <w:bCs/>
          <w:w w:val="99"/>
          <w:sz w:val="28"/>
          <w:szCs w:val="28"/>
        </w:rPr>
        <w:t> </w:t>
      </w:r>
      <w:r>
        <w:rPr>
          <w:rFonts w:ascii="宋体" w:hAnsi="宋体" w:cs="宋体" w:eastAsia="宋体" w:hint="default"/>
          <w:b/>
          <w:bCs/>
          <w:sz w:val="28"/>
          <w:szCs w:val="28"/>
        </w:rPr>
        <w:t>公司本次募集资金投资项目建设进度产生影响。</w:t>
      </w:r>
      <w:r>
        <w:rPr>
          <w:rFonts w:ascii="宋体" w:hAnsi="宋体" w:cs="宋体" w:eastAsia="宋体" w:hint="default"/>
          <w:sz w:val="28"/>
          <w:szCs w:val="28"/>
        </w:rPr>
      </w:r>
    </w:p>
    <w:p>
      <w:pPr>
        <w:spacing w:line="482" w:lineRule="auto" w:before="162"/>
        <w:ind w:left="714" w:right="11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5</w:t>
      </w:r>
      <w:r>
        <w:rPr>
          <w:rFonts w:ascii="宋体" w:hAnsi="宋体" w:cs="宋体" w:eastAsia="宋体" w:hint="default"/>
          <w:b/>
          <w:bCs/>
          <w:sz w:val="28"/>
          <w:szCs w:val="28"/>
        </w:rPr>
        <w:t>、业绩承诺无法实现的风险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公司本次重大资产重组的交易对方对未来三年标的公司的业绩做出了承诺，</w:t>
      </w:r>
      <w:r>
        <w:rPr>
          <w:rFonts w:ascii="宋体" w:hAnsi="宋体" w:cs="宋体" w:eastAsia="宋体" w:hint="default"/>
          <w:spacing w:val="2"/>
          <w:sz w:val="28"/>
          <w:szCs w:val="28"/>
        </w:rPr>
      </w:r>
    </w:p>
    <w:p>
      <w:pPr>
        <w:spacing w:line="341" w:lineRule="exact" w:before="0"/>
        <w:ind w:left="152" w:right="0" w:firstLine="0"/>
        <w:jc w:val="both"/>
        <w:rPr>
          <w:rFonts w:ascii="宋体" w:hAnsi="宋体" w:cs="宋体" w:eastAsia="宋体" w:hint="default"/>
          <w:sz w:val="28"/>
          <w:szCs w:val="28"/>
        </w:rPr>
      </w:pPr>
      <w:r>
        <w:rPr>
          <w:rFonts w:ascii="宋体" w:hAnsi="宋体" w:cs="宋体" w:eastAsia="宋体" w:hint="default"/>
          <w:b/>
          <w:bCs/>
          <w:spacing w:val="2"/>
          <w:sz w:val="28"/>
          <w:szCs w:val="28"/>
        </w:rPr>
        <w:t>若未实现业绩承诺，承诺人将以现金或股份补偿上市公司。尽管交易双方约定</w:t>
      </w:r>
      <w:r>
        <w:rPr>
          <w:rFonts w:ascii="宋体" w:hAnsi="宋体" w:cs="宋体" w:eastAsia="宋体" w:hint="default"/>
          <w:spacing w:val="2"/>
          <w:sz w:val="28"/>
          <w:szCs w:val="28"/>
        </w:rPr>
      </w:r>
    </w:p>
    <w:p>
      <w:pPr>
        <w:spacing w:line="240" w:lineRule="auto" w:before="9"/>
        <w:rPr>
          <w:rFonts w:ascii="宋体" w:hAnsi="宋体" w:cs="宋体" w:eastAsia="宋体" w:hint="default"/>
          <w:b/>
          <w:bCs/>
          <w:sz w:val="19"/>
          <w:szCs w:val="19"/>
        </w:rPr>
      </w:pPr>
    </w:p>
    <w:p>
      <w:pPr>
        <w:spacing w:line="408" w:lineRule="auto" w:before="0"/>
        <w:ind w:left="152" w:right="401" w:firstLine="0"/>
        <w:jc w:val="both"/>
        <w:rPr>
          <w:rFonts w:ascii="宋体" w:hAnsi="宋体" w:cs="宋体" w:eastAsia="宋体" w:hint="default"/>
          <w:sz w:val="28"/>
          <w:szCs w:val="28"/>
        </w:rPr>
      </w:pPr>
      <w:r>
        <w:rPr>
          <w:rFonts w:ascii="宋体" w:hAnsi="宋体" w:cs="宋体" w:eastAsia="宋体" w:hint="default"/>
          <w:b/>
          <w:bCs/>
          <w:spacing w:val="2"/>
          <w:sz w:val="28"/>
          <w:szCs w:val="28"/>
        </w:rPr>
        <w:t>的业绩补偿方案能够在较大程度上保障上市公司及广大股东的利益，降低收购</w:t>
      </w:r>
      <w:r>
        <w:rPr>
          <w:rFonts w:ascii="宋体" w:hAnsi="宋体" w:cs="宋体" w:eastAsia="宋体" w:hint="default"/>
          <w:b/>
          <w:bCs/>
          <w:w w:val="99"/>
          <w:sz w:val="28"/>
          <w:szCs w:val="28"/>
        </w:rPr>
        <w:t> </w:t>
      </w:r>
      <w:r>
        <w:rPr>
          <w:rFonts w:ascii="宋体" w:hAnsi="宋体" w:cs="宋体" w:eastAsia="宋体" w:hint="default"/>
          <w:b/>
          <w:bCs/>
          <w:spacing w:val="2"/>
          <w:sz w:val="28"/>
          <w:szCs w:val="28"/>
        </w:rPr>
        <w:t>风险，但如果标的公司经营情况未达预期，可能导致业绩承诺无法实现，进而</w:t>
      </w:r>
      <w:r>
        <w:rPr>
          <w:rFonts w:ascii="宋体" w:hAnsi="宋体" w:cs="宋体" w:eastAsia="宋体" w:hint="default"/>
          <w:spacing w:val="2"/>
          <w:sz w:val="28"/>
          <w:szCs w:val="28"/>
        </w:rPr>
      </w:r>
    </w:p>
    <w:p>
      <w:pPr>
        <w:spacing w:after="0" w:line="408" w:lineRule="auto"/>
        <w:jc w:val="both"/>
        <w:rPr>
          <w:rFonts w:ascii="宋体" w:hAnsi="宋体" w:cs="宋体" w:eastAsia="宋体" w:hint="default"/>
          <w:sz w:val="28"/>
          <w:szCs w:val="28"/>
        </w:rPr>
        <w:sectPr>
          <w:pgSz w:w="11910" w:h="16840"/>
          <w:pgMar w:header="745" w:footer="979" w:top="1060" w:bottom="1160" w:left="980" w:right="74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3"/>
          <w:szCs w:val="13"/>
        </w:rPr>
      </w:pPr>
    </w:p>
    <w:p>
      <w:pPr>
        <w:spacing w:line="408" w:lineRule="auto" w:before="14"/>
        <w:ind w:left="152" w:right="261" w:firstLine="0"/>
        <w:jc w:val="both"/>
        <w:rPr>
          <w:rFonts w:ascii="宋体" w:hAnsi="宋体" w:cs="宋体" w:eastAsia="宋体" w:hint="default"/>
          <w:sz w:val="28"/>
          <w:szCs w:val="28"/>
        </w:rPr>
      </w:pPr>
      <w:r>
        <w:rPr>
          <w:rFonts w:ascii="宋体" w:hAnsi="宋体" w:cs="宋体" w:eastAsia="宋体" w:hint="default"/>
          <w:b/>
          <w:bCs/>
          <w:spacing w:val="2"/>
          <w:sz w:val="28"/>
          <w:szCs w:val="28"/>
        </w:rPr>
        <w:t>影响公司的整体经营业绩和盈利水平，提请投资者关注标的资产承诺业绩无法</w:t>
      </w:r>
      <w:r>
        <w:rPr>
          <w:rFonts w:ascii="宋体" w:hAnsi="宋体" w:cs="宋体" w:eastAsia="宋体" w:hint="default"/>
          <w:b/>
          <w:bCs/>
          <w:w w:val="99"/>
          <w:sz w:val="28"/>
          <w:szCs w:val="28"/>
        </w:rPr>
        <w:t> </w:t>
      </w:r>
      <w:r>
        <w:rPr>
          <w:rFonts w:ascii="宋体" w:hAnsi="宋体" w:cs="宋体" w:eastAsia="宋体" w:hint="default"/>
          <w:b/>
          <w:bCs/>
          <w:sz w:val="28"/>
          <w:szCs w:val="28"/>
        </w:rPr>
        <w:t>实现的风险。</w:t>
      </w:r>
      <w:r>
        <w:rPr>
          <w:rFonts w:ascii="宋体" w:hAnsi="宋体" w:cs="宋体" w:eastAsia="宋体" w:hint="default"/>
          <w:sz w:val="28"/>
          <w:szCs w:val="28"/>
        </w:rPr>
      </w:r>
    </w:p>
    <w:p>
      <w:pPr>
        <w:spacing w:line="448" w:lineRule="auto" w:before="217"/>
        <w:ind w:left="714" w:right="253"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6</w:t>
      </w:r>
      <w:r>
        <w:rPr>
          <w:rFonts w:ascii="宋体" w:hAnsi="宋体" w:cs="宋体" w:eastAsia="宋体" w:hint="default"/>
          <w:b/>
          <w:bCs/>
          <w:sz w:val="28"/>
          <w:szCs w:val="28"/>
        </w:rPr>
        <w:t>、运营成本增加带来的风险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公司经营规模和资产规模的扩大，子公司数量增加，技术研发、销售方面</w:t>
      </w:r>
      <w:r>
        <w:rPr>
          <w:rFonts w:ascii="宋体" w:hAnsi="宋体" w:cs="宋体" w:eastAsia="宋体" w:hint="default"/>
          <w:spacing w:val="2"/>
          <w:sz w:val="28"/>
          <w:szCs w:val="28"/>
        </w:rPr>
      </w:r>
    </w:p>
    <w:p>
      <w:pPr>
        <w:spacing w:line="408" w:lineRule="auto" w:before="14"/>
        <w:ind w:left="152" w:right="261" w:firstLine="0"/>
        <w:jc w:val="both"/>
        <w:rPr>
          <w:rFonts w:ascii="宋体" w:hAnsi="宋体" w:cs="宋体" w:eastAsia="宋体" w:hint="default"/>
          <w:sz w:val="28"/>
          <w:szCs w:val="28"/>
        </w:rPr>
      </w:pPr>
      <w:r>
        <w:rPr>
          <w:rFonts w:ascii="宋体" w:hAnsi="宋体" w:cs="宋体" w:eastAsia="宋体" w:hint="default"/>
          <w:b/>
          <w:bCs/>
          <w:spacing w:val="2"/>
          <w:sz w:val="28"/>
          <w:szCs w:val="28"/>
        </w:rPr>
        <w:t>员工人数的增长，产能的扩大将会带来相应的各项成本费用增加，从而导致公</w:t>
      </w:r>
      <w:r>
        <w:rPr>
          <w:rFonts w:ascii="宋体" w:hAnsi="宋体" w:cs="宋体" w:eastAsia="宋体" w:hint="default"/>
          <w:b/>
          <w:bCs/>
          <w:w w:val="99"/>
          <w:sz w:val="28"/>
          <w:szCs w:val="28"/>
        </w:rPr>
        <w:t> </w:t>
      </w:r>
      <w:r>
        <w:rPr>
          <w:rFonts w:ascii="宋体" w:hAnsi="宋体" w:cs="宋体" w:eastAsia="宋体" w:hint="default"/>
          <w:b/>
          <w:bCs/>
          <w:spacing w:val="2"/>
          <w:sz w:val="28"/>
          <w:szCs w:val="28"/>
        </w:rPr>
        <w:t>司毛利率降低，对公司经营业绩产生一定影响。为此，公司将通过强化管理、</w:t>
      </w:r>
      <w:r>
        <w:rPr>
          <w:rFonts w:ascii="宋体" w:hAnsi="宋体" w:cs="宋体" w:eastAsia="宋体" w:hint="default"/>
          <w:b/>
          <w:bCs/>
          <w:w w:val="99"/>
          <w:sz w:val="28"/>
          <w:szCs w:val="28"/>
        </w:rPr>
        <w:t> </w:t>
      </w:r>
      <w:r>
        <w:rPr>
          <w:rFonts w:ascii="宋体" w:hAnsi="宋体" w:cs="宋体" w:eastAsia="宋体" w:hint="default"/>
          <w:b/>
          <w:bCs/>
          <w:sz w:val="28"/>
          <w:szCs w:val="28"/>
        </w:rPr>
        <w:t>控制费用等举措，尽可能减轻成本上升压力。</w:t>
      </w:r>
      <w:r>
        <w:rPr>
          <w:rFonts w:ascii="宋体" w:hAnsi="宋体" w:cs="宋体" w:eastAsia="宋体" w:hint="default"/>
          <w:sz w:val="28"/>
          <w:szCs w:val="28"/>
        </w:rPr>
      </w:r>
    </w:p>
    <w:p>
      <w:pPr>
        <w:spacing w:line="448" w:lineRule="auto" w:before="160"/>
        <w:ind w:left="714" w:right="253"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7</w:t>
      </w:r>
      <w:r>
        <w:rPr>
          <w:rFonts w:ascii="宋体" w:hAnsi="宋体" w:cs="宋体" w:eastAsia="宋体" w:hint="default"/>
          <w:b/>
          <w:bCs/>
          <w:sz w:val="28"/>
          <w:szCs w:val="28"/>
        </w:rPr>
        <w:t>、公司规模扩张带来的管理风险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随着公司经营规模扩大，投资项目的增加，新业务的拓展以及募投项目的</w:t>
      </w:r>
      <w:r>
        <w:rPr>
          <w:rFonts w:ascii="宋体" w:hAnsi="宋体" w:cs="宋体" w:eastAsia="宋体" w:hint="default"/>
          <w:spacing w:val="2"/>
          <w:sz w:val="28"/>
          <w:szCs w:val="28"/>
        </w:rPr>
      </w:r>
    </w:p>
    <w:p>
      <w:pPr>
        <w:spacing w:line="408" w:lineRule="auto" w:before="14"/>
        <w:ind w:left="152" w:right="255" w:firstLine="0"/>
        <w:jc w:val="both"/>
        <w:rPr>
          <w:rFonts w:ascii="宋体" w:hAnsi="宋体" w:cs="宋体" w:eastAsia="宋体" w:hint="default"/>
          <w:sz w:val="28"/>
          <w:szCs w:val="28"/>
        </w:rPr>
      </w:pPr>
      <w:r>
        <w:rPr>
          <w:rFonts w:ascii="宋体" w:hAnsi="宋体" w:cs="宋体" w:eastAsia="宋体" w:hint="default"/>
          <w:b/>
          <w:bCs/>
          <w:spacing w:val="2"/>
          <w:sz w:val="28"/>
          <w:szCs w:val="28"/>
        </w:rPr>
        <w:t>实施，公司的资产规模还会不断扩张，管理的深度和广度都会扩大，人员规模</w:t>
      </w:r>
      <w:r>
        <w:rPr>
          <w:rFonts w:ascii="宋体" w:hAnsi="宋体" w:cs="宋体" w:eastAsia="宋体" w:hint="default"/>
          <w:b/>
          <w:bCs/>
          <w:w w:val="99"/>
          <w:sz w:val="28"/>
          <w:szCs w:val="28"/>
        </w:rPr>
        <w:t> </w:t>
      </w:r>
      <w:r>
        <w:rPr>
          <w:rFonts w:ascii="宋体" w:hAnsi="宋体" w:cs="宋体" w:eastAsia="宋体" w:hint="default"/>
          <w:b/>
          <w:bCs/>
          <w:spacing w:val="-6"/>
          <w:sz w:val="28"/>
          <w:szCs w:val="28"/>
        </w:rPr>
        <w:t>也将随之增大，需要公司在资源整合、市场开拓、研发和质量管理、内控制度、</w:t>
      </w:r>
      <w:r>
        <w:rPr>
          <w:rFonts w:ascii="宋体" w:hAnsi="宋体" w:cs="宋体" w:eastAsia="宋体" w:hint="default"/>
          <w:b/>
          <w:bCs/>
          <w:spacing w:val="-138"/>
          <w:sz w:val="28"/>
          <w:szCs w:val="28"/>
        </w:rPr>
        <w:t> </w:t>
      </w:r>
      <w:r>
        <w:rPr>
          <w:rFonts w:ascii="宋体" w:hAnsi="宋体" w:cs="宋体" w:eastAsia="宋体" w:hint="default"/>
          <w:b/>
          <w:bCs/>
          <w:spacing w:val="-138"/>
          <w:sz w:val="28"/>
          <w:szCs w:val="28"/>
        </w:rPr>
      </w:r>
      <w:r>
        <w:rPr>
          <w:rFonts w:ascii="宋体" w:hAnsi="宋体" w:cs="宋体" w:eastAsia="宋体" w:hint="default"/>
          <w:b/>
          <w:bCs/>
          <w:spacing w:val="-6"/>
          <w:sz w:val="28"/>
          <w:szCs w:val="28"/>
        </w:rPr>
        <w:t>组织机构等方面做相应的改进和调整，对经营管理层提出了更高的要求。同时，</w:t>
      </w:r>
      <w:r>
        <w:rPr>
          <w:rFonts w:ascii="宋体" w:hAnsi="宋体" w:cs="宋体" w:eastAsia="宋体" w:hint="default"/>
          <w:b/>
          <w:bCs/>
          <w:spacing w:val="-136"/>
          <w:sz w:val="28"/>
          <w:szCs w:val="28"/>
        </w:rPr>
        <w:t> </w:t>
      </w:r>
      <w:r>
        <w:rPr>
          <w:rFonts w:ascii="宋体" w:hAnsi="宋体" w:cs="宋体" w:eastAsia="宋体" w:hint="default"/>
          <w:b/>
          <w:bCs/>
          <w:spacing w:val="-136"/>
          <w:sz w:val="28"/>
          <w:szCs w:val="28"/>
        </w:rPr>
      </w:r>
      <w:r>
        <w:rPr>
          <w:rFonts w:ascii="宋体" w:hAnsi="宋体" w:cs="宋体" w:eastAsia="宋体" w:hint="default"/>
          <w:b/>
          <w:bCs/>
          <w:spacing w:val="2"/>
          <w:sz w:val="28"/>
          <w:szCs w:val="28"/>
        </w:rPr>
        <w:t>公司对子公司业务体系、组织机构、管理制度、企业文化等方面的整合中面临</w:t>
      </w:r>
      <w:r>
        <w:rPr>
          <w:rFonts w:ascii="宋体" w:hAnsi="宋体" w:cs="宋体" w:eastAsia="宋体" w:hint="default"/>
          <w:b/>
          <w:bCs/>
          <w:w w:val="99"/>
          <w:sz w:val="28"/>
          <w:szCs w:val="28"/>
        </w:rPr>
        <w:t> </w:t>
      </w:r>
      <w:r>
        <w:rPr>
          <w:rFonts w:ascii="宋体" w:hAnsi="宋体" w:cs="宋体" w:eastAsia="宋体" w:hint="default"/>
          <w:b/>
          <w:bCs/>
          <w:sz w:val="28"/>
          <w:szCs w:val="28"/>
        </w:rPr>
        <w:t>较大的风险。</w:t>
      </w:r>
      <w:r>
        <w:rPr>
          <w:rFonts w:ascii="宋体" w:hAnsi="宋体" w:cs="宋体" w:eastAsia="宋体" w:hint="default"/>
          <w:sz w:val="28"/>
          <w:szCs w:val="28"/>
        </w:rPr>
      </w:r>
    </w:p>
    <w:p>
      <w:pPr>
        <w:spacing w:line="408" w:lineRule="auto" w:before="162"/>
        <w:ind w:left="152" w:right="256"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公司将通过持续完善法人治理结构及内控制度、规范公司运作体系、提高</w:t>
      </w:r>
      <w:r>
        <w:rPr>
          <w:rFonts w:ascii="宋体" w:hAnsi="宋体" w:cs="宋体" w:eastAsia="宋体" w:hint="default"/>
          <w:b/>
          <w:bCs/>
          <w:w w:val="99"/>
          <w:sz w:val="28"/>
          <w:szCs w:val="28"/>
        </w:rPr>
        <w:t> </w:t>
      </w:r>
      <w:r>
        <w:rPr>
          <w:rFonts w:ascii="宋体" w:hAnsi="宋体" w:cs="宋体" w:eastAsia="宋体" w:hint="default"/>
          <w:b/>
          <w:bCs/>
          <w:spacing w:val="2"/>
          <w:sz w:val="28"/>
          <w:szCs w:val="28"/>
        </w:rPr>
        <w:t>核心管理团队的管理素质和决策能力、以满足公司业务快速发展的需要。但本</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公司管理层如果不能及时结合公司实际情况提高管理水平和建立起更加科学有</w:t>
      </w:r>
      <w:r>
        <w:rPr>
          <w:rFonts w:ascii="宋体" w:hAnsi="宋体" w:cs="宋体" w:eastAsia="宋体" w:hint="default"/>
          <w:b/>
          <w:bCs/>
          <w:w w:val="99"/>
          <w:sz w:val="28"/>
          <w:szCs w:val="28"/>
        </w:rPr>
        <w:t> </w:t>
      </w:r>
      <w:r>
        <w:rPr>
          <w:rFonts w:ascii="宋体" w:hAnsi="宋体" w:cs="宋体" w:eastAsia="宋体" w:hint="default"/>
          <w:b/>
          <w:bCs/>
          <w:spacing w:val="2"/>
          <w:sz w:val="28"/>
          <w:szCs w:val="28"/>
        </w:rPr>
        <w:t>效的管理体制，将可能削弱公司的市场竞争力，影响公司的长远发展。存在公</w:t>
      </w:r>
      <w:r>
        <w:rPr>
          <w:rFonts w:ascii="宋体" w:hAnsi="宋体" w:cs="宋体" w:eastAsia="宋体" w:hint="default"/>
          <w:b/>
          <w:bCs/>
          <w:w w:val="99"/>
          <w:sz w:val="28"/>
          <w:szCs w:val="28"/>
        </w:rPr>
        <w:t> </w:t>
      </w:r>
      <w:r>
        <w:rPr>
          <w:rFonts w:ascii="宋体" w:hAnsi="宋体" w:cs="宋体" w:eastAsia="宋体" w:hint="default"/>
          <w:b/>
          <w:bCs/>
          <w:sz w:val="28"/>
          <w:szCs w:val="28"/>
        </w:rPr>
        <w:t>司规模扩张带来的管理风险。</w:t>
      </w:r>
      <w:r>
        <w:rPr>
          <w:rFonts w:ascii="宋体" w:hAnsi="宋体" w:cs="宋体" w:eastAsia="宋体" w:hint="default"/>
          <w:sz w:val="28"/>
          <w:szCs w:val="28"/>
        </w:rPr>
      </w:r>
    </w:p>
    <w:p>
      <w:pPr>
        <w:spacing w:before="160"/>
        <w:ind w:left="714" w:right="98" w:firstLine="0"/>
        <w:jc w:val="left"/>
        <w:rPr>
          <w:rFonts w:ascii="宋体" w:hAnsi="宋体" w:cs="宋体" w:eastAsia="宋体" w:hint="default"/>
          <w:sz w:val="28"/>
          <w:szCs w:val="28"/>
        </w:rPr>
      </w:pPr>
      <w:r>
        <w:rPr>
          <w:rFonts w:ascii="宋体" w:hAnsi="宋体" w:cs="宋体" w:eastAsia="宋体" w:hint="default"/>
          <w:b/>
          <w:bCs/>
          <w:spacing w:val="-3"/>
          <w:sz w:val="28"/>
          <w:szCs w:val="28"/>
        </w:rPr>
        <w:t>公司经本次董事会审议通过的利润分配预案为：以</w:t>
      </w:r>
      <w:r>
        <w:rPr>
          <w:rFonts w:ascii="宋体" w:hAnsi="宋体" w:cs="宋体" w:eastAsia="宋体" w:hint="default"/>
          <w:b/>
          <w:bCs/>
          <w:spacing w:val="-69"/>
          <w:sz w:val="28"/>
          <w:szCs w:val="28"/>
        </w:rPr>
        <w:t> </w:t>
      </w:r>
      <w:r>
        <w:rPr>
          <w:rFonts w:ascii="Times New Roman" w:hAnsi="Times New Roman" w:cs="Times New Roman" w:eastAsia="Times New Roman" w:hint="default"/>
          <w:b/>
          <w:bCs/>
          <w:sz w:val="28"/>
          <w:szCs w:val="28"/>
        </w:rPr>
        <w:t>2015 </w:t>
      </w:r>
      <w:r>
        <w:rPr>
          <w:rFonts w:ascii="宋体" w:hAnsi="宋体" w:cs="宋体" w:eastAsia="宋体" w:hint="default"/>
          <w:b/>
          <w:bCs/>
          <w:sz w:val="28"/>
          <w:szCs w:val="28"/>
        </w:rPr>
        <w:t>年</w:t>
      </w:r>
      <w:r>
        <w:rPr>
          <w:rFonts w:ascii="宋体" w:hAnsi="宋体" w:cs="宋体" w:eastAsia="宋体" w:hint="default"/>
          <w:b/>
          <w:bCs/>
          <w:spacing w:val="-68"/>
          <w:sz w:val="28"/>
          <w:szCs w:val="28"/>
        </w:rPr>
        <w:t> </w:t>
      </w:r>
      <w:r>
        <w:rPr>
          <w:rFonts w:ascii="Times New Roman" w:hAnsi="Times New Roman" w:cs="Times New Roman" w:eastAsia="Times New Roman" w:hint="default"/>
          <w:b/>
          <w:bCs/>
          <w:sz w:val="28"/>
          <w:szCs w:val="28"/>
        </w:rPr>
        <w:t>12</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月</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31</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日公司</w:t>
      </w:r>
      <w:r>
        <w:rPr>
          <w:rFonts w:ascii="宋体" w:hAnsi="宋体" w:cs="宋体" w:eastAsia="宋体" w:hint="default"/>
          <w:sz w:val="28"/>
          <w:szCs w:val="28"/>
        </w:rPr>
      </w:r>
    </w:p>
    <w:p>
      <w:pPr>
        <w:spacing w:before="237"/>
        <w:ind w:left="152" w:right="0" w:firstLine="0"/>
        <w:jc w:val="both"/>
        <w:rPr>
          <w:rFonts w:ascii="宋体" w:hAnsi="宋体" w:cs="宋体" w:eastAsia="宋体" w:hint="default"/>
          <w:sz w:val="28"/>
          <w:szCs w:val="28"/>
        </w:rPr>
      </w:pPr>
      <w:r>
        <w:rPr>
          <w:rFonts w:ascii="宋体" w:hAnsi="宋体" w:cs="宋体" w:eastAsia="宋体" w:hint="default"/>
          <w:b/>
          <w:bCs/>
          <w:w w:val="99"/>
          <w:sz w:val="28"/>
          <w:szCs w:val="28"/>
        </w:rPr>
        <w:t>总</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本</w:t>
      </w:r>
      <w:r>
        <w:rPr>
          <w:rFonts w:ascii="宋体" w:hAnsi="宋体" w:cs="宋体" w:eastAsia="宋体" w:hint="default"/>
          <w:b/>
          <w:bCs/>
          <w:spacing w:val="-57"/>
          <w:sz w:val="28"/>
          <w:szCs w:val="28"/>
        </w:rPr>
        <w:t> </w:t>
      </w:r>
      <w:r>
        <w:rPr>
          <w:rFonts w:ascii="Times New Roman" w:hAnsi="Times New Roman" w:cs="Times New Roman" w:eastAsia="Times New Roman" w:hint="default"/>
          <w:b/>
          <w:bCs/>
          <w:spacing w:val="-2"/>
          <w:w w:val="100"/>
          <w:sz w:val="28"/>
          <w:szCs w:val="28"/>
        </w:rPr>
        <w:t>5</w:t>
      </w:r>
      <w:r>
        <w:rPr>
          <w:rFonts w:ascii="Times New Roman" w:hAnsi="Times New Roman" w:cs="Times New Roman" w:eastAsia="Times New Roman" w:hint="default"/>
          <w:b/>
          <w:bCs/>
          <w:w w:val="100"/>
          <w:sz w:val="28"/>
          <w:szCs w:val="28"/>
        </w:rPr>
        <w:t>4,</w:t>
      </w:r>
      <w:r>
        <w:rPr>
          <w:rFonts w:ascii="Times New Roman" w:hAnsi="Times New Roman" w:cs="Times New Roman" w:eastAsia="Times New Roman" w:hint="default"/>
          <w:b/>
          <w:bCs/>
          <w:spacing w:val="-2"/>
          <w:w w:val="100"/>
          <w:sz w:val="28"/>
          <w:szCs w:val="28"/>
        </w:rPr>
        <w:t>5</w:t>
      </w:r>
      <w:r>
        <w:rPr>
          <w:rFonts w:ascii="Times New Roman" w:hAnsi="Times New Roman" w:cs="Times New Roman" w:eastAsia="Times New Roman" w:hint="default"/>
          <w:b/>
          <w:bCs/>
          <w:w w:val="100"/>
          <w:sz w:val="28"/>
          <w:szCs w:val="28"/>
        </w:rPr>
        <w:t>80</w:t>
      </w:r>
      <w:r>
        <w:rPr>
          <w:rFonts w:ascii="Times New Roman" w:hAnsi="Times New Roman" w:cs="Times New Roman" w:eastAsia="Times New Roman" w:hint="default"/>
          <w:b/>
          <w:bCs/>
          <w:spacing w:val="13"/>
          <w:sz w:val="28"/>
          <w:szCs w:val="28"/>
        </w:rPr>
        <w:t> </w:t>
      </w:r>
      <w:r>
        <w:rPr>
          <w:rFonts w:ascii="宋体" w:hAnsi="宋体" w:cs="宋体" w:eastAsia="宋体" w:hint="default"/>
          <w:b/>
          <w:bCs/>
          <w:w w:val="99"/>
          <w:sz w:val="28"/>
          <w:szCs w:val="28"/>
        </w:rPr>
        <w:t>万股为基</w:t>
      </w:r>
      <w:r>
        <w:rPr>
          <w:rFonts w:ascii="宋体" w:hAnsi="宋体" w:cs="宋体" w:eastAsia="宋体" w:hint="default"/>
          <w:b/>
          <w:bCs/>
          <w:spacing w:val="2"/>
          <w:w w:val="99"/>
          <w:sz w:val="28"/>
          <w:szCs w:val="28"/>
        </w:rPr>
        <w:t>数</w:t>
      </w:r>
      <w:r>
        <w:rPr>
          <w:rFonts w:ascii="宋体" w:hAnsi="宋体" w:cs="宋体" w:eastAsia="宋体" w:hint="default"/>
          <w:b/>
          <w:bCs/>
          <w:w w:val="99"/>
          <w:sz w:val="28"/>
          <w:szCs w:val="28"/>
        </w:rPr>
        <w:t>，向全体股</w:t>
      </w:r>
      <w:r>
        <w:rPr>
          <w:rFonts w:ascii="宋体" w:hAnsi="宋体" w:cs="宋体" w:eastAsia="宋体" w:hint="default"/>
          <w:b/>
          <w:bCs/>
          <w:spacing w:val="2"/>
          <w:w w:val="99"/>
          <w:sz w:val="28"/>
          <w:szCs w:val="28"/>
        </w:rPr>
        <w:t>东</w:t>
      </w:r>
      <w:r>
        <w:rPr>
          <w:rFonts w:ascii="宋体" w:hAnsi="宋体" w:cs="宋体" w:eastAsia="宋体" w:hint="default"/>
          <w:b/>
          <w:bCs/>
          <w:w w:val="99"/>
          <w:sz w:val="28"/>
          <w:szCs w:val="28"/>
        </w:rPr>
        <w:t>每</w:t>
      </w:r>
      <w:r>
        <w:rPr>
          <w:rFonts w:ascii="宋体" w:hAnsi="宋体" w:cs="宋体" w:eastAsia="宋体" w:hint="default"/>
          <w:b/>
          <w:bCs/>
          <w:spacing w:val="-56"/>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12"/>
          <w:sz w:val="28"/>
          <w:szCs w:val="28"/>
        </w:rPr>
        <w:t> </w:t>
      </w:r>
      <w:r>
        <w:rPr>
          <w:rFonts w:ascii="宋体" w:hAnsi="宋体" w:cs="宋体" w:eastAsia="宋体" w:hint="default"/>
          <w:b/>
          <w:bCs/>
          <w:w w:val="99"/>
          <w:sz w:val="28"/>
          <w:szCs w:val="28"/>
        </w:rPr>
        <w:t>股派发现金</w:t>
      </w:r>
      <w:r>
        <w:rPr>
          <w:rFonts w:ascii="宋体" w:hAnsi="宋体" w:cs="宋体" w:eastAsia="宋体" w:hint="default"/>
          <w:b/>
          <w:bCs/>
          <w:spacing w:val="2"/>
          <w:w w:val="99"/>
          <w:sz w:val="28"/>
          <w:szCs w:val="28"/>
        </w:rPr>
        <w:t>红</w:t>
      </w:r>
      <w:r>
        <w:rPr>
          <w:rFonts w:ascii="宋体" w:hAnsi="宋体" w:cs="宋体" w:eastAsia="宋体" w:hint="default"/>
          <w:b/>
          <w:bCs/>
          <w:w w:val="99"/>
          <w:sz w:val="28"/>
          <w:szCs w:val="28"/>
        </w:rPr>
        <w:t>利</w:t>
      </w:r>
      <w:r>
        <w:rPr>
          <w:rFonts w:ascii="宋体" w:hAnsi="宋体" w:cs="宋体" w:eastAsia="宋体" w:hint="default"/>
          <w:b/>
          <w:bCs/>
          <w:spacing w:val="-57"/>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4"/>
          <w:w w:val="100"/>
          <w:sz w:val="28"/>
          <w:szCs w:val="28"/>
        </w:rPr>
        <w:t>.</w:t>
      </w:r>
      <w:r>
        <w:rPr>
          <w:rFonts w:ascii="Times New Roman" w:hAnsi="Times New Roman" w:cs="Times New Roman" w:eastAsia="Times New Roman" w:hint="default"/>
          <w:b/>
          <w:bCs/>
          <w:w w:val="100"/>
          <w:sz w:val="28"/>
          <w:szCs w:val="28"/>
        </w:rPr>
        <w:t>20</w:t>
      </w:r>
      <w:r>
        <w:rPr>
          <w:rFonts w:ascii="Times New Roman" w:hAnsi="Times New Roman" w:cs="Times New Roman" w:eastAsia="Times New Roman" w:hint="default"/>
          <w:b/>
          <w:bCs/>
          <w:spacing w:val="14"/>
          <w:sz w:val="28"/>
          <w:szCs w:val="28"/>
        </w:rPr>
        <w:t> </w:t>
      </w:r>
      <w:r>
        <w:rPr>
          <w:rFonts w:ascii="宋体" w:hAnsi="宋体" w:cs="宋体" w:eastAsia="宋体" w:hint="default"/>
          <w:b/>
          <w:bCs/>
          <w:w w:val="99"/>
          <w:sz w:val="28"/>
          <w:szCs w:val="28"/>
        </w:rPr>
        <w:t>元（</w:t>
      </w:r>
      <w:r>
        <w:rPr>
          <w:rFonts w:ascii="宋体" w:hAnsi="宋体" w:cs="宋体" w:eastAsia="宋体" w:hint="default"/>
          <w:b/>
          <w:bCs/>
          <w:spacing w:val="2"/>
          <w:w w:val="99"/>
          <w:sz w:val="28"/>
          <w:szCs w:val="28"/>
        </w:rPr>
        <w:t>含</w:t>
      </w:r>
      <w:r>
        <w:rPr>
          <w:rFonts w:ascii="宋体" w:hAnsi="宋体" w:cs="宋体" w:eastAsia="宋体" w:hint="default"/>
          <w:b/>
          <w:bCs/>
          <w:w w:val="99"/>
          <w:sz w:val="28"/>
          <w:szCs w:val="28"/>
        </w:rPr>
        <w:t>税</w:t>
      </w:r>
      <w:r>
        <w:rPr>
          <w:rFonts w:ascii="宋体" w:hAnsi="宋体" w:cs="宋体" w:eastAsia="宋体" w:hint="default"/>
          <w:b/>
          <w:bCs/>
          <w:spacing w:val="-140"/>
          <w:w w:val="99"/>
          <w:sz w:val="28"/>
          <w:szCs w:val="28"/>
        </w:rPr>
        <w:t>）</w:t>
      </w:r>
      <w:r>
        <w:rPr>
          <w:rFonts w:ascii="宋体" w:hAnsi="宋体" w:cs="宋体" w:eastAsia="宋体" w:hint="default"/>
          <w:b/>
          <w:bCs/>
          <w:w w:val="99"/>
          <w:sz w:val="28"/>
          <w:szCs w:val="28"/>
        </w:rPr>
        <w:t>，</w:t>
      </w:r>
      <w:r>
        <w:rPr>
          <w:rFonts w:ascii="宋体" w:hAnsi="宋体" w:cs="宋体" w:eastAsia="宋体" w:hint="default"/>
          <w:sz w:val="28"/>
          <w:szCs w:val="28"/>
        </w:rPr>
      </w:r>
    </w:p>
    <w:p>
      <w:pPr>
        <w:spacing w:after="0"/>
        <w:jc w:val="both"/>
        <w:rPr>
          <w:rFonts w:ascii="宋体" w:hAnsi="宋体" w:cs="宋体" w:eastAsia="宋体" w:hint="default"/>
          <w:sz w:val="28"/>
          <w:szCs w:val="28"/>
        </w:rPr>
        <w:sectPr>
          <w:pgSz w:w="11910" w:h="16840"/>
          <w:pgMar w:header="745" w:footer="979" w:top="1060" w:bottom="1160" w:left="980" w:right="88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3"/>
          <w:szCs w:val="13"/>
        </w:rPr>
      </w:pPr>
    </w:p>
    <w:p>
      <w:pPr>
        <w:spacing w:before="14"/>
        <w:ind w:left="152" w:right="1134" w:firstLine="0"/>
        <w:jc w:val="left"/>
        <w:rPr>
          <w:rFonts w:ascii="宋体" w:hAnsi="宋体" w:cs="宋体" w:eastAsia="宋体" w:hint="default"/>
          <w:sz w:val="28"/>
          <w:szCs w:val="28"/>
        </w:rPr>
      </w:pPr>
      <w:r>
        <w:rPr>
          <w:rFonts w:ascii="宋体" w:hAnsi="宋体" w:cs="宋体" w:eastAsia="宋体" w:hint="default"/>
          <w:b/>
          <w:bCs/>
          <w:w w:val="99"/>
          <w:sz w:val="28"/>
          <w:szCs w:val="28"/>
        </w:rPr>
        <w:t>送</w:t>
      </w:r>
      <w:r>
        <w:rPr>
          <w:rFonts w:ascii="宋体" w:hAnsi="宋体" w:cs="宋体" w:eastAsia="宋体" w:hint="default"/>
          <w:b/>
          <w:bCs/>
          <w:spacing w:val="2"/>
          <w:w w:val="99"/>
          <w:sz w:val="28"/>
          <w:szCs w:val="28"/>
        </w:rPr>
        <w:t>红</w:t>
      </w:r>
      <w:r>
        <w:rPr>
          <w:rFonts w:ascii="宋体" w:hAnsi="宋体" w:cs="宋体" w:eastAsia="宋体" w:hint="default"/>
          <w:b/>
          <w:bCs/>
          <w:w w:val="99"/>
          <w:sz w:val="28"/>
          <w:szCs w:val="28"/>
        </w:rPr>
        <w:t>股</w:t>
      </w:r>
      <w:r>
        <w:rPr>
          <w:rFonts w:ascii="宋体" w:hAnsi="宋体" w:cs="宋体" w:eastAsia="宋体" w:hint="default"/>
          <w:b/>
          <w:bCs/>
          <w:spacing w:val="-71"/>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（含税</w:t>
      </w:r>
      <w:r>
        <w:rPr>
          <w:rFonts w:ascii="宋体" w:hAnsi="宋体" w:cs="宋体" w:eastAsia="宋体" w:hint="default"/>
          <w:b/>
          <w:bCs/>
          <w:spacing w:val="-142"/>
          <w:w w:val="99"/>
          <w:sz w:val="28"/>
          <w:szCs w:val="28"/>
        </w:rPr>
        <w:t>）</w:t>
      </w:r>
      <w:r>
        <w:rPr>
          <w:rFonts w:ascii="宋体" w:hAnsi="宋体" w:cs="宋体" w:eastAsia="宋体" w:hint="default"/>
          <w:b/>
          <w:bCs/>
          <w:w w:val="99"/>
          <w:sz w:val="28"/>
          <w:szCs w:val="28"/>
        </w:rPr>
        <w:t>，以</w:t>
      </w:r>
      <w:r>
        <w:rPr>
          <w:rFonts w:ascii="宋体" w:hAnsi="宋体" w:cs="宋体" w:eastAsia="宋体" w:hint="default"/>
          <w:b/>
          <w:bCs/>
          <w:spacing w:val="2"/>
          <w:w w:val="99"/>
          <w:sz w:val="28"/>
          <w:szCs w:val="28"/>
        </w:rPr>
        <w:t>资</w:t>
      </w:r>
      <w:r>
        <w:rPr>
          <w:rFonts w:ascii="宋体" w:hAnsi="宋体" w:cs="宋体" w:eastAsia="宋体" w:hint="default"/>
          <w:b/>
          <w:bCs/>
          <w:w w:val="99"/>
          <w:sz w:val="28"/>
          <w:szCs w:val="28"/>
        </w:rPr>
        <w:t>本公积金向全体</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股转增</w:t>
      </w:r>
      <w:r>
        <w:rPr>
          <w:rFonts w:ascii="宋体" w:hAnsi="宋体" w:cs="宋体" w:eastAsia="宋体" w:hint="default"/>
          <w:b/>
          <w:bCs/>
          <w:spacing w:val="-70"/>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10" w:h="16840"/>
          <w:pgMar w:header="745" w:footer="979"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5"/>
        <w:ind w:left="3686" w:right="3686"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0">
            <w:r>
              <w:rPr/>
              <w:t>第一节</w:t>
            </w:r>
            <w:r>
              <w:rPr>
                <w:spacing w:val="-18"/>
              </w:rPr>
              <w:t> </w:t>
            </w:r>
            <w:r>
              <w:rPr/>
              <w:t>重要提示、目录和释义</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第二节</w:t>
            </w:r>
            <w:r>
              <w:rPr>
                <w:spacing w:val="-18"/>
              </w:rPr>
              <w:t> </w:t>
            </w:r>
            <w:r>
              <w:rPr/>
              <w:t>公司简介和主要财务指标</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第三节</w:t>
            </w:r>
            <w:r>
              <w:rPr>
                <w:spacing w:val="-18"/>
              </w:rPr>
              <w:t> </w:t>
            </w:r>
            <w:r>
              <w:rPr/>
              <w:t>公司业务概要</w:t>
            </w:r>
            <w:r>
              <w:rPr>
                <w:rFonts w:ascii="Times New Roman" w:hAnsi="Times New Roman" w:cs="Times New Roman" w:eastAsia="Times New Roman" w:hint="default"/>
              </w:rPr>
              <w:tab/>
              <w:t>19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第四节</w:t>
            </w:r>
            <w:r>
              <w:rPr>
                <w:spacing w:val="-18"/>
              </w:rPr>
              <w:t> </w:t>
            </w:r>
            <w:r>
              <w:rPr/>
              <w:t>管理层讨论与分析</w:t>
            </w:r>
            <w:r>
              <w:rPr>
                <w:rFonts w:ascii="Times New Roman" w:hAnsi="Times New Roman" w:cs="Times New Roman" w:eastAsia="Times New Roman" w:hint="default"/>
              </w:rPr>
              <w:tab/>
              <w:t>38</w:t>
            </w:r>
            <w:r>
              <w:rPr>
                <w:rFonts w:ascii="Times New Roman" w:hAnsi="Times New Roman" w:cs="Times New Roman" w:eastAsia="Times New Roman" w:hint="default"/>
                <w:b w:val="0"/>
                <w:bCs w:val="0"/>
              </w:rPr>
            </w:r>
          </w:hyperlink>
        </w:p>
        <w:p>
          <w:pPr>
            <w:pStyle w:val="TOC1"/>
            <w:tabs>
              <w:tab w:pos="9766"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第五节</w:t>
            </w:r>
            <w:r>
              <w:rPr>
                <w:spacing w:val="-18"/>
              </w:rPr>
              <w:t> </w:t>
            </w:r>
            <w:r>
              <w:rPr/>
              <w:t>重要事项</w:t>
            </w:r>
            <w:r>
              <w:rPr>
                <w:rFonts w:ascii="Times New Roman" w:hAnsi="Times New Roman" w:cs="Times New Roman" w:eastAsia="Times New Roman" w:hint="default"/>
              </w:rPr>
              <w:tab/>
            </w:r>
            <w:r>
              <w:rPr>
                <w:rFonts w:ascii="Times New Roman" w:hAnsi="Times New Roman" w:cs="Times New Roman" w:eastAsia="Times New Roman" w:hint="default"/>
                <w:spacing w:val="-15"/>
              </w:rPr>
              <w:t>111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第六节</w:t>
            </w:r>
            <w:r>
              <w:rPr>
                <w:spacing w:val="-18"/>
              </w:rPr>
              <w:t> </w:t>
            </w:r>
            <w:r>
              <w:rPr/>
              <w:t>股份变动及股东情况</w:t>
            </w:r>
            <w:r>
              <w:rPr>
                <w:rFonts w:ascii="Times New Roman" w:hAnsi="Times New Roman" w:cs="Times New Roman" w:eastAsia="Times New Roman" w:hint="default"/>
              </w:rPr>
              <w:tab/>
              <w:t>121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第七节</w:t>
            </w:r>
            <w:r>
              <w:rPr>
                <w:spacing w:val="-18"/>
              </w:rPr>
              <w:t> </w:t>
            </w:r>
            <w:r>
              <w:rPr/>
              <w:t>优先股相关情况</w:t>
            </w:r>
            <w:r>
              <w:rPr>
                <w:rFonts w:ascii="Times New Roman" w:hAnsi="Times New Roman" w:cs="Times New Roman" w:eastAsia="Times New Roman" w:hint="default"/>
              </w:rPr>
              <w:tab/>
              <w:t>121</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3">
            <w:r>
              <w:rPr/>
              <w:t>第八节</w:t>
            </w:r>
            <w:r>
              <w:rPr>
                <w:spacing w:val="-18"/>
              </w:rPr>
              <w:t> </w:t>
            </w:r>
            <w:r>
              <w:rPr/>
              <w:t>董事、监事、高级管理人员和员工情况</w:t>
            </w:r>
            <w:r>
              <w:rPr>
                <w:rFonts w:ascii="Times New Roman" w:hAnsi="Times New Roman" w:cs="Times New Roman" w:eastAsia="Times New Roman" w:hint="default"/>
              </w:rPr>
              <w:tab/>
              <w:t>122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第九节</w:t>
            </w:r>
            <w:r>
              <w:rPr>
                <w:spacing w:val="-18"/>
              </w:rPr>
              <w:t> </w:t>
            </w:r>
            <w:r>
              <w:rPr/>
              <w:t>公司治理</w:t>
            </w:r>
            <w:r>
              <w:rPr>
                <w:rFonts w:ascii="Times New Roman" w:hAnsi="Times New Roman" w:cs="Times New Roman" w:eastAsia="Times New Roman" w:hint="default"/>
              </w:rPr>
              <w:tab/>
              <w:t>130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第十节</w:t>
            </w:r>
            <w:r>
              <w:rPr>
                <w:spacing w:val="-18"/>
              </w:rPr>
              <w:t> </w:t>
            </w:r>
            <w:r>
              <w:rPr/>
              <w:t>财务报告</w:t>
            </w:r>
            <w:r>
              <w:rPr>
                <w:rFonts w:ascii="Times New Roman" w:hAnsi="Times New Roman" w:cs="Times New Roman" w:eastAsia="Times New Roman" w:hint="default"/>
              </w:rPr>
              <w:tab/>
              <w:t>136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第十一节</w:t>
            </w:r>
            <w:r>
              <w:rPr>
                <w:spacing w:val="-18"/>
              </w:rPr>
              <w:t> </w:t>
            </w:r>
            <w:r>
              <w:rPr/>
              <w:t>备查文件目录</w:t>
            </w:r>
            <w:r>
              <w:rPr>
                <w:rFonts w:ascii="Times New Roman" w:hAnsi="Times New Roman" w:cs="Times New Roman" w:eastAsia="Times New Roman" w:hint="default"/>
              </w:rPr>
              <w:tab/>
              <w:t>217</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5" w:footer="979" w:top="1060" w:bottom="1160" w:left="980" w:right="980"/>
        </w:sectPr>
      </w:pPr>
    </w:p>
    <w:p>
      <w:pPr>
        <w:spacing w:before="945"/>
        <w:ind w:left="3686" w:right="3686"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公司、本公司、上市公司、光环新网</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北京光环新网科技股份有限公司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光环金网</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北京光环金网科技有限公司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光环云谷</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9" w:lineRule="auto" w:before="49"/>
              <w:ind w:left="28" w:right="20"/>
              <w:jc w:val="left"/>
              <w:rPr>
                <w:rFonts w:ascii="宋体" w:hAnsi="宋体" w:cs="宋体" w:eastAsia="宋体" w:hint="default"/>
                <w:sz w:val="18"/>
                <w:szCs w:val="18"/>
              </w:rPr>
            </w:pPr>
            <w:r>
              <w:rPr>
                <w:rFonts w:ascii="宋体" w:hAnsi="宋体" w:cs="宋体" w:eastAsia="宋体" w:hint="default"/>
                <w:spacing w:val="-2"/>
                <w:sz w:val="18"/>
                <w:szCs w:val="18"/>
              </w:rPr>
              <w:t>光环云谷科技有限公司，前身为廊坊开发区华瑞信通网络技术有限公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w:t>
            </w:r>
          </w:p>
        </w:tc>
      </w:tr>
      <w:tr>
        <w:trPr>
          <w:trHeight w:val="392"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西安博凯、博凯创达</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西安博凯创达数字科技有限公司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瑞科新网</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北京瑞科新网科技有限公司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光环新网（上海）</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光环新网（上海）信息服务有限公司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德信致远</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北京德信致远科技有限公司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科信盛彩</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北京科信盛彩置业有限公司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亚太中立</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北京亚太中立信息技术有限公司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上年同期</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中兴华</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中兴华会计师事务所（特殊普通合伙）</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百汇达</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北京百汇达投资管理有限公司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蓝沧科技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北京蓝沧科技有限公司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红杉资本、天津红杉</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天津红杉资本投资基金中心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中金云网</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20"/>
              <w:jc w:val="left"/>
              <w:rPr>
                <w:rFonts w:ascii="宋体" w:hAnsi="宋体" w:cs="宋体" w:eastAsia="宋体" w:hint="default"/>
                <w:sz w:val="18"/>
                <w:szCs w:val="18"/>
              </w:rPr>
            </w:pPr>
            <w:r>
              <w:rPr>
                <w:rFonts w:ascii="宋体" w:hAnsi="宋体" w:cs="宋体" w:eastAsia="宋体" w:hint="default"/>
                <w:spacing w:val="-2"/>
                <w:sz w:val="18"/>
                <w:szCs w:val="18"/>
              </w:rPr>
              <w:t>北京中金云网科技有限公司，公司报告期内拟以发行股份及支付现金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方式购买资产的标的公司之一。</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09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中金云网全体股东</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20"/>
              <w:jc w:val="both"/>
              <w:rPr>
                <w:rFonts w:ascii="宋体" w:hAnsi="宋体" w:cs="宋体" w:eastAsia="宋体" w:hint="default"/>
                <w:sz w:val="18"/>
                <w:szCs w:val="18"/>
              </w:rPr>
            </w:pPr>
            <w:r>
              <w:rPr>
                <w:rFonts w:ascii="宋体" w:hAnsi="宋体" w:cs="宋体" w:eastAsia="宋体" w:hint="default"/>
                <w:spacing w:val="-2"/>
                <w:sz w:val="18"/>
                <w:szCs w:val="18"/>
              </w:rPr>
              <w:t>中金盛世投资有限公司、深圳市天图兴瑞创业投资有限公司、江苏国</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3"/>
                <w:sz w:val="18"/>
                <w:szCs w:val="18"/>
              </w:rPr>
              <w:t>投衡盈创业投资中心（有限合伙）、天津天图兴盛股权投资基金合伙</w:t>
            </w:r>
            <w:r>
              <w:rPr>
                <w:rFonts w:ascii="宋体" w:hAnsi="宋体" w:cs="宋体" w:eastAsia="宋体" w:hint="default"/>
                <w:sz w:val="18"/>
                <w:szCs w:val="18"/>
              </w:rPr>
              <w:t> </w:t>
            </w:r>
            <w:r>
              <w:rPr>
                <w:rFonts w:ascii="宋体" w:hAnsi="宋体" w:cs="宋体" w:eastAsia="宋体" w:hint="default"/>
                <w:spacing w:val="-7"/>
                <w:sz w:val="18"/>
                <w:szCs w:val="18"/>
              </w:rPr>
              <w:t>企业（有限合伙）、北京利源顶盛投资管理中心（有限合伙）、北京宇</w:t>
            </w:r>
            <w:r>
              <w:rPr>
                <w:rFonts w:ascii="宋体" w:hAnsi="宋体" w:cs="宋体" w:eastAsia="宋体" w:hint="default"/>
                <w:sz w:val="18"/>
                <w:szCs w:val="18"/>
              </w:rPr>
              <w:t> </w:t>
            </w:r>
            <w:r>
              <w:rPr>
                <w:rFonts w:ascii="宋体" w:hAnsi="宋体" w:cs="宋体" w:eastAsia="宋体" w:hint="default"/>
                <w:spacing w:val="-3"/>
                <w:sz w:val="18"/>
                <w:szCs w:val="18"/>
              </w:rPr>
              <w:t>扬锦达投资管理中心（有限合伙）、北京卓程达投资管理中心（有限</w:t>
            </w:r>
            <w:r>
              <w:rPr>
                <w:rFonts w:ascii="宋体" w:hAnsi="宋体" w:cs="宋体" w:eastAsia="宋体" w:hint="default"/>
                <w:sz w:val="18"/>
                <w:szCs w:val="18"/>
              </w:rPr>
              <w:t> </w:t>
            </w:r>
            <w:r>
              <w:rPr>
                <w:rFonts w:ascii="宋体" w:hAnsi="宋体" w:cs="宋体" w:eastAsia="宋体" w:hint="default"/>
                <w:spacing w:val="-7"/>
                <w:sz w:val="18"/>
                <w:szCs w:val="18"/>
              </w:rPr>
              <w:t>合伙）、深圳天图股权投资基金管理企业（有限合伙）、北京利扬盛达</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投资管理中心（有限合伙）、杨雨、徐庆良、徐厚华、车志远、高淑</w:t>
            </w:r>
            <w:r>
              <w:rPr>
                <w:rFonts w:ascii="宋体" w:hAnsi="宋体" w:cs="宋体" w:eastAsia="宋体" w:hint="default"/>
                <w:sz w:val="18"/>
                <w:szCs w:val="18"/>
              </w:rPr>
              <w:t> </w:t>
            </w:r>
            <w:r>
              <w:rPr>
                <w:rFonts w:ascii="宋体" w:hAnsi="宋体" w:cs="宋体" w:eastAsia="宋体" w:hint="default"/>
                <w:spacing w:val="-2"/>
                <w:sz w:val="18"/>
                <w:szCs w:val="18"/>
              </w:rPr>
              <w:t>杰、王有昌、黄玉珍、赵忠彬、何长津、王德宁、杨俊杰、陈静、郑</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善伟、唐征卫、申海山、许小平</w:t>
            </w:r>
          </w:p>
        </w:tc>
      </w:tr>
      <w:tr>
        <w:trPr>
          <w:trHeight w:val="391"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097"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无双科技</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20"/>
              <w:jc w:val="left"/>
              <w:rPr>
                <w:rFonts w:ascii="宋体" w:hAnsi="宋体" w:cs="宋体" w:eastAsia="宋体" w:hint="default"/>
                <w:sz w:val="18"/>
                <w:szCs w:val="18"/>
              </w:rPr>
            </w:pPr>
            <w:r>
              <w:rPr>
                <w:rFonts w:ascii="宋体" w:hAnsi="宋体" w:cs="宋体" w:eastAsia="宋体" w:hint="default"/>
                <w:spacing w:val="-2"/>
                <w:sz w:val="18"/>
                <w:szCs w:val="18"/>
              </w:rPr>
              <w:t>北京无双科技有限公司，公司报告期内拟以发行股份及支付现金方式</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购买资产的标的公司之一。</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无双科技全体股东</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施侃、冯天放、赵宇迪、香港超昂控股有限公司</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本次重大资产重组、本次交易、本次重组</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光环新网向交易对方发行股份及支付现金购买资产并募集配套资金</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交易对方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中金盛世等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名中金云网股东；施侃等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名无双科技股东</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525"/>
        <w:gridCol w:w="620"/>
        <w:gridCol w:w="5425"/>
      </w:tblGrid>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中金盛世</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中金盛世投资有限公司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天图兴瑞</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深圳市天图兴瑞创业投资有限公司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江苏国投</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江苏国投衡盈创业投资中心（有限合伙）</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天图兴盛</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天津天图兴盛股权投资基金合伙企业（有限合伙）</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利源顶盛</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北京利源顶盛投资管理中心（有限合伙）</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宇扬锦达</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北京宇扬锦达投资管理中心（有限合伙）</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卓程达</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北京卓程达投资管理中心（有限合伙）</w:t>
            </w:r>
          </w:p>
        </w:tc>
      </w:tr>
      <w:tr>
        <w:trPr>
          <w:trHeight w:val="71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深圳天图</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深圳天图投资管理有限公司（现已更名为深圳天图投资管理股份有限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天图投资</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深圳天图股权投资基金管理企业（有限合伙）</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利扬盛达</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北京利扬盛达投资管理中心（有限合伙）</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中金数据</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中金数据系统有限公司</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《新股发行意见》</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2"/>
                <w:sz w:val="18"/>
                <w:szCs w:val="18"/>
              </w:rPr>
              <w:t>《中国证监会关于进一步推进新股发行体制改革的意见》证监会公告</w:t>
            </w:r>
          </w:p>
          <w:p>
            <w:pPr>
              <w:pStyle w:val="TableParagraph"/>
              <w:spacing w:line="240" w:lineRule="auto" w:before="7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中国证监会、证监会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left="2642" w:right="1134"/>
        <w:jc w:val="left"/>
        <w:rPr>
          <w:b w:val="0"/>
          <w:bCs w:val="0"/>
        </w:rPr>
      </w:pPr>
      <w:bookmarkStart w:name="_TOC_250009" w:id="2"/>
      <w:r>
        <w:rPr/>
        <w:t>第二节</w:t>
      </w:r>
      <w:r>
        <w:rPr>
          <w:spacing w:val="-5"/>
        </w:rPr>
        <w:t> </w:t>
      </w:r>
      <w:r>
        <w:rPr/>
        <w:t>公司简介和主要财务指标</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4"/>
        <w:jc w:val="left"/>
        <w:rPr>
          <w:b w:val="0"/>
          <w:bCs w:val="0"/>
        </w:rPr>
      </w:pPr>
      <w:r>
        <w:rPr/>
        <w:pict>
          <v:group style="position:absolute;margin-left:172.339996pt;margin-top:114.705597pt;width:361.55pt;height:19.7pt;mso-position-horizontal-relative:page;mso-position-vertical-relative:paragraph;z-index:-1593736" coordorigin="3447,2294" coordsize="7231,394">
            <v:shape style="position:absolute;left:3447;top:2294;width:7231;height:394" coordorigin="3447,2294" coordsize="7231,394" path="m3447,2688l10677,2688,10677,2294,3447,2294,3447,2688xe" filled="true" fillcolor="#ffffff" stroked="false">
              <v:path arrowok="t"/>
              <v:fill type="solid"/>
            </v:shape>
            <w10:wrap type="none"/>
          </v:group>
        </w:pict>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66"/>
        <w:gridCol w:w="2154"/>
        <w:gridCol w:w="2177"/>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光环新网</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300383</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北京光环新网科技股份有限公司</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光环新网</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Beijing Sinnet Technology Co.,</w:t>
            </w:r>
            <w:r>
              <w:rPr>
                <w:rFonts w:ascii="Times New Roman"/>
                <w:spacing w:val="-27"/>
                <w:sz w:val="18"/>
              </w:rPr>
              <w:t> </w:t>
            </w:r>
            <w:r>
              <w:rPr>
                <w:rFonts w:ascii="Times New Roman"/>
                <w:sz w:val="18"/>
              </w:rPr>
              <w:t>Ltd</w:t>
            </w:r>
          </w:p>
        </w:tc>
      </w:tr>
      <w:tr>
        <w:trPr>
          <w:trHeight w:val="403"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Sinnet</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耿殿根</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北京市门头沟区石龙经济开发区永安路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号楼二层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102300</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北京市东城区东中街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号东环广场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2A</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100027</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www.sinnet.com.cn</w:t>
              </w:r>
            </w:hyperlink>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i_r@sinnet.com.cn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34"/>
        <w:jc w:val="left"/>
        <w:rPr>
          <w:b w:val="0"/>
          <w:bCs w:val="0"/>
        </w:rPr>
      </w:pP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陈静</w:t>
            </w:r>
          </w:p>
        </w:tc>
      </w:tr>
      <w:tr>
        <w:trPr>
          <w:trHeight w:val="161" w:hRule="exact"/>
        </w:trPr>
        <w:tc>
          <w:tcPr>
            <w:tcW w:w="3168"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1" w:type="dxa"/>
            <w:vMerge w:val="restart"/>
            <w:tcBorders>
              <w:top w:val="single" w:sz="4" w:space="0" w:color="000000"/>
              <w:left w:val="single" w:sz="9" w:space="0" w:color="D2D2D2"/>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北京市东城区东中街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号东环广场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座</w:t>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2A</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北京市东城区东中街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号东环广场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座</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2A</w:t>
            </w:r>
          </w:p>
        </w:tc>
      </w:tr>
      <w:tr>
        <w:trPr>
          <w:trHeight w:val="391" w:hRule="exact"/>
        </w:trPr>
        <w:tc>
          <w:tcPr>
            <w:tcW w:w="31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68"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1"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010-64183433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010-64183433</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010-64181819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010-64181819</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i_r@sinnet.com.cn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i_r@sinnet.com.cn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34"/>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证券时报、上海证券报、中国证券报</w:t>
            </w:r>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line="240" w:lineRule="auto" w:before="1"/>
        <w:rPr>
          <w:rFonts w:ascii="宋体" w:hAnsi="宋体" w:cs="宋体" w:eastAsia="宋体" w:hint="default"/>
          <w:b/>
          <w:bCs/>
          <w:sz w:val="18"/>
          <w:szCs w:val="18"/>
        </w:rPr>
      </w:pPr>
    </w:p>
    <w:p>
      <w:pPr>
        <w:pStyle w:val="Heading2"/>
        <w:spacing w:line="240" w:lineRule="auto" w:before="26"/>
        <w:ind w:right="1134"/>
        <w:jc w:val="left"/>
        <w:rPr>
          <w:b w:val="0"/>
          <w:bCs w:val="0"/>
        </w:rPr>
      </w:pP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4"/>
        <w:jc w:val="left"/>
      </w:pPr>
      <w:r>
        <w:rPr/>
        <w:t>公司聘请的会计师事务所</w:t>
      </w:r>
    </w:p>
    <w:p>
      <w:pPr>
        <w:spacing w:after="0" w:line="240" w:lineRule="auto"/>
        <w:jc w:val="lef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中兴华会计师事务所（特殊普通合伙）</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北京市西城区阜外大街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号四川大厦东座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层</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谢维、袁冬梅</w:t>
            </w:r>
          </w:p>
        </w:tc>
      </w:tr>
    </w:tbl>
    <w:p>
      <w:pPr>
        <w:pStyle w:val="BodyText"/>
        <w:spacing w:line="240" w:lineRule="auto" w:before="49"/>
        <w:ind w:right="1134"/>
        <w:jc w:val="left"/>
      </w:pPr>
      <w:r>
        <w:rPr/>
        <w:t>公司聘请的报告期内履行持续督导职责的保荐机构</w:t>
      </w:r>
    </w:p>
    <w:p>
      <w:pPr>
        <w:pStyle w:val="BodyText"/>
        <w:spacing w:line="240" w:lineRule="auto" w:before="115"/>
        <w:ind w:right="1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西南证券股份有限公司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01"/>
              <w:jc w:val="left"/>
              <w:rPr>
                <w:rFonts w:ascii="宋体" w:hAnsi="宋体" w:cs="宋体" w:eastAsia="宋体" w:hint="default"/>
                <w:sz w:val="18"/>
                <w:szCs w:val="18"/>
              </w:rPr>
            </w:pPr>
            <w:r>
              <w:rPr>
                <w:rFonts w:ascii="宋体" w:hAnsi="宋体" w:cs="宋体" w:eastAsia="宋体" w:hint="default"/>
                <w:sz w:val="18"/>
                <w:szCs w:val="18"/>
              </w:rPr>
              <w:t>北京市西城区金融大街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国际企业大厦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陈国潮、李皓</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49"/>
        <w:ind w:right="1134"/>
        <w:jc w:val="left"/>
      </w:pPr>
      <w:r>
        <w:rPr/>
        <w:t>公司聘请的报告期内履行持续督导职责的财务顾问</w:t>
      </w:r>
    </w:p>
    <w:p>
      <w:pPr>
        <w:pStyle w:val="BodyText"/>
        <w:spacing w:line="240" w:lineRule="auto" w:before="115"/>
        <w:ind w:right="1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4"/>
        <w:jc w:val="left"/>
        <w:rPr>
          <w:b w:val="0"/>
          <w:bCs w:val="0"/>
        </w:rPr>
      </w:pPr>
      <w:r>
        <w:rPr/>
        <w:t>五、主要会计数据和财务指标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4"/>
        <w:jc w:val="left"/>
      </w:pPr>
      <w:r>
        <w:rPr/>
        <w:t>公司是否因会计政策变更及会计差错更正等追溯调整或重述以前年度会计数据</w:t>
      </w:r>
    </w:p>
    <w:p>
      <w:pPr>
        <w:pStyle w:val="BodyText"/>
        <w:spacing w:line="240" w:lineRule="auto" w:before="115"/>
        <w:ind w:right="11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49"/>
        <w:gridCol w:w="1738"/>
        <w:gridCol w:w="1738"/>
        <w:gridCol w:w="1735"/>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591,530,413.09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434,543,129.87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36.13%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308,149,551.59</w:t>
            </w:r>
          </w:p>
        </w:tc>
      </w:tr>
      <w:tr>
        <w:trPr>
          <w:trHeight w:val="716"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113,588,409.62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95,184,364.67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19.34%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67,264,610.13</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94,908,418.31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95,143,603.22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-0.25%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67,041,511.57</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99,912,261.17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149,158,802.05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-33.02%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101,444,223.30</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0.15</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0.15</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15.51%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15.12%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0.39%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24.29%</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1,575,639,828.51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862,742,216.89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82.63%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451,812,272.85</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762,050,984.66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697,584,575.04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9.24%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307,965,940.37</w:t>
            </w:r>
          </w:p>
        </w:tc>
      </w:tr>
    </w:tbl>
    <w:p>
      <w:pPr>
        <w:spacing w:line="240" w:lineRule="auto" w:before="1"/>
        <w:rPr>
          <w:rFonts w:ascii="宋体" w:hAnsi="宋体" w:cs="宋体" w:eastAsia="宋体" w:hint="default"/>
          <w:sz w:val="18"/>
          <w:szCs w:val="18"/>
        </w:rPr>
      </w:pPr>
    </w:p>
    <w:p>
      <w:pPr>
        <w:pStyle w:val="Heading2"/>
        <w:spacing w:line="240" w:lineRule="auto" w:before="26"/>
        <w:ind w:right="1134"/>
        <w:jc w:val="left"/>
        <w:rPr>
          <w:b w:val="0"/>
          <w:bCs w:val="0"/>
        </w:rPr>
      </w:pPr>
      <w:r>
        <w:rPr/>
        <w:t>六、分季度主要财务指标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40"/>
        <w:gridCol w:w="1738"/>
        <w:gridCol w:w="1730"/>
      </w:tblGrid>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120,033,034.33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142,153,364.18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151,802,576.12</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177,541,438.46</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22,077,047.87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24,553,303.51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27,934,969.63</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39,023,088.61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0"/>
        <w:gridCol w:w="1741"/>
        <w:gridCol w:w="1740"/>
        <w:gridCol w:w="1738"/>
        <w:gridCol w:w="1730"/>
      </w:tblGrid>
      <w:tr>
        <w:trPr>
          <w:trHeight w:val="713" w:hRule="exact"/>
        </w:trPr>
        <w:tc>
          <w:tcPr>
            <w:tcW w:w="2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22,036,328.22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24,512,503.51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27,843,176.57</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20,516,410.01</w:t>
            </w:r>
          </w:p>
        </w:tc>
      </w:tr>
      <w:tr>
        <w:trPr>
          <w:trHeight w:val="403" w:hRule="exact"/>
        </w:trPr>
        <w:tc>
          <w:tcPr>
            <w:tcW w:w="2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-42,874,316.39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-11,854,656.67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66,130,452.75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88,510,781.48</w:t>
            </w:r>
          </w:p>
        </w:tc>
      </w:tr>
    </w:tbl>
    <w:p>
      <w:pPr>
        <w:pStyle w:val="BodyText"/>
        <w:spacing w:line="240" w:lineRule="auto" w:before="49"/>
        <w:ind w:right="1134"/>
        <w:jc w:val="left"/>
      </w:pPr>
      <w:r>
        <w:rPr/>
        <w:t>上述财务指标或其加总数是否与公司已披露季度报告、半年度报告相关财务指标存在重大差异</w:t>
      </w:r>
    </w:p>
    <w:p>
      <w:pPr>
        <w:pStyle w:val="BodyText"/>
        <w:spacing w:line="240" w:lineRule="auto" w:before="115"/>
        <w:ind w:right="11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1134"/>
        <w:jc w:val="left"/>
        <w:rPr>
          <w:b w:val="0"/>
          <w:bCs w:val="0"/>
        </w:rPr>
      </w:pP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4"/>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right="1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7"/>
        <w:rPr>
          <w:rFonts w:ascii="宋体" w:hAnsi="宋体" w:cs="宋体" w:eastAsia="宋体" w:hint="default"/>
          <w:sz w:val="21"/>
          <w:szCs w:val="21"/>
        </w:rPr>
      </w:pPr>
    </w:p>
    <w:p>
      <w:pPr>
        <w:pStyle w:val="Heading3"/>
        <w:spacing w:line="240" w:lineRule="auto"/>
        <w:ind w:right="1134"/>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16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8"/>
        <w:rPr>
          <w:rFonts w:ascii="宋体" w:hAnsi="宋体" w:cs="宋体" w:eastAsia="宋体" w:hint="default"/>
          <w:sz w:val="19"/>
          <w:szCs w:val="19"/>
        </w:rPr>
      </w:pPr>
    </w:p>
    <w:p>
      <w:pPr>
        <w:pStyle w:val="Heading2"/>
        <w:spacing w:line="240" w:lineRule="auto"/>
        <w:ind w:right="1134"/>
        <w:jc w:val="left"/>
        <w:rPr>
          <w:b w:val="0"/>
          <w:bCs w:val="0"/>
        </w:rPr>
      </w:pPr>
      <w:r>
        <w:rPr/>
        <w:t>八、非经常性损益项目及金额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-186.69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-137,461.29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-1,716.11</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21,959,000.00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197,000.00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195,000.00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-1,745.71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69,185.00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3,278,822.00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17,031.55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39,370.33</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18,679,991.31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40,761.45</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223,098.56</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3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1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1"/>
        <w:ind w:right="137"/>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470"/>
        <w:jc w:val="center"/>
        <w:rPr>
          <w:b w:val="0"/>
          <w:bCs w:val="0"/>
        </w:rPr>
      </w:pPr>
      <w:bookmarkStart w:name="_TOC_250008" w:id="3"/>
      <w:r>
        <w:rPr/>
        <w:t>第三节</w:t>
      </w:r>
      <w:r>
        <w:rPr>
          <w:spacing w:val="-6"/>
        </w:rPr>
        <w:t> </w:t>
      </w:r>
      <w:r>
        <w:rPr/>
        <w:t>公司业务概要</w:t>
      </w:r>
      <w:bookmarkEnd w:id="3"/>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06"/>
        <w:jc w:val="left"/>
        <w:rPr>
          <w:b w:val="0"/>
          <w:bCs w:val="0"/>
        </w:rPr>
      </w:pPr>
      <w:r>
        <w:rPr/>
        <w:t>一、报告期内公司从事的主要业务</w:t>
      </w:r>
      <w:r>
        <w:rPr>
          <w:b w:val="0"/>
          <w:bCs w:val="0"/>
        </w:rPr>
      </w:r>
    </w:p>
    <w:p>
      <w:pPr>
        <w:pStyle w:val="BodyText"/>
        <w:spacing w:line="470" w:lineRule="atLeast" w:before="109"/>
        <w:ind w:left="513" w:right="106"/>
        <w:jc w:val="left"/>
      </w:pPr>
      <w:r>
        <w:rPr>
          <w:rFonts w:ascii="宋体" w:hAnsi="宋体" w:cs="宋体" w:eastAsia="宋体" w:hint="default"/>
        </w:rPr>
        <w:t>1</w:t>
      </w:r>
      <w:r>
        <w:rPr/>
        <w:t>、公司的主要业务 </w:t>
      </w:r>
      <w:r>
        <w:rPr>
          <w:spacing w:val="-8"/>
        </w:rPr>
        <w:t>光环新网是业界领先的互联网综合服务提供商，主营业务为互联网数据中心服务（</w:t>
      </w:r>
      <w:r>
        <w:rPr>
          <w:rFonts w:ascii="宋体" w:hAnsi="宋体" w:cs="宋体" w:eastAsia="宋体" w:hint="default"/>
          <w:spacing w:val="-8"/>
        </w:rPr>
        <w:t>IDC</w:t>
      </w:r>
      <w:r>
        <w:rPr>
          <w:spacing w:val="-8"/>
        </w:rPr>
        <w:t>及其增值服务、</w:t>
      </w:r>
      <w:r>
        <w:rPr>
          <w:rFonts w:ascii="宋体" w:hAnsi="宋体" w:cs="宋体" w:eastAsia="宋体" w:hint="default"/>
          <w:spacing w:val="-8"/>
        </w:rPr>
        <w:t>IDC</w:t>
      </w:r>
      <w:r>
        <w:rPr>
          <w:spacing w:val="-8"/>
        </w:rPr>
        <w:t>运营管理服务）、</w:t>
      </w:r>
      <w:r>
        <w:rPr/>
      </w:r>
    </w:p>
    <w:p>
      <w:pPr>
        <w:pStyle w:val="BodyText"/>
        <w:spacing w:line="240" w:lineRule="auto" w:before="76"/>
        <w:ind w:right="106"/>
        <w:jc w:val="left"/>
      </w:pPr>
      <w:r>
        <w:rPr/>
        <w:t>互联网宽带接入服务（</w:t>
      </w:r>
      <w:r>
        <w:rPr>
          <w:rFonts w:ascii="宋体" w:hAnsi="宋体" w:cs="宋体" w:eastAsia="宋体" w:hint="default"/>
        </w:rPr>
        <w:t>ISP</w:t>
      </w:r>
      <w:r>
        <w:rPr/>
        <w:t>）以及云计算等互联网综合服务，是北京最具影响力的互联网服务商之一。</w:t>
      </w:r>
    </w:p>
    <w:p>
      <w:pPr>
        <w:spacing w:line="240" w:lineRule="auto" w:before="10"/>
        <w:rPr>
          <w:rFonts w:ascii="宋体" w:hAnsi="宋体" w:cs="宋体" w:eastAsia="宋体" w:hint="default"/>
          <w:sz w:val="17"/>
          <w:szCs w:val="17"/>
        </w:rPr>
      </w:pPr>
    </w:p>
    <w:p>
      <w:pPr>
        <w:pStyle w:val="BodyText"/>
        <w:spacing w:line="319" w:lineRule="auto"/>
        <w:ind w:right="191" w:firstLine="360"/>
        <w:jc w:val="both"/>
      </w:pPr>
      <w:r>
        <w:rPr/>
        <w:t>互联网数据中心业务（</w:t>
      </w:r>
      <w:r>
        <w:rPr>
          <w:rFonts w:ascii="宋体" w:hAnsi="宋体" w:cs="宋体" w:eastAsia="宋体" w:hint="default"/>
        </w:rPr>
        <w:t>Internet</w:t>
      </w:r>
      <w:r>
        <w:rPr>
          <w:rFonts w:ascii="宋体" w:hAnsi="宋体" w:cs="宋体" w:eastAsia="宋体" w:hint="default"/>
          <w:spacing w:val="-44"/>
        </w:rPr>
        <w:t> </w:t>
      </w:r>
      <w:r>
        <w:rPr>
          <w:rFonts w:ascii="宋体" w:hAnsi="宋体" w:cs="宋体" w:eastAsia="宋体" w:hint="default"/>
        </w:rPr>
        <w:t>Data</w:t>
      </w:r>
      <w:r>
        <w:rPr>
          <w:rFonts w:ascii="宋体" w:hAnsi="宋体" w:cs="宋体" w:eastAsia="宋体" w:hint="default"/>
          <w:spacing w:val="-44"/>
        </w:rPr>
        <w:t> </w:t>
      </w:r>
      <w:r>
        <w:rPr>
          <w:rFonts w:ascii="宋体" w:hAnsi="宋体" w:cs="宋体" w:eastAsia="宋体" w:hint="default"/>
        </w:rPr>
        <w:t>Center</w:t>
      </w:r>
      <w:r>
        <w:rPr/>
        <w:t>），是伴随着互联网发展而兴起的服务器托管、租用、运维以及网络接入 服务的业务。公司</w:t>
      </w:r>
      <w:r>
        <w:rPr>
          <w:rFonts w:ascii="宋体" w:hAnsi="宋体" w:cs="宋体" w:eastAsia="宋体" w:hint="default"/>
        </w:rPr>
        <w:t>IDC</w:t>
      </w:r>
      <w:r>
        <w:rPr/>
        <w:t>业务已经具有十几年的运营经验，时刻紧跟互联网技术发展趋势，保持技术优势，服务能力已达到国 </w:t>
      </w:r>
      <w:r>
        <w:rPr>
          <w:spacing w:val="-5"/>
        </w:rPr>
        <w:t>际先进水平。公司目前在北京及周边地区正在运营的数据中心有东直门、酒仙桥、亦庄、燕郊一期等多处高品质的数据中心，</w:t>
      </w:r>
      <w:r>
        <w:rPr>
          <w:spacing w:val="-77"/>
        </w:rPr>
        <w:t> </w:t>
      </w:r>
      <w:r>
        <w:rPr>
          <w:spacing w:val="-77"/>
        </w:rPr>
      </w:r>
      <w:r>
        <w:rPr>
          <w:spacing w:val="-4"/>
        </w:rPr>
        <w:t>同时公司积极推进</w:t>
      </w:r>
      <w:r>
        <w:rPr>
          <w:rFonts w:ascii="宋体" w:hAnsi="宋体" w:cs="宋体" w:eastAsia="宋体" w:hint="default"/>
          <w:spacing w:val="-4"/>
        </w:rPr>
        <w:t>IDC</w:t>
      </w:r>
      <w:r>
        <w:rPr>
          <w:spacing w:val="-4"/>
        </w:rPr>
        <w:t>全国战略布局，上海嘉定绿色云计算基地、科信盛彩亦庄绿色云计算基地项目的建设正在积极进行中，</w:t>
      </w:r>
      <w:r>
        <w:rPr>
          <w:spacing w:val="-41"/>
        </w:rPr>
        <w:t> </w:t>
      </w:r>
      <w:r>
        <w:rPr>
          <w:spacing w:val="-41"/>
        </w:rPr>
      </w:r>
      <w:r>
        <w:rPr/>
        <w:t>并且启动了房山绿色云计算基地及燕郊二期绿色云计算基地的建设。上述在建项目全部达产后，公司将拥有超过</w:t>
      </w:r>
      <w:r>
        <w:rPr>
          <w:rFonts w:ascii="宋体" w:hAnsi="宋体" w:cs="宋体" w:eastAsia="宋体" w:hint="default"/>
        </w:rPr>
        <w:t>4</w:t>
      </w:r>
      <w:r>
        <w:rPr/>
        <w:t>万个机柜 的服务能力，充分满足全国云计算用户的各层次需求。</w:t>
      </w:r>
    </w:p>
    <w:p>
      <w:pPr>
        <w:spacing w:line="240" w:lineRule="auto" w:before="3"/>
        <w:rPr>
          <w:rFonts w:ascii="宋体" w:hAnsi="宋体" w:cs="宋体" w:eastAsia="宋体" w:hint="default"/>
          <w:sz w:val="13"/>
          <w:szCs w:val="13"/>
        </w:rPr>
      </w:pPr>
    </w:p>
    <w:p>
      <w:pPr>
        <w:pStyle w:val="BodyText"/>
        <w:spacing w:line="316" w:lineRule="auto"/>
        <w:ind w:right="191" w:firstLine="360"/>
        <w:jc w:val="both"/>
      </w:pPr>
      <w:r>
        <w:rPr/>
        <w:t>互联网宽带接入（</w:t>
      </w:r>
      <w:r>
        <w:rPr>
          <w:rFonts w:ascii="宋体" w:hAnsi="宋体" w:cs="宋体" w:eastAsia="宋体" w:hint="default"/>
        </w:rPr>
        <w:t>Internet Service</w:t>
      </w:r>
      <w:r>
        <w:rPr>
          <w:rFonts w:ascii="宋体" w:hAnsi="宋体" w:cs="宋体" w:eastAsia="宋体" w:hint="default"/>
          <w:spacing w:val="-8"/>
        </w:rPr>
        <w:t> </w:t>
      </w:r>
      <w:r>
        <w:rPr>
          <w:rFonts w:ascii="宋体" w:hAnsi="宋体" w:cs="宋体" w:eastAsia="宋体" w:hint="default"/>
        </w:rPr>
        <w:t>Provider</w:t>
      </w:r>
      <w:r>
        <w:rPr/>
        <w:t>），主要指通过电话线、电缆、光纤等各种传输手段向用户提供将计算 </w:t>
      </w:r>
      <w:r>
        <w:rPr>
          <w:spacing w:val="-2"/>
        </w:rPr>
        <w:t>机或者其他终端设备接入互联网的服务。作为北京专业的互联网接入服务商，公司拥有近</w:t>
      </w:r>
      <w:r>
        <w:rPr>
          <w:rFonts w:ascii="宋体" w:hAnsi="宋体" w:cs="宋体" w:eastAsia="宋体" w:hint="default"/>
          <w:spacing w:val="-2"/>
        </w:rPr>
        <w:t>3000</w:t>
      </w:r>
      <w:r>
        <w:rPr>
          <w:spacing w:val="-2"/>
        </w:rPr>
        <w:t>公里光纤线路资源，光纤城域</w:t>
      </w:r>
      <w:r>
        <w:rPr>
          <w:spacing w:val="-62"/>
        </w:rPr>
        <w:t> </w:t>
      </w:r>
      <w:r>
        <w:rPr>
          <w:spacing w:val="-62"/>
        </w:rPr>
      </w:r>
      <w:r>
        <w:rPr>
          <w:spacing w:val="-2"/>
        </w:rPr>
        <w:t>网和光纤链路资源遍布北京市城八区和重要科技园区及部分近郊区县。为顺应云计算市场未来的发展趋势和市场前景，公司</w:t>
      </w:r>
      <w:r>
        <w:rPr>
          <w:spacing w:val="-62"/>
        </w:rPr>
        <w:t> </w:t>
      </w:r>
      <w:r>
        <w:rPr>
          <w:spacing w:val="-62"/>
        </w:rPr>
      </w:r>
      <w:r>
        <w:rPr/>
        <w:t>已逐步将经营重点转向技术密集且利润率更高的</w:t>
      </w:r>
      <w:r>
        <w:rPr>
          <w:rFonts w:ascii="宋体" w:hAnsi="宋体" w:cs="宋体" w:eastAsia="宋体" w:hint="default"/>
        </w:rPr>
        <w:t>IDC</w:t>
      </w:r>
      <w:r>
        <w:rPr/>
        <w:t>业务及云计算业务方面。</w:t>
      </w:r>
    </w:p>
    <w:p>
      <w:pPr>
        <w:spacing w:line="240" w:lineRule="auto" w:before="5"/>
        <w:rPr>
          <w:rFonts w:ascii="宋体" w:hAnsi="宋体" w:cs="宋体" w:eastAsia="宋体" w:hint="default"/>
          <w:sz w:val="13"/>
          <w:szCs w:val="13"/>
        </w:rPr>
      </w:pPr>
    </w:p>
    <w:p>
      <w:pPr>
        <w:pStyle w:val="BodyText"/>
        <w:spacing w:line="316" w:lineRule="auto"/>
        <w:ind w:right="106" w:firstLine="360"/>
        <w:jc w:val="left"/>
      </w:pPr>
      <w:r>
        <w:rPr>
          <w:spacing w:val="-2"/>
        </w:rPr>
        <w:t>云计算是一种通过</w:t>
      </w:r>
      <w:r>
        <w:rPr>
          <w:rFonts w:ascii="宋体" w:hAnsi="宋体" w:cs="宋体" w:eastAsia="宋体" w:hint="default"/>
          <w:spacing w:val="-2"/>
        </w:rPr>
        <w:t>Internet</w:t>
      </w:r>
      <w:r>
        <w:rPr>
          <w:spacing w:val="-2"/>
        </w:rPr>
        <w:t>以服务的方式提供动态可伸缩的虚拟化的资源的计算模式。狭义云计算指</w:t>
      </w:r>
      <w:r>
        <w:rPr>
          <w:rFonts w:ascii="宋体" w:hAnsi="宋体" w:cs="宋体" w:eastAsia="宋体" w:hint="default"/>
          <w:spacing w:val="-2"/>
        </w:rPr>
        <w:t>IT</w:t>
      </w:r>
      <w:r>
        <w:rPr>
          <w:spacing w:val="-2"/>
        </w:rPr>
        <w:t>基础设施的交付</w:t>
      </w:r>
      <w:r>
        <w:rPr/>
        <w:t> 和使用模式，指通过网络以按需、易扩展的方式获得所需资源；广义云计算指服务的交付和使用模式，指通过网络以按需、</w:t>
      </w:r>
      <w:r>
        <w:rPr>
          <w:spacing w:val="-86"/>
        </w:rPr>
        <w:t> </w:t>
      </w:r>
      <w:r>
        <w:rPr>
          <w:spacing w:val="-86"/>
        </w:rPr>
      </w:r>
      <w:r>
        <w:rPr>
          <w:spacing w:val="-2"/>
        </w:rPr>
        <w:t>易扩展的方式获得所需服务。云计算被认为是</w:t>
      </w:r>
      <w:r>
        <w:rPr>
          <w:rFonts w:ascii="宋体" w:hAnsi="宋体" w:cs="宋体" w:eastAsia="宋体" w:hint="default"/>
          <w:spacing w:val="-2"/>
        </w:rPr>
        <w:t>IT</w:t>
      </w:r>
      <w:r>
        <w:rPr>
          <w:spacing w:val="-2"/>
        </w:rPr>
        <w:t>行业发展中继个人计算机、互联网之后第三次重大革命性突破。公司在大力</w:t>
      </w:r>
      <w:r>
        <w:rPr>
          <w:spacing w:val="-61"/>
        </w:rPr>
        <w:t> </w:t>
      </w:r>
      <w:r>
        <w:rPr>
          <w:spacing w:val="-61"/>
        </w:rPr>
      </w:r>
      <w:r>
        <w:rPr/>
        <w:t>发展</w:t>
      </w:r>
      <w:r>
        <w:rPr>
          <w:rFonts w:ascii="宋体" w:hAnsi="宋体" w:cs="宋体" w:eastAsia="宋体" w:hint="default"/>
        </w:rPr>
        <w:t>IDC</w:t>
      </w:r>
      <w:r>
        <w:rPr/>
        <w:t>主营业务的基础上，稳步推进光环云产品和服务，致力于打造便捷、高效、安全、可信赖的企业级云产品及服务， 为客户提供云计算一体化解决方案。同时，公司与亚马逊进行了多年的合作，基于</w:t>
      </w:r>
      <w:r>
        <w:rPr>
          <w:rFonts w:ascii="宋体" w:hAnsi="宋体" w:cs="宋体" w:eastAsia="宋体" w:hint="default"/>
        </w:rPr>
        <w:t>AWS</w:t>
      </w:r>
      <w:r>
        <w:rPr/>
        <w:t>平台合作推出</w:t>
      </w:r>
      <w:r>
        <w:rPr>
          <w:rFonts w:ascii="宋体" w:hAnsi="宋体" w:cs="宋体" w:eastAsia="宋体" w:hint="default"/>
        </w:rPr>
        <w:t>AWS-DX</w:t>
      </w:r>
      <w:r>
        <w:rPr/>
        <w:t>产品，并为广大 客户提供云计算架构及方案咨询服务、混合云系统集成服务、云平台运维服务等。通过光环云和</w:t>
      </w:r>
      <w:r>
        <w:rPr>
          <w:rFonts w:ascii="宋体" w:hAnsi="宋体" w:cs="宋体" w:eastAsia="宋体" w:hint="default"/>
        </w:rPr>
        <w:t>AWS</w:t>
      </w:r>
      <w:r>
        <w:rPr/>
        <w:t>两大平台，公司可满足 不同层次客户需求的云计算产品组合和配套服务。</w:t>
      </w:r>
    </w:p>
    <w:p>
      <w:pPr>
        <w:pStyle w:val="BodyText"/>
        <w:spacing w:line="468" w:lineRule="exact" w:before="10"/>
        <w:ind w:left="513" w:right="106"/>
        <w:jc w:val="left"/>
      </w:pPr>
      <w:r>
        <w:rPr>
          <w:rFonts w:ascii="宋体" w:hAnsi="宋体" w:cs="宋体" w:eastAsia="宋体" w:hint="default"/>
        </w:rPr>
        <w:t>2</w:t>
      </w:r>
      <w:r>
        <w:rPr/>
        <w:t>、报告期内公司所属行业的发展状况 </w:t>
      </w:r>
      <w:r>
        <w:rPr>
          <w:spacing w:val="-2"/>
        </w:rPr>
        <w:t>公司主营业务与互联网发展息息相关。目前，我国互联网行业保持持续蓬勃发展的良好趋势，国家大力号召并倡导“宽</w:t>
      </w:r>
    </w:p>
    <w:p>
      <w:pPr>
        <w:pStyle w:val="BodyText"/>
        <w:spacing w:line="240" w:lineRule="auto" w:before="8"/>
        <w:ind w:right="106"/>
        <w:jc w:val="left"/>
      </w:pPr>
      <w:r>
        <w:rPr/>
        <w:t>带中国”战略及“互联网</w:t>
      </w:r>
      <w:r>
        <w:rPr>
          <w:rFonts w:ascii="宋体" w:hAnsi="宋体" w:cs="宋体" w:eastAsia="宋体" w:hint="default"/>
        </w:rPr>
        <w:t>+</w:t>
      </w:r>
      <w:r>
        <w:rPr/>
        <w:t>行动计划”，助力互联网行业的发展。</w:t>
      </w:r>
    </w:p>
    <w:p>
      <w:pPr>
        <w:spacing w:line="240" w:lineRule="auto" w:before="10"/>
        <w:rPr>
          <w:rFonts w:ascii="宋体" w:hAnsi="宋体" w:cs="宋体" w:eastAsia="宋体" w:hint="default"/>
          <w:sz w:val="17"/>
          <w:szCs w:val="17"/>
        </w:rPr>
      </w:pPr>
    </w:p>
    <w:p>
      <w:pPr>
        <w:pStyle w:val="BodyText"/>
        <w:spacing w:line="316" w:lineRule="auto"/>
        <w:ind w:right="94" w:firstLine="360"/>
        <w:jc w:val="left"/>
      </w:pPr>
      <w:r>
        <w:rPr>
          <w:spacing w:val="-3"/>
        </w:rPr>
        <w:t>（</w:t>
      </w:r>
      <w:r>
        <w:rPr>
          <w:rFonts w:ascii="宋体" w:hAnsi="宋体" w:cs="宋体" w:eastAsia="宋体" w:hint="default"/>
          <w:spacing w:val="-3"/>
        </w:rPr>
        <w:t>1</w:t>
      </w:r>
      <w:r>
        <w:rPr>
          <w:spacing w:val="-3"/>
        </w:rPr>
        <w:t>）</w:t>
      </w:r>
      <w:r>
        <w:rPr>
          <w:rFonts w:ascii="宋体" w:hAnsi="宋体" w:cs="宋体" w:eastAsia="宋体" w:hint="default"/>
          <w:spacing w:val="-3"/>
        </w:rPr>
        <w:t>IDC</w:t>
      </w:r>
      <w:r>
        <w:rPr>
          <w:spacing w:val="-3"/>
        </w:rPr>
        <w:t>市场规模。</w:t>
      </w:r>
      <w:r>
        <w:rPr>
          <w:rFonts w:ascii="宋体" w:hAnsi="宋体" w:cs="宋体" w:eastAsia="宋体" w:hint="default"/>
          <w:spacing w:val="-3"/>
        </w:rPr>
        <w:t>2014</w:t>
      </w:r>
      <w:r>
        <w:rPr>
          <w:spacing w:val="-3"/>
        </w:rPr>
        <w:t>年中国</w:t>
      </w:r>
      <w:r>
        <w:rPr>
          <w:rFonts w:ascii="宋体" w:hAnsi="宋体" w:cs="宋体" w:eastAsia="宋体" w:hint="default"/>
          <w:spacing w:val="-3"/>
        </w:rPr>
        <w:t>IDC</w:t>
      </w:r>
      <w:r>
        <w:rPr>
          <w:spacing w:val="-3"/>
        </w:rPr>
        <w:t>市场增长迅速，市场规模达到</w:t>
      </w:r>
      <w:r>
        <w:rPr>
          <w:rFonts w:ascii="宋体" w:hAnsi="宋体" w:cs="宋体" w:eastAsia="宋体" w:hint="default"/>
          <w:spacing w:val="-3"/>
        </w:rPr>
        <w:t>372.2</w:t>
      </w:r>
      <w:r>
        <w:rPr>
          <w:spacing w:val="-3"/>
        </w:rPr>
        <w:t>亿元人民币，同比增速达到</w:t>
      </w:r>
      <w:r>
        <w:rPr>
          <w:rFonts w:ascii="宋体" w:hAnsi="宋体" w:cs="宋体" w:eastAsia="宋体" w:hint="default"/>
          <w:spacing w:val="-3"/>
        </w:rPr>
        <w:t>41.8%</w:t>
      </w:r>
      <w:r>
        <w:rPr>
          <w:spacing w:val="-3"/>
        </w:rPr>
        <w:t>。在过去六年，</w:t>
      </w:r>
      <w:r>
        <w:rPr/>
        <w:t> 中国</w:t>
      </w:r>
      <w:r>
        <w:rPr>
          <w:rFonts w:ascii="宋体" w:hAnsi="宋体" w:cs="宋体" w:eastAsia="宋体" w:hint="default"/>
        </w:rPr>
        <w:t>IDC</w:t>
      </w:r>
      <w:r>
        <w:rPr/>
        <w:t>市场复合增长率达到</w:t>
      </w:r>
      <w:r>
        <w:rPr>
          <w:rFonts w:ascii="宋体" w:hAnsi="宋体" w:cs="宋体" w:eastAsia="宋体" w:hint="default"/>
        </w:rPr>
        <w:t>38.6%</w:t>
      </w:r>
      <w:r>
        <w:rPr/>
        <w:t>。未来几年</w:t>
      </w:r>
      <w:r>
        <w:rPr>
          <w:rFonts w:ascii="宋体" w:hAnsi="宋体" w:cs="宋体" w:eastAsia="宋体" w:hint="default"/>
        </w:rPr>
        <w:t>IDC</w:t>
      </w:r>
      <w:r>
        <w:rPr/>
        <w:t>市场增速将稳定在</w:t>
      </w:r>
      <w:r>
        <w:rPr>
          <w:rFonts w:ascii="宋体" w:hAnsi="宋体" w:cs="宋体" w:eastAsia="宋体" w:hint="default"/>
        </w:rPr>
        <w:t>30%</w:t>
      </w:r>
      <w:r>
        <w:rPr/>
        <w:t>以上，到</w:t>
      </w:r>
      <w:r>
        <w:rPr>
          <w:rFonts w:ascii="宋体" w:hAnsi="宋体" w:cs="宋体" w:eastAsia="宋体" w:hint="default"/>
        </w:rPr>
        <w:t>2017</w:t>
      </w:r>
      <w:r>
        <w:rPr/>
        <w:t>年，中国</w:t>
      </w:r>
      <w:r>
        <w:rPr>
          <w:rFonts w:ascii="宋体" w:hAnsi="宋体" w:cs="宋体" w:eastAsia="宋体" w:hint="default"/>
        </w:rPr>
        <w:t>IDC</w:t>
      </w:r>
      <w:r>
        <w:rPr/>
        <w:t>市场规模将超过</w:t>
      </w:r>
      <w:r>
        <w:rPr>
          <w:rFonts w:ascii="宋体" w:hAnsi="宋体" w:cs="宋体" w:eastAsia="宋体" w:hint="default"/>
        </w:rPr>
        <w:t>900</w:t>
      </w:r>
      <w:r>
        <w:rPr/>
        <w:t>亿元， 增速将接近</w:t>
      </w:r>
      <w:r>
        <w:rPr>
          <w:rFonts w:ascii="宋体" w:hAnsi="宋体" w:cs="宋体" w:eastAsia="宋体" w:hint="default"/>
        </w:rPr>
        <w:t>40%</w:t>
      </w:r>
      <w:r>
        <w:rPr/>
        <w:t>（见下图）。</w:t>
      </w:r>
    </w:p>
    <w:p>
      <w:pPr>
        <w:spacing w:after="0" w:line="316" w:lineRule="auto"/>
        <w:jc w:val="left"/>
        <w:sectPr>
          <w:pgSz w:w="11910" w:h="16840"/>
          <w:pgMar w:header="745" w:footer="979" w:top="1060" w:bottom="1160" w:left="980" w:right="9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spacing w:line="5370" w:lineRule="exact"/>
        <w:ind w:left="1178" w:right="0" w:firstLine="0"/>
        <w:rPr>
          <w:rFonts w:ascii="宋体" w:hAnsi="宋体" w:cs="宋体" w:eastAsia="宋体" w:hint="default"/>
          <w:sz w:val="20"/>
          <w:szCs w:val="20"/>
        </w:rPr>
      </w:pPr>
      <w:r>
        <w:rPr>
          <w:rFonts w:ascii="宋体" w:hAnsi="宋体" w:cs="宋体" w:eastAsia="宋体" w:hint="default"/>
          <w:position w:val="-106"/>
          <w:sz w:val="20"/>
          <w:szCs w:val="20"/>
        </w:rPr>
        <w:drawing>
          <wp:inline distT="0" distB="0" distL="0" distR="0">
            <wp:extent cx="5041541" cy="3409950"/>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2" cstate="print"/>
                    <a:stretch>
                      <a:fillRect/>
                    </a:stretch>
                  </pic:blipFill>
                  <pic:spPr>
                    <a:xfrm>
                      <a:off x="0" y="0"/>
                      <a:ext cx="5041541" cy="3409950"/>
                    </a:xfrm>
                    <a:prstGeom prst="rect">
                      <a:avLst/>
                    </a:prstGeom>
                  </pic:spPr>
                </pic:pic>
              </a:graphicData>
            </a:graphic>
          </wp:inline>
        </w:drawing>
      </w:r>
      <w:r>
        <w:rPr>
          <w:rFonts w:ascii="宋体" w:hAnsi="宋体" w:cs="宋体" w:eastAsia="宋体" w:hint="default"/>
          <w:position w:val="-106"/>
          <w:sz w:val="20"/>
          <w:szCs w:val="20"/>
        </w:rPr>
      </w:r>
    </w:p>
    <w:p>
      <w:pPr>
        <w:spacing w:line="240" w:lineRule="auto" w:before="13"/>
        <w:rPr>
          <w:rFonts w:ascii="宋体" w:hAnsi="宋体" w:cs="宋体" w:eastAsia="宋体" w:hint="default"/>
          <w:sz w:val="8"/>
          <w:szCs w:val="8"/>
        </w:rPr>
      </w:pPr>
    </w:p>
    <w:p>
      <w:pPr>
        <w:pStyle w:val="BodyText"/>
        <w:spacing w:line="240" w:lineRule="auto" w:before="44"/>
        <w:ind w:left="316" w:right="95"/>
        <w:jc w:val="center"/>
        <w:rPr>
          <w:rFonts w:ascii="宋体" w:hAnsi="宋体" w:cs="宋体" w:eastAsia="宋体" w:hint="default"/>
        </w:rPr>
      </w:pPr>
      <w:r>
        <w:rPr>
          <w:rFonts w:ascii="宋体" w:hAnsi="宋体" w:cs="宋体" w:eastAsia="宋体" w:hint="default"/>
        </w:rPr>
        <w:t>2014</w:t>
      </w:r>
      <w:r>
        <w:rPr/>
        <w:t>－</w:t>
      </w:r>
      <w:r>
        <w:rPr>
          <w:rFonts w:ascii="宋体" w:hAnsi="宋体" w:cs="宋体" w:eastAsia="宋体" w:hint="default"/>
        </w:rPr>
        <w:t>2017</w:t>
      </w:r>
      <w:r>
        <w:rPr/>
        <w:t>年中国</w:t>
      </w:r>
      <w:r>
        <w:rPr>
          <w:rFonts w:ascii="宋体" w:hAnsi="宋体" w:cs="宋体" w:eastAsia="宋体" w:hint="default"/>
        </w:rPr>
        <w:t>IDC</w:t>
      </w:r>
      <w:r>
        <w:rPr/>
        <w:t>市场规模预测</w:t>
      </w:r>
      <w:r>
        <w:rPr>
          <w:spacing w:val="-2"/>
        </w:rPr>
        <w:t> </w:t>
      </w:r>
      <w:r>
        <w:rPr>
          <w:rFonts w:ascii="宋体" w:hAnsi="宋体" w:cs="宋体" w:eastAsia="宋体" w:hint="default"/>
        </w:rPr>
        <w:t>(</w:t>
      </w:r>
      <w:r>
        <w:rPr/>
        <w:t>亿元</w:t>
      </w:r>
      <w:r>
        <w:rPr>
          <w:rFonts w:ascii="宋体" w:hAnsi="宋体" w:cs="宋体" w:eastAsia="宋体" w:hint="default"/>
        </w:rPr>
        <w:t>)</w:t>
      </w:r>
    </w:p>
    <w:p>
      <w:pPr>
        <w:spacing w:line="240" w:lineRule="auto" w:before="10"/>
        <w:rPr>
          <w:rFonts w:ascii="宋体" w:hAnsi="宋体" w:cs="宋体" w:eastAsia="宋体" w:hint="default"/>
          <w:sz w:val="17"/>
          <w:szCs w:val="17"/>
        </w:rPr>
      </w:pPr>
    </w:p>
    <w:p>
      <w:pPr>
        <w:pStyle w:val="BodyText"/>
        <w:spacing w:line="240" w:lineRule="auto"/>
        <w:ind w:left="493" w:right="91"/>
        <w:jc w:val="center"/>
      </w:pPr>
      <w:r>
        <w:rPr/>
        <w:t>（</w:t>
      </w:r>
      <w:r>
        <w:rPr>
          <w:rFonts w:ascii="宋体" w:hAnsi="宋体" w:cs="宋体" w:eastAsia="宋体" w:hint="default"/>
          <w:spacing w:val="1"/>
        </w:rPr>
        <w:t>2</w:t>
      </w:r>
      <w:r>
        <w:rPr>
          <w:spacing w:val="-89"/>
        </w:rPr>
        <w:t>）</w:t>
      </w:r>
      <w:r>
        <w:rPr/>
        <w:t>宽带接入市场规模</w:t>
      </w:r>
      <w:r>
        <w:rPr>
          <w:spacing w:val="-89"/>
        </w:rPr>
        <w:t>。</w:t>
      </w:r>
      <w:r>
        <w:rPr>
          <w:rFonts w:ascii="宋体" w:hAnsi="宋体" w:cs="宋体" w:eastAsia="宋体" w:hint="default"/>
          <w:spacing w:val="1"/>
        </w:rPr>
        <w:t>20</w:t>
      </w:r>
      <w:r>
        <w:rPr>
          <w:rFonts w:ascii="宋体" w:hAnsi="宋体" w:cs="宋体" w:eastAsia="宋体" w:hint="default"/>
          <w:spacing w:val="-2"/>
        </w:rPr>
        <w:t>1</w:t>
      </w:r>
      <w:r>
        <w:rPr>
          <w:rFonts w:ascii="宋体" w:hAnsi="宋体" w:cs="宋体" w:eastAsia="宋体" w:hint="default"/>
          <w:spacing w:val="1"/>
        </w:rPr>
        <w:t>5</w:t>
      </w:r>
      <w:r>
        <w:rPr>
          <w:spacing w:val="-2"/>
        </w:rPr>
        <w:t>年</w:t>
      </w:r>
      <w:r>
        <w:rPr>
          <w:rFonts w:ascii="宋体" w:hAnsi="宋体" w:cs="宋体" w:eastAsia="宋体" w:hint="default"/>
          <w:spacing w:val="1"/>
        </w:rPr>
        <w:t>12</w:t>
      </w:r>
      <w:r>
        <w:rPr/>
        <w:t>月</w:t>
      </w:r>
      <w:r>
        <w:rPr>
          <w:spacing w:val="-89"/>
        </w:rPr>
        <w:t>，</w:t>
      </w:r>
      <w:r>
        <w:rPr/>
        <w:t>通过固定宽带接入方式</w:t>
      </w:r>
      <w:r>
        <w:rPr>
          <w:spacing w:val="-3"/>
        </w:rPr>
        <w:t>使</w:t>
      </w:r>
      <w:r>
        <w:rPr/>
        <w:t>用互联网的企业比例为</w:t>
      </w:r>
      <w:r>
        <w:rPr>
          <w:rFonts w:ascii="宋体" w:hAnsi="宋体" w:cs="宋体" w:eastAsia="宋体" w:hint="default"/>
          <w:spacing w:val="1"/>
        </w:rPr>
        <w:t>86</w:t>
      </w:r>
      <w:r>
        <w:rPr>
          <w:rFonts w:ascii="宋体" w:hAnsi="宋体" w:cs="宋体" w:eastAsia="宋体" w:hint="default"/>
          <w:spacing w:val="-2"/>
        </w:rPr>
        <w:t>.</w:t>
      </w:r>
      <w:r>
        <w:rPr>
          <w:rFonts w:ascii="宋体" w:hAnsi="宋体" w:cs="宋体" w:eastAsia="宋体" w:hint="default"/>
          <w:spacing w:val="1"/>
        </w:rPr>
        <w:t>3%</w:t>
      </w:r>
      <w:r>
        <w:rPr>
          <w:spacing w:val="-92"/>
        </w:rPr>
        <w:t>，</w:t>
      </w:r>
      <w:r>
        <w:rPr/>
        <w:t>移动宽带接入比例为</w:t>
      </w:r>
      <w:r>
        <w:rPr>
          <w:rFonts w:ascii="宋体" w:hAnsi="宋体" w:cs="宋体" w:eastAsia="宋体" w:hint="default"/>
          <w:spacing w:val="1"/>
        </w:rPr>
        <w:t>23</w:t>
      </w:r>
      <w:r>
        <w:rPr>
          <w:rFonts w:ascii="宋体" w:hAnsi="宋体" w:cs="宋体" w:eastAsia="宋体" w:hint="default"/>
          <w:spacing w:val="-2"/>
        </w:rPr>
        <w:t>.</w:t>
      </w:r>
      <w:r>
        <w:rPr>
          <w:rFonts w:ascii="宋体" w:hAnsi="宋体" w:cs="宋体" w:eastAsia="宋体" w:hint="default"/>
          <w:spacing w:val="1"/>
        </w:rPr>
        <w:t>9%</w:t>
      </w:r>
      <w:r>
        <w:rPr/>
        <w:t>。</w:t>
      </w:r>
    </w:p>
    <w:p>
      <w:pPr>
        <w:pStyle w:val="BodyText"/>
        <w:spacing w:line="316" w:lineRule="auto" w:before="77"/>
        <w:ind w:right="191"/>
        <w:jc w:val="left"/>
      </w:pPr>
      <w:r>
        <w:rPr>
          <w:spacing w:val="-2"/>
        </w:rPr>
        <w:t>《“宽带中国”战略及实施方案》中“光进铜退”、“提速降费”、“宽带应用水平大幅提升，移动互联网广泛渗透”等工</w:t>
      </w:r>
      <w:r>
        <w:rPr>
          <w:spacing w:val="-71"/>
        </w:rPr>
        <w:t> </w:t>
      </w:r>
      <w:r>
        <w:rPr>
          <w:spacing w:val="-71"/>
        </w:rPr>
      </w:r>
      <w:r>
        <w:rPr>
          <w:spacing w:val="-2"/>
        </w:rPr>
        <w:t>作目标的提出，持续夯实我国网络基础建设，使企业更广泛地接入互联网、更顺畅地使用互联网。但与此同时，与经济合作</w:t>
      </w:r>
      <w:r>
        <w:rPr>
          <w:spacing w:val="-66"/>
        </w:rPr>
        <w:t> </w:t>
      </w:r>
      <w:r>
        <w:rPr>
          <w:spacing w:val="-66"/>
        </w:rPr>
      </w:r>
      <w:r>
        <w:rPr>
          <w:spacing w:val="-3"/>
        </w:rPr>
        <w:t>与发展组织成员国家</w:t>
      </w:r>
      <w:r>
        <w:rPr>
          <w:rFonts w:ascii="宋体" w:hAnsi="宋体" w:cs="宋体" w:eastAsia="宋体" w:hint="default"/>
          <w:spacing w:val="-3"/>
        </w:rPr>
        <w:t>2014</w:t>
      </w:r>
      <w:r>
        <w:rPr>
          <w:spacing w:val="-3"/>
        </w:rPr>
        <w:t>年企业宽带普及率相比，中国企业的宽带接入水平仍然有一定差距：芬兰企业已实现</w:t>
      </w:r>
      <w:r>
        <w:rPr>
          <w:rFonts w:ascii="宋体" w:hAnsi="宋体" w:cs="宋体" w:eastAsia="宋体" w:hint="default"/>
          <w:spacing w:val="-3"/>
        </w:rPr>
        <w:t>100%</w:t>
      </w:r>
      <w:r>
        <w:rPr>
          <w:spacing w:val="-3"/>
        </w:rPr>
        <w:t>宽带接入，</w:t>
      </w:r>
      <w:r>
        <w:rPr>
          <w:spacing w:val="-87"/>
        </w:rPr>
        <w:t> </w:t>
      </w:r>
      <w:r>
        <w:rPr/>
        <w:t>韩国也高达</w:t>
      </w:r>
      <w:r>
        <w:rPr>
          <w:rFonts w:ascii="宋体" w:hAnsi="宋体" w:cs="宋体" w:eastAsia="宋体" w:hint="default"/>
        </w:rPr>
        <w:t>99.0%</w:t>
      </w:r>
      <w:r>
        <w:rPr/>
        <w:t>。国内的企业宽带接入市场仍然有待发展。</w:t>
      </w:r>
    </w:p>
    <w:p>
      <w:pPr>
        <w:spacing w:line="240" w:lineRule="auto" w:before="10"/>
        <w:rPr>
          <w:rFonts w:ascii="宋体" w:hAnsi="宋体" w:cs="宋体" w:eastAsia="宋体" w:hint="default"/>
          <w:sz w:val="12"/>
          <w:szCs w:val="12"/>
        </w:rPr>
      </w:pPr>
    </w:p>
    <w:p>
      <w:pPr>
        <w:spacing w:line="4966" w:lineRule="exact"/>
        <w:ind w:left="983" w:right="0" w:firstLine="0"/>
        <w:rPr>
          <w:rFonts w:ascii="宋体" w:hAnsi="宋体" w:cs="宋体" w:eastAsia="宋体" w:hint="default"/>
          <w:sz w:val="20"/>
          <w:szCs w:val="20"/>
        </w:rPr>
      </w:pPr>
      <w:r>
        <w:rPr>
          <w:rFonts w:ascii="宋体" w:hAnsi="宋体" w:cs="宋体" w:eastAsia="宋体" w:hint="default"/>
          <w:position w:val="-98"/>
          <w:sz w:val="20"/>
          <w:szCs w:val="20"/>
        </w:rPr>
        <w:drawing>
          <wp:inline distT="0" distB="0" distL="0" distR="0">
            <wp:extent cx="5267382" cy="3153727"/>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3" cstate="print"/>
                    <a:stretch>
                      <a:fillRect/>
                    </a:stretch>
                  </pic:blipFill>
                  <pic:spPr>
                    <a:xfrm>
                      <a:off x="0" y="0"/>
                      <a:ext cx="5267382" cy="3153727"/>
                    </a:xfrm>
                    <a:prstGeom prst="rect">
                      <a:avLst/>
                    </a:prstGeom>
                  </pic:spPr>
                </pic:pic>
              </a:graphicData>
            </a:graphic>
          </wp:inline>
        </w:drawing>
      </w:r>
      <w:r>
        <w:rPr>
          <w:rFonts w:ascii="宋体" w:hAnsi="宋体" w:cs="宋体" w:eastAsia="宋体" w:hint="default"/>
          <w:position w:val="-98"/>
          <w:sz w:val="20"/>
          <w:szCs w:val="20"/>
        </w:rPr>
      </w:r>
    </w:p>
    <w:p>
      <w:pPr>
        <w:spacing w:line="240" w:lineRule="auto" w:before="7"/>
        <w:rPr>
          <w:rFonts w:ascii="宋体" w:hAnsi="宋体" w:cs="宋体" w:eastAsia="宋体" w:hint="default"/>
          <w:sz w:val="14"/>
          <w:szCs w:val="14"/>
        </w:rPr>
      </w:pPr>
    </w:p>
    <w:p>
      <w:pPr>
        <w:pStyle w:val="BodyText"/>
        <w:spacing w:line="240" w:lineRule="auto"/>
        <w:ind w:left="312" w:right="95"/>
        <w:jc w:val="center"/>
      </w:pPr>
      <w:r>
        <w:rPr>
          <w:rFonts w:ascii="宋体" w:hAnsi="宋体" w:cs="宋体" w:eastAsia="宋体" w:hint="default"/>
        </w:rPr>
        <w:t>2011-2015</w:t>
      </w:r>
      <w:r>
        <w:rPr>
          <w:rFonts w:ascii="宋体" w:hAnsi="宋体" w:cs="宋体" w:eastAsia="宋体" w:hint="default"/>
          <w:spacing w:val="-4"/>
        </w:rPr>
        <w:t> </w:t>
      </w:r>
      <w:r>
        <w:rPr/>
        <w:t>年企业固定宽带和移动宽带接入比例</w:t>
      </w:r>
    </w:p>
    <w:p>
      <w:pPr>
        <w:spacing w:line="240" w:lineRule="auto" w:before="10"/>
        <w:rPr>
          <w:rFonts w:ascii="宋体" w:hAnsi="宋体" w:cs="宋体" w:eastAsia="宋体" w:hint="default"/>
          <w:sz w:val="17"/>
          <w:szCs w:val="17"/>
        </w:rPr>
      </w:pPr>
    </w:p>
    <w:p>
      <w:pPr>
        <w:pStyle w:val="BodyText"/>
        <w:spacing w:line="240" w:lineRule="auto"/>
        <w:ind w:left="306" w:right="95"/>
        <w:jc w:val="center"/>
      </w:pPr>
      <w:r>
        <w:rPr/>
        <w:t>（</w:t>
      </w:r>
      <w:r>
        <w:rPr>
          <w:rFonts w:ascii="宋体" w:hAnsi="宋体" w:cs="宋体" w:eastAsia="宋体" w:hint="default"/>
        </w:rPr>
        <w:t>3</w:t>
      </w:r>
      <w:r>
        <w:rPr/>
        <w:t>）云计算市场规模。互联网、物联网等技术在各领域的广泛应用，各领域所产生的数据量呈现井喷式发展，海量数</w:t>
      </w:r>
    </w:p>
    <w:p>
      <w:pPr>
        <w:spacing w:after="0" w:line="240" w:lineRule="auto"/>
        <w:jc w:val="center"/>
        <w:sectPr>
          <w:pgSz w:w="11910" w:h="16840"/>
          <w:pgMar w:header="745" w:footer="979" w:top="1060" w:bottom="1160" w:left="980" w:right="840"/>
        </w:sectPr>
      </w:pPr>
    </w:p>
    <w:p>
      <w:pPr>
        <w:spacing w:line="240" w:lineRule="auto" w:before="10"/>
        <w:rPr>
          <w:rFonts w:ascii="宋体" w:hAnsi="宋体" w:cs="宋体" w:eastAsia="宋体" w:hint="default"/>
          <w:sz w:val="25"/>
          <w:szCs w:val="25"/>
        </w:rPr>
      </w:pPr>
    </w:p>
    <w:p>
      <w:pPr>
        <w:pStyle w:val="BodyText"/>
        <w:spacing w:line="316" w:lineRule="auto" w:before="44"/>
        <w:ind w:right="189"/>
        <w:jc w:val="both"/>
      </w:pPr>
      <w:r>
        <w:rPr/>
        <w:t>据的存储、管理和利用已经成为“互联网</w:t>
      </w:r>
      <w:r>
        <w:rPr>
          <w:rFonts w:ascii="宋体" w:hAnsi="宋体" w:cs="宋体" w:eastAsia="宋体" w:hint="default"/>
        </w:rPr>
        <w:t>+</w:t>
      </w:r>
      <w:r>
        <w:rPr/>
        <w:t>”时代企业争夺的战略高地，云计算市场需求爆发性增长。与此同时，《关于促 </w:t>
      </w:r>
      <w:r>
        <w:rPr>
          <w:spacing w:val="-2"/>
        </w:rPr>
        <w:t>进云计算创新发展培育信息产业新业态的意见》等政策不断推出，云计算应用领域持续拓展，为</w:t>
      </w:r>
      <w:r>
        <w:rPr>
          <w:rFonts w:ascii="宋体" w:hAnsi="宋体" w:cs="宋体" w:eastAsia="宋体" w:hint="default"/>
          <w:spacing w:val="-2"/>
        </w:rPr>
        <w:t>IT</w:t>
      </w:r>
      <w:r>
        <w:rPr>
          <w:spacing w:val="-2"/>
        </w:rPr>
        <w:t>企业的转型升级提供了契</w:t>
      </w:r>
      <w:r>
        <w:rPr>
          <w:spacing w:val="-61"/>
        </w:rPr>
        <w:t> </w:t>
      </w:r>
      <w:r>
        <w:rPr>
          <w:spacing w:val="-61"/>
        </w:rPr>
      </w:r>
      <w:r>
        <w:rPr/>
        <w:t>机，进一步推动了我国云计算市场的快速发展。根据云计算市场</w:t>
      </w:r>
      <w:r>
        <w:rPr>
          <w:rFonts w:ascii="宋体" w:hAnsi="宋体" w:cs="宋体" w:eastAsia="宋体" w:hint="default"/>
        </w:rPr>
        <w:t>2015</w:t>
      </w:r>
      <w:r>
        <w:rPr/>
        <w:t>年</w:t>
      </w:r>
      <w:r>
        <w:rPr>
          <w:rFonts w:ascii="宋体" w:hAnsi="宋体" w:cs="宋体" w:eastAsia="宋体" w:hint="default"/>
        </w:rPr>
        <w:t>1</w:t>
      </w:r>
      <w:r>
        <w:rPr/>
        <w:t>月至</w:t>
      </w:r>
      <w:r>
        <w:rPr>
          <w:rFonts w:ascii="宋体" w:hAnsi="宋体" w:cs="宋体" w:eastAsia="宋体" w:hint="default"/>
        </w:rPr>
        <w:t>11</w:t>
      </w:r>
      <w:r>
        <w:rPr/>
        <w:t>月发展情况，赛迪顾问预测</w:t>
      </w:r>
      <w:r>
        <w:rPr>
          <w:rFonts w:ascii="宋体" w:hAnsi="宋体" w:cs="宋体" w:eastAsia="宋体" w:hint="default"/>
        </w:rPr>
        <w:t>2015</w:t>
      </w:r>
      <w:r>
        <w:rPr/>
        <w:t>年云计算市 场整体规模可达到</w:t>
      </w:r>
      <w:r>
        <w:rPr>
          <w:rFonts w:ascii="宋体" w:hAnsi="宋体" w:cs="宋体" w:eastAsia="宋体" w:hint="default"/>
        </w:rPr>
        <w:t>2030.0</w:t>
      </w:r>
      <w:r>
        <w:rPr/>
        <w:t>亿元，同比增长</w:t>
      </w:r>
      <w:r>
        <w:rPr>
          <w:rFonts w:ascii="宋体" w:hAnsi="宋体" w:cs="宋体" w:eastAsia="宋体" w:hint="default"/>
        </w:rPr>
        <w:t>54.3%</w:t>
      </w:r>
      <w:r>
        <w:rPr/>
        <w:t>。</w:t>
      </w:r>
      <w:r>
        <w:rPr>
          <w:rFonts w:ascii="宋体" w:hAnsi="宋体" w:cs="宋体" w:eastAsia="宋体" w:hint="default"/>
        </w:rPr>
        <w:t>2012</w:t>
      </w:r>
      <w:r>
        <w:rPr/>
        <w:t>～</w:t>
      </w:r>
      <w:r>
        <w:rPr>
          <w:rFonts w:ascii="宋体" w:hAnsi="宋体" w:cs="宋体" w:eastAsia="宋体" w:hint="default"/>
        </w:rPr>
        <w:t>2015</w:t>
      </w:r>
      <w:r>
        <w:rPr/>
        <w:t>年，我国云计算市场保持高速增长态势，年均复合增长率高达 </w:t>
      </w:r>
      <w:r>
        <w:rPr>
          <w:rFonts w:ascii="宋体" w:hAnsi="宋体" w:cs="宋体" w:eastAsia="宋体" w:hint="default"/>
        </w:rPr>
        <w:t>61.5%</w:t>
      </w:r>
      <w:r>
        <w:rPr/>
        <w:t>。</w:t>
      </w:r>
    </w:p>
    <w:p>
      <w:pPr>
        <w:spacing w:line="240" w:lineRule="auto" w:before="5"/>
        <w:rPr>
          <w:rFonts w:ascii="宋体" w:hAnsi="宋体" w:cs="宋体" w:eastAsia="宋体" w:hint="default"/>
          <w:sz w:val="13"/>
          <w:szCs w:val="13"/>
        </w:rPr>
      </w:pPr>
    </w:p>
    <w:p>
      <w:pPr>
        <w:pStyle w:val="BodyText"/>
        <w:spacing w:line="319" w:lineRule="auto"/>
        <w:ind w:right="106" w:firstLine="360"/>
        <w:jc w:val="left"/>
      </w:pPr>
      <w:r>
        <w:rPr>
          <w:spacing w:val="-2"/>
        </w:rPr>
        <w:t>公司成立至今，致力于以先进技术、优质资源和高品质服务推动互联网创新发展，为用户提供更加高速、稳定、安全的</w:t>
      </w:r>
      <w:r>
        <w:rPr/>
        <w:t> </w:t>
      </w:r>
      <w:r>
        <w:rPr>
          <w:spacing w:val="-2"/>
        </w:rPr>
        <w:t>互联网环境，聚拢优质资源和技术，赢得了良好的商业信誉，尤其在面向商企用户数据通讯及增值服务领域取得了长足的发</w:t>
      </w:r>
      <w:r>
        <w:rPr>
          <w:spacing w:val="-63"/>
        </w:rPr>
        <w:t> </w:t>
      </w:r>
      <w:r>
        <w:rPr>
          <w:spacing w:val="-63"/>
        </w:rPr>
      </w:r>
      <w:r>
        <w:rPr/>
        <w:t>展，在市场上享有领先的市场份额和较高的品牌知名度。作为专业的互联网综合服务提供商，公司建设的</w:t>
      </w:r>
      <w:r>
        <w:rPr>
          <w:rFonts w:ascii="宋体" w:hAnsi="宋体" w:cs="宋体" w:eastAsia="宋体" w:hint="default"/>
        </w:rPr>
        <w:t>IDC</w:t>
      </w:r>
      <w:r>
        <w:rPr/>
        <w:t>机房相对于基 </w:t>
      </w:r>
      <w:r>
        <w:rPr>
          <w:spacing w:val="-4"/>
        </w:rPr>
        <w:t>础运营及其他网络资源，更能适应商企用户的高端需求，几大数据中心无论在地理位置上还是在硬件设施上均具有突出优势。</w:t>
      </w:r>
      <w:r>
        <w:rPr>
          <w:spacing w:val="-44"/>
        </w:rPr>
        <w:t> </w:t>
      </w:r>
      <w:r>
        <w:rPr>
          <w:spacing w:val="-44"/>
        </w:rPr>
      </w:r>
      <w:r>
        <w:rPr/>
        <w:t>经过十余年专业运营管理经验的积累，行业资深工程师技术团队能够充分满足各类客户的需求，为用户提供高品质的</w:t>
      </w:r>
      <w:r>
        <w:rPr>
          <w:rFonts w:ascii="宋体" w:hAnsi="宋体" w:cs="宋体" w:eastAsia="宋体" w:hint="default"/>
        </w:rPr>
        <w:t>IDC</w:t>
      </w:r>
      <w:r>
        <w:rPr/>
        <w:t>基 础服务及多样化的增值服务。随着国家“互联网</w:t>
      </w:r>
      <w:r>
        <w:rPr>
          <w:rFonts w:ascii="宋体" w:hAnsi="宋体" w:cs="宋体" w:eastAsia="宋体" w:hint="default"/>
        </w:rPr>
        <w:t>+</w:t>
      </w:r>
      <w:r>
        <w:rPr/>
        <w:t>”行动计划的深入开展，公司主营业务具有更为广阔的市场空间，具备更 强的发展潜力。</w:t>
      </w:r>
    </w:p>
    <w:p>
      <w:pPr>
        <w:spacing w:line="240" w:lineRule="auto" w:before="9"/>
        <w:rPr>
          <w:rFonts w:ascii="宋体" w:hAnsi="宋体" w:cs="宋体" w:eastAsia="宋体" w:hint="default"/>
          <w:sz w:val="20"/>
          <w:szCs w:val="20"/>
        </w:rPr>
      </w:pPr>
    </w:p>
    <w:p>
      <w:pPr>
        <w:pStyle w:val="Heading2"/>
        <w:spacing w:line="240" w:lineRule="auto"/>
        <w:ind w:right="0"/>
        <w:jc w:val="both"/>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051"/>
        <w:gridCol w:w="6519"/>
      </w:tblGrid>
      <w:tr>
        <w:trPr>
          <w:trHeight w:val="187"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9"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vMerge w:val="restart"/>
            <w:tcBorders>
              <w:top w:val="single" w:sz="4" w:space="0" w:color="000000"/>
              <w:left w:val="single" w:sz="10" w:space="0" w:color="D2D2D2"/>
              <w:right w:val="single" w:sz="4" w:space="0" w:color="000000"/>
            </w:tcBorders>
          </w:tcPr>
          <w:p>
            <w:pPr>
              <w:pStyle w:val="TableParagraph"/>
              <w:spacing w:line="300" w:lineRule="auto" w:before="51"/>
              <w:ind w:left="16" w:right="19"/>
              <w:jc w:val="left"/>
              <w:rPr>
                <w:rFonts w:ascii="宋体" w:hAnsi="宋体" w:cs="宋体" w:eastAsia="宋体" w:hint="default"/>
                <w:sz w:val="18"/>
                <w:szCs w:val="18"/>
              </w:rPr>
            </w:pPr>
            <w:r>
              <w:rPr>
                <w:rFonts w:ascii="宋体" w:hAnsi="宋体" w:cs="宋体" w:eastAsia="宋体" w:hint="default"/>
                <w:sz w:val="18"/>
                <w:szCs w:val="18"/>
              </w:rPr>
              <w:t>本年度公司设立合资企业北京华爱光环科技有限公司，投资成本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150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万元，持有该 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股权。本年度损益调整</w:t>
            </w:r>
            <w:r>
              <w:rPr>
                <w:rFonts w:ascii="Times New Roman" w:hAnsi="Times New Roman" w:cs="Times New Roman" w:eastAsia="Times New Roman" w:hint="default"/>
                <w:sz w:val="18"/>
                <w:szCs w:val="18"/>
              </w:rPr>
              <w:t>-116,857.61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元，期末长期股权投资较上年末增加 </w:t>
            </w:r>
            <w:r>
              <w:rPr>
                <w:rFonts w:ascii="Times New Roman" w:hAnsi="Times New Roman" w:cs="Times New Roman" w:eastAsia="Times New Roman" w:hint="default"/>
                <w:sz w:val="18"/>
                <w:szCs w:val="18"/>
              </w:rPr>
              <w:t>1,383,142.39 </w:t>
            </w:r>
            <w:r>
              <w:rPr>
                <w:rFonts w:ascii="宋体" w:hAnsi="宋体" w:cs="宋体" w:eastAsia="宋体" w:hint="default"/>
                <w:sz w:val="18"/>
                <w:szCs w:val="18"/>
              </w:rPr>
              <w:t>元。</w:t>
            </w:r>
          </w:p>
        </w:tc>
      </w:tr>
      <w:tr>
        <w:trPr>
          <w:trHeight w:val="392"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9" w:type="dxa"/>
            <w:vMerge/>
            <w:tcBorders>
              <w:left w:val="single" w:sz="10" w:space="0" w:color="D2D2D2"/>
              <w:right w:val="single" w:sz="4" w:space="0" w:color="000000"/>
            </w:tcBorders>
          </w:tcPr>
          <w:p>
            <w:pPr/>
          </w:p>
        </w:tc>
      </w:tr>
      <w:tr>
        <w:trPr>
          <w:trHeight w:val="317"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vMerge/>
            <w:tcBorders>
              <w:left w:val="single" w:sz="10" w:space="0" w:color="D2D2D2"/>
              <w:bottom w:val="single" w:sz="4" w:space="0" w:color="000000"/>
              <w:right w:val="single" w:sz="4" w:space="0" w:color="000000"/>
            </w:tcBorders>
          </w:tcPr>
          <w:p>
            <w:pPr/>
          </w:p>
        </w:tc>
      </w:tr>
      <w:tr>
        <w:trPr>
          <w:trHeight w:val="317"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vMerge w:val="restart"/>
            <w:tcBorders>
              <w:top w:val="single" w:sz="4" w:space="0" w:color="000000"/>
              <w:left w:val="single" w:sz="10" w:space="0" w:color="D2D2D2"/>
              <w:right w:val="single" w:sz="4" w:space="0" w:color="000000"/>
            </w:tcBorders>
          </w:tcPr>
          <w:p>
            <w:pPr>
              <w:pStyle w:val="TableParagraph"/>
              <w:spacing w:line="309" w:lineRule="auto" w:before="49"/>
              <w:ind w:left="16" w:right="22"/>
              <w:jc w:val="both"/>
              <w:rPr>
                <w:rFonts w:ascii="宋体" w:hAnsi="宋体" w:cs="宋体" w:eastAsia="宋体" w:hint="default"/>
                <w:sz w:val="18"/>
                <w:szCs w:val="18"/>
              </w:rPr>
            </w:pPr>
            <w:r>
              <w:rPr>
                <w:rFonts w:ascii="宋体" w:hAnsi="宋体" w:cs="宋体" w:eastAsia="宋体" w:hint="default"/>
                <w:sz w:val="18"/>
                <w:szCs w:val="18"/>
              </w:rPr>
              <w:t>期末固定资产</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509,172,709.03</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元，较上年末增加</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40.50%</w:t>
            </w:r>
            <w:r>
              <w:rPr>
                <w:rFonts w:ascii="宋体" w:hAnsi="宋体" w:cs="宋体" w:eastAsia="宋体" w:hint="default"/>
                <w:sz w:val="18"/>
                <w:szCs w:val="18"/>
              </w:rPr>
              <w:t>，主要原因是由于公司增资 </w:t>
            </w:r>
            <w:r>
              <w:rPr>
                <w:rFonts w:ascii="宋体" w:hAnsi="宋体" w:cs="宋体" w:eastAsia="宋体" w:hint="default"/>
                <w:spacing w:val="-1"/>
                <w:sz w:val="18"/>
                <w:szCs w:val="18"/>
              </w:rPr>
              <w:t>取得控股子公司北京科信盛彩置业有限公司，合并范围变化增加固定资产，以及酒</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仙桥机房二期完工转入转固定资产。</w:t>
            </w: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9" w:type="dxa"/>
            <w:vMerge/>
            <w:tcBorders>
              <w:left w:val="single" w:sz="10" w:space="0" w:color="D2D2D2"/>
              <w:right w:val="single" w:sz="4" w:space="0" w:color="000000"/>
            </w:tcBorders>
          </w:tcPr>
          <w:p>
            <w:pPr/>
          </w:p>
        </w:tc>
      </w:tr>
      <w:tr>
        <w:trPr>
          <w:trHeight w:val="317"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vMerge/>
            <w:tcBorders>
              <w:left w:val="single" w:sz="10" w:space="0" w:color="D2D2D2"/>
              <w:bottom w:val="single" w:sz="4" w:space="0" w:color="000000"/>
              <w:right w:val="single" w:sz="4" w:space="0" w:color="000000"/>
            </w:tcBorders>
          </w:tcPr>
          <w:p>
            <w:pPr/>
          </w:p>
        </w:tc>
      </w:tr>
      <w:tr>
        <w:trPr>
          <w:trHeight w:val="319"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vMerge w:val="restart"/>
            <w:tcBorders>
              <w:top w:val="single" w:sz="4" w:space="0" w:color="000000"/>
              <w:left w:val="single" w:sz="10" w:space="0" w:color="D2D2D2"/>
              <w:right w:val="single" w:sz="4" w:space="0" w:color="000000"/>
            </w:tcBorders>
          </w:tcPr>
          <w:p>
            <w:pPr>
              <w:pStyle w:val="TableParagraph"/>
              <w:spacing w:line="307" w:lineRule="auto" w:before="51"/>
              <w:ind w:left="16" w:right="77"/>
              <w:jc w:val="left"/>
              <w:rPr>
                <w:rFonts w:ascii="宋体" w:hAnsi="宋体" w:cs="宋体" w:eastAsia="宋体" w:hint="default"/>
                <w:sz w:val="18"/>
                <w:szCs w:val="18"/>
              </w:rPr>
            </w:pPr>
            <w:r>
              <w:rPr>
                <w:rFonts w:ascii="宋体" w:hAnsi="宋体" w:cs="宋体" w:eastAsia="宋体" w:hint="default"/>
                <w:sz w:val="18"/>
                <w:szCs w:val="18"/>
              </w:rPr>
              <w:t>期末无形资产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245,682,825.51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元，上年末增加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551.04%</w:t>
            </w:r>
            <w:r>
              <w:rPr>
                <w:rFonts w:ascii="宋体" w:hAnsi="宋体" w:cs="宋体" w:eastAsia="宋体" w:hint="default"/>
                <w:sz w:val="18"/>
                <w:szCs w:val="18"/>
              </w:rPr>
              <w:t>，主要原因是由于公司增资 取得控股子公司北京科信盛彩置业有限公司，以及收购北京德信致远科技有限公 司，合并范围变化增加无形资产。</w:t>
            </w: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9" w:type="dxa"/>
            <w:vMerge/>
            <w:tcBorders>
              <w:left w:val="single" w:sz="10" w:space="0" w:color="D2D2D2"/>
              <w:right w:val="single" w:sz="4" w:space="0" w:color="000000"/>
            </w:tcBorders>
          </w:tcPr>
          <w:p>
            <w:pPr/>
          </w:p>
        </w:tc>
      </w:tr>
      <w:tr>
        <w:trPr>
          <w:trHeight w:val="317"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vMerge/>
            <w:tcBorders>
              <w:left w:val="single" w:sz="10" w:space="0" w:color="D2D2D2"/>
              <w:bottom w:val="single" w:sz="4" w:space="0" w:color="000000"/>
              <w:right w:val="single" w:sz="4" w:space="0" w:color="000000"/>
            </w:tcBorders>
          </w:tcPr>
          <w:p>
            <w:pPr/>
          </w:p>
        </w:tc>
      </w:tr>
      <w:tr>
        <w:trPr>
          <w:trHeight w:val="161"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vMerge w:val="restart"/>
            <w:tcBorders>
              <w:top w:val="single" w:sz="4" w:space="0" w:color="000000"/>
              <w:left w:val="single" w:sz="10" w:space="0" w:color="D2D2D2"/>
              <w:right w:val="single" w:sz="4" w:space="0" w:color="000000"/>
            </w:tcBorders>
          </w:tcPr>
          <w:p>
            <w:pPr>
              <w:pStyle w:val="TableParagraph"/>
              <w:spacing w:line="300" w:lineRule="auto" w:before="49"/>
              <w:ind w:left="16" w:right="22"/>
              <w:jc w:val="left"/>
              <w:rPr>
                <w:rFonts w:ascii="宋体" w:hAnsi="宋体" w:cs="宋体" w:eastAsia="宋体" w:hint="default"/>
                <w:sz w:val="18"/>
                <w:szCs w:val="18"/>
              </w:rPr>
            </w:pPr>
            <w:r>
              <w:rPr>
                <w:rFonts w:ascii="宋体" w:hAnsi="宋体" w:cs="宋体" w:eastAsia="宋体" w:hint="default"/>
                <w:sz w:val="18"/>
                <w:szCs w:val="18"/>
              </w:rPr>
              <w:t>期末在建工程</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286,355,131.90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元，较上年末增加</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1899.42%</w:t>
            </w:r>
            <w:r>
              <w:rPr>
                <w:rFonts w:ascii="宋体" w:hAnsi="宋体" w:cs="宋体" w:eastAsia="宋体" w:hint="default"/>
                <w:sz w:val="18"/>
                <w:szCs w:val="18"/>
              </w:rPr>
              <w:t>，主要原因是由于公司增 资取得控股子公司北京科信盛彩置业有限公司，合并范围变化增加在建工程。</w:t>
            </w: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9" w:type="dxa"/>
            <w:vMerge/>
            <w:tcBorders>
              <w:left w:val="single" w:sz="10" w:space="0" w:color="D2D2D2"/>
              <w:right w:val="single" w:sz="4" w:space="0" w:color="000000"/>
            </w:tcBorders>
          </w:tcPr>
          <w:p>
            <w:pPr/>
          </w:p>
        </w:tc>
      </w:tr>
      <w:tr>
        <w:trPr>
          <w:trHeight w:val="161"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vMerge/>
            <w:tcBorders>
              <w:left w:val="single" w:sz="10" w:space="0" w:color="D2D2D2"/>
              <w:bottom w:val="single" w:sz="4" w:space="0" w:color="000000"/>
              <w:right w:val="single" w:sz="4" w:space="0" w:color="000000"/>
            </w:tcBorders>
          </w:tcPr>
          <w:p>
            <w:pPr/>
          </w:p>
        </w:tc>
      </w:tr>
      <w:tr>
        <w:trPr>
          <w:trHeight w:val="716"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2"/>
              <w:ind w:left="24" w:right="22"/>
              <w:jc w:val="left"/>
              <w:rPr>
                <w:rFonts w:ascii="宋体" w:hAnsi="宋体" w:cs="宋体" w:eastAsia="宋体" w:hint="default"/>
                <w:sz w:val="18"/>
                <w:szCs w:val="18"/>
              </w:rPr>
            </w:pPr>
            <w:r>
              <w:rPr>
                <w:rFonts w:ascii="宋体" w:hAnsi="宋体" w:cs="宋体" w:eastAsia="宋体" w:hint="default"/>
                <w:sz w:val="18"/>
                <w:szCs w:val="18"/>
              </w:rPr>
              <w:t>期末货币资金</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184,833,748.53</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元，较上年末减少</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22.66%</w:t>
            </w:r>
            <w:r>
              <w:rPr>
                <w:rFonts w:ascii="宋体" w:hAnsi="宋体" w:cs="宋体" w:eastAsia="宋体" w:hint="default"/>
                <w:sz w:val="18"/>
                <w:szCs w:val="18"/>
              </w:rPr>
              <w:t>，主要原因是由于公司对外 投资支付现金，以及募投项目使用募集资金。</w:t>
            </w:r>
          </w:p>
        </w:tc>
      </w:tr>
      <w:tr>
        <w:trPr>
          <w:trHeight w:val="71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期末应收账款</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84,405,140.21 </w:t>
            </w:r>
            <w:r>
              <w:rPr>
                <w:rFonts w:ascii="宋体" w:hAnsi="宋体" w:cs="宋体" w:eastAsia="宋体" w:hint="default"/>
                <w:sz w:val="18"/>
                <w:szCs w:val="18"/>
              </w:rPr>
              <w:t>元，较上年末增加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92.05%</w:t>
            </w:r>
            <w:r>
              <w:rPr>
                <w:rFonts w:ascii="宋体" w:hAnsi="宋体" w:cs="宋体" w:eastAsia="宋体" w:hint="default"/>
                <w:sz w:val="18"/>
                <w:szCs w:val="18"/>
              </w:rPr>
              <w:t>，主要原因是由于公司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IDC</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及其增值业务增长。</w:t>
            </w:r>
          </w:p>
        </w:tc>
      </w:tr>
      <w:tr>
        <w:trPr>
          <w:trHeight w:val="715"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期末预付款项</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9,176,921.88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元，较上年末增加</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257.89%</w:t>
            </w:r>
            <w:r>
              <w:rPr>
                <w:rFonts w:ascii="宋体" w:hAnsi="宋体" w:cs="宋体" w:eastAsia="宋体" w:hint="default"/>
                <w:sz w:val="18"/>
                <w:szCs w:val="18"/>
              </w:rPr>
              <w:t>，主要原因是由于上海嘉定 绿色云计算基地建设预付工程款。</w:t>
            </w:r>
          </w:p>
        </w:tc>
      </w:tr>
      <w:tr>
        <w:trPr>
          <w:trHeight w:val="71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期末其他应收款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83,945,444.14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元，较上年末增加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2660.47%</w:t>
            </w:r>
            <w:r>
              <w:rPr>
                <w:rFonts w:ascii="宋体" w:hAnsi="宋体" w:cs="宋体" w:eastAsia="宋体" w:hint="default"/>
                <w:sz w:val="18"/>
                <w:szCs w:val="18"/>
              </w:rPr>
              <w:t>，主要原因是公司支付 合作意向保证金、融资保证金。</w:t>
            </w:r>
          </w:p>
        </w:tc>
      </w:tr>
      <w:tr>
        <w:trPr>
          <w:trHeight w:val="716"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期末其他流动资产</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11,450,231.89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元，较上年末增加</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78.78%</w:t>
            </w:r>
            <w:r>
              <w:rPr>
                <w:rFonts w:ascii="宋体" w:hAnsi="宋体" w:cs="宋体" w:eastAsia="宋体" w:hint="default"/>
                <w:sz w:val="18"/>
                <w:szCs w:val="18"/>
              </w:rPr>
              <w:t>，原因是公司待抵扣进 项税及预缴增值税增加。</w:t>
            </w:r>
          </w:p>
        </w:tc>
      </w:tr>
    </w:tbl>
    <w:p>
      <w:pPr>
        <w:spacing w:after="0" w:line="297" w:lineRule="auto"/>
        <w:jc w:val="left"/>
        <w:rPr>
          <w:rFonts w:ascii="宋体" w:hAnsi="宋体" w:cs="宋体" w:eastAsia="宋体" w:hint="default"/>
          <w:sz w:val="18"/>
          <w:szCs w:val="18"/>
        </w:rPr>
        <w:sectPr>
          <w:pgSz w:w="11910" w:h="16840"/>
          <w:pgMar w:header="745" w:footer="979" w:top="1060" w:bottom="1160" w:left="980" w:right="940"/>
        </w:sectPr>
      </w:pPr>
    </w:p>
    <w:p>
      <w:pPr>
        <w:spacing w:line="240" w:lineRule="auto" w:before="10"/>
        <w:rPr>
          <w:rFonts w:ascii="宋体" w:hAnsi="宋体" w:cs="宋体" w:eastAsia="宋体" w:hint="default"/>
          <w:b/>
          <w:bCs/>
          <w:sz w:val="24"/>
          <w:szCs w:val="24"/>
        </w:rPr>
      </w:pPr>
    </w:p>
    <w:p>
      <w:pPr>
        <w:pStyle w:val="Heading3"/>
        <w:spacing w:line="240" w:lineRule="auto" w:before="36"/>
        <w:ind w:right="1134"/>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4"/>
        <w:jc w:val="left"/>
        <w:rPr>
          <w:b w:val="0"/>
          <w:bCs w:val="0"/>
        </w:rPr>
      </w:pP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51" w:firstLine="360"/>
        <w:jc w:val="both"/>
      </w:pPr>
      <w:r>
        <w:rPr/>
        <w:t>报告期内，公司加快项目建设与投资并购进度，</w:t>
      </w:r>
      <w:r>
        <w:rPr>
          <w:rFonts w:ascii="宋体" w:hAnsi="宋体" w:cs="宋体" w:eastAsia="宋体" w:hint="default"/>
        </w:rPr>
        <w:t>IDC</w:t>
      </w:r>
      <w:r>
        <w:rPr/>
        <w:t>服务能力得到进一步提升。报告期内，“互联网数据服务一体化平 </w:t>
      </w:r>
      <w:r>
        <w:rPr>
          <w:spacing w:val="-2"/>
        </w:rPr>
        <w:t>台二期工程”项目已完工并投产运营，并已有序启动上海嘉定绿色云计算基地、科信盛彩亦庄绿色云计算基地的建设，启动</w:t>
      </w:r>
      <w:r>
        <w:rPr>
          <w:spacing w:val="-65"/>
        </w:rPr>
        <w:t> </w:t>
      </w:r>
      <w:r>
        <w:rPr>
          <w:spacing w:val="-65"/>
        </w:rPr>
      </w:r>
      <w:r>
        <w:rPr/>
        <w:t>了房山绿色云计算基地及燕郊二期绿色云计算基地的建设。上述在建项目达产后，公司将拥有超过</w:t>
      </w:r>
      <w:r>
        <w:rPr>
          <w:rFonts w:ascii="宋体" w:hAnsi="宋体" w:cs="宋体" w:eastAsia="宋体" w:hint="default"/>
        </w:rPr>
        <w:t>4</w:t>
      </w:r>
      <w:r>
        <w:rPr/>
        <w:t>万个机柜的服务能力， </w:t>
      </w:r>
      <w:r>
        <w:rPr>
          <w:spacing w:val="-3"/>
        </w:rPr>
        <w:t>为公司全国性战略布局及云计算国际合作基地的拓展奠定坚实基础。同时，公司通过对中金云网及无双科技的重大重组，继</w:t>
      </w:r>
      <w:r>
        <w:rPr>
          <w:spacing w:val="-38"/>
        </w:rPr>
        <w:t> </w:t>
      </w:r>
      <w:r>
        <w:rPr>
          <w:spacing w:val="-38"/>
        </w:rPr>
      </w:r>
      <w:r>
        <w:rPr/>
        <w:t>续加强了公司原有业务规模，完善了云计算、大数据及金融服务等战略布局，进一步增强了公司的综合竞争力。</w:t>
      </w:r>
    </w:p>
    <w:p>
      <w:pPr>
        <w:spacing w:line="240" w:lineRule="auto" w:before="5"/>
        <w:rPr>
          <w:rFonts w:ascii="宋体" w:hAnsi="宋体" w:cs="宋体" w:eastAsia="宋体" w:hint="default"/>
          <w:sz w:val="13"/>
          <w:szCs w:val="13"/>
        </w:rPr>
      </w:pPr>
    </w:p>
    <w:p>
      <w:pPr>
        <w:pStyle w:val="BodyText"/>
        <w:spacing w:line="316" w:lineRule="auto"/>
        <w:ind w:right="149" w:firstLine="360"/>
        <w:jc w:val="both"/>
      </w:pPr>
      <w:r>
        <w:rPr>
          <w:spacing w:val="-2"/>
        </w:rPr>
        <w:t>报告期内，光环云产品正式上线推向市场，为客户提供云主机、虚拟网络等</w:t>
      </w:r>
      <w:r>
        <w:rPr>
          <w:rFonts w:ascii="宋体" w:hAnsi="宋体" w:cs="宋体" w:eastAsia="宋体" w:hint="default"/>
          <w:spacing w:val="-2"/>
        </w:rPr>
        <w:t>IAAS</w:t>
      </w:r>
      <w:r>
        <w:rPr>
          <w:spacing w:val="-2"/>
        </w:rPr>
        <w:t>云计算产品，同时为客户提供混合云解</w:t>
      </w:r>
      <w:r>
        <w:rPr/>
        <w:t> </w:t>
      </w:r>
      <w:r>
        <w:rPr>
          <w:spacing w:val="-2"/>
        </w:rPr>
        <w:t>决方案服务。公司也与亚马逊公司合作开发了</w:t>
      </w:r>
      <w:r>
        <w:rPr>
          <w:rFonts w:ascii="宋体" w:hAnsi="宋体" w:cs="宋体" w:eastAsia="宋体" w:hint="default"/>
          <w:spacing w:val="-2"/>
        </w:rPr>
        <w:t>AWS-DX</w:t>
      </w:r>
      <w:r>
        <w:rPr>
          <w:spacing w:val="-2"/>
        </w:rPr>
        <w:t>产品，并为广大客户提供云计算架构及方案咨询服务、混合云系统集成</w:t>
      </w:r>
      <w:r>
        <w:rPr>
          <w:spacing w:val="-58"/>
        </w:rPr>
        <w:t> </w:t>
      </w:r>
      <w:r>
        <w:rPr>
          <w:spacing w:val="-58"/>
        </w:rPr>
      </w:r>
      <w:r>
        <w:rPr/>
        <w:t>服务、云平台运维服务等。</w:t>
      </w:r>
    </w:p>
    <w:p>
      <w:pPr>
        <w:spacing w:line="240" w:lineRule="auto" w:before="5"/>
        <w:rPr>
          <w:rFonts w:ascii="宋体" w:hAnsi="宋体" w:cs="宋体" w:eastAsia="宋体" w:hint="default"/>
          <w:sz w:val="13"/>
          <w:szCs w:val="13"/>
        </w:rPr>
      </w:pPr>
    </w:p>
    <w:p>
      <w:pPr>
        <w:pStyle w:val="BodyText"/>
        <w:spacing w:line="316" w:lineRule="auto"/>
        <w:ind w:right="150" w:firstLine="360"/>
        <w:jc w:val="both"/>
      </w:pP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16</w:t>
      </w:r>
      <w:r>
        <w:rPr>
          <w:spacing w:val="-2"/>
        </w:rPr>
        <w:t>日，在</w:t>
      </w:r>
      <w:r>
        <w:rPr>
          <w:rFonts w:ascii="宋体" w:hAnsi="宋体" w:cs="宋体" w:eastAsia="宋体" w:hint="default"/>
          <w:spacing w:val="-2"/>
        </w:rPr>
        <w:t>AWS</w:t>
      </w:r>
      <w:r>
        <w:rPr>
          <w:spacing w:val="-2"/>
        </w:rPr>
        <w:t>上海技术峰会的合作伙伴会议上，光环新网子公司光环云谷技术有限公司获正式授牌，成为</w:t>
      </w:r>
      <w:r>
        <w:rPr>
          <w:rFonts w:ascii="宋体" w:hAnsi="宋体" w:cs="宋体" w:eastAsia="宋体" w:hint="default"/>
          <w:spacing w:val="-2"/>
        </w:rPr>
        <w:t>AWS</w:t>
      </w:r>
      <w:r>
        <w:rPr>
          <w:rFonts w:ascii="宋体" w:hAnsi="宋体" w:cs="宋体" w:eastAsia="宋体" w:hint="default"/>
        </w:rPr>
        <w:t> APN</w:t>
      </w:r>
      <w:r>
        <w:rPr/>
        <w:t>中国合作伙伴，标志着光环新网与亚马逊</w:t>
      </w:r>
      <w:r>
        <w:rPr>
          <w:rFonts w:ascii="宋体" w:hAnsi="宋体" w:cs="宋体" w:eastAsia="宋体" w:hint="default"/>
        </w:rPr>
        <w:t>AWS</w:t>
      </w:r>
      <w:r>
        <w:rPr/>
        <w:t>中国的合作进入新阶段，光环新网将在</w:t>
      </w:r>
      <w:r>
        <w:rPr>
          <w:rFonts w:ascii="宋体" w:hAnsi="宋体" w:cs="宋体" w:eastAsia="宋体" w:hint="default"/>
        </w:rPr>
        <w:t>AWS</w:t>
      </w:r>
      <w:r>
        <w:rPr/>
        <w:t>平台上实现更加高效丰富的产品 和服务，实现双方深度全方位的合作和资源分享，共同为中国客户提供可信赖的新型产品和解决方案。</w:t>
      </w:r>
    </w:p>
    <w:p>
      <w:pPr>
        <w:spacing w:line="240" w:lineRule="auto" w:before="5"/>
        <w:rPr>
          <w:rFonts w:ascii="宋体" w:hAnsi="宋体" w:cs="宋体" w:eastAsia="宋体" w:hint="default"/>
          <w:sz w:val="13"/>
          <w:szCs w:val="13"/>
        </w:rPr>
      </w:pPr>
    </w:p>
    <w:p>
      <w:pPr>
        <w:pStyle w:val="BodyText"/>
        <w:spacing w:line="316" w:lineRule="auto"/>
        <w:ind w:right="152" w:firstLine="360"/>
        <w:jc w:val="both"/>
      </w:pPr>
      <w:r>
        <w:rPr/>
        <w:t>报告期内，公司及子公司新增计算机软件著作权</w:t>
      </w:r>
      <w:r>
        <w:rPr>
          <w:rFonts w:ascii="宋体" w:hAnsi="宋体" w:cs="宋体" w:eastAsia="宋体" w:hint="default"/>
        </w:rPr>
        <w:t>8</w:t>
      </w:r>
      <w:r>
        <w:rPr/>
        <w:t>项。截至报告期末，公司及子公司共取得</w:t>
      </w:r>
      <w:r>
        <w:rPr>
          <w:rFonts w:ascii="宋体" w:hAnsi="宋体" w:cs="宋体" w:eastAsia="宋体" w:hint="default"/>
        </w:rPr>
        <w:t>36</w:t>
      </w:r>
      <w:r>
        <w:rPr/>
        <w:t>项计算机软件著作权。上 </w:t>
      </w:r>
      <w:r>
        <w:rPr>
          <w:spacing w:val="-2"/>
        </w:rPr>
        <w:t>述计算机软件著作权登记证书的取得有利于公司及子公司发挥主导产品的自主知识产权优势，形成持续创新机制，保持技术</w:t>
      </w:r>
      <w:r>
        <w:rPr>
          <w:spacing w:val="-64"/>
        </w:rPr>
        <w:t> </w:t>
      </w:r>
      <w:r>
        <w:rPr>
          <w:spacing w:val="-64"/>
        </w:rPr>
      </w:r>
      <w:r>
        <w:rPr/>
        <w:t>的领先。</w:t>
      </w:r>
    </w:p>
    <w:p>
      <w:pPr>
        <w:pStyle w:val="BodyText"/>
        <w:spacing w:line="240" w:lineRule="auto" w:before="98"/>
        <w:ind w:left="688" w:right="1134"/>
        <w:jc w:val="left"/>
      </w:pPr>
      <w:r>
        <w:rPr/>
        <w:t>截至报告期末，公司拥有的软件著作权情况如下：</w:t>
      </w:r>
    </w:p>
    <w:p>
      <w:pPr>
        <w:spacing w:line="240" w:lineRule="auto" w:before="1"/>
        <w:rPr>
          <w:rFonts w:ascii="宋体" w:hAnsi="宋体" w:cs="宋体" w:eastAsia="宋体" w:hint="default"/>
          <w:sz w:val="11"/>
          <w:szCs w:val="11"/>
        </w:rPr>
      </w:pPr>
    </w:p>
    <w:tbl>
      <w:tblPr>
        <w:tblW w:w="0" w:type="auto"/>
        <w:jc w:val="left"/>
        <w:tblInd w:w="698" w:type="dxa"/>
        <w:tblLayout w:type="fixed"/>
        <w:tblCellMar>
          <w:top w:w="0" w:type="dxa"/>
          <w:left w:w="0" w:type="dxa"/>
          <w:bottom w:w="0" w:type="dxa"/>
          <w:right w:w="0" w:type="dxa"/>
        </w:tblCellMar>
        <w:tblLook w:val="01E0"/>
      </w:tblPr>
      <w:tblGrid>
        <w:gridCol w:w="859"/>
        <w:gridCol w:w="2521"/>
        <w:gridCol w:w="2276"/>
        <w:gridCol w:w="1609"/>
        <w:gridCol w:w="1272"/>
      </w:tblGrid>
      <w:tr>
        <w:trPr>
          <w:trHeight w:val="355" w:hRule="exact"/>
        </w:trPr>
        <w:tc>
          <w:tcPr>
            <w:tcW w:w="85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521"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17"/>
              <w:ind w:right="8"/>
              <w:jc w:val="center"/>
              <w:rPr>
                <w:rFonts w:ascii="宋体" w:hAnsi="宋体" w:cs="宋体" w:eastAsia="宋体" w:hint="default"/>
                <w:sz w:val="18"/>
                <w:szCs w:val="18"/>
              </w:rPr>
            </w:pPr>
            <w:r>
              <w:rPr>
                <w:rFonts w:ascii="宋体" w:hAnsi="宋体" w:cs="宋体" w:eastAsia="宋体" w:hint="default"/>
                <w:sz w:val="18"/>
                <w:szCs w:val="18"/>
              </w:rPr>
              <w:t>软件名称</w:t>
            </w:r>
          </w:p>
        </w:tc>
        <w:tc>
          <w:tcPr>
            <w:tcW w:w="2276"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17"/>
              <w:ind w:right="9"/>
              <w:jc w:val="center"/>
              <w:rPr>
                <w:rFonts w:ascii="宋体" w:hAnsi="宋体" w:cs="宋体" w:eastAsia="宋体" w:hint="default"/>
                <w:sz w:val="18"/>
                <w:szCs w:val="18"/>
              </w:rPr>
            </w:pPr>
            <w:r>
              <w:rPr>
                <w:rFonts w:ascii="宋体" w:hAnsi="宋体" w:cs="宋体" w:eastAsia="宋体" w:hint="default"/>
                <w:sz w:val="18"/>
                <w:szCs w:val="18"/>
              </w:rPr>
              <w:t>证书编号</w:t>
            </w:r>
          </w:p>
        </w:tc>
        <w:tc>
          <w:tcPr>
            <w:tcW w:w="1609"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17"/>
              <w:ind w:right="5"/>
              <w:jc w:val="center"/>
              <w:rPr>
                <w:rFonts w:ascii="宋体" w:hAnsi="宋体" w:cs="宋体" w:eastAsia="宋体" w:hint="default"/>
                <w:sz w:val="18"/>
                <w:szCs w:val="18"/>
              </w:rPr>
            </w:pPr>
            <w:r>
              <w:rPr>
                <w:rFonts w:ascii="宋体" w:hAnsi="宋体" w:cs="宋体" w:eastAsia="宋体" w:hint="default"/>
                <w:sz w:val="18"/>
                <w:szCs w:val="18"/>
              </w:rPr>
              <w:t>登记号</w:t>
            </w:r>
          </w:p>
        </w:tc>
        <w:tc>
          <w:tcPr>
            <w:tcW w:w="1272"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17"/>
              <w:ind w:right="11"/>
              <w:jc w:val="center"/>
              <w:rPr>
                <w:rFonts w:ascii="宋体" w:hAnsi="宋体" w:cs="宋体" w:eastAsia="宋体" w:hint="default"/>
                <w:sz w:val="18"/>
                <w:szCs w:val="18"/>
              </w:rPr>
            </w:pPr>
            <w:r>
              <w:rPr>
                <w:rFonts w:ascii="宋体" w:hAnsi="宋体" w:cs="宋体" w:eastAsia="宋体" w:hint="default"/>
                <w:sz w:val="18"/>
                <w:szCs w:val="18"/>
              </w:rPr>
              <w:t>登记日</w:t>
            </w:r>
          </w:p>
        </w:tc>
      </w:tr>
      <w:tr>
        <w:trPr>
          <w:trHeight w:val="662" w:hRule="exact"/>
        </w:trPr>
        <w:tc>
          <w:tcPr>
            <w:tcW w:w="859"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w:t>
            </w:r>
          </w:p>
        </w:tc>
        <w:tc>
          <w:tcPr>
            <w:tcW w:w="2521" w:type="dxa"/>
            <w:tcBorders>
              <w:top w:val="single" w:sz="12" w:space="0" w:color="000000"/>
              <w:left w:val="single" w:sz="12" w:space="0" w:color="000000"/>
              <w:bottom w:val="single" w:sz="12" w:space="0" w:color="000000"/>
              <w:right w:val="single" w:sz="12" w:space="0" w:color="000000"/>
            </w:tcBorders>
          </w:tcPr>
          <w:p>
            <w:pPr>
              <w:pStyle w:val="TableParagraph"/>
              <w:spacing w:line="300" w:lineRule="auto" w:before="8"/>
              <w:ind w:left="789" w:right="134" w:hanging="658"/>
              <w:jc w:val="left"/>
              <w:rPr>
                <w:rFonts w:ascii="Times New Roman" w:hAnsi="Times New Roman" w:cs="Times New Roman" w:eastAsia="Times New Roman" w:hint="default"/>
                <w:sz w:val="18"/>
                <w:szCs w:val="18"/>
              </w:rPr>
            </w:pPr>
            <w:r>
              <w:rPr>
                <w:rFonts w:ascii="宋体" w:hAnsi="宋体" w:cs="宋体" w:eastAsia="宋体" w:hint="default"/>
                <w:sz w:val="18"/>
                <w:szCs w:val="18"/>
              </w:rPr>
              <w:t>网络性能分析与评价系统</w:t>
            </w:r>
            <w:r>
              <w:rPr>
                <w:rFonts w:ascii="Times New Roman" w:hAnsi="Times New Roman" w:cs="Times New Roman" w:eastAsia="Times New Roman" w:hint="default"/>
                <w:sz w:val="18"/>
                <w:szCs w:val="18"/>
              </w:rPr>
              <w:t>[</w:t>
            </w:r>
            <w:r>
              <w:rPr>
                <w:rFonts w:ascii="宋体" w:hAnsi="宋体" w:cs="宋体" w:eastAsia="宋体" w:hint="default"/>
                <w:sz w:val="18"/>
                <w:szCs w:val="18"/>
              </w:rPr>
              <w:t>简 称</w:t>
            </w:r>
            <w:r>
              <w:rPr>
                <w:rFonts w:ascii="Times New Roman" w:hAnsi="Times New Roman" w:cs="Times New Roman" w:eastAsia="Times New Roman" w:hint="default"/>
                <w:sz w:val="18"/>
                <w:szCs w:val="18"/>
              </w:rPr>
              <w:t>:ims]V1.0</w:t>
            </w:r>
          </w:p>
        </w:tc>
        <w:tc>
          <w:tcPr>
            <w:tcW w:w="22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0227403</w:t>
            </w:r>
            <w:r>
              <w:rPr>
                <w:rFonts w:ascii="宋体" w:hAnsi="宋体" w:cs="宋体" w:eastAsia="宋体" w:hint="default"/>
                <w:sz w:val="18"/>
                <w:szCs w:val="18"/>
              </w:rPr>
              <w:t>号</w:t>
            </w:r>
          </w:p>
        </w:tc>
        <w:tc>
          <w:tcPr>
            <w:tcW w:w="16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2010SR039130</w:t>
            </w:r>
          </w:p>
        </w:tc>
        <w:tc>
          <w:tcPr>
            <w:tcW w:w="127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2010-08-04</w:t>
            </w:r>
          </w:p>
        </w:tc>
      </w:tr>
      <w:tr>
        <w:trPr>
          <w:trHeight w:val="665" w:hRule="exact"/>
        </w:trPr>
        <w:tc>
          <w:tcPr>
            <w:tcW w:w="859"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w:t>
            </w:r>
          </w:p>
        </w:tc>
        <w:tc>
          <w:tcPr>
            <w:tcW w:w="25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网络实时监控及日志维护系统</w:t>
            </w:r>
          </w:p>
          <w:p>
            <w:pPr>
              <w:pStyle w:val="TableParagraph"/>
              <w:spacing w:line="240" w:lineRule="auto" w:before="118"/>
              <w:ind w:right="7"/>
              <w:jc w:val="center"/>
              <w:rPr>
                <w:rFonts w:ascii="Times New Roman" w:hAnsi="Times New Roman" w:cs="Times New Roman" w:eastAsia="Times New Roman" w:hint="default"/>
                <w:sz w:val="18"/>
                <w:szCs w:val="18"/>
              </w:rPr>
            </w:pPr>
            <w:r>
              <w:rPr>
                <w:rFonts w:ascii="Times New Roman"/>
                <w:sz w:val="18"/>
              </w:rPr>
              <w:t>V1.0</w:t>
            </w:r>
          </w:p>
        </w:tc>
        <w:tc>
          <w:tcPr>
            <w:tcW w:w="22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0227404</w:t>
            </w:r>
            <w:r>
              <w:rPr>
                <w:rFonts w:ascii="宋体" w:hAnsi="宋体" w:cs="宋体" w:eastAsia="宋体" w:hint="default"/>
                <w:sz w:val="18"/>
                <w:szCs w:val="18"/>
              </w:rPr>
              <w:t>号</w:t>
            </w:r>
          </w:p>
        </w:tc>
        <w:tc>
          <w:tcPr>
            <w:tcW w:w="16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2010SR039131</w:t>
            </w:r>
          </w:p>
        </w:tc>
        <w:tc>
          <w:tcPr>
            <w:tcW w:w="127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2010-08-04</w:t>
            </w:r>
          </w:p>
        </w:tc>
      </w:tr>
      <w:tr>
        <w:trPr>
          <w:trHeight w:val="353" w:hRule="exact"/>
        </w:trPr>
        <w:tc>
          <w:tcPr>
            <w:tcW w:w="859"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3</w:t>
            </w:r>
          </w:p>
        </w:tc>
        <w:tc>
          <w:tcPr>
            <w:tcW w:w="25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6"/>
              <w:jc w:val="center"/>
              <w:rPr>
                <w:rFonts w:ascii="Times New Roman" w:hAnsi="Times New Roman" w:cs="Times New Roman" w:eastAsia="Times New Roman" w:hint="default"/>
                <w:sz w:val="18"/>
                <w:szCs w:val="18"/>
              </w:rPr>
            </w:pPr>
            <w:r>
              <w:rPr>
                <w:rFonts w:ascii="宋体" w:hAnsi="宋体" w:cs="宋体" w:eastAsia="宋体" w:hint="default"/>
                <w:sz w:val="18"/>
                <w:szCs w:val="18"/>
              </w:rPr>
              <w:t>人事行政管理系统</w:t>
            </w:r>
            <w:r>
              <w:rPr>
                <w:rFonts w:ascii="Times New Roman" w:hAnsi="Times New Roman" w:cs="Times New Roman" w:eastAsia="Times New Roman" w:hint="default"/>
                <w:sz w:val="18"/>
                <w:szCs w:val="18"/>
              </w:rPr>
              <w:t>V1.0</w:t>
            </w:r>
          </w:p>
        </w:tc>
        <w:tc>
          <w:tcPr>
            <w:tcW w:w="22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0216888</w:t>
            </w:r>
            <w:r>
              <w:rPr>
                <w:rFonts w:ascii="宋体" w:hAnsi="宋体" w:cs="宋体" w:eastAsia="宋体" w:hint="default"/>
                <w:sz w:val="18"/>
                <w:szCs w:val="18"/>
              </w:rPr>
              <w:t>号</w:t>
            </w:r>
          </w:p>
        </w:tc>
        <w:tc>
          <w:tcPr>
            <w:tcW w:w="16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5"/>
              <w:jc w:val="center"/>
              <w:rPr>
                <w:rFonts w:ascii="Times New Roman" w:hAnsi="Times New Roman" w:cs="Times New Roman" w:eastAsia="Times New Roman" w:hint="default"/>
                <w:sz w:val="18"/>
                <w:szCs w:val="18"/>
              </w:rPr>
            </w:pPr>
            <w:r>
              <w:rPr>
                <w:rFonts w:ascii="Times New Roman"/>
                <w:sz w:val="18"/>
              </w:rPr>
              <w:t>2010SR028615</w:t>
            </w:r>
          </w:p>
        </w:tc>
        <w:tc>
          <w:tcPr>
            <w:tcW w:w="127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5"/>
              <w:jc w:val="center"/>
              <w:rPr>
                <w:rFonts w:ascii="Times New Roman" w:hAnsi="Times New Roman" w:cs="Times New Roman" w:eastAsia="Times New Roman" w:hint="default"/>
                <w:sz w:val="18"/>
                <w:szCs w:val="18"/>
              </w:rPr>
            </w:pPr>
            <w:r>
              <w:rPr>
                <w:rFonts w:ascii="Times New Roman"/>
                <w:sz w:val="18"/>
              </w:rPr>
              <w:t>2010-06-11</w:t>
            </w:r>
          </w:p>
        </w:tc>
      </w:tr>
      <w:tr>
        <w:trPr>
          <w:trHeight w:val="662" w:hRule="exact"/>
        </w:trPr>
        <w:tc>
          <w:tcPr>
            <w:tcW w:w="859"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w:t>
            </w:r>
          </w:p>
        </w:tc>
        <w:tc>
          <w:tcPr>
            <w:tcW w:w="2521" w:type="dxa"/>
            <w:tcBorders>
              <w:top w:val="single" w:sz="12" w:space="0" w:color="000000"/>
              <w:left w:val="single" w:sz="12" w:space="0" w:color="000000"/>
              <w:bottom w:val="single" w:sz="12" w:space="0" w:color="000000"/>
              <w:right w:val="single" w:sz="12" w:space="0" w:color="000000"/>
            </w:tcBorders>
          </w:tcPr>
          <w:p>
            <w:pPr>
              <w:pStyle w:val="TableParagraph"/>
              <w:spacing w:line="340" w:lineRule="auto" w:before="8"/>
              <w:ind w:left="823" w:right="340" w:hanging="488"/>
              <w:jc w:val="left"/>
              <w:rPr>
                <w:rFonts w:ascii="Times New Roman" w:hAnsi="Times New Roman" w:cs="Times New Roman" w:eastAsia="Times New Roman" w:hint="default"/>
                <w:sz w:val="18"/>
                <w:szCs w:val="18"/>
              </w:rPr>
            </w:pPr>
            <w:r>
              <w:rPr>
                <w:rFonts w:ascii="宋体" w:hAnsi="宋体" w:cs="宋体" w:eastAsia="宋体" w:hint="default"/>
                <w:sz w:val="18"/>
                <w:szCs w:val="18"/>
              </w:rPr>
              <w:t>公共办公系统</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:one office]V1.0</w:t>
            </w:r>
          </w:p>
        </w:tc>
        <w:tc>
          <w:tcPr>
            <w:tcW w:w="22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0216896</w:t>
            </w:r>
            <w:r>
              <w:rPr>
                <w:rFonts w:ascii="宋体" w:hAnsi="宋体" w:cs="宋体" w:eastAsia="宋体" w:hint="default"/>
                <w:sz w:val="18"/>
                <w:szCs w:val="18"/>
              </w:rPr>
              <w:t>号</w:t>
            </w:r>
          </w:p>
        </w:tc>
        <w:tc>
          <w:tcPr>
            <w:tcW w:w="16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2010SR028623</w:t>
            </w:r>
          </w:p>
        </w:tc>
        <w:tc>
          <w:tcPr>
            <w:tcW w:w="127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2010-06-11</w:t>
            </w:r>
          </w:p>
        </w:tc>
      </w:tr>
      <w:tr>
        <w:trPr>
          <w:trHeight w:val="665" w:hRule="exact"/>
        </w:trPr>
        <w:tc>
          <w:tcPr>
            <w:tcW w:w="859"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w:t>
            </w:r>
          </w:p>
        </w:tc>
        <w:tc>
          <w:tcPr>
            <w:tcW w:w="2521" w:type="dxa"/>
            <w:tcBorders>
              <w:top w:val="single" w:sz="12" w:space="0" w:color="000000"/>
              <w:left w:val="single" w:sz="12" w:space="0" w:color="000000"/>
              <w:bottom w:val="single" w:sz="12" w:space="0" w:color="000000"/>
              <w:right w:val="single" w:sz="12" w:space="0" w:color="000000"/>
            </w:tcBorders>
          </w:tcPr>
          <w:p>
            <w:pPr>
              <w:pStyle w:val="TableParagraph"/>
              <w:spacing w:line="340" w:lineRule="auto" w:before="11"/>
              <w:ind w:left="1063" w:right="158" w:hanging="91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CMS</w:t>
            </w:r>
            <w:r>
              <w:rPr>
                <w:rFonts w:ascii="宋体" w:hAnsi="宋体" w:cs="宋体" w:eastAsia="宋体" w:hint="default"/>
                <w:sz w:val="18"/>
                <w:szCs w:val="18"/>
              </w:rPr>
              <w:t>企业综合管理信息系统 </w:t>
            </w:r>
            <w:r>
              <w:rPr>
                <w:rFonts w:ascii="Times New Roman" w:hAnsi="Times New Roman" w:cs="Times New Roman" w:eastAsia="Times New Roman" w:hint="default"/>
                <w:sz w:val="18"/>
                <w:szCs w:val="18"/>
              </w:rPr>
              <w:t>V1.0</w:t>
            </w:r>
          </w:p>
        </w:tc>
        <w:tc>
          <w:tcPr>
            <w:tcW w:w="22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0227398</w:t>
            </w:r>
            <w:r>
              <w:rPr>
                <w:rFonts w:ascii="宋体" w:hAnsi="宋体" w:cs="宋体" w:eastAsia="宋体" w:hint="default"/>
                <w:sz w:val="18"/>
                <w:szCs w:val="18"/>
              </w:rPr>
              <w:t>号</w:t>
            </w:r>
          </w:p>
        </w:tc>
        <w:tc>
          <w:tcPr>
            <w:tcW w:w="16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2010SR039125</w:t>
            </w:r>
          </w:p>
        </w:tc>
        <w:tc>
          <w:tcPr>
            <w:tcW w:w="127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2010-08-04</w:t>
            </w:r>
          </w:p>
        </w:tc>
      </w:tr>
      <w:tr>
        <w:trPr>
          <w:trHeight w:val="353" w:hRule="exact"/>
        </w:trPr>
        <w:tc>
          <w:tcPr>
            <w:tcW w:w="859"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6</w:t>
            </w:r>
          </w:p>
        </w:tc>
        <w:tc>
          <w:tcPr>
            <w:tcW w:w="25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6"/>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客户管理系统</w:t>
            </w:r>
            <w:r>
              <w:rPr>
                <w:rFonts w:ascii="Times New Roman" w:hAnsi="Times New Roman" w:cs="Times New Roman" w:eastAsia="Times New Roman" w:hint="default"/>
                <w:sz w:val="18"/>
                <w:szCs w:val="18"/>
              </w:rPr>
              <w:t>V1.0</w:t>
            </w:r>
          </w:p>
        </w:tc>
        <w:tc>
          <w:tcPr>
            <w:tcW w:w="22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0216895</w:t>
            </w:r>
            <w:r>
              <w:rPr>
                <w:rFonts w:ascii="宋体" w:hAnsi="宋体" w:cs="宋体" w:eastAsia="宋体" w:hint="default"/>
                <w:sz w:val="18"/>
                <w:szCs w:val="18"/>
              </w:rPr>
              <w:t>号</w:t>
            </w:r>
          </w:p>
        </w:tc>
        <w:tc>
          <w:tcPr>
            <w:tcW w:w="16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5"/>
              <w:jc w:val="center"/>
              <w:rPr>
                <w:rFonts w:ascii="Times New Roman" w:hAnsi="Times New Roman" w:cs="Times New Roman" w:eastAsia="Times New Roman" w:hint="default"/>
                <w:sz w:val="18"/>
                <w:szCs w:val="18"/>
              </w:rPr>
            </w:pPr>
            <w:r>
              <w:rPr>
                <w:rFonts w:ascii="Times New Roman"/>
                <w:sz w:val="18"/>
              </w:rPr>
              <w:t>2010SR028622</w:t>
            </w:r>
          </w:p>
        </w:tc>
        <w:tc>
          <w:tcPr>
            <w:tcW w:w="127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5"/>
              <w:jc w:val="center"/>
              <w:rPr>
                <w:rFonts w:ascii="Times New Roman" w:hAnsi="Times New Roman" w:cs="Times New Roman" w:eastAsia="Times New Roman" w:hint="default"/>
                <w:sz w:val="18"/>
                <w:szCs w:val="18"/>
              </w:rPr>
            </w:pPr>
            <w:r>
              <w:rPr>
                <w:rFonts w:ascii="Times New Roman"/>
                <w:sz w:val="18"/>
              </w:rPr>
              <w:t>2010-06-11</w:t>
            </w:r>
          </w:p>
        </w:tc>
      </w:tr>
      <w:tr>
        <w:trPr>
          <w:trHeight w:val="662" w:hRule="exact"/>
        </w:trPr>
        <w:tc>
          <w:tcPr>
            <w:tcW w:w="859"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7</w:t>
            </w:r>
          </w:p>
        </w:tc>
        <w:tc>
          <w:tcPr>
            <w:tcW w:w="25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城域网节点机房资源管理系统</w:t>
            </w:r>
          </w:p>
          <w:p>
            <w:pPr>
              <w:pStyle w:val="TableParagraph"/>
              <w:spacing w:line="240" w:lineRule="auto" w:before="76"/>
              <w:ind w:right="7"/>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MAN-RCS]V1.35</w:t>
            </w:r>
          </w:p>
        </w:tc>
        <w:tc>
          <w:tcPr>
            <w:tcW w:w="22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软著变字第</w:t>
            </w:r>
            <w:r>
              <w:rPr>
                <w:rFonts w:ascii="Times New Roman" w:hAnsi="Times New Roman" w:cs="Times New Roman" w:eastAsia="Times New Roman" w:hint="default"/>
                <w:sz w:val="18"/>
                <w:szCs w:val="18"/>
              </w:rPr>
              <w:t>20101498</w:t>
            </w:r>
            <w:r>
              <w:rPr>
                <w:rFonts w:ascii="宋体" w:hAnsi="宋体" w:cs="宋体" w:eastAsia="宋体" w:hint="default"/>
                <w:sz w:val="18"/>
                <w:szCs w:val="18"/>
              </w:rPr>
              <w:t>号</w:t>
            </w:r>
          </w:p>
        </w:tc>
        <w:tc>
          <w:tcPr>
            <w:tcW w:w="16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2008SR25551</w:t>
            </w:r>
          </w:p>
        </w:tc>
        <w:tc>
          <w:tcPr>
            <w:tcW w:w="127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2008-10-20</w:t>
            </w:r>
          </w:p>
        </w:tc>
      </w:tr>
      <w:tr>
        <w:trPr>
          <w:trHeight w:val="665" w:hRule="exact"/>
        </w:trPr>
        <w:tc>
          <w:tcPr>
            <w:tcW w:w="859"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8</w:t>
            </w:r>
          </w:p>
        </w:tc>
        <w:tc>
          <w:tcPr>
            <w:tcW w:w="2521"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10"/>
              <w:ind w:left="794" w:right="77" w:hanging="723"/>
              <w:jc w:val="left"/>
              <w:rPr>
                <w:rFonts w:ascii="Times New Roman" w:hAnsi="Times New Roman" w:cs="Times New Roman" w:eastAsia="Times New Roman" w:hint="default"/>
                <w:sz w:val="18"/>
                <w:szCs w:val="18"/>
              </w:rPr>
            </w:pPr>
            <w:r>
              <w:rPr>
                <w:rFonts w:ascii="宋体" w:hAnsi="宋体" w:cs="宋体" w:eastAsia="宋体" w:hint="default"/>
                <w:sz w:val="18"/>
                <w:szCs w:val="18"/>
              </w:rPr>
              <w:t>高校宽带客户增值业务教务管 理系统</w:t>
            </w:r>
            <w:r>
              <w:rPr>
                <w:rFonts w:ascii="Times New Roman" w:hAnsi="Times New Roman" w:cs="Times New Roman" w:eastAsia="Times New Roman" w:hint="default"/>
                <w:sz w:val="18"/>
                <w:szCs w:val="18"/>
              </w:rPr>
              <w:t>V1.0</w:t>
            </w:r>
          </w:p>
        </w:tc>
        <w:tc>
          <w:tcPr>
            <w:tcW w:w="22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软著变字第</w:t>
            </w:r>
            <w:r>
              <w:rPr>
                <w:rFonts w:ascii="Times New Roman" w:hAnsi="Times New Roman" w:cs="Times New Roman" w:eastAsia="Times New Roman" w:hint="default"/>
                <w:sz w:val="18"/>
                <w:szCs w:val="18"/>
              </w:rPr>
              <w:t>20101503</w:t>
            </w:r>
            <w:r>
              <w:rPr>
                <w:rFonts w:ascii="宋体" w:hAnsi="宋体" w:cs="宋体" w:eastAsia="宋体" w:hint="default"/>
                <w:sz w:val="18"/>
                <w:szCs w:val="18"/>
              </w:rPr>
              <w:t>号</w:t>
            </w:r>
          </w:p>
        </w:tc>
        <w:tc>
          <w:tcPr>
            <w:tcW w:w="16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2008SR25552</w:t>
            </w:r>
          </w:p>
        </w:tc>
        <w:tc>
          <w:tcPr>
            <w:tcW w:w="127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2008-10-20</w:t>
            </w:r>
          </w:p>
        </w:tc>
      </w:tr>
      <w:tr>
        <w:trPr>
          <w:trHeight w:val="665" w:hRule="exact"/>
        </w:trPr>
        <w:tc>
          <w:tcPr>
            <w:tcW w:w="859"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9</w:t>
            </w:r>
          </w:p>
        </w:tc>
        <w:tc>
          <w:tcPr>
            <w:tcW w:w="2521" w:type="dxa"/>
            <w:tcBorders>
              <w:top w:val="single" w:sz="12" w:space="0" w:color="000000"/>
              <w:left w:val="single" w:sz="12" w:space="0" w:color="000000"/>
              <w:bottom w:val="single" w:sz="12" w:space="0" w:color="000000"/>
              <w:right w:val="single" w:sz="12" w:space="0" w:color="000000"/>
            </w:tcBorders>
          </w:tcPr>
          <w:p>
            <w:pPr>
              <w:pStyle w:val="TableParagraph"/>
              <w:spacing w:line="300" w:lineRule="auto" w:before="8"/>
              <w:ind w:left="28" w:right="36" w:firstLine="48"/>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ISP&amp;IDC</w:t>
            </w:r>
            <w:r>
              <w:rPr>
                <w:rFonts w:ascii="宋体" w:hAnsi="宋体" w:cs="宋体" w:eastAsia="宋体" w:hint="default"/>
                <w:sz w:val="18"/>
                <w:szCs w:val="18"/>
              </w:rPr>
              <w:t>客户自助站增值服务 系统</w:t>
            </w:r>
            <w:r>
              <w:rPr>
                <w:rFonts w:ascii="Times New Roman" w:hAnsi="Times New Roman" w:cs="Times New Roman" w:eastAsia="Times New Roman" w:hint="default"/>
                <w:sz w:val="18"/>
                <w:szCs w:val="18"/>
              </w:rPr>
              <w:t>V2.99 [</w:t>
            </w:r>
            <w:r>
              <w:rPr>
                <w:rFonts w:ascii="宋体" w:hAnsi="宋体" w:cs="宋体" w:eastAsia="宋体" w:hint="default"/>
                <w:sz w:val="18"/>
                <w:szCs w:val="18"/>
              </w:rPr>
              <w:t>简称：</w:t>
            </w:r>
            <w:r>
              <w:rPr>
                <w:rFonts w:ascii="Times New Roman" w:hAnsi="Times New Roman" w:cs="Times New Roman" w:eastAsia="Times New Roman" w:hint="default"/>
                <w:sz w:val="18"/>
                <w:szCs w:val="18"/>
              </w:rPr>
              <w:t>EASY</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WEB]</w:t>
            </w:r>
          </w:p>
        </w:tc>
        <w:tc>
          <w:tcPr>
            <w:tcW w:w="22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软著变字第</w:t>
            </w:r>
            <w:r>
              <w:rPr>
                <w:rFonts w:ascii="Times New Roman" w:hAnsi="Times New Roman" w:cs="Times New Roman" w:eastAsia="Times New Roman" w:hint="default"/>
                <w:sz w:val="18"/>
                <w:szCs w:val="18"/>
              </w:rPr>
              <w:t>20101473</w:t>
            </w:r>
            <w:r>
              <w:rPr>
                <w:rFonts w:ascii="宋体" w:hAnsi="宋体" w:cs="宋体" w:eastAsia="宋体" w:hint="default"/>
                <w:sz w:val="18"/>
                <w:szCs w:val="18"/>
              </w:rPr>
              <w:t>号</w:t>
            </w:r>
          </w:p>
        </w:tc>
        <w:tc>
          <w:tcPr>
            <w:tcW w:w="16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2008SR25571</w:t>
            </w:r>
          </w:p>
        </w:tc>
        <w:tc>
          <w:tcPr>
            <w:tcW w:w="127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2008-10-20</w:t>
            </w:r>
          </w:p>
        </w:tc>
      </w:tr>
      <w:tr>
        <w:trPr>
          <w:trHeight w:val="663" w:hRule="exact"/>
        </w:trPr>
        <w:tc>
          <w:tcPr>
            <w:tcW w:w="859"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10</w:t>
            </w:r>
          </w:p>
        </w:tc>
        <w:tc>
          <w:tcPr>
            <w:tcW w:w="25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71" w:right="0"/>
              <w:jc w:val="left"/>
              <w:rPr>
                <w:rFonts w:ascii="宋体" w:hAnsi="宋体" w:cs="宋体" w:eastAsia="宋体" w:hint="default"/>
                <w:sz w:val="18"/>
                <w:szCs w:val="18"/>
              </w:rPr>
            </w:pPr>
            <w:r>
              <w:rPr>
                <w:rFonts w:ascii="宋体" w:hAnsi="宋体" w:cs="宋体" w:eastAsia="宋体" w:hint="default"/>
                <w:sz w:val="18"/>
                <w:szCs w:val="18"/>
              </w:rPr>
              <w:t>宽带网络资源查验及施工系统</w:t>
            </w:r>
          </w:p>
          <w:p>
            <w:pPr>
              <w:pStyle w:val="TableParagraph"/>
              <w:spacing w:line="240" w:lineRule="auto" w:before="77"/>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V5.01[</w:t>
            </w:r>
            <w:r>
              <w:rPr>
                <w:rFonts w:ascii="宋体" w:hAnsi="宋体" w:cs="宋体" w:eastAsia="宋体" w:hint="default"/>
                <w:sz w:val="18"/>
                <w:szCs w:val="18"/>
              </w:rPr>
              <w:t>简称：</w:t>
            </w:r>
            <w:r>
              <w:rPr>
                <w:rFonts w:ascii="Times New Roman" w:hAnsi="Times New Roman" w:cs="Times New Roman" w:eastAsia="Times New Roman" w:hint="default"/>
                <w:sz w:val="18"/>
                <w:szCs w:val="18"/>
              </w:rPr>
              <w:t>BBN</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MANAGER]</w:t>
            </w:r>
          </w:p>
        </w:tc>
        <w:tc>
          <w:tcPr>
            <w:tcW w:w="22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软著变字第</w:t>
            </w:r>
            <w:r>
              <w:rPr>
                <w:rFonts w:ascii="Times New Roman" w:hAnsi="Times New Roman" w:cs="Times New Roman" w:eastAsia="Times New Roman" w:hint="default"/>
                <w:sz w:val="18"/>
                <w:szCs w:val="18"/>
              </w:rPr>
              <w:t>20101474</w:t>
            </w:r>
            <w:r>
              <w:rPr>
                <w:rFonts w:ascii="宋体" w:hAnsi="宋体" w:cs="宋体" w:eastAsia="宋体" w:hint="default"/>
                <w:sz w:val="18"/>
                <w:szCs w:val="18"/>
              </w:rPr>
              <w:t>号</w:t>
            </w:r>
          </w:p>
        </w:tc>
        <w:tc>
          <w:tcPr>
            <w:tcW w:w="16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2008SR25575</w:t>
            </w:r>
          </w:p>
        </w:tc>
        <w:tc>
          <w:tcPr>
            <w:tcW w:w="127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2008-10-20</w:t>
            </w:r>
          </w:p>
        </w:tc>
      </w:tr>
      <w:tr>
        <w:trPr>
          <w:trHeight w:val="353" w:hRule="exact"/>
        </w:trPr>
        <w:tc>
          <w:tcPr>
            <w:tcW w:w="859"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2"/>
              <w:ind w:left="7" w:right="0"/>
              <w:jc w:val="center"/>
              <w:rPr>
                <w:rFonts w:ascii="Times New Roman" w:hAnsi="Times New Roman" w:cs="Times New Roman" w:eastAsia="Times New Roman" w:hint="default"/>
                <w:sz w:val="18"/>
                <w:szCs w:val="18"/>
              </w:rPr>
            </w:pPr>
            <w:r>
              <w:rPr>
                <w:rFonts w:ascii="Times New Roman"/>
                <w:sz w:val="18"/>
              </w:rPr>
              <w:t>11</w:t>
            </w:r>
          </w:p>
        </w:tc>
        <w:tc>
          <w:tcPr>
            <w:tcW w:w="25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光环新网资产管理系统</w:t>
            </w:r>
            <w:r>
              <w:rPr>
                <w:rFonts w:ascii="Times New Roman" w:hAnsi="Times New Roman" w:cs="Times New Roman" w:eastAsia="Times New Roman" w:hint="default"/>
                <w:sz w:val="18"/>
                <w:szCs w:val="18"/>
              </w:rPr>
              <w:t>V4.60[</w:t>
            </w:r>
            <w:r>
              <w:rPr>
                <w:rFonts w:ascii="宋体" w:hAnsi="宋体" w:cs="宋体" w:eastAsia="宋体" w:hint="default"/>
                <w:sz w:val="18"/>
                <w:szCs w:val="18"/>
              </w:rPr>
              <w:t>简</w:t>
            </w:r>
          </w:p>
        </w:tc>
        <w:tc>
          <w:tcPr>
            <w:tcW w:w="22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软著变字第</w:t>
            </w:r>
            <w:r>
              <w:rPr>
                <w:rFonts w:ascii="Times New Roman" w:hAnsi="Times New Roman" w:cs="Times New Roman" w:eastAsia="Times New Roman" w:hint="default"/>
                <w:sz w:val="18"/>
                <w:szCs w:val="18"/>
              </w:rPr>
              <w:t>20101480</w:t>
            </w:r>
            <w:r>
              <w:rPr>
                <w:rFonts w:ascii="宋体" w:hAnsi="宋体" w:cs="宋体" w:eastAsia="宋体" w:hint="default"/>
                <w:sz w:val="18"/>
                <w:szCs w:val="18"/>
              </w:rPr>
              <w:t>号</w:t>
            </w:r>
          </w:p>
        </w:tc>
        <w:tc>
          <w:tcPr>
            <w:tcW w:w="16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5"/>
              <w:jc w:val="center"/>
              <w:rPr>
                <w:rFonts w:ascii="Times New Roman" w:hAnsi="Times New Roman" w:cs="Times New Roman" w:eastAsia="Times New Roman" w:hint="default"/>
                <w:sz w:val="18"/>
                <w:szCs w:val="18"/>
              </w:rPr>
            </w:pPr>
            <w:r>
              <w:rPr>
                <w:rFonts w:ascii="Times New Roman"/>
                <w:sz w:val="18"/>
              </w:rPr>
              <w:t>2008SR25577</w:t>
            </w:r>
          </w:p>
        </w:tc>
        <w:tc>
          <w:tcPr>
            <w:tcW w:w="127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5"/>
              <w:jc w:val="center"/>
              <w:rPr>
                <w:rFonts w:ascii="Times New Roman" w:hAnsi="Times New Roman" w:cs="Times New Roman" w:eastAsia="Times New Roman" w:hint="default"/>
                <w:sz w:val="18"/>
                <w:szCs w:val="18"/>
              </w:rPr>
            </w:pPr>
            <w:r>
              <w:rPr>
                <w:rFonts w:ascii="Times New Roman"/>
                <w:sz w:val="18"/>
              </w:rPr>
              <w:t>2008-10-20</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698" w:type="dxa"/>
        <w:tblLayout w:type="fixed"/>
        <w:tblCellMar>
          <w:top w:w="0" w:type="dxa"/>
          <w:left w:w="0" w:type="dxa"/>
          <w:bottom w:w="0" w:type="dxa"/>
          <w:right w:w="0" w:type="dxa"/>
        </w:tblCellMar>
        <w:tblLook w:val="01E0"/>
      </w:tblPr>
      <w:tblGrid>
        <w:gridCol w:w="859"/>
        <w:gridCol w:w="2521"/>
        <w:gridCol w:w="2276"/>
        <w:gridCol w:w="1609"/>
        <w:gridCol w:w="1272"/>
      </w:tblGrid>
      <w:tr>
        <w:trPr>
          <w:trHeight w:val="356" w:hRule="exact"/>
        </w:trPr>
        <w:tc>
          <w:tcPr>
            <w:tcW w:w="859" w:type="dxa"/>
            <w:tcBorders>
              <w:top w:val="single" w:sz="6" w:space="0" w:color="000000"/>
              <w:left w:val="single" w:sz="6" w:space="0" w:color="000000"/>
              <w:bottom w:val="single" w:sz="12" w:space="0" w:color="000000"/>
              <w:right w:val="single" w:sz="12" w:space="0" w:color="000000"/>
            </w:tcBorders>
          </w:tcPr>
          <w:p>
            <w:pPr/>
          </w:p>
        </w:tc>
        <w:tc>
          <w:tcPr>
            <w:tcW w:w="2521"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18"/>
              <w:ind w:right="9"/>
              <w:jc w:val="center"/>
              <w:rPr>
                <w:rFonts w:ascii="Times New Roman" w:hAnsi="Times New Roman" w:cs="Times New Roman" w:eastAsia="Times New Roman" w:hint="default"/>
                <w:sz w:val="18"/>
                <w:szCs w:val="18"/>
              </w:rPr>
            </w:pPr>
            <w:r>
              <w:rPr>
                <w:rFonts w:ascii="宋体" w:hAnsi="宋体" w:cs="宋体" w:eastAsia="宋体" w:hint="default"/>
                <w:sz w:val="18"/>
                <w:szCs w:val="18"/>
              </w:rPr>
              <w:t>称</w:t>
            </w:r>
            <w:r>
              <w:rPr>
                <w:rFonts w:ascii="Times New Roman" w:hAnsi="Times New Roman" w:cs="Times New Roman" w:eastAsia="Times New Roman" w:hint="default"/>
                <w:sz w:val="18"/>
                <w:szCs w:val="18"/>
              </w:rPr>
              <w:t>:SINNET</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EAM]</w:t>
            </w:r>
          </w:p>
        </w:tc>
        <w:tc>
          <w:tcPr>
            <w:tcW w:w="2276" w:type="dxa"/>
            <w:tcBorders>
              <w:top w:val="single" w:sz="6" w:space="0" w:color="000000"/>
              <w:left w:val="single" w:sz="12" w:space="0" w:color="000000"/>
              <w:bottom w:val="single" w:sz="12" w:space="0" w:color="000000"/>
              <w:right w:val="single" w:sz="12" w:space="0" w:color="000000"/>
            </w:tcBorders>
          </w:tcPr>
          <w:p>
            <w:pPr/>
          </w:p>
        </w:tc>
        <w:tc>
          <w:tcPr>
            <w:tcW w:w="1609" w:type="dxa"/>
            <w:tcBorders>
              <w:top w:val="single" w:sz="6" w:space="0" w:color="000000"/>
              <w:left w:val="single" w:sz="12" w:space="0" w:color="000000"/>
              <w:bottom w:val="single" w:sz="12" w:space="0" w:color="000000"/>
              <w:right w:val="single" w:sz="12" w:space="0" w:color="000000"/>
            </w:tcBorders>
          </w:tcPr>
          <w:p>
            <w:pPr/>
          </w:p>
        </w:tc>
        <w:tc>
          <w:tcPr>
            <w:tcW w:w="1272" w:type="dxa"/>
            <w:tcBorders>
              <w:top w:val="single" w:sz="6" w:space="0" w:color="000000"/>
              <w:left w:val="single" w:sz="12" w:space="0" w:color="000000"/>
              <w:bottom w:val="single" w:sz="12" w:space="0" w:color="000000"/>
              <w:right w:val="single" w:sz="12" w:space="0" w:color="000000"/>
            </w:tcBorders>
          </w:tcPr>
          <w:p>
            <w:pPr/>
          </w:p>
        </w:tc>
      </w:tr>
      <w:tr>
        <w:trPr>
          <w:trHeight w:val="1286" w:hRule="exact"/>
        </w:trPr>
        <w:tc>
          <w:tcPr>
            <w:tcW w:w="859"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12</w:t>
            </w:r>
          </w:p>
        </w:tc>
        <w:tc>
          <w:tcPr>
            <w:tcW w:w="2521" w:type="dxa"/>
            <w:tcBorders>
              <w:top w:val="single" w:sz="12" w:space="0" w:color="000000"/>
              <w:left w:val="single" w:sz="12" w:space="0" w:color="000000"/>
              <w:bottom w:val="single" w:sz="12" w:space="0" w:color="000000"/>
              <w:right w:val="single" w:sz="12" w:space="0" w:color="000000"/>
            </w:tcBorders>
          </w:tcPr>
          <w:p>
            <w:pPr>
              <w:pStyle w:val="TableParagraph"/>
              <w:spacing w:line="328" w:lineRule="auto" w:before="8"/>
              <w:ind w:left="-3" w:right="3"/>
              <w:jc w:val="center"/>
              <w:rPr>
                <w:rFonts w:ascii="Times New Roman" w:hAnsi="Times New Roman" w:cs="Times New Roman" w:eastAsia="Times New Roman" w:hint="default"/>
                <w:sz w:val="18"/>
                <w:szCs w:val="18"/>
              </w:rPr>
            </w:pPr>
            <w:r>
              <w:rPr>
                <w:rFonts w:ascii="宋体" w:hAnsi="宋体" w:cs="宋体" w:eastAsia="宋体" w:hint="default"/>
                <w:sz w:val="18"/>
                <w:szCs w:val="18"/>
              </w:rPr>
              <w:t>互联网数据传输网络监控及故 障管理系统</w:t>
            </w:r>
            <w:r>
              <w:rPr>
                <w:rFonts w:ascii="Times New Roman" w:hAnsi="Times New Roman" w:cs="Times New Roman" w:eastAsia="Times New Roman" w:hint="default"/>
                <w:sz w:val="18"/>
                <w:szCs w:val="18"/>
              </w:rPr>
              <w:t>V2.0[</w:t>
            </w:r>
            <w:r>
              <w:rPr>
                <w:rFonts w:ascii="宋体" w:hAnsi="宋体" w:cs="宋体" w:eastAsia="宋体" w:hint="default"/>
                <w:sz w:val="18"/>
                <w:szCs w:val="18"/>
              </w:rPr>
              <w:t>简称：</w:t>
            </w:r>
            <w:r>
              <w:rPr>
                <w:rFonts w:ascii="Times New Roman" w:hAnsi="Times New Roman" w:cs="Times New Roman" w:eastAsia="Times New Roman" w:hint="default"/>
                <w:sz w:val="18"/>
                <w:szCs w:val="18"/>
              </w:rPr>
              <w:t>SINNET IDC</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CONTORL</w:t>
            </w:r>
          </w:p>
          <w:p>
            <w:pPr>
              <w:pStyle w:val="TableParagraph"/>
              <w:spacing w:line="240" w:lineRule="auto" w:before="31"/>
              <w:ind w:right="1"/>
              <w:jc w:val="center"/>
              <w:rPr>
                <w:rFonts w:ascii="Times New Roman" w:hAnsi="Times New Roman" w:cs="Times New Roman" w:eastAsia="Times New Roman" w:hint="default"/>
                <w:sz w:val="18"/>
                <w:szCs w:val="18"/>
              </w:rPr>
            </w:pPr>
            <w:r>
              <w:rPr>
                <w:rFonts w:ascii="Times New Roman"/>
                <w:sz w:val="18"/>
              </w:rPr>
              <w:t>SYSTEM(SICS-1)</w:t>
            </w:r>
          </w:p>
        </w:tc>
        <w:tc>
          <w:tcPr>
            <w:tcW w:w="22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软著变字第</w:t>
            </w:r>
            <w:r>
              <w:rPr>
                <w:rFonts w:ascii="Times New Roman" w:hAnsi="Times New Roman" w:cs="Times New Roman" w:eastAsia="Times New Roman" w:hint="default"/>
                <w:sz w:val="18"/>
                <w:szCs w:val="18"/>
              </w:rPr>
              <w:t>20101472</w:t>
            </w:r>
            <w:r>
              <w:rPr>
                <w:rFonts w:ascii="宋体" w:hAnsi="宋体" w:cs="宋体" w:eastAsia="宋体" w:hint="default"/>
                <w:sz w:val="18"/>
                <w:szCs w:val="18"/>
              </w:rPr>
              <w:t>号</w:t>
            </w:r>
          </w:p>
        </w:tc>
        <w:tc>
          <w:tcPr>
            <w:tcW w:w="16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2008SR25581</w:t>
            </w:r>
          </w:p>
        </w:tc>
        <w:tc>
          <w:tcPr>
            <w:tcW w:w="127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2008-10-20</w:t>
            </w:r>
          </w:p>
        </w:tc>
      </w:tr>
      <w:tr>
        <w:trPr>
          <w:trHeight w:val="665" w:hRule="exact"/>
        </w:trPr>
        <w:tc>
          <w:tcPr>
            <w:tcW w:w="859"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13</w:t>
            </w:r>
          </w:p>
        </w:tc>
        <w:tc>
          <w:tcPr>
            <w:tcW w:w="2521"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10"/>
              <w:ind w:left="703" w:right="77" w:hanging="632"/>
              <w:jc w:val="left"/>
              <w:rPr>
                <w:rFonts w:ascii="Times New Roman" w:hAnsi="Times New Roman" w:cs="Times New Roman" w:eastAsia="Times New Roman" w:hint="default"/>
                <w:sz w:val="18"/>
                <w:szCs w:val="18"/>
              </w:rPr>
            </w:pPr>
            <w:r>
              <w:rPr>
                <w:rFonts w:ascii="宋体" w:hAnsi="宋体" w:cs="宋体" w:eastAsia="宋体" w:hint="default"/>
                <w:sz w:val="18"/>
                <w:szCs w:val="18"/>
              </w:rPr>
              <w:t>内容分发网络流媒体后台运维 管理系统</w:t>
            </w:r>
            <w:r>
              <w:rPr>
                <w:rFonts w:ascii="Times New Roman" w:hAnsi="Times New Roman" w:cs="Times New Roman" w:eastAsia="Times New Roman" w:hint="default"/>
                <w:sz w:val="18"/>
                <w:szCs w:val="18"/>
              </w:rPr>
              <w:t>V1.0</w:t>
            </w:r>
          </w:p>
        </w:tc>
        <w:tc>
          <w:tcPr>
            <w:tcW w:w="22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0325955</w:t>
            </w:r>
            <w:r>
              <w:rPr>
                <w:rFonts w:ascii="宋体" w:hAnsi="宋体" w:cs="宋体" w:eastAsia="宋体" w:hint="default"/>
                <w:sz w:val="18"/>
                <w:szCs w:val="18"/>
              </w:rPr>
              <w:t>号</w:t>
            </w:r>
          </w:p>
        </w:tc>
        <w:tc>
          <w:tcPr>
            <w:tcW w:w="16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2011SR062281</w:t>
            </w:r>
          </w:p>
        </w:tc>
        <w:tc>
          <w:tcPr>
            <w:tcW w:w="127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2011-09-01</w:t>
            </w:r>
          </w:p>
        </w:tc>
      </w:tr>
      <w:tr>
        <w:trPr>
          <w:trHeight w:val="665" w:hRule="exact"/>
        </w:trPr>
        <w:tc>
          <w:tcPr>
            <w:tcW w:w="859"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14</w:t>
            </w:r>
          </w:p>
        </w:tc>
        <w:tc>
          <w:tcPr>
            <w:tcW w:w="25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流媒体</w:t>
            </w:r>
            <w:r>
              <w:rPr>
                <w:rFonts w:ascii="Times New Roman" w:hAnsi="Times New Roman" w:cs="Times New Roman" w:eastAsia="Times New Roman" w:hint="default"/>
                <w:sz w:val="18"/>
                <w:szCs w:val="18"/>
              </w:rPr>
              <w:t>CDN</w:t>
            </w:r>
            <w:r>
              <w:rPr>
                <w:rFonts w:ascii="宋体" w:hAnsi="宋体" w:cs="宋体" w:eastAsia="宋体" w:hint="default"/>
                <w:sz w:val="18"/>
                <w:szCs w:val="18"/>
              </w:rPr>
              <w:t>日志处理分析系统</w:t>
            </w:r>
          </w:p>
          <w:p>
            <w:pPr>
              <w:pStyle w:val="TableParagraph"/>
              <w:spacing w:line="240" w:lineRule="auto" w:before="105"/>
              <w:ind w:right="7"/>
              <w:jc w:val="center"/>
              <w:rPr>
                <w:rFonts w:ascii="Times New Roman" w:hAnsi="Times New Roman" w:cs="Times New Roman" w:eastAsia="Times New Roman" w:hint="default"/>
                <w:sz w:val="18"/>
                <w:szCs w:val="18"/>
              </w:rPr>
            </w:pPr>
            <w:r>
              <w:rPr>
                <w:rFonts w:ascii="Times New Roman"/>
                <w:sz w:val="18"/>
              </w:rPr>
              <w:t>V1.0</w:t>
            </w:r>
          </w:p>
        </w:tc>
        <w:tc>
          <w:tcPr>
            <w:tcW w:w="22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0324518</w:t>
            </w:r>
            <w:r>
              <w:rPr>
                <w:rFonts w:ascii="宋体" w:hAnsi="宋体" w:cs="宋体" w:eastAsia="宋体" w:hint="default"/>
                <w:sz w:val="18"/>
                <w:szCs w:val="18"/>
              </w:rPr>
              <w:t>号</w:t>
            </w:r>
          </w:p>
        </w:tc>
        <w:tc>
          <w:tcPr>
            <w:tcW w:w="16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2011SR060844</w:t>
            </w:r>
          </w:p>
        </w:tc>
        <w:tc>
          <w:tcPr>
            <w:tcW w:w="127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2011-08-26</w:t>
            </w:r>
          </w:p>
        </w:tc>
      </w:tr>
      <w:tr>
        <w:trPr>
          <w:trHeight w:val="663" w:hRule="exact"/>
        </w:trPr>
        <w:tc>
          <w:tcPr>
            <w:tcW w:w="859"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15</w:t>
            </w:r>
          </w:p>
        </w:tc>
        <w:tc>
          <w:tcPr>
            <w:tcW w:w="2521" w:type="dxa"/>
            <w:tcBorders>
              <w:top w:val="single" w:sz="12" w:space="0" w:color="000000"/>
              <w:left w:val="single" w:sz="12" w:space="0" w:color="000000"/>
              <w:bottom w:val="single" w:sz="12" w:space="0" w:color="000000"/>
              <w:right w:val="single" w:sz="12" w:space="0" w:color="000000"/>
            </w:tcBorders>
          </w:tcPr>
          <w:p>
            <w:pPr>
              <w:pStyle w:val="TableParagraph"/>
              <w:spacing w:line="300" w:lineRule="auto" w:before="8"/>
              <w:ind w:left="703" w:right="68" w:hanging="64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CDN</w:t>
            </w:r>
            <w:r>
              <w:rPr>
                <w:rFonts w:ascii="宋体" w:hAnsi="宋体" w:cs="宋体" w:eastAsia="宋体" w:hint="default"/>
                <w:sz w:val="18"/>
                <w:szCs w:val="18"/>
              </w:rPr>
              <w:t>内容分发网络文件上传客 户端系统</w:t>
            </w:r>
            <w:r>
              <w:rPr>
                <w:rFonts w:ascii="Times New Roman" w:hAnsi="Times New Roman" w:cs="Times New Roman" w:eastAsia="Times New Roman" w:hint="default"/>
                <w:sz w:val="18"/>
                <w:szCs w:val="18"/>
              </w:rPr>
              <w:t>V1.0</w:t>
            </w:r>
          </w:p>
        </w:tc>
        <w:tc>
          <w:tcPr>
            <w:tcW w:w="22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0324532</w:t>
            </w:r>
            <w:r>
              <w:rPr>
                <w:rFonts w:ascii="宋体" w:hAnsi="宋体" w:cs="宋体" w:eastAsia="宋体" w:hint="default"/>
                <w:sz w:val="18"/>
                <w:szCs w:val="18"/>
              </w:rPr>
              <w:t>号</w:t>
            </w:r>
          </w:p>
        </w:tc>
        <w:tc>
          <w:tcPr>
            <w:tcW w:w="16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2011SR060858</w:t>
            </w:r>
          </w:p>
        </w:tc>
        <w:tc>
          <w:tcPr>
            <w:tcW w:w="127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2011-08-26</w:t>
            </w:r>
          </w:p>
        </w:tc>
      </w:tr>
      <w:tr>
        <w:trPr>
          <w:trHeight w:val="665" w:hRule="exact"/>
        </w:trPr>
        <w:tc>
          <w:tcPr>
            <w:tcW w:w="859"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16</w:t>
            </w:r>
          </w:p>
        </w:tc>
        <w:tc>
          <w:tcPr>
            <w:tcW w:w="2521" w:type="dxa"/>
            <w:tcBorders>
              <w:top w:val="single" w:sz="12" w:space="0" w:color="000000"/>
              <w:left w:val="single" w:sz="12" w:space="0" w:color="000000"/>
              <w:bottom w:val="single" w:sz="12" w:space="0" w:color="000000"/>
              <w:right w:val="single" w:sz="12" w:space="0" w:color="000000"/>
            </w:tcBorders>
          </w:tcPr>
          <w:p>
            <w:pPr>
              <w:pStyle w:val="TableParagraph"/>
              <w:spacing w:line="340" w:lineRule="auto" w:before="10"/>
              <w:ind w:left="1063" w:right="159" w:hanging="91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CDN</w:t>
            </w:r>
            <w:r>
              <w:rPr>
                <w:rFonts w:ascii="宋体" w:hAnsi="宋体" w:cs="宋体" w:eastAsia="宋体" w:hint="default"/>
                <w:sz w:val="18"/>
                <w:szCs w:val="18"/>
              </w:rPr>
              <w:t>节点监控管理服务系统 </w:t>
            </w:r>
            <w:r>
              <w:rPr>
                <w:rFonts w:ascii="Times New Roman" w:hAnsi="Times New Roman" w:cs="Times New Roman" w:eastAsia="Times New Roman" w:hint="default"/>
                <w:sz w:val="18"/>
                <w:szCs w:val="18"/>
              </w:rPr>
              <w:t>V1.0</w:t>
            </w:r>
          </w:p>
        </w:tc>
        <w:tc>
          <w:tcPr>
            <w:tcW w:w="22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0533953</w:t>
            </w:r>
            <w:r>
              <w:rPr>
                <w:rFonts w:ascii="宋体" w:hAnsi="宋体" w:cs="宋体" w:eastAsia="宋体" w:hint="default"/>
                <w:sz w:val="18"/>
                <w:szCs w:val="18"/>
              </w:rPr>
              <w:t>号</w:t>
            </w:r>
          </w:p>
        </w:tc>
        <w:tc>
          <w:tcPr>
            <w:tcW w:w="16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2013SR028191</w:t>
            </w:r>
          </w:p>
        </w:tc>
        <w:tc>
          <w:tcPr>
            <w:tcW w:w="127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2013-03-26</w:t>
            </w:r>
          </w:p>
        </w:tc>
      </w:tr>
      <w:tr>
        <w:trPr>
          <w:trHeight w:val="353" w:hRule="exact"/>
        </w:trPr>
        <w:tc>
          <w:tcPr>
            <w:tcW w:w="859"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0"/>
              <w:ind w:left="7" w:right="0"/>
              <w:jc w:val="center"/>
              <w:rPr>
                <w:rFonts w:ascii="Times New Roman" w:hAnsi="Times New Roman" w:cs="Times New Roman" w:eastAsia="Times New Roman" w:hint="default"/>
                <w:sz w:val="18"/>
                <w:szCs w:val="18"/>
              </w:rPr>
            </w:pPr>
            <w:r>
              <w:rPr>
                <w:rFonts w:ascii="Times New Roman"/>
                <w:sz w:val="18"/>
              </w:rPr>
              <w:t>17</w:t>
            </w:r>
          </w:p>
        </w:tc>
        <w:tc>
          <w:tcPr>
            <w:tcW w:w="25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6"/>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CDN</w:t>
            </w:r>
            <w:r>
              <w:rPr>
                <w:rFonts w:ascii="宋体" w:hAnsi="宋体" w:cs="宋体" w:eastAsia="宋体" w:hint="default"/>
                <w:sz w:val="18"/>
                <w:szCs w:val="18"/>
              </w:rPr>
              <w:t>用户流量监控系统</w:t>
            </w:r>
            <w:r>
              <w:rPr>
                <w:rFonts w:ascii="Times New Roman" w:hAnsi="Times New Roman" w:cs="Times New Roman" w:eastAsia="Times New Roman" w:hint="default"/>
                <w:sz w:val="18"/>
                <w:szCs w:val="18"/>
              </w:rPr>
              <w:t>V1.0</w:t>
            </w:r>
          </w:p>
        </w:tc>
        <w:tc>
          <w:tcPr>
            <w:tcW w:w="22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0533954</w:t>
            </w:r>
            <w:r>
              <w:rPr>
                <w:rFonts w:ascii="宋体" w:hAnsi="宋体" w:cs="宋体" w:eastAsia="宋体" w:hint="default"/>
                <w:sz w:val="18"/>
                <w:szCs w:val="18"/>
              </w:rPr>
              <w:t>号</w:t>
            </w:r>
          </w:p>
        </w:tc>
        <w:tc>
          <w:tcPr>
            <w:tcW w:w="16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left="225" w:right="0"/>
              <w:jc w:val="left"/>
              <w:rPr>
                <w:rFonts w:ascii="Times New Roman" w:hAnsi="Times New Roman" w:cs="Times New Roman" w:eastAsia="Times New Roman" w:hint="default"/>
                <w:sz w:val="18"/>
                <w:szCs w:val="18"/>
              </w:rPr>
            </w:pPr>
            <w:r>
              <w:rPr>
                <w:rFonts w:ascii="Times New Roman"/>
                <w:sz w:val="18"/>
              </w:rPr>
              <w:t>2013SR028192</w:t>
            </w:r>
          </w:p>
        </w:tc>
        <w:tc>
          <w:tcPr>
            <w:tcW w:w="127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5"/>
              <w:jc w:val="center"/>
              <w:rPr>
                <w:rFonts w:ascii="Times New Roman" w:hAnsi="Times New Roman" w:cs="Times New Roman" w:eastAsia="Times New Roman" w:hint="default"/>
                <w:sz w:val="18"/>
                <w:szCs w:val="18"/>
              </w:rPr>
            </w:pPr>
            <w:r>
              <w:rPr>
                <w:rFonts w:ascii="Times New Roman"/>
                <w:sz w:val="18"/>
              </w:rPr>
              <w:t>2013-03-26</w:t>
            </w:r>
          </w:p>
        </w:tc>
      </w:tr>
      <w:tr>
        <w:trPr>
          <w:trHeight w:val="350" w:hRule="exact"/>
        </w:trPr>
        <w:tc>
          <w:tcPr>
            <w:tcW w:w="859"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0"/>
              <w:ind w:left="7" w:right="0"/>
              <w:jc w:val="center"/>
              <w:rPr>
                <w:rFonts w:ascii="Times New Roman" w:hAnsi="Times New Roman" w:cs="Times New Roman" w:eastAsia="Times New Roman" w:hint="default"/>
                <w:sz w:val="18"/>
                <w:szCs w:val="18"/>
              </w:rPr>
            </w:pPr>
            <w:r>
              <w:rPr>
                <w:rFonts w:ascii="Times New Roman"/>
                <w:sz w:val="18"/>
              </w:rPr>
              <w:t>18</w:t>
            </w:r>
          </w:p>
        </w:tc>
        <w:tc>
          <w:tcPr>
            <w:tcW w:w="25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6"/>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CDN</w:t>
            </w:r>
            <w:r>
              <w:rPr>
                <w:rFonts w:ascii="宋体" w:hAnsi="宋体" w:cs="宋体" w:eastAsia="宋体" w:hint="default"/>
                <w:sz w:val="18"/>
                <w:szCs w:val="18"/>
              </w:rPr>
              <w:t>自主分发管理系统</w:t>
            </w:r>
            <w:r>
              <w:rPr>
                <w:rFonts w:ascii="Times New Roman" w:hAnsi="Times New Roman" w:cs="Times New Roman" w:eastAsia="Times New Roman" w:hint="default"/>
                <w:sz w:val="18"/>
                <w:szCs w:val="18"/>
              </w:rPr>
              <w:t>V1.0</w:t>
            </w:r>
          </w:p>
        </w:tc>
        <w:tc>
          <w:tcPr>
            <w:tcW w:w="22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0533975</w:t>
            </w:r>
            <w:r>
              <w:rPr>
                <w:rFonts w:ascii="宋体" w:hAnsi="宋体" w:cs="宋体" w:eastAsia="宋体" w:hint="default"/>
                <w:sz w:val="18"/>
                <w:szCs w:val="18"/>
              </w:rPr>
              <w:t>号</w:t>
            </w:r>
          </w:p>
        </w:tc>
        <w:tc>
          <w:tcPr>
            <w:tcW w:w="16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left="225" w:right="0"/>
              <w:jc w:val="left"/>
              <w:rPr>
                <w:rFonts w:ascii="Times New Roman" w:hAnsi="Times New Roman" w:cs="Times New Roman" w:eastAsia="Times New Roman" w:hint="default"/>
                <w:sz w:val="18"/>
                <w:szCs w:val="18"/>
              </w:rPr>
            </w:pPr>
            <w:r>
              <w:rPr>
                <w:rFonts w:ascii="Times New Roman"/>
                <w:sz w:val="18"/>
              </w:rPr>
              <w:t>2013SR028213</w:t>
            </w:r>
          </w:p>
        </w:tc>
        <w:tc>
          <w:tcPr>
            <w:tcW w:w="127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5"/>
              <w:jc w:val="center"/>
              <w:rPr>
                <w:rFonts w:ascii="Times New Roman" w:hAnsi="Times New Roman" w:cs="Times New Roman" w:eastAsia="Times New Roman" w:hint="default"/>
                <w:sz w:val="18"/>
                <w:szCs w:val="18"/>
              </w:rPr>
            </w:pPr>
            <w:r>
              <w:rPr>
                <w:rFonts w:ascii="Times New Roman"/>
                <w:sz w:val="18"/>
              </w:rPr>
              <w:t>2013-03-26</w:t>
            </w:r>
          </w:p>
        </w:tc>
      </w:tr>
      <w:tr>
        <w:trPr>
          <w:trHeight w:val="353" w:hRule="exact"/>
        </w:trPr>
        <w:tc>
          <w:tcPr>
            <w:tcW w:w="859"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2"/>
              <w:ind w:left="7" w:right="0"/>
              <w:jc w:val="center"/>
              <w:rPr>
                <w:rFonts w:ascii="Times New Roman" w:hAnsi="Times New Roman" w:cs="Times New Roman" w:eastAsia="Times New Roman" w:hint="default"/>
                <w:sz w:val="18"/>
                <w:szCs w:val="18"/>
              </w:rPr>
            </w:pPr>
            <w:r>
              <w:rPr>
                <w:rFonts w:ascii="Times New Roman"/>
                <w:sz w:val="18"/>
              </w:rPr>
              <w:t>19</w:t>
            </w:r>
          </w:p>
        </w:tc>
        <w:tc>
          <w:tcPr>
            <w:tcW w:w="25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4"/>
              <w:jc w:val="center"/>
              <w:rPr>
                <w:rFonts w:ascii="Times New Roman" w:hAnsi="Times New Roman" w:cs="Times New Roman" w:eastAsia="Times New Roman" w:hint="default"/>
                <w:sz w:val="18"/>
                <w:szCs w:val="18"/>
              </w:rPr>
            </w:pPr>
            <w:r>
              <w:rPr>
                <w:rFonts w:ascii="宋体" w:hAnsi="宋体" w:cs="宋体" w:eastAsia="宋体" w:hint="default"/>
                <w:sz w:val="18"/>
                <w:szCs w:val="18"/>
              </w:rPr>
              <w:t>交换机流量监控系统</w:t>
            </w:r>
            <w:r>
              <w:rPr>
                <w:rFonts w:ascii="Times New Roman" w:hAnsi="Times New Roman" w:cs="Times New Roman" w:eastAsia="Times New Roman" w:hint="default"/>
                <w:sz w:val="18"/>
                <w:szCs w:val="18"/>
              </w:rPr>
              <w:t>V1.0</w:t>
            </w:r>
          </w:p>
        </w:tc>
        <w:tc>
          <w:tcPr>
            <w:tcW w:w="22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0628962</w:t>
            </w:r>
            <w:r>
              <w:rPr>
                <w:rFonts w:ascii="宋体" w:hAnsi="宋体" w:cs="宋体" w:eastAsia="宋体" w:hint="default"/>
                <w:sz w:val="18"/>
                <w:szCs w:val="18"/>
              </w:rPr>
              <w:t>号</w:t>
            </w:r>
          </w:p>
        </w:tc>
        <w:tc>
          <w:tcPr>
            <w:tcW w:w="16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225" w:right="0"/>
              <w:jc w:val="left"/>
              <w:rPr>
                <w:rFonts w:ascii="Times New Roman" w:hAnsi="Times New Roman" w:cs="Times New Roman" w:eastAsia="Times New Roman" w:hint="default"/>
                <w:sz w:val="18"/>
                <w:szCs w:val="18"/>
              </w:rPr>
            </w:pPr>
            <w:r>
              <w:rPr>
                <w:rFonts w:ascii="Times New Roman"/>
                <w:sz w:val="18"/>
              </w:rPr>
              <w:t>2013SR123200</w:t>
            </w:r>
          </w:p>
        </w:tc>
        <w:tc>
          <w:tcPr>
            <w:tcW w:w="127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5"/>
              <w:jc w:val="center"/>
              <w:rPr>
                <w:rFonts w:ascii="Times New Roman" w:hAnsi="Times New Roman" w:cs="Times New Roman" w:eastAsia="Times New Roman" w:hint="default"/>
                <w:sz w:val="18"/>
                <w:szCs w:val="18"/>
              </w:rPr>
            </w:pPr>
            <w:r>
              <w:rPr>
                <w:rFonts w:ascii="Times New Roman"/>
                <w:sz w:val="18"/>
              </w:rPr>
              <w:t>2013-11-11</w:t>
            </w:r>
          </w:p>
        </w:tc>
      </w:tr>
      <w:tr>
        <w:trPr>
          <w:trHeight w:val="353" w:hRule="exact"/>
        </w:trPr>
        <w:tc>
          <w:tcPr>
            <w:tcW w:w="859"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0"/>
              <w:ind w:left="7" w:right="0"/>
              <w:jc w:val="center"/>
              <w:rPr>
                <w:rFonts w:ascii="Times New Roman" w:hAnsi="Times New Roman" w:cs="Times New Roman" w:eastAsia="Times New Roman" w:hint="default"/>
                <w:sz w:val="18"/>
                <w:szCs w:val="18"/>
              </w:rPr>
            </w:pPr>
            <w:r>
              <w:rPr>
                <w:rFonts w:ascii="Times New Roman"/>
                <w:sz w:val="18"/>
              </w:rPr>
              <w:t>20</w:t>
            </w:r>
          </w:p>
        </w:tc>
        <w:tc>
          <w:tcPr>
            <w:tcW w:w="25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4"/>
              <w:jc w:val="center"/>
              <w:rPr>
                <w:rFonts w:ascii="Times New Roman" w:hAnsi="Times New Roman" w:cs="Times New Roman" w:eastAsia="Times New Roman" w:hint="default"/>
                <w:sz w:val="18"/>
                <w:szCs w:val="18"/>
              </w:rPr>
            </w:pPr>
            <w:r>
              <w:rPr>
                <w:rFonts w:ascii="宋体" w:hAnsi="宋体" w:cs="宋体" w:eastAsia="宋体" w:hint="default"/>
                <w:sz w:val="18"/>
                <w:szCs w:val="18"/>
              </w:rPr>
              <w:t>云存储数据软件</w:t>
            </w:r>
            <w:r>
              <w:rPr>
                <w:rFonts w:ascii="Times New Roman" w:hAnsi="Times New Roman" w:cs="Times New Roman" w:eastAsia="Times New Roman" w:hint="default"/>
                <w:sz w:val="18"/>
                <w:szCs w:val="18"/>
              </w:rPr>
              <w:t>V1.0</w:t>
            </w:r>
          </w:p>
        </w:tc>
        <w:tc>
          <w:tcPr>
            <w:tcW w:w="22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0657933</w:t>
            </w:r>
            <w:r>
              <w:rPr>
                <w:rFonts w:ascii="宋体" w:hAnsi="宋体" w:cs="宋体" w:eastAsia="宋体" w:hint="default"/>
                <w:sz w:val="18"/>
                <w:szCs w:val="18"/>
              </w:rPr>
              <w:t>号</w:t>
            </w:r>
          </w:p>
        </w:tc>
        <w:tc>
          <w:tcPr>
            <w:tcW w:w="16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left="225" w:right="0"/>
              <w:jc w:val="left"/>
              <w:rPr>
                <w:rFonts w:ascii="Times New Roman" w:hAnsi="Times New Roman" w:cs="Times New Roman" w:eastAsia="Times New Roman" w:hint="default"/>
                <w:sz w:val="18"/>
                <w:szCs w:val="18"/>
              </w:rPr>
            </w:pPr>
            <w:r>
              <w:rPr>
                <w:rFonts w:ascii="Times New Roman"/>
                <w:sz w:val="18"/>
              </w:rPr>
              <w:t>2013SR152171</w:t>
            </w:r>
          </w:p>
        </w:tc>
        <w:tc>
          <w:tcPr>
            <w:tcW w:w="127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5"/>
              <w:jc w:val="center"/>
              <w:rPr>
                <w:rFonts w:ascii="Times New Roman" w:hAnsi="Times New Roman" w:cs="Times New Roman" w:eastAsia="Times New Roman" w:hint="default"/>
                <w:sz w:val="18"/>
                <w:szCs w:val="18"/>
              </w:rPr>
            </w:pPr>
            <w:r>
              <w:rPr>
                <w:rFonts w:ascii="Times New Roman"/>
                <w:sz w:val="18"/>
              </w:rPr>
              <w:t>2013-12-20</w:t>
            </w:r>
          </w:p>
        </w:tc>
      </w:tr>
      <w:tr>
        <w:trPr>
          <w:trHeight w:val="350" w:hRule="exact"/>
        </w:trPr>
        <w:tc>
          <w:tcPr>
            <w:tcW w:w="859"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0"/>
              <w:ind w:left="7" w:right="0"/>
              <w:jc w:val="center"/>
              <w:rPr>
                <w:rFonts w:ascii="Times New Roman" w:hAnsi="Times New Roman" w:cs="Times New Roman" w:eastAsia="Times New Roman" w:hint="default"/>
                <w:sz w:val="18"/>
                <w:szCs w:val="18"/>
              </w:rPr>
            </w:pPr>
            <w:r>
              <w:rPr>
                <w:rFonts w:ascii="Times New Roman"/>
                <w:sz w:val="18"/>
              </w:rPr>
              <w:t>21</w:t>
            </w:r>
          </w:p>
        </w:tc>
        <w:tc>
          <w:tcPr>
            <w:tcW w:w="25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6"/>
              <w:jc w:val="center"/>
              <w:rPr>
                <w:rFonts w:ascii="Times New Roman" w:hAnsi="Times New Roman" w:cs="Times New Roman" w:eastAsia="Times New Roman" w:hint="default"/>
                <w:sz w:val="18"/>
                <w:szCs w:val="18"/>
              </w:rPr>
            </w:pPr>
            <w:r>
              <w:rPr>
                <w:rFonts w:ascii="宋体" w:hAnsi="宋体" w:cs="宋体" w:eastAsia="宋体" w:hint="default"/>
                <w:sz w:val="18"/>
                <w:szCs w:val="18"/>
              </w:rPr>
              <w:t>网络安全备案系统软件</w:t>
            </w:r>
            <w:r>
              <w:rPr>
                <w:rFonts w:ascii="Times New Roman" w:hAnsi="Times New Roman" w:cs="Times New Roman" w:eastAsia="Times New Roman" w:hint="default"/>
                <w:sz w:val="18"/>
                <w:szCs w:val="18"/>
              </w:rPr>
              <w:t>V1.0</w:t>
            </w:r>
          </w:p>
        </w:tc>
        <w:tc>
          <w:tcPr>
            <w:tcW w:w="22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0658699</w:t>
            </w:r>
            <w:r>
              <w:rPr>
                <w:rFonts w:ascii="宋体" w:hAnsi="宋体" w:cs="宋体" w:eastAsia="宋体" w:hint="default"/>
                <w:sz w:val="18"/>
                <w:szCs w:val="18"/>
              </w:rPr>
              <w:t>号</w:t>
            </w:r>
          </w:p>
        </w:tc>
        <w:tc>
          <w:tcPr>
            <w:tcW w:w="16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left="225" w:right="0"/>
              <w:jc w:val="left"/>
              <w:rPr>
                <w:rFonts w:ascii="Times New Roman" w:hAnsi="Times New Roman" w:cs="Times New Roman" w:eastAsia="Times New Roman" w:hint="default"/>
                <w:sz w:val="18"/>
                <w:szCs w:val="18"/>
              </w:rPr>
            </w:pPr>
            <w:r>
              <w:rPr>
                <w:rFonts w:ascii="Times New Roman"/>
                <w:sz w:val="18"/>
              </w:rPr>
              <w:t>2013SR152937</w:t>
            </w:r>
          </w:p>
        </w:tc>
        <w:tc>
          <w:tcPr>
            <w:tcW w:w="127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5"/>
              <w:jc w:val="center"/>
              <w:rPr>
                <w:rFonts w:ascii="Times New Roman" w:hAnsi="Times New Roman" w:cs="Times New Roman" w:eastAsia="Times New Roman" w:hint="default"/>
                <w:sz w:val="18"/>
                <w:szCs w:val="18"/>
              </w:rPr>
            </w:pPr>
            <w:r>
              <w:rPr>
                <w:rFonts w:ascii="Times New Roman"/>
                <w:sz w:val="18"/>
              </w:rPr>
              <w:t>2013-12-21</w:t>
            </w:r>
          </w:p>
        </w:tc>
      </w:tr>
      <w:tr>
        <w:trPr>
          <w:trHeight w:val="346" w:hRule="exact"/>
        </w:trPr>
        <w:tc>
          <w:tcPr>
            <w:tcW w:w="859"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2"/>
              <w:ind w:left="7" w:right="0"/>
              <w:jc w:val="center"/>
              <w:rPr>
                <w:rFonts w:ascii="Times New Roman" w:hAnsi="Times New Roman" w:cs="Times New Roman" w:eastAsia="Times New Roman" w:hint="default"/>
                <w:sz w:val="18"/>
                <w:szCs w:val="18"/>
              </w:rPr>
            </w:pPr>
            <w:r>
              <w:rPr>
                <w:rFonts w:ascii="Times New Roman"/>
                <w:sz w:val="18"/>
              </w:rPr>
              <w:t>22</w:t>
            </w:r>
          </w:p>
        </w:tc>
        <w:tc>
          <w:tcPr>
            <w:tcW w:w="2521" w:type="dxa"/>
            <w:tcBorders>
              <w:top w:val="single" w:sz="12" w:space="0" w:color="000000"/>
              <w:left w:val="single" w:sz="12" w:space="0" w:color="000000"/>
              <w:bottom w:val="single" w:sz="6" w:space="0" w:color="000000"/>
              <w:right w:val="single" w:sz="12" w:space="0" w:color="000000"/>
            </w:tcBorders>
          </w:tcPr>
          <w:p>
            <w:pPr>
              <w:pStyle w:val="TableParagraph"/>
              <w:spacing w:line="240" w:lineRule="auto" w:before="10"/>
              <w:ind w:right="4"/>
              <w:jc w:val="center"/>
              <w:rPr>
                <w:rFonts w:ascii="Times New Roman" w:hAnsi="Times New Roman" w:cs="Times New Roman" w:eastAsia="Times New Roman" w:hint="default"/>
                <w:sz w:val="18"/>
                <w:szCs w:val="18"/>
              </w:rPr>
            </w:pPr>
            <w:r>
              <w:rPr>
                <w:rFonts w:ascii="宋体" w:hAnsi="宋体" w:cs="宋体" w:eastAsia="宋体" w:hint="default"/>
                <w:sz w:val="18"/>
                <w:szCs w:val="18"/>
              </w:rPr>
              <w:t>云计算管理系统</w:t>
            </w:r>
            <w:r>
              <w:rPr>
                <w:rFonts w:ascii="Times New Roman" w:hAnsi="Times New Roman" w:cs="Times New Roman" w:eastAsia="Times New Roman" w:hint="default"/>
                <w:sz w:val="18"/>
                <w:szCs w:val="18"/>
              </w:rPr>
              <w:t>V1.0</w:t>
            </w:r>
          </w:p>
        </w:tc>
        <w:tc>
          <w:tcPr>
            <w:tcW w:w="2276" w:type="dxa"/>
            <w:tcBorders>
              <w:top w:val="single" w:sz="12" w:space="0" w:color="000000"/>
              <w:left w:val="single" w:sz="12" w:space="0" w:color="000000"/>
              <w:bottom w:val="single" w:sz="6" w:space="0" w:color="000000"/>
              <w:right w:val="single" w:sz="12" w:space="0" w:color="000000"/>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软著登字</w:t>
            </w:r>
            <w:r>
              <w:rPr>
                <w:rFonts w:ascii="Times New Roman" w:hAnsi="Times New Roman" w:cs="Times New Roman" w:eastAsia="Times New Roman" w:hint="default"/>
                <w:sz w:val="18"/>
                <w:szCs w:val="18"/>
              </w:rPr>
              <w:t>0724192</w:t>
            </w:r>
            <w:r>
              <w:rPr>
                <w:rFonts w:ascii="宋体" w:hAnsi="宋体" w:cs="宋体" w:eastAsia="宋体" w:hint="default"/>
                <w:sz w:val="18"/>
                <w:szCs w:val="18"/>
              </w:rPr>
              <w:t>号</w:t>
            </w:r>
          </w:p>
        </w:tc>
        <w:tc>
          <w:tcPr>
            <w:tcW w:w="1609" w:type="dxa"/>
            <w:tcBorders>
              <w:top w:val="single" w:sz="12" w:space="0" w:color="000000"/>
              <w:left w:val="single" w:sz="12" w:space="0" w:color="000000"/>
              <w:bottom w:val="single" w:sz="6" w:space="0" w:color="000000"/>
              <w:right w:val="single" w:sz="12" w:space="0" w:color="000000"/>
            </w:tcBorders>
          </w:tcPr>
          <w:p>
            <w:pPr>
              <w:pStyle w:val="TableParagraph"/>
              <w:spacing w:line="240" w:lineRule="auto" w:before="52"/>
              <w:ind w:left="225" w:right="0"/>
              <w:jc w:val="left"/>
              <w:rPr>
                <w:rFonts w:ascii="Times New Roman" w:hAnsi="Times New Roman" w:cs="Times New Roman" w:eastAsia="Times New Roman" w:hint="default"/>
                <w:sz w:val="18"/>
                <w:szCs w:val="18"/>
              </w:rPr>
            </w:pPr>
            <w:r>
              <w:rPr>
                <w:rFonts w:ascii="Times New Roman"/>
                <w:sz w:val="18"/>
              </w:rPr>
              <w:t>2014SR054948</w:t>
            </w:r>
          </w:p>
        </w:tc>
        <w:tc>
          <w:tcPr>
            <w:tcW w:w="1272" w:type="dxa"/>
            <w:tcBorders>
              <w:top w:val="single" w:sz="12" w:space="0" w:color="000000"/>
              <w:left w:val="single" w:sz="12" w:space="0" w:color="000000"/>
              <w:bottom w:val="single" w:sz="6" w:space="0" w:color="000000"/>
              <w:right w:val="single" w:sz="12" w:space="0" w:color="000000"/>
            </w:tcBorders>
          </w:tcPr>
          <w:p>
            <w:pPr>
              <w:pStyle w:val="TableParagraph"/>
              <w:spacing w:line="240" w:lineRule="auto" w:before="52"/>
              <w:ind w:right="5"/>
              <w:jc w:val="center"/>
              <w:rPr>
                <w:rFonts w:ascii="Times New Roman" w:hAnsi="Times New Roman" w:cs="Times New Roman" w:eastAsia="Times New Roman" w:hint="default"/>
                <w:sz w:val="18"/>
                <w:szCs w:val="18"/>
              </w:rPr>
            </w:pPr>
            <w:r>
              <w:rPr>
                <w:rFonts w:ascii="Times New Roman"/>
                <w:sz w:val="18"/>
              </w:rPr>
              <w:t>2014-05-06</w:t>
            </w:r>
          </w:p>
        </w:tc>
      </w:tr>
      <w:tr>
        <w:trPr>
          <w:trHeight w:val="428" w:hRule="exact"/>
        </w:trPr>
        <w:tc>
          <w:tcPr>
            <w:tcW w:w="8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0"/>
              <w:ind w:left="7" w:right="0"/>
              <w:jc w:val="center"/>
              <w:rPr>
                <w:rFonts w:ascii="Times New Roman" w:hAnsi="Times New Roman" w:cs="Times New Roman" w:eastAsia="Times New Roman" w:hint="default"/>
                <w:sz w:val="18"/>
                <w:szCs w:val="18"/>
              </w:rPr>
            </w:pPr>
            <w:r>
              <w:rPr>
                <w:rFonts w:ascii="Times New Roman"/>
                <w:sz w:val="18"/>
              </w:rPr>
              <w:t>23</w:t>
            </w:r>
          </w:p>
        </w:tc>
        <w:tc>
          <w:tcPr>
            <w:tcW w:w="2521"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58"/>
              <w:ind w:right="6"/>
              <w:jc w:val="center"/>
              <w:rPr>
                <w:rFonts w:ascii="Times New Roman" w:hAnsi="Times New Roman" w:cs="Times New Roman" w:eastAsia="Times New Roman" w:hint="default"/>
                <w:sz w:val="18"/>
                <w:szCs w:val="18"/>
              </w:rPr>
            </w:pPr>
            <w:r>
              <w:rPr>
                <w:rFonts w:ascii="宋体" w:hAnsi="宋体" w:cs="宋体" w:eastAsia="宋体" w:hint="default"/>
                <w:sz w:val="18"/>
                <w:szCs w:val="18"/>
              </w:rPr>
              <w:t>云主机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报备服务系统</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V1.0</w:t>
            </w:r>
          </w:p>
        </w:tc>
        <w:tc>
          <w:tcPr>
            <w:tcW w:w="2276"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58"/>
              <w:ind w:right="7"/>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1150994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c>
          <w:tcPr>
            <w:tcW w:w="1609"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00"/>
              <w:ind w:left="225" w:right="0"/>
              <w:jc w:val="left"/>
              <w:rPr>
                <w:rFonts w:ascii="Times New Roman" w:hAnsi="Times New Roman" w:cs="Times New Roman" w:eastAsia="Times New Roman" w:hint="default"/>
                <w:sz w:val="18"/>
                <w:szCs w:val="18"/>
              </w:rPr>
            </w:pPr>
            <w:r>
              <w:rPr>
                <w:rFonts w:ascii="Times New Roman"/>
                <w:sz w:val="18"/>
              </w:rPr>
              <w:t>2015SR263908</w:t>
            </w:r>
          </w:p>
        </w:tc>
        <w:tc>
          <w:tcPr>
            <w:tcW w:w="1272"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00"/>
              <w:ind w:right="5"/>
              <w:jc w:val="center"/>
              <w:rPr>
                <w:rFonts w:ascii="Times New Roman" w:hAnsi="Times New Roman" w:cs="Times New Roman" w:eastAsia="Times New Roman" w:hint="default"/>
                <w:sz w:val="18"/>
                <w:szCs w:val="18"/>
              </w:rPr>
            </w:pPr>
            <w:r>
              <w:rPr>
                <w:rFonts w:ascii="Times New Roman"/>
                <w:sz w:val="18"/>
              </w:rPr>
              <w:t>2015-12-17</w:t>
            </w:r>
          </w:p>
        </w:tc>
      </w:tr>
      <w:tr>
        <w:trPr>
          <w:trHeight w:val="427" w:hRule="exact"/>
        </w:trPr>
        <w:tc>
          <w:tcPr>
            <w:tcW w:w="8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0"/>
              <w:ind w:left="7" w:right="0"/>
              <w:jc w:val="center"/>
              <w:rPr>
                <w:rFonts w:ascii="Times New Roman" w:hAnsi="Times New Roman" w:cs="Times New Roman" w:eastAsia="Times New Roman" w:hint="default"/>
                <w:sz w:val="18"/>
                <w:szCs w:val="18"/>
              </w:rPr>
            </w:pPr>
            <w:r>
              <w:rPr>
                <w:rFonts w:ascii="Times New Roman"/>
                <w:sz w:val="18"/>
              </w:rPr>
              <w:t>24</w:t>
            </w:r>
          </w:p>
        </w:tc>
        <w:tc>
          <w:tcPr>
            <w:tcW w:w="2521"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58"/>
              <w:ind w:right="4"/>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PAAS </w:t>
            </w:r>
            <w:r>
              <w:rPr>
                <w:rFonts w:ascii="宋体" w:hAnsi="宋体" w:cs="宋体" w:eastAsia="宋体" w:hint="default"/>
                <w:sz w:val="18"/>
                <w:szCs w:val="18"/>
              </w:rPr>
              <w:t>架构云计算平台</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V1.0</w:t>
            </w:r>
          </w:p>
        </w:tc>
        <w:tc>
          <w:tcPr>
            <w:tcW w:w="2276"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58"/>
              <w:ind w:right="7"/>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1151909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c>
          <w:tcPr>
            <w:tcW w:w="1609"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00"/>
              <w:ind w:left="225" w:right="0"/>
              <w:jc w:val="left"/>
              <w:rPr>
                <w:rFonts w:ascii="Times New Roman" w:hAnsi="Times New Roman" w:cs="Times New Roman" w:eastAsia="Times New Roman" w:hint="default"/>
                <w:sz w:val="18"/>
                <w:szCs w:val="18"/>
              </w:rPr>
            </w:pPr>
            <w:r>
              <w:rPr>
                <w:rFonts w:ascii="Times New Roman"/>
                <w:sz w:val="18"/>
              </w:rPr>
              <w:t>2015SR264823</w:t>
            </w:r>
          </w:p>
        </w:tc>
        <w:tc>
          <w:tcPr>
            <w:tcW w:w="1272"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00"/>
              <w:ind w:right="5"/>
              <w:jc w:val="center"/>
              <w:rPr>
                <w:rFonts w:ascii="Times New Roman" w:hAnsi="Times New Roman" w:cs="Times New Roman" w:eastAsia="Times New Roman" w:hint="default"/>
                <w:sz w:val="18"/>
                <w:szCs w:val="18"/>
              </w:rPr>
            </w:pPr>
            <w:r>
              <w:rPr>
                <w:rFonts w:ascii="Times New Roman"/>
                <w:sz w:val="18"/>
              </w:rPr>
              <w:t>2015-12-17</w:t>
            </w:r>
          </w:p>
        </w:tc>
      </w:tr>
      <w:tr>
        <w:trPr>
          <w:trHeight w:val="427" w:hRule="exact"/>
        </w:trPr>
        <w:tc>
          <w:tcPr>
            <w:tcW w:w="8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0"/>
              <w:ind w:left="7" w:right="0"/>
              <w:jc w:val="center"/>
              <w:rPr>
                <w:rFonts w:ascii="Times New Roman" w:hAnsi="Times New Roman" w:cs="Times New Roman" w:eastAsia="Times New Roman" w:hint="default"/>
                <w:sz w:val="18"/>
                <w:szCs w:val="18"/>
              </w:rPr>
            </w:pPr>
            <w:r>
              <w:rPr>
                <w:rFonts w:ascii="Times New Roman"/>
                <w:sz w:val="18"/>
              </w:rPr>
              <w:t>25</w:t>
            </w:r>
          </w:p>
        </w:tc>
        <w:tc>
          <w:tcPr>
            <w:tcW w:w="2521"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58"/>
              <w:ind w:right="4"/>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IAAS </w:t>
            </w:r>
            <w:r>
              <w:rPr>
                <w:rFonts w:ascii="宋体" w:hAnsi="宋体" w:cs="宋体" w:eastAsia="宋体" w:hint="default"/>
                <w:sz w:val="18"/>
                <w:szCs w:val="18"/>
              </w:rPr>
              <w:t>架构云计算平台</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V1.0</w:t>
            </w:r>
          </w:p>
        </w:tc>
        <w:tc>
          <w:tcPr>
            <w:tcW w:w="2276"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58"/>
              <w:ind w:right="7"/>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1152155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c>
          <w:tcPr>
            <w:tcW w:w="1609"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00"/>
              <w:ind w:left="225" w:right="0"/>
              <w:jc w:val="left"/>
              <w:rPr>
                <w:rFonts w:ascii="Times New Roman" w:hAnsi="Times New Roman" w:cs="Times New Roman" w:eastAsia="Times New Roman" w:hint="default"/>
                <w:sz w:val="18"/>
                <w:szCs w:val="18"/>
              </w:rPr>
            </w:pPr>
            <w:r>
              <w:rPr>
                <w:rFonts w:ascii="Times New Roman"/>
                <w:sz w:val="18"/>
              </w:rPr>
              <w:t>2015SR265069</w:t>
            </w:r>
          </w:p>
        </w:tc>
        <w:tc>
          <w:tcPr>
            <w:tcW w:w="1272"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00"/>
              <w:ind w:right="5"/>
              <w:jc w:val="center"/>
              <w:rPr>
                <w:rFonts w:ascii="Times New Roman" w:hAnsi="Times New Roman" w:cs="Times New Roman" w:eastAsia="Times New Roman" w:hint="default"/>
                <w:sz w:val="18"/>
                <w:szCs w:val="18"/>
              </w:rPr>
            </w:pPr>
            <w:r>
              <w:rPr>
                <w:rFonts w:ascii="Times New Roman"/>
                <w:sz w:val="18"/>
              </w:rPr>
              <w:t>2015-12-17</w:t>
            </w:r>
          </w:p>
        </w:tc>
      </w:tr>
      <w:tr>
        <w:trPr>
          <w:trHeight w:val="434" w:hRule="exact"/>
        </w:trPr>
        <w:tc>
          <w:tcPr>
            <w:tcW w:w="85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00"/>
              <w:ind w:left="7" w:right="0"/>
              <w:jc w:val="center"/>
              <w:rPr>
                <w:rFonts w:ascii="Times New Roman" w:hAnsi="Times New Roman" w:cs="Times New Roman" w:eastAsia="Times New Roman" w:hint="default"/>
                <w:sz w:val="18"/>
                <w:szCs w:val="18"/>
              </w:rPr>
            </w:pPr>
            <w:r>
              <w:rPr>
                <w:rFonts w:ascii="Times New Roman"/>
                <w:sz w:val="18"/>
              </w:rPr>
              <w:t>26</w:t>
            </w:r>
          </w:p>
        </w:tc>
        <w:tc>
          <w:tcPr>
            <w:tcW w:w="2521"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58"/>
              <w:ind w:right="6"/>
              <w:jc w:val="center"/>
              <w:rPr>
                <w:rFonts w:ascii="Times New Roman" w:hAnsi="Times New Roman" w:cs="Times New Roman" w:eastAsia="Times New Roman" w:hint="default"/>
                <w:sz w:val="18"/>
                <w:szCs w:val="18"/>
              </w:rPr>
            </w:pPr>
            <w:r>
              <w:rPr>
                <w:rFonts w:ascii="宋体" w:hAnsi="宋体" w:cs="宋体" w:eastAsia="宋体" w:hint="default"/>
                <w:sz w:val="18"/>
                <w:szCs w:val="18"/>
              </w:rPr>
              <w:t>云主机自服务防火墙系统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V1.0</w:t>
            </w:r>
          </w:p>
        </w:tc>
        <w:tc>
          <w:tcPr>
            <w:tcW w:w="2276"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58"/>
              <w:ind w:right="7"/>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1152199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c>
          <w:tcPr>
            <w:tcW w:w="1609"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100"/>
              <w:ind w:left="227" w:right="0"/>
              <w:jc w:val="left"/>
              <w:rPr>
                <w:rFonts w:ascii="Times New Roman" w:hAnsi="Times New Roman" w:cs="Times New Roman" w:eastAsia="Times New Roman" w:hint="default"/>
                <w:sz w:val="18"/>
                <w:szCs w:val="18"/>
              </w:rPr>
            </w:pPr>
            <w:r>
              <w:rPr>
                <w:rFonts w:ascii="Times New Roman"/>
                <w:sz w:val="18"/>
              </w:rPr>
              <w:t>2015SR265113</w:t>
            </w:r>
          </w:p>
        </w:tc>
        <w:tc>
          <w:tcPr>
            <w:tcW w:w="1272"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100"/>
              <w:ind w:right="5"/>
              <w:jc w:val="center"/>
              <w:rPr>
                <w:rFonts w:ascii="Times New Roman" w:hAnsi="Times New Roman" w:cs="Times New Roman" w:eastAsia="Times New Roman" w:hint="default"/>
                <w:sz w:val="18"/>
                <w:szCs w:val="18"/>
              </w:rPr>
            </w:pPr>
            <w:r>
              <w:rPr>
                <w:rFonts w:ascii="Times New Roman"/>
                <w:sz w:val="18"/>
              </w:rPr>
              <w:t>2015-12-17</w:t>
            </w:r>
          </w:p>
        </w:tc>
      </w:tr>
    </w:tbl>
    <w:p>
      <w:pPr>
        <w:spacing w:line="240" w:lineRule="auto" w:before="1"/>
        <w:rPr>
          <w:rFonts w:ascii="宋体" w:hAnsi="宋体" w:cs="宋体" w:eastAsia="宋体" w:hint="default"/>
          <w:sz w:val="21"/>
          <w:szCs w:val="21"/>
        </w:rPr>
      </w:pPr>
    </w:p>
    <w:p>
      <w:pPr>
        <w:pStyle w:val="BodyText"/>
        <w:spacing w:line="240" w:lineRule="auto" w:before="44"/>
        <w:ind w:left="693" w:right="1134"/>
        <w:jc w:val="left"/>
      </w:pPr>
      <w:r>
        <w:rPr/>
        <w:t>截至报告期末，子公司光环云谷取得的软件著作权情况如下：</w:t>
      </w:r>
    </w:p>
    <w:p>
      <w:pPr>
        <w:spacing w:line="240" w:lineRule="auto" w:before="3"/>
        <w:rPr>
          <w:rFonts w:ascii="宋体" w:hAnsi="宋体" w:cs="宋体" w:eastAsia="宋体" w:hint="default"/>
          <w:sz w:val="5"/>
          <w:szCs w:val="5"/>
        </w:rPr>
      </w:pPr>
    </w:p>
    <w:tbl>
      <w:tblPr>
        <w:tblW w:w="0" w:type="auto"/>
        <w:jc w:val="left"/>
        <w:tblInd w:w="698" w:type="dxa"/>
        <w:tblLayout w:type="fixed"/>
        <w:tblCellMar>
          <w:top w:w="0" w:type="dxa"/>
          <w:left w:w="0" w:type="dxa"/>
          <w:bottom w:w="0" w:type="dxa"/>
          <w:right w:w="0" w:type="dxa"/>
        </w:tblCellMar>
        <w:tblLook w:val="01E0"/>
      </w:tblPr>
      <w:tblGrid>
        <w:gridCol w:w="859"/>
        <w:gridCol w:w="2521"/>
        <w:gridCol w:w="2276"/>
        <w:gridCol w:w="1609"/>
        <w:gridCol w:w="1272"/>
      </w:tblGrid>
      <w:tr>
        <w:trPr>
          <w:trHeight w:val="355" w:hRule="exact"/>
        </w:trPr>
        <w:tc>
          <w:tcPr>
            <w:tcW w:w="85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521"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17"/>
              <w:ind w:right="8"/>
              <w:jc w:val="center"/>
              <w:rPr>
                <w:rFonts w:ascii="宋体" w:hAnsi="宋体" w:cs="宋体" w:eastAsia="宋体" w:hint="default"/>
                <w:sz w:val="18"/>
                <w:szCs w:val="18"/>
              </w:rPr>
            </w:pPr>
            <w:r>
              <w:rPr>
                <w:rFonts w:ascii="宋体" w:hAnsi="宋体" w:cs="宋体" w:eastAsia="宋体" w:hint="default"/>
                <w:sz w:val="18"/>
                <w:szCs w:val="18"/>
              </w:rPr>
              <w:t>软件名称</w:t>
            </w:r>
          </w:p>
        </w:tc>
        <w:tc>
          <w:tcPr>
            <w:tcW w:w="2276"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17"/>
              <w:ind w:right="9"/>
              <w:jc w:val="center"/>
              <w:rPr>
                <w:rFonts w:ascii="宋体" w:hAnsi="宋体" w:cs="宋体" w:eastAsia="宋体" w:hint="default"/>
                <w:sz w:val="18"/>
                <w:szCs w:val="18"/>
              </w:rPr>
            </w:pPr>
            <w:r>
              <w:rPr>
                <w:rFonts w:ascii="宋体" w:hAnsi="宋体" w:cs="宋体" w:eastAsia="宋体" w:hint="default"/>
                <w:sz w:val="18"/>
                <w:szCs w:val="18"/>
              </w:rPr>
              <w:t>证书编号</w:t>
            </w:r>
          </w:p>
        </w:tc>
        <w:tc>
          <w:tcPr>
            <w:tcW w:w="1609"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17"/>
              <w:ind w:right="5"/>
              <w:jc w:val="center"/>
              <w:rPr>
                <w:rFonts w:ascii="宋体" w:hAnsi="宋体" w:cs="宋体" w:eastAsia="宋体" w:hint="default"/>
                <w:sz w:val="18"/>
                <w:szCs w:val="18"/>
              </w:rPr>
            </w:pPr>
            <w:r>
              <w:rPr>
                <w:rFonts w:ascii="宋体" w:hAnsi="宋体" w:cs="宋体" w:eastAsia="宋体" w:hint="default"/>
                <w:sz w:val="18"/>
                <w:szCs w:val="18"/>
              </w:rPr>
              <w:t>登记号</w:t>
            </w:r>
          </w:p>
        </w:tc>
        <w:tc>
          <w:tcPr>
            <w:tcW w:w="1272"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17"/>
              <w:ind w:right="11"/>
              <w:jc w:val="center"/>
              <w:rPr>
                <w:rFonts w:ascii="宋体" w:hAnsi="宋体" w:cs="宋体" w:eastAsia="宋体" w:hint="default"/>
                <w:sz w:val="18"/>
                <w:szCs w:val="18"/>
              </w:rPr>
            </w:pPr>
            <w:r>
              <w:rPr>
                <w:rFonts w:ascii="宋体" w:hAnsi="宋体" w:cs="宋体" w:eastAsia="宋体" w:hint="default"/>
                <w:sz w:val="18"/>
                <w:szCs w:val="18"/>
              </w:rPr>
              <w:t>登记日</w:t>
            </w:r>
          </w:p>
        </w:tc>
      </w:tr>
      <w:tr>
        <w:trPr>
          <w:trHeight w:val="350" w:hRule="exact"/>
        </w:trPr>
        <w:tc>
          <w:tcPr>
            <w:tcW w:w="859"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1</w:t>
            </w:r>
          </w:p>
        </w:tc>
        <w:tc>
          <w:tcPr>
            <w:tcW w:w="25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6"/>
              <w:jc w:val="center"/>
              <w:rPr>
                <w:rFonts w:ascii="Times New Roman" w:hAnsi="Times New Roman" w:cs="Times New Roman" w:eastAsia="Times New Roman" w:hint="default"/>
                <w:sz w:val="18"/>
                <w:szCs w:val="18"/>
              </w:rPr>
            </w:pPr>
            <w:r>
              <w:rPr>
                <w:rFonts w:ascii="宋体" w:hAnsi="宋体" w:cs="宋体" w:eastAsia="宋体" w:hint="default"/>
                <w:sz w:val="18"/>
                <w:szCs w:val="18"/>
              </w:rPr>
              <w:t>宽带业务系统软件</w:t>
            </w:r>
            <w:r>
              <w:rPr>
                <w:rFonts w:ascii="Times New Roman" w:hAnsi="Times New Roman" w:cs="Times New Roman" w:eastAsia="Times New Roman" w:hint="default"/>
                <w:sz w:val="18"/>
                <w:szCs w:val="18"/>
              </w:rPr>
              <w:t>V1.0</w:t>
            </w:r>
          </w:p>
        </w:tc>
        <w:tc>
          <w:tcPr>
            <w:tcW w:w="22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0657431</w:t>
            </w:r>
            <w:r>
              <w:rPr>
                <w:rFonts w:ascii="宋体" w:hAnsi="宋体" w:cs="宋体" w:eastAsia="宋体" w:hint="default"/>
                <w:sz w:val="18"/>
                <w:szCs w:val="18"/>
              </w:rPr>
              <w:t>号</w:t>
            </w:r>
          </w:p>
        </w:tc>
        <w:tc>
          <w:tcPr>
            <w:tcW w:w="16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5"/>
              <w:jc w:val="center"/>
              <w:rPr>
                <w:rFonts w:ascii="Times New Roman" w:hAnsi="Times New Roman" w:cs="Times New Roman" w:eastAsia="Times New Roman" w:hint="default"/>
                <w:sz w:val="18"/>
                <w:szCs w:val="18"/>
              </w:rPr>
            </w:pPr>
            <w:r>
              <w:rPr>
                <w:rFonts w:ascii="Times New Roman"/>
                <w:sz w:val="18"/>
              </w:rPr>
              <w:t>2013SR151669</w:t>
            </w:r>
          </w:p>
        </w:tc>
        <w:tc>
          <w:tcPr>
            <w:tcW w:w="127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5"/>
              <w:jc w:val="center"/>
              <w:rPr>
                <w:rFonts w:ascii="Times New Roman" w:hAnsi="Times New Roman" w:cs="Times New Roman" w:eastAsia="Times New Roman" w:hint="default"/>
                <w:sz w:val="18"/>
                <w:szCs w:val="18"/>
              </w:rPr>
            </w:pPr>
            <w:r>
              <w:rPr>
                <w:rFonts w:ascii="Times New Roman"/>
                <w:sz w:val="18"/>
              </w:rPr>
              <w:t>2013-12-20</w:t>
            </w:r>
          </w:p>
        </w:tc>
      </w:tr>
      <w:tr>
        <w:trPr>
          <w:trHeight w:val="665" w:hRule="exact"/>
        </w:trPr>
        <w:tc>
          <w:tcPr>
            <w:tcW w:w="859"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w:t>
            </w:r>
          </w:p>
        </w:tc>
        <w:tc>
          <w:tcPr>
            <w:tcW w:w="25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8"/>
              <w:jc w:val="center"/>
              <w:rPr>
                <w:rFonts w:ascii="宋体" w:hAnsi="宋体" w:cs="宋体" w:eastAsia="宋体" w:hint="default"/>
                <w:sz w:val="18"/>
                <w:szCs w:val="18"/>
              </w:rPr>
            </w:pPr>
            <w:r>
              <w:rPr>
                <w:rFonts w:ascii="宋体" w:hAnsi="宋体" w:cs="宋体" w:eastAsia="宋体" w:hint="default"/>
                <w:sz w:val="18"/>
                <w:szCs w:val="18"/>
              </w:rPr>
              <w:t>分发网络节点数据检测系统</w:t>
            </w:r>
          </w:p>
          <w:p>
            <w:pPr>
              <w:pStyle w:val="TableParagraph"/>
              <w:spacing w:line="240" w:lineRule="auto" w:before="119"/>
              <w:ind w:right="7"/>
              <w:jc w:val="center"/>
              <w:rPr>
                <w:rFonts w:ascii="Times New Roman" w:hAnsi="Times New Roman" w:cs="Times New Roman" w:eastAsia="Times New Roman" w:hint="default"/>
                <w:sz w:val="18"/>
                <w:szCs w:val="18"/>
              </w:rPr>
            </w:pPr>
            <w:r>
              <w:rPr>
                <w:rFonts w:ascii="Times New Roman"/>
                <w:sz w:val="18"/>
              </w:rPr>
              <w:t>V1.0</w:t>
            </w:r>
          </w:p>
        </w:tc>
        <w:tc>
          <w:tcPr>
            <w:tcW w:w="22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0658643</w:t>
            </w:r>
            <w:r>
              <w:rPr>
                <w:rFonts w:ascii="宋体" w:hAnsi="宋体" w:cs="宋体" w:eastAsia="宋体" w:hint="default"/>
                <w:sz w:val="18"/>
                <w:szCs w:val="18"/>
              </w:rPr>
              <w:t>号</w:t>
            </w:r>
          </w:p>
        </w:tc>
        <w:tc>
          <w:tcPr>
            <w:tcW w:w="16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2013SR152881</w:t>
            </w:r>
          </w:p>
        </w:tc>
        <w:tc>
          <w:tcPr>
            <w:tcW w:w="127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2013-12-21</w:t>
            </w:r>
          </w:p>
        </w:tc>
      </w:tr>
      <w:tr>
        <w:trPr>
          <w:trHeight w:val="353" w:hRule="exact"/>
        </w:trPr>
        <w:tc>
          <w:tcPr>
            <w:tcW w:w="859"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3</w:t>
            </w:r>
          </w:p>
        </w:tc>
        <w:tc>
          <w:tcPr>
            <w:tcW w:w="25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6"/>
              <w:jc w:val="center"/>
              <w:rPr>
                <w:rFonts w:ascii="Times New Roman" w:hAnsi="Times New Roman" w:cs="Times New Roman" w:eastAsia="Times New Roman" w:hint="default"/>
                <w:sz w:val="18"/>
                <w:szCs w:val="18"/>
              </w:rPr>
            </w:pPr>
            <w:r>
              <w:rPr>
                <w:rFonts w:ascii="宋体" w:hAnsi="宋体" w:cs="宋体" w:eastAsia="宋体" w:hint="default"/>
                <w:sz w:val="18"/>
                <w:szCs w:val="18"/>
              </w:rPr>
              <w:t>网络监控系统</w:t>
            </w:r>
            <w:r>
              <w:rPr>
                <w:rFonts w:ascii="Times New Roman" w:hAnsi="Times New Roman" w:cs="Times New Roman" w:eastAsia="Times New Roman" w:hint="default"/>
                <w:sz w:val="18"/>
                <w:szCs w:val="18"/>
              </w:rPr>
              <w:t>V1.0</w:t>
            </w:r>
          </w:p>
        </w:tc>
        <w:tc>
          <w:tcPr>
            <w:tcW w:w="22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0658833</w:t>
            </w:r>
            <w:r>
              <w:rPr>
                <w:rFonts w:ascii="宋体" w:hAnsi="宋体" w:cs="宋体" w:eastAsia="宋体" w:hint="default"/>
                <w:sz w:val="18"/>
                <w:szCs w:val="18"/>
              </w:rPr>
              <w:t>号</w:t>
            </w:r>
          </w:p>
        </w:tc>
        <w:tc>
          <w:tcPr>
            <w:tcW w:w="16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5"/>
              <w:jc w:val="center"/>
              <w:rPr>
                <w:rFonts w:ascii="Times New Roman" w:hAnsi="Times New Roman" w:cs="Times New Roman" w:eastAsia="Times New Roman" w:hint="default"/>
                <w:sz w:val="18"/>
                <w:szCs w:val="18"/>
              </w:rPr>
            </w:pPr>
            <w:r>
              <w:rPr>
                <w:rFonts w:ascii="Times New Roman"/>
                <w:sz w:val="18"/>
              </w:rPr>
              <w:t>2013SR153071</w:t>
            </w:r>
          </w:p>
        </w:tc>
        <w:tc>
          <w:tcPr>
            <w:tcW w:w="127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5"/>
              <w:jc w:val="center"/>
              <w:rPr>
                <w:rFonts w:ascii="Times New Roman" w:hAnsi="Times New Roman" w:cs="Times New Roman" w:eastAsia="Times New Roman" w:hint="default"/>
                <w:sz w:val="18"/>
                <w:szCs w:val="18"/>
              </w:rPr>
            </w:pPr>
            <w:r>
              <w:rPr>
                <w:rFonts w:ascii="Times New Roman"/>
                <w:sz w:val="18"/>
              </w:rPr>
              <w:t>2013-12-21</w:t>
            </w:r>
          </w:p>
        </w:tc>
      </w:tr>
      <w:tr>
        <w:trPr>
          <w:trHeight w:val="350" w:hRule="exact"/>
        </w:trPr>
        <w:tc>
          <w:tcPr>
            <w:tcW w:w="859"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4</w:t>
            </w:r>
          </w:p>
        </w:tc>
        <w:tc>
          <w:tcPr>
            <w:tcW w:w="25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6"/>
              <w:jc w:val="center"/>
              <w:rPr>
                <w:rFonts w:ascii="Times New Roman" w:hAnsi="Times New Roman" w:cs="Times New Roman" w:eastAsia="Times New Roman" w:hint="default"/>
                <w:sz w:val="18"/>
                <w:szCs w:val="18"/>
              </w:rPr>
            </w:pPr>
            <w:r>
              <w:rPr>
                <w:rFonts w:ascii="宋体" w:hAnsi="宋体" w:cs="宋体" w:eastAsia="宋体" w:hint="default"/>
                <w:sz w:val="18"/>
                <w:szCs w:val="18"/>
              </w:rPr>
              <w:t>网络故障管理软件</w:t>
            </w:r>
            <w:r>
              <w:rPr>
                <w:rFonts w:ascii="Times New Roman" w:hAnsi="Times New Roman" w:cs="Times New Roman" w:eastAsia="Times New Roman" w:hint="default"/>
                <w:sz w:val="18"/>
                <w:szCs w:val="18"/>
              </w:rPr>
              <w:t>V1.0</w:t>
            </w:r>
          </w:p>
        </w:tc>
        <w:tc>
          <w:tcPr>
            <w:tcW w:w="22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0658839</w:t>
            </w:r>
            <w:r>
              <w:rPr>
                <w:rFonts w:ascii="宋体" w:hAnsi="宋体" w:cs="宋体" w:eastAsia="宋体" w:hint="default"/>
                <w:sz w:val="18"/>
                <w:szCs w:val="18"/>
              </w:rPr>
              <w:t>号</w:t>
            </w:r>
          </w:p>
        </w:tc>
        <w:tc>
          <w:tcPr>
            <w:tcW w:w="16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5"/>
              <w:jc w:val="center"/>
              <w:rPr>
                <w:rFonts w:ascii="Times New Roman" w:hAnsi="Times New Roman" w:cs="Times New Roman" w:eastAsia="Times New Roman" w:hint="default"/>
                <w:sz w:val="18"/>
                <w:szCs w:val="18"/>
              </w:rPr>
            </w:pPr>
            <w:r>
              <w:rPr>
                <w:rFonts w:ascii="Times New Roman"/>
                <w:sz w:val="18"/>
              </w:rPr>
              <w:t>2013SR153077</w:t>
            </w:r>
          </w:p>
        </w:tc>
        <w:tc>
          <w:tcPr>
            <w:tcW w:w="127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5"/>
              <w:jc w:val="center"/>
              <w:rPr>
                <w:rFonts w:ascii="Times New Roman" w:hAnsi="Times New Roman" w:cs="Times New Roman" w:eastAsia="Times New Roman" w:hint="default"/>
                <w:sz w:val="18"/>
                <w:szCs w:val="18"/>
              </w:rPr>
            </w:pPr>
            <w:r>
              <w:rPr>
                <w:rFonts w:ascii="Times New Roman"/>
                <w:sz w:val="18"/>
              </w:rPr>
              <w:t>2013-12-21</w:t>
            </w:r>
          </w:p>
        </w:tc>
      </w:tr>
      <w:tr>
        <w:trPr>
          <w:trHeight w:val="353" w:hRule="exact"/>
        </w:trPr>
        <w:tc>
          <w:tcPr>
            <w:tcW w:w="859"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5</w:t>
            </w:r>
          </w:p>
        </w:tc>
        <w:tc>
          <w:tcPr>
            <w:tcW w:w="25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6"/>
              <w:jc w:val="center"/>
              <w:rPr>
                <w:rFonts w:ascii="Times New Roman" w:hAnsi="Times New Roman" w:cs="Times New Roman" w:eastAsia="Times New Roman" w:hint="default"/>
                <w:sz w:val="18"/>
                <w:szCs w:val="18"/>
              </w:rPr>
            </w:pPr>
            <w:r>
              <w:rPr>
                <w:rFonts w:ascii="宋体" w:hAnsi="宋体" w:cs="宋体" w:eastAsia="宋体" w:hint="default"/>
                <w:sz w:val="18"/>
                <w:szCs w:val="18"/>
              </w:rPr>
              <w:t>业务数据管理系统</w:t>
            </w:r>
            <w:r>
              <w:rPr>
                <w:rFonts w:ascii="Times New Roman" w:hAnsi="Times New Roman" w:cs="Times New Roman" w:eastAsia="Times New Roman" w:hint="default"/>
                <w:sz w:val="18"/>
                <w:szCs w:val="18"/>
              </w:rPr>
              <w:t>V1.0</w:t>
            </w:r>
          </w:p>
        </w:tc>
        <w:tc>
          <w:tcPr>
            <w:tcW w:w="22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0658846</w:t>
            </w:r>
            <w:r>
              <w:rPr>
                <w:rFonts w:ascii="宋体" w:hAnsi="宋体" w:cs="宋体" w:eastAsia="宋体" w:hint="default"/>
                <w:sz w:val="18"/>
                <w:szCs w:val="18"/>
              </w:rPr>
              <w:t>号</w:t>
            </w:r>
          </w:p>
        </w:tc>
        <w:tc>
          <w:tcPr>
            <w:tcW w:w="16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5"/>
              <w:jc w:val="center"/>
              <w:rPr>
                <w:rFonts w:ascii="Times New Roman" w:hAnsi="Times New Roman" w:cs="Times New Roman" w:eastAsia="Times New Roman" w:hint="default"/>
                <w:sz w:val="18"/>
                <w:szCs w:val="18"/>
              </w:rPr>
            </w:pPr>
            <w:r>
              <w:rPr>
                <w:rFonts w:ascii="Times New Roman"/>
                <w:sz w:val="18"/>
              </w:rPr>
              <w:t>2013SR153084</w:t>
            </w:r>
          </w:p>
        </w:tc>
        <w:tc>
          <w:tcPr>
            <w:tcW w:w="127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5"/>
              <w:jc w:val="center"/>
              <w:rPr>
                <w:rFonts w:ascii="Times New Roman" w:hAnsi="Times New Roman" w:cs="Times New Roman" w:eastAsia="Times New Roman" w:hint="default"/>
                <w:sz w:val="18"/>
                <w:szCs w:val="18"/>
              </w:rPr>
            </w:pPr>
            <w:r>
              <w:rPr>
                <w:rFonts w:ascii="Times New Roman"/>
                <w:sz w:val="18"/>
              </w:rPr>
              <w:t>2013-12-21</w:t>
            </w:r>
          </w:p>
        </w:tc>
      </w:tr>
      <w:tr>
        <w:trPr>
          <w:trHeight w:val="658" w:hRule="exact"/>
        </w:trPr>
        <w:tc>
          <w:tcPr>
            <w:tcW w:w="859"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6</w:t>
            </w:r>
          </w:p>
        </w:tc>
        <w:tc>
          <w:tcPr>
            <w:tcW w:w="2521" w:type="dxa"/>
            <w:tcBorders>
              <w:top w:val="single" w:sz="12" w:space="0" w:color="000000"/>
              <w:left w:val="single" w:sz="12" w:space="0" w:color="000000"/>
              <w:bottom w:val="single" w:sz="6" w:space="0" w:color="000000"/>
              <w:right w:val="single" w:sz="12"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交换机性能监控系统（简称：</w:t>
            </w:r>
          </w:p>
          <w:p>
            <w:pPr>
              <w:pStyle w:val="TableParagraph"/>
              <w:spacing w:line="240" w:lineRule="auto" w:before="76"/>
              <w:ind w:right="6"/>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SIMS</w:t>
            </w:r>
            <w:r>
              <w:rPr>
                <w:rFonts w:ascii="宋体" w:hAnsi="宋体" w:cs="宋体" w:eastAsia="宋体" w:hint="default"/>
                <w:sz w:val="18"/>
                <w:szCs w:val="18"/>
              </w:rPr>
              <w:t>）</w:t>
            </w:r>
            <w:r>
              <w:rPr>
                <w:rFonts w:ascii="Times New Roman" w:hAnsi="Times New Roman" w:cs="Times New Roman" w:eastAsia="Times New Roman" w:hint="default"/>
                <w:sz w:val="18"/>
                <w:szCs w:val="18"/>
              </w:rPr>
              <w:t>V1.0</w:t>
            </w:r>
          </w:p>
        </w:tc>
        <w:tc>
          <w:tcPr>
            <w:tcW w:w="2276" w:type="dxa"/>
            <w:tcBorders>
              <w:top w:val="single" w:sz="12" w:space="0" w:color="000000"/>
              <w:left w:val="single" w:sz="12"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0659168</w:t>
            </w:r>
            <w:r>
              <w:rPr>
                <w:rFonts w:ascii="宋体" w:hAnsi="宋体" w:cs="宋体" w:eastAsia="宋体" w:hint="default"/>
                <w:sz w:val="18"/>
                <w:szCs w:val="18"/>
              </w:rPr>
              <w:t>号</w:t>
            </w:r>
          </w:p>
        </w:tc>
        <w:tc>
          <w:tcPr>
            <w:tcW w:w="1609" w:type="dxa"/>
            <w:tcBorders>
              <w:top w:val="single" w:sz="12" w:space="0" w:color="000000"/>
              <w:left w:val="single" w:sz="12"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2013SR153406</w:t>
            </w:r>
          </w:p>
        </w:tc>
        <w:tc>
          <w:tcPr>
            <w:tcW w:w="1272" w:type="dxa"/>
            <w:tcBorders>
              <w:top w:val="single" w:sz="12" w:space="0" w:color="000000"/>
              <w:left w:val="single" w:sz="12"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2013-12-21</w:t>
            </w:r>
          </w:p>
        </w:tc>
      </w:tr>
      <w:tr>
        <w:trPr>
          <w:trHeight w:val="739" w:hRule="exact"/>
        </w:trPr>
        <w:tc>
          <w:tcPr>
            <w:tcW w:w="8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7</w:t>
            </w:r>
          </w:p>
        </w:tc>
        <w:tc>
          <w:tcPr>
            <w:tcW w:w="2521"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58"/>
              <w:ind w:right="5"/>
              <w:jc w:val="center"/>
              <w:rPr>
                <w:rFonts w:ascii="宋体" w:hAnsi="宋体" w:cs="宋体" w:eastAsia="宋体" w:hint="default"/>
                <w:sz w:val="18"/>
                <w:szCs w:val="18"/>
              </w:rPr>
            </w:pPr>
            <w:r>
              <w:rPr>
                <w:rFonts w:ascii="宋体" w:hAnsi="宋体" w:cs="宋体" w:eastAsia="宋体" w:hint="default"/>
                <w:sz w:val="18"/>
                <w:szCs w:val="18"/>
              </w:rPr>
              <w:t>云计算平台物理设备监控系统</w:t>
            </w:r>
          </w:p>
          <w:p>
            <w:pPr>
              <w:pStyle w:val="TableParagraph"/>
              <w:spacing w:line="240" w:lineRule="auto" w:before="118"/>
              <w:ind w:right="7"/>
              <w:jc w:val="center"/>
              <w:rPr>
                <w:rFonts w:ascii="Times New Roman" w:hAnsi="Times New Roman" w:cs="Times New Roman" w:eastAsia="Times New Roman" w:hint="default"/>
                <w:sz w:val="18"/>
                <w:szCs w:val="18"/>
              </w:rPr>
            </w:pPr>
            <w:r>
              <w:rPr>
                <w:rFonts w:ascii="Times New Roman"/>
                <w:sz w:val="18"/>
              </w:rPr>
              <w:t>V1.0</w:t>
            </w:r>
          </w:p>
        </w:tc>
        <w:tc>
          <w:tcPr>
            <w:tcW w:w="2276"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58"/>
              <w:ind w:right="7"/>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1151416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c>
          <w:tcPr>
            <w:tcW w:w="1609"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00"/>
              <w:ind w:right="5"/>
              <w:jc w:val="center"/>
              <w:rPr>
                <w:rFonts w:ascii="Times New Roman" w:hAnsi="Times New Roman" w:cs="Times New Roman" w:eastAsia="Times New Roman" w:hint="default"/>
                <w:sz w:val="18"/>
                <w:szCs w:val="18"/>
              </w:rPr>
            </w:pPr>
            <w:r>
              <w:rPr>
                <w:rFonts w:ascii="Times New Roman"/>
                <w:sz w:val="18"/>
              </w:rPr>
              <w:t>2015SR264330</w:t>
            </w:r>
          </w:p>
        </w:tc>
        <w:tc>
          <w:tcPr>
            <w:tcW w:w="1272"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2015-12-17</w:t>
            </w:r>
          </w:p>
        </w:tc>
      </w:tr>
      <w:tr>
        <w:trPr>
          <w:trHeight w:val="425" w:hRule="exact"/>
        </w:trPr>
        <w:tc>
          <w:tcPr>
            <w:tcW w:w="8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8</w:t>
            </w:r>
          </w:p>
        </w:tc>
        <w:tc>
          <w:tcPr>
            <w:tcW w:w="2521"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58"/>
              <w:ind w:right="6"/>
              <w:jc w:val="center"/>
              <w:rPr>
                <w:rFonts w:ascii="Times New Roman" w:hAnsi="Times New Roman" w:cs="Times New Roman" w:eastAsia="Times New Roman" w:hint="default"/>
                <w:sz w:val="18"/>
                <w:szCs w:val="18"/>
              </w:rPr>
            </w:pPr>
            <w:r>
              <w:rPr>
                <w:rFonts w:ascii="宋体" w:hAnsi="宋体" w:cs="宋体" w:eastAsia="宋体" w:hint="default"/>
                <w:sz w:val="18"/>
                <w:szCs w:val="18"/>
              </w:rPr>
              <w:t>云主机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性能提升系统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V1.0</w:t>
            </w:r>
          </w:p>
        </w:tc>
        <w:tc>
          <w:tcPr>
            <w:tcW w:w="2276"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58"/>
              <w:ind w:right="7"/>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1150899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c>
          <w:tcPr>
            <w:tcW w:w="1609"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00"/>
              <w:ind w:right="5"/>
              <w:jc w:val="center"/>
              <w:rPr>
                <w:rFonts w:ascii="Times New Roman" w:hAnsi="Times New Roman" w:cs="Times New Roman" w:eastAsia="Times New Roman" w:hint="default"/>
                <w:sz w:val="18"/>
                <w:szCs w:val="18"/>
              </w:rPr>
            </w:pPr>
            <w:r>
              <w:rPr>
                <w:rFonts w:ascii="Times New Roman"/>
                <w:sz w:val="18"/>
              </w:rPr>
              <w:t>2015SR263813</w:t>
            </w:r>
          </w:p>
        </w:tc>
        <w:tc>
          <w:tcPr>
            <w:tcW w:w="1272"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00"/>
              <w:ind w:right="5"/>
              <w:jc w:val="center"/>
              <w:rPr>
                <w:rFonts w:ascii="Times New Roman" w:hAnsi="Times New Roman" w:cs="Times New Roman" w:eastAsia="Times New Roman" w:hint="default"/>
                <w:sz w:val="18"/>
                <w:szCs w:val="18"/>
              </w:rPr>
            </w:pPr>
            <w:r>
              <w:rPr>
                <w:rFonts w:ascii="Times New Roman"/>
                <w:sz w:val="18"/>
              </w:rPr>
              <w:t>2015-12-17</w:t>
            </w:r>
          </w:p>
        </w:tc>
      </w:tr>
      <w:tr>
        <w:trPr>
          <w:trHeight w:val="749" w:hRule="exact"/>
        </w:trPr>
        <w:tc>
          <w:tcPr>
            <w:tcW w:w="85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9</w:t>
            </w:r>
          </w:p>
        </w:tc>
        <w:tc>
          <w:tcPr>
            <w:tcW w:w="2521" w:type="dxa"/>
            <w:tcBorders>
              <w:top w:val="single" w:sz="6" w:space="0" w:color="000000"/>
              <w:left w:val="single" w:sz="12" w:space="0" w:color="000000"/>
              <w:bottom w:val="single" w:sz="12" w:space="0" w:color="000000"/>
              <w:right w:val="single" w:sz="12" w:space="0" w:color="000000"/>
            </w:tcBorders>
          </w:tcPr>
          <w:p>
            <w:pPr>
              <w:pStyle w:val="TableParagraph"/>
              <w:spacing w:line="316" w:lineRule="auto" w:before="61"/>
              <w:ind w:left="861" w:right="77" w:hanging="790"/>
              <w:jc w:val="left"/>
              <w:rPr>
                <w:rFonts w:ascii="Times New Roman" w:hAnsi="Times New Roman" w:cs="Times New Roman" w:eastAsia="Times New Roman" w:hint="default"/>
                <w:sz w:val="18"/>
                <w:szCs w:val="18"/>
              </w:rPr>
            </w:pPr>
            <w:r>
              <w:rPr>
                <w:rFonts w:ascii="宋体" w:hAnsi="宋体" w:cs="宋体" w:eastAsia="宋体" w:hint="default"/>
                <w:sz w:val="18"/>
                <w:szCs w:val="18"/>
              </w:rPr>
              <w:t>云主机多类型网络带宽自服务 系统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V1.0</w:t>
            </w:r>
          </w:p>
        </w:tc>
        <w:tc>
          <w:tcPr>
            <w:tcW w:w="2276"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61"/>
              <w:ind w:right="7"/>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1150902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c>
          <w:tcPr>
            <w:tcW w:w="1609"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103"/>
              <w:ind w:right="5"/>
              <w:jc w:val="center"/>
              <w:rPr>
                <w:rFonts w:ascii="Times New Roman" w:hAnsi="Times New Roman" w:cs="Times New Roman" w:eastAsia="Times New Roman" w:hint="default"/>
                <w:sz w:val="18"/>
                <w:szCs w:val="18"/>
              </w:rPr>
            </w:pPr>
            <w:r>
              <w:rPr>
                <w:rFonts w:ascii="Times New Roman"/>
                <w:sz w:val="18"/>
              </w:rPr>
              <w:t>2015SR263816</w:t>
            </w:r>
          </w:p>
        </w:tc>
        <w:tc>
          <w:tcPr>
            <w:tcW w:w="1272"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2015-12-17</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698" w:type="dxa"/>
        <w:tblLayout w:type="fixed"/>
        <w:tblCellMar>
          <w:top w:w="0" w:type="dxa"/>
          <w:left w:w="0" w:type="dxa"/>
          <w:bottom w:w="0" w:type="dxa"/>
          <w:right w:w="0" w:type="dxa"/>
        </w:tblCellMar>
        <w:tblLook w:val="01E0"/>
      </w:tblPr>
      <w:tblGrid>
        <w:gridCol w:w="859"/>
        <w:gridCol w:w="2521"/>
        <w:gridCol w:w="2276"/>
        <w:gridCol w:w="1609"/>
        <w:gridCol w:w="1272"/>
      </w:tblGrid>
      <w:tr>
        <w:trPr>
          <w:trHeight w:val="435" w:hRule="exact"/>
        </w:trPr>
        <w:tc>
          <w:tcPr>
            <w:tcW w:w="85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01"/>
              <w:ind w:left="7" w:right="0"/>
              <w:jc w:val="center"/>
              <w:rPr>
                <w:rFonts w:ascii="Times New Roman" w:hAnsi="Times New Roman" w:cs="Times New Roman" w:eastAsia="Times New Roman" w:hint="default"/>
                <w:sz w:val="18"/>
                <w:szCs w:val="18"/>
              </w:rPr>
            </w:pPr>
            <w:r>
              <w:rPr>
                <w:rFonts w:ascii="Times New Roman"/>
                <w:sz w:val="18"/>
              </w:rPr>
              <w:t>10</w:t>
            </w:r>
          </w:p>
        </w:tc>
        <w:tc>
          <w:tcPr>
            <w:tcW w:w="2521"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59"/>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云计算平台秒级计费系统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V1.0</w:t>
            </w:r>
          </w:p>
        </w:tc>
        <w:tc>
          <w:tcPr>
            <w:tcW w:w="2276"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59"/>
              <w:ind w:left="220"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1150900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c>
          <w:tcPr>
            <w:tcW w:w="1609"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101"/>
              <w:ind w:left="225" w:right="0"/>
              <w:jc w:val="left"/>
              <w:rPr>
                <w:rFonts w:ascii="Times New Roman" w:hAnsi="Times New Roman" w:cs="Times New Roman" w:eastAsia="Times New Roman" w:hint="default"/>
                <w:sz w:val="18"/>
                <w:szCs w:val="18"/>
              </w:rPr>
            </w:pPr>
            <w:r>
              <w:rPr>
                <w:rFonts w:ascii="Times New Roman"/>
                <w:sz w:val="18"/>
              </w:rPr>
              <w:t>2015SR263814</w:t>
            </w:r>
          </w:p>
        </w:tc>
        <w:tc>
          <w:tcPr>
            <w:tcW w:w="1272"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101"/>
              <w:ind w:left="196" w:right="0"/>
              <w:jc w:val="left"/>
              <w:rPr>
                <w:rFonts w:ascii="Times New Roman" w:hAnsi="Times New Roman" w:cs="Times New Roman" w:eastAsia="Times New Roman" w:hint="default"/>
                <w:sz w:val="18"/>
                <w:szCs w:val="18"/>
              </w:rPr>
            </w:pPr>
            <w:r>
              <w:rPr>
                <w:rFonts w:ascii="Times New Roman"/>
                <w:sz w:val="18"/>
              </w:rPr>
              <w:t>2015-12-17</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7"/>
        <w:ind w:left="3125" w:right="1134"/>
        <w:jc w:val="left"/>
        <w:rPr>
          <w:b w:val="0"/>
          <w:bCs w:val="0"/>
        </w:rPr>
      </w:pPr>
      <w:bookmarkStart w:name="_TOC_250007" w:id="4"/>
      <w:r>
        <w:rPr/>
        <w:t>第四节</w:t>
      </w:r>
      <w:r>
        <w:rPr>
          <w:spacing w:val="-6"/>
        </w:rPr>
        <w:t> </w:t>
      </w:r>
      <w:r>
        <w:rPr/>
        <w:t>管理层讨论与分析</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134"/>
        <w:jc w:val="left"/>
        <w:rPr>
          <w:b w:val="0"/>
          <w:bCs w:val="0"/>
        </w:rPr>
      </w:pPr>
      <w:r>
        <w:rPr/>
        <w:t>一、概述</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4"/>
        <w:jc w:val="left"/>
        <w:rPr>
          <w:b w:val="0"/>
          <w:bCs w:val="0"/>
        </w:rPr>
      </w:pPr>
      <w:r>
        <w:rPr>
          <w:rFonts w:ascii="Times New Roman" w:hAnsi="Times New Roman" w:cs="Times New Roman" w:eastAsia="Times New Roman" w:hint="default"/>
        </w:rPr>
        <w:t>1</w:t>
      </w:r>
      <w:r>
        <w:rPr/>
        <w:t>、报告期内主要业务回顾</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149" w:firstLine="360"/>
        <w:jc w:val="both"/>
      </w:pPr>
      <w:r>
        <w:rPr>
          <w:rFonts w:ascii="宋体" w:hAnsi="宋体" w:cs="宋体" w:eastAsia="宋体" w:hint="default"/>
        </w:rPr>
        <w:t>2015</w:t>
      </w:r>
      <w:r>
        <w:rPr/>
        <w:t>年公司围绕企业发展战略积极推动年度经营计划的贯彻落实。一方面，公司积极响应“互联网</w:t>
      </w:r>
      <w:r>
        <w:rPr>
          <w:rFonts w:ascii="宋体" w:hAnsi="宋体" w:cs="宋体" w:eastAsia="宋体" w:hint="default"/>
        </w:rPr>
        <w:t>+</w:t>
      </w:r>
      <w:r>
        <w:rPr/>
        <w:t>”政策向导，不断 </w:t>
      </w:r>
      <w:r>
        <w:rPr>
          <w:spacing w:val="-2"/>
        </w:rPr>
        <w:t>加强互联网技术研发及市场开拓力度；另一方面，公司顺应云计算发展趋势，大力推进云计算数据中心建设，继续完善云服</w:t>
      </w:r>
      <w:r>
        <w:rPr>
          <w:spacing w:val="-62"/>
        </w:rPr>
        <w:t> </w:t>
      </w:r>
      <w:r>
        <w:rPr>
          <w:spacing w:val="-62"/>
        </w:rPr>
      </w:r>
      <w:r>
        <w:rPr>
          <w:spacing w:val="-2"/>
        </w:rPr>
        <w:t>务产品体系；同时，公司积极筹划并推进投资并购进度，不断拓展公司的服务能力与综合竞争力。报告期内，公司实现营业</w:t>
      </w:r>
      <w:r>
        <w:rPr>
          <w:spacing w:val="-68"/>
        </w:rPr>
        <w:t> </w:t>
      </w:r>
      <w:r>
        <w:rPr>
          <w:spacing w:val="-68"/>
        </w:rPr>
      </w:r>
      <w:r>
        <w:rPr>
          <w:spacing w:val="-2"/>
        </w:rPr>
        <w:t>收入</w:t>
      </w:r>
      <w:r>
        <w:rPr>
          <w:rFonts w:ascii="宋体" w:hAnsi="宋体" w:cs="宋体" w:eastAsia="宋体" w:hint="default"/>
          <w:spacing w:val="-2"/>
        </w:rPr>
        <w:t>59,153.04</w:t>
      </w:r>
      <w:r>
        <w:rPr>
          <w:spacing w:val="-2"/>
        </w:rPr>
        <w:t>万元，比上年同期增长</w:t>
      </w:r>
      <w:r>
        <w:rPr>
          <w:rFonts w:ascii="宋体" w:hAnsi="宋体" w:cs="宋体" w:eastAsia="宋体" w:hint="default"/>
          <w:spacing w:val="-2"/>
        </w:rPr>
        <w:t>36.13%</w:t>
      </w:r>
      <w:r>
        <w:rPr>
          <w:spacing w:val="-2"/>
        </w:rPr>
        <w:t>；利润总额</w:t>
      </w:r>
      <w:r>
        <w:rPr>
          <w:rFonts w:ascii="宋体" w:hAnsi="宋体" w:cs="宋体" w:eastAsia="宋体" w:hint="default"/>
          <w:spacing w:val="-2"/>
        </w:rPr>
        <w:t>13,162.33</w:t>
      </w:r>
      <w:r>
        <w:rPr>
          <w:spacing w:val="-2"/>
        </w:rPr>
        <w:t>万元，比上年同期增长</w:t>
      </w:r>
      <w:r>
        <w:rPr>
          <w:rFonts w:ascii="宋体" w:hAnsi="宋体" w:cs="宋体" w:eastAsia="宋体" w:hint="default"/>
          <w:spacing w:val="-2"/>
        </w:rPr>
        <w:t>17.01%</w:t>
      </w:r>
      <w:r>
        <w:rPr>
          <w:spacing w:val="-2"/>
        </w:rPr>
        <w:t>；实现归属于上市公司股东</w:t>
      </w:r>
      <w:r>
        <w:rPr>
          <w:spacing w:val="-46"/>
        </w:rPr>
        <w:t> </w:t>
      </w:r>
      <w:r>
        <w:rPr>
          <w:spacing w:val="-46"/>
        </w:rPr>
      </w:r>
      <w:r>
        <w:rPr/>
        <w:t>的净利润</w:t>
      </w:r>
      <w:r>
        <w:rPr>
          <w:rFonts w:ascii="宋体" w:hAnsi="宋体" w:cs="宋体" w:eastAsia="宋体" w:hint="default"/>
        </w:rPr>
        <w:t>11,358.84</w:t>
      </w:r>
      <w:r>
        <w:rPr/>
        <w:t>万元，比上年同期增长</w:t>
      </w:r>
      <w:r>
        <w:rPr>
          <w:rFonts w:ascii="宋体" w:hAnsi="宋体" w:cs="宋体" w:eastAsia="宋体" w:hint="default"/>
        </w:rPr>
        <w:t>19.34%</w:t>
      </w:r>
      <w:r>
        <w:rPr/>
        <w:t>。</w:t>
      </w:r>
    </w:p>
    <w:p>
      <w:pPr>
        <w:spacing w:line="240" w:lineRule="auto" w:before="3"/>
        <w:rPr>
          <w:rFonts w:ascii="宋体" w:hAnsi="宋体" w:cs="宋体" w:eastAsia="宋体" w:hint="default"/>
          <w:sz w:val="13"/>
          <w:szCs w:val="13"/>
        </w:rPr>
      </w:pPr>
    </w:p>
    <w:p>
      <w:pPr>
        <w:pStyle w:val="BodyText"/>
        <w:spacing w:line="240" w:lineRule="auto"/>
        <w:ind w:left="513" w:right="1134"/>
        <w:jc w:val="left"/>
      </w:pPr>
      <w:r>
        <w:rPr/>
        <w:t>报告期内，公司根据企业发展战略及年度经营计划，积极推进各项工作顺利开展。</w:t>
      </w:r>
    </w:p>
    <w:p>
      <w:pPr>
        <w:spacing w:line="240" w:lineRule="auto" w:before="10"/>
        <w:rPr>
          <w:rFonts w:ascii="宋体" w:hAnsi="宋体" w:cs="宋体" w:eastAsia="宋体" w:hint="default"/>
          <w:sz w:val="17"/>
          <w:szCs w:val="17"/>
        </w:rPr>
      </w:pPr>
    </w:p>
    <w:p>
      <w:pPr>
        <w:pStyle w:val="BodyText"/>
        <w:spacing w:line="316" w:lineRule="auto"/>
        <w:ind w:right="151" w:firstLine="360"/>
        <w:jc w:val="both"/>
      </w:pPr>
      <w:r>
        <w:rPr>
          <w:rFonts w:ascii="宋体" w:hAnsi="宋体" w:cs="宋体" w:eastAsia="宋体" w:hint="default"/>
          <w:b/>
          <w:bCs/>
        </w:rPr>
        <w:t>市场营销方面</w:t>
      </w:r>
      <w:r>
        <w:rPr>
          <w:rFonts w:ascii="宋体" w:hAnsi="宋体" w:cs="宋体" w:eastAsia="宋体" w:hint="default"/>
          <w:b/>
          <w:bCs/>
          <w:spacing w:val="89"/>
        </w:rPr>
        <w:t> </w:t>
      </w:r>
      <w:r>
        <w:rPr/>
        <w:t>报告期内，公司抓住“互联网</w:t>
      </w:r>
      <w:r>
        <w:rPr>
          <w:rFonts w:ascii="宋体" w:hAnsi="宋体" w:cs="宋体" w:eastAsia="宋体" w:hint="default"/>
        </w:rPr>
        <w:t>+</w:t>
      </w:r>
      <w:r>
        <w:rPr/>
        <w:t>”政策机遇，不断完善营销团队，继续加强大客户营销管理，大力拓展 市场份额，保持了营销业绩的稳定增长。</w:t>
      </w:r>
      <w:r>
        <w:rPr>
          <w:rFonts w:ascii="宋体" w:hAnsi="宋体" w:cs="宋体" w:eastAsia="宋体" w:hint="default"/>
        </w:rPr>
        <w:t>IDC</w:t>
      </w:r>
      <w:r>
        <w:rPr/>
        <w:t>方面，报告期内，凭借良好的服务品质与市场拓展能力，公司与中国联合网络 </w:t>
      </w:r>
      <w:r>
        <w:rPr>
          <w:spacing w:val="-2"/>
        </w:rPr>
        <w:t>通信有限公司北京市分公司成功签署数据中心合作协议、公司全资子公司光环云谷与亚马逊通成功签署数据中心合作协议等</w:t>
      </w:r>
      <w:r>
        <w:rPr>
          <w:spacing w:val="-63"/>
        </w:rPr>
        <w:t> </w:t>
      </w:r>
      <w:r>
        <w:rPr>
          <w:spacing w:val="-63"/>
        </w:rPr>
      </w:r>
      <w:r>
        <w:rPr>
          <w:spacing w:val="-2"/>
        </w:rPr>
        <w:t>重大项目。</w:t>
      </w:r>
      <w:r>
        <w:rPr>
          <w:rFonts w:ascii="宋体" w:hAnsi="宋体" w:cs="宋体" w:eastAsia="宋体" w:hint="default"/>
          <w:spacing w:val="-2"/>
        </w:rPr>
        <w:t>ISP</w:t>
      </w:r>
      <w:r>
        <w:rPr>
          <w:spacing w:val="-2"/>
        </w:rPr>
        <w:t>方面，面对激烈的市场竞争，公司积极推出灵活多样的销售刺激政策，同时积极拓宽与重大合作伙伴</w:t>
      </w:r>
      <w:r>
        <w:rPr>
          <w:rFonts w:ascii="宋体" w:hAnsi="宋体" w:cs="宋体" w:eastAsia="宋体" w:hint="default"/>
          <w:spacing w:val="-2"/>
        </w:rPr>
        <w:t>AWS</w:t>
      </w:r>
      <w:r>
        <w:rPr>
          <w:spacing w:val="-2"/>
        </w:rPr>
        <w:t>的合</w:t>
      </w:r>
      <w:r>
        <w:rPr>
          <w:spacing w:val="-61"/>
        </w:rPr>
        <w:t> </w:t>
      </w:r>
      <w:r>
        <w:rPr/>
        <w:t>作业务范围，在继续为</w:t>
      </w:r>
      <w:r>
        <w:rPr>
          <w:rFonts w:ascii="宋体" w:hAnsi="宋体" w:cs="宋体" w:eastAsia="宋体" w:hint="default"/>
        </w:rPr>
        <w:t>AWS</w:t>
      </w:r>
      <w:r>
        <w:rPr/>
        <w:t>中国北京区域客户提供互联网数据中心（</w:t>
      </w:r>
      <w:r>
        <w:rPr>
          <w:rFonts w:ascii="宋体" w:hAnsi="宋体" w:cs="宋体" w:eastAsia="宋体" w:hint="default"/>
        </w:rPr>
        <w:t>IDC</w:t>
      </w:r>
      <w:r>
        <w:rPr/>
        <w:t>业务）相关服务的同时，还为</w:t>
      </w:r>
      <w:r>
        <w:rPr>
          <w:rFonts w:ascii="宋体" w:hAnsi="宋体" w:cs="宋体" w:eastAsia="宋体" w:hint="default"/>
        </w:rPr>
        <w:t>AWS</w:t>
      </w:r>
      <w:r>
        <w:rPr/>
        <w:t>云服务客户提供互</w:t>
      </w:r>
      <w:r>
        <w:rPr>
          <w:spacing w:val="-87"/>
        </w:rPr>
        <w:t> </w:t>
      </w:r>
      <w:r>
        <w:rPr>
          <w:spacing w:val="-2"/>
        </w:rPr>
        <w:t>联网接入（</w:t>
      </w:r>
      <w:r>
        <w:rPr>
          <w:rFonts w:ascii="宋体" w:hAnsi="宋体" w:cs="宋体" w:eastAsia="宋体" w:hint="default"/>
          <w:spacing w:val="-2"/>
        </w:rPr>
        <w:t>ISP</w:t>
      </w:r>
      <w:r>
        <w:rPr>
          <w:spacing w:val="-2"/>
        </w:rPr>
        <w:t>业务）等相关服务，与亚马逊为客户提供的信息技术服务一起形成完整的</w:t>
      </w:r>
      <w:r>
        <w:rPr>
          <w:rFonts w:ascii="宋体" w:hAnsi="宋体" w:cs="宋体" w:eastAsia="宋体" w:hint="default"/>
          <w:spacing w:val="-2"/>
        </w:rPr>
        <w:t>AWS</w:t>
      </w:r>
      <w:r>
        <w:rPr>
          <w:spacing w:val="-2"/>
        </w:rPr>
        <w:t>中国云服务。同时，公司加大云</w:t>
      </w:r>
      <w:r>
        <w:rPr>
          <w:spacing w:val="-61"/>
        </w:rPr>
        <w:t> </w:t>
      </w:r>
      <w:r>
        <w:rPr>
          <w:spacing w:val="-61"/>
        </w:rPr>
      </w:r>
      <w:r>
        <w:rPr>
          <w:spacing w:val="-2"/>
        </w:rPr>
        <w:t>计算的市场推广力度，积极推动光环云产品及与亚马逊公司合作的</w:t>
      </w:r>
      <w:r>
        <w:rPr>
          <w:rFonts w:ascii="宋体" w:hAnsi="宋体" w:cs="宋体" w:eastAsia="宋体" w:hint="default"/>
          <w:spacing w:val="-2"/>
        </w:rPr>
        <w:t>AWS-DX</w:t>
      </w:r>
      <w:r>
        <w:rPr>
          <w:spacing w:val="-2"/>
        </w:rPr>
        <w:t>产品的正式上线，为客户提供高品质的云计算一体</w:t>
      </w:r>
      <w:r>
        <w:rPr>
          <w:spacing w:val="-60"/>
        </w:rPr>
        <w:t> </w:t>
      </w:r>
      <w:r>
        <w:rPr>
          <w:spacing w:val="-60"/>
        </w:rPr>
      </w:r>
      <w:r>
        <w:rPr/>
        <w:t>化解决方案服务。</w:t>
      </w:r>
    </w:p>
    <w:p>
      <w:pPr>
        <w:spacing w:line="240" w:lineRule="auto" w:before="5"/>
        <w:rPr>
          <w:rFonts w:ascii="宋体" w:hAnsi="宋体" w:cs="宋体" w:eastAsia="宋体" w:hint="default"/>
          <w:sz w:val="13"/>
          <w:szCs w:val="13"/>
        </w:rPr>
      </w:pPr>
    </w:p>
    <w:p>
      <w:pPr>
        <w:pStyle w:val="BodyText"/>
        <w:spacing w:line="316" w:lineRule="auto"/>
        <w:ind w:right="156" w:firstLine="360"/>
        <w:jc w:val="both"/>
      </w:pPr>
      <w:r>
        <w:rPr/>
        <w:t>凭借在市场营销方面的优异表现，公司取得了中国计算机报颁发的</w:t>
      </w:r>
      <w:r>
        <w:rPr>
          <w:spacing w:val="-1"/>
        </w:rPr>
        <w:t> </w:t>
      </w:r>
      <w:r>
        <w:rPr/>
        <w:t>“</w:t>
      </w:r>
      <w:r>
        <w:rPr>
          <w:rFonts w:ascii="宋体" w:hAnsi="宋体" w:cs="宋体" w:eastAsia="宋体" w:hint="default"/>
        </w:rPr>
        <w:t>2015</w:t>
      </w:r>
      <w:r>
        <w:rPr/>
        <w:t>年中国数据中心领军企业”和“</w:t>
      </w:r>
      <w:r>
        <w:rPr>
          <w:rFonts w:ascii="宋体" w:hAnsi="宋体" w:cs="宋体" w:eastAsia="宋体" w:hint="default"/>
        </w:rPr>
        <w:t>2015</w:t>
      </w:r>
      <w:r>
        <w:rPr/>
        <w:t>年中国 数据中心杰出服务商”等诸多荣誉。</w:t>
      </w:r>
    </w:p>
    <w:p>
      <w:pPr>
        <w:spacing w:line="240" w:lineRule="auto" w:before="2"/>
        <w:rPr>
          <w:rFonts w:ascii="宋体" w:hAnsi="宋体" w:cs="宋体" w:eastAsia="宋体" w:hint="default"/>
          <w:sz w:val="14"/>
          <w:szCs w:val="14"/>
        </w:rPr>
      </w:pPr>
    </w:p>
    <w:p>
      <w:pPr>
        <w:spacing w:line="5185" w:lineRule="exact"/>
        <w:ind w:left="998" w:right="0" w:firstLine="0"/>
        <w:rPr>
          <w:rFonts w:ascii="宋体" w:hAnsi="宋体" w:cs="宋体" w:eastAsia="宋体" w:hint="default"/>
          <w:sz w:val="20"/>
          <w:szCs w:val="20"/>
        </w:rPr>
      </w:pPr>
      <w:r>
        <w:rPr>
          <w:rFonts w:ascii="宋体" w:hAnsi="宋体" w:cs="宋体" w:eastAsia="宋体" w:hint="default"/>
          <w:position w:val="-103"/>
          <w:sz w:val="20"/>
          <w:szCs w:val="20"/>
        </w:rPr>
        <w:drawing>
          <wp:inline distT="0" distB="0" distL="0" distR="0">
            <wp:extent cx="5197141" cy="3292983"/>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4" cstate="print"/>
                    <a:stretch>
                      <a:fillRect/>
                    </a:stretch>
                  </pic:blipFill>
                  <pic:spPr>
                    <a:xfrm>
                      <a:off x="0" y="0"/>
                      <a:ext cx="5197141" cy="3292983"/>
                    </a:xfrm>
                    <a:prstGeom prst="rect">
                      <a:avLst/>
                    </a:prstGeom>
                  </pic:spPr>
                </pic:pic>
              </a:graphicData>
            </a:graphic>
          </wp:inline>
        </w:drawing>
      </w:r>
      <w:r>
        <w:rPr>
          <w:rFonts w:ascii="宋体" w:hAnsi="宋体" w:cs="宋体" w:eastAsia="宋体" w:hint="default"/>
          <w:position w:val="-103"/>
          <w:sz w:val="20"/>
          <w:szCs w:val="20"/>
        </w:rPr>
      </w:r>
    </w:p>
    <w:p>
      <w:pPr>
        <w:spacing w:after="0" w:line="5185" w:lineRule="exact"/>
        <w:rPr>
          <w:rFonts w:ascii="宋体" w:hAnsi="宋体" w:cs="宋体" w:eastAsia="宋体" w:hint="default"/>
          <w:sz w:val="20"/>
          <w:szCs w:val="20"/>
        </w:rPr>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316" w:lineRule="auto" w:before="44"/>
        <w:ind w:right="188" w:firstLine="360"/>
        <w:jc w:val="both"/>
      </w:pPr>
      <w:r>
        <w:rPr>
          <w:rFonts w:ascii="宋体" w:hAnsi="宋体" w:cs="宋体" w:eastAsia="宋体" w:hint="default"/>
          <w:b/>
          <w:bCs/>
        </w:rPr>
        <w:t>技术研发方面</w:t>
      </w:r>
      <w:r>
        <w:rPr>
          <w:rFonts w:ascii="宋体" w:hAnsi="宋体" w:cs="宋体" w:eastAsia="宋体" w:hint="default"/>
          <w:b/>
          <w:bCs/>
          <w:spacing w:val="88"/>
        </w:rPr>
        <w:t> </w:t>
      </w:r>
      <w:r>
        <w:rPr/>
        <w:t>报告期内，公司完成了</w:t>
      </w:r>
      <w:r>
        <w:rPr>
          <w:rFonts w:ascii="宋体" w:hAnsi="宋体" w:cs="宋体" w:eastAsia="宋体" w:hint="default"/>
        </w:rPr>
        <w:t>ISP</w:t>
      </w:r>
      <w:r>
        <w:rPr/>
        <w:t>流量精细化管理大带宽产品的研发，针对企业客户的不同使用场景需求形成 </w:t>
      </w:r>
      <w:r>
        <w:rPr>
          <w:spacing w:val="-5"/>
        </w:rPr>
        <w:t>多种互联网带宽产品，满足客户个性化需求。报告期内，光环云产品正式上线推向市场，为客户提供云主机、虚拟网络等</w:t>
      </w:r>
      <w:r>
        <w:rPr>
          <w:rFonts w:ascii="宋体" w:hAnsi="宋体" w:cs="宋体" w:eastAsia="宋体" w:hint="default"/>
          <w:spacing w:val="-5"/>
        </w:rPr>
        <w:t>IAAS</w:t>
      </w:r>
      <w:r>
        <w:rPr>
          <w:rFonts w:ascii="宋体" w:hAnsi="宋体" w:cs="宋体" w:eastAsia="宋体" w:hint="default"/>
          <w:spacing w:val="-65"/>
        </w:rPr>
        <w:t> </w:t>
      </w:r>
      <w:r>
        <w:rPr>
          <w:spacing w:val="-2"/>
        </w:rPr>
        <w:t>云计算产品，同时为客户提供混合云解决方案服务。公司也与亚马逊公司合作开发了</w:t>
      </w:r>
      <w:r>
        <w:rPr>
          <w:rFonts w:ascii="宋体" w:hAnsi="宋体" w:cs="宋体" w:eastAsia="宋体" w:hint="default"/>
          <w:spacing w:val="-2"/>
        </w:rPr>
        <w:t>AWS-DX</w:t>
      </w:r>
      <w:r>
        <w:rPr>
          <w:spacing w:val="-2"/>
        </w:rPr>
        <w:t>产品，并为广大客户提供云计算</w:t>
      </w:r>
      <w:r>
        <w:rPr>
          <w:spacing w:val="-59"/>
        </w:rPr>
        <w:t> </w:t>
      </w:r>
      <w:r>
        <w:rPr>
          <w:spacing w:val="-59"/>
        </w:rPr>
      </w:r>
      <w:r>
        <w:rPr/>
        <w:t>架构及方案咨询服务、混合云系统集成服务、云平台运维服务等。</w:t>
      </w:r>
    </w:p>
    <w:p>
      <w:pPr>
        <w:spacing w:line="240" w:lineRule="auto" w:before="10"/>
        <w:rPr>
          <w:rFonts w:ascii="宋体" w:hAnsi="宋体" w:cs="宋体" w:eastAsia="宋体" w:hint="default"/>
          <w:sz w:val="22"/>
          <w:szCs w:val="22"/>
        </w:rPr>
      </w:pPr>
    </w:p>
    <w:p>
      <w:pPr>
        <w:spacing w:line="1905" w:lineRule="exact"/>
        <w:ind w:left="998" w:right="0" w:firstLine="0"/>
        <w:rPr>
          <w:rFonts w:ascii="宋体" w:hAnsi="宋体" w:cs="宋体" w:eastAsia="宋体" w:hint="default"/>
          <w:sz w:val="20"/>
          <w:szCs w:val="20"/>
        </w:rPr>
      </w:pPr>
      <w:r>
        <w:rPr>
          <w:rFonts w:ascii="宋体" w:hAnsi="宋体" w:cs="宋体" w:eastAsia="宋体" w:hint="default"/>
          <w:position w:val="-37"/>
          <w:sz w:val="20"/>
          <w:szCs w:val="20"/>
        </w:rPr>
        <w:drawing>
          <wp:inline distT="0" distB="0" distL="0" distR="0">
            <wp:extent cx="5267452" cy="1209675"/>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5" cstate="print"/>
                    <a:stretch>
                      <a:fillRect/>
                    </a:stretch>
                  </pic:blipFill>
                  <pic:spPr>
                    <a:xfrm>
                      <a:off x="0" y="0"/>
                      <a:ext cx="5267452" cy="1209675"/>
                    </a:xfrm>
                    <a:prstGeom prst="rect">
                      <a:avLst/>
                    </a:prstGeom>
                  </pic:spPr>
                </pic:pic>
              </a:graphicData>
            </a:graphic>
          </wp:inline>
        </w:drawing>
      </w:r>
      <w:r>
        <w:rPr>
          <w:rFonts w:ascii="宋体" w:hAnsi="宋体" w:cs="宋体" w:eastAsia="宋体" w:hint="default"/>
          <w:position w:val="-37"/>
          <w:sz w:val="20"/>
          <w:szCs w:val="20"/>
        </w:rPr>
      </w:r>
    </w:p>
    <w:p>
      <w:pPr>
        <w:spacing w:line="240" w:lineRule="auto" w:before="11"/>
        <w:rPr>
          <w:rFonts w:ascii="宋体" w:hAnsi="宋体" w:cs="宋体" w:eastAsia="宋体" w:hint="default"/>
          <w:sz w:val="23"/>
          <w:szCs w:val="23"/>
        </w:rPr>
      </w:pPr>
    </w:p>
    <w:p>
      <w:pPr>
        <w:pStyle w:val="BodyText"/>
        <w:spacing w:line="240" w:lineRule="auto"/>
        <w:ind w:left="3429" w:right="3110"/>
        <w:jc w:val="center"/>
      </w:pPr>
      <w:r>
        <w:rPr>
          <w:rFonts w:ascii="宋体" w:hAnsi="宋体" w:cs="宋体" w:eastAsia="宋体" w:hint="default"/>
        </w:rPr>
        <w:t>AWS-DX</w:t>
      </w:r>
      <w:r>
        <w:rPr/>
        <w:t>产品示意图</w:t>
      </w:r>
    </w:p>
    <w:p>
      <w:pPr>
        <w:spacing w:line="240" w:lineRule="auto" w:before="2"/>
        <w:rPr>
          <w:rFonts w:ascii="宋体" w:hAnsi="宋体" w:cs="宋体" w:eastAsia="宋体" w:hint="default"/>
          <w:sz w:val="24"/>
          <w:szCs w:val="24"/>
        </w:rPr>
      </w:pPr>
    </w:p>
    <w:p>
      <w:pPr>
        <w:spacing w:line="5445" w:lineRule="exact"/>
        <w:ind w:left="998" w:right="0" w:firstLine="0"/>
        <w:rPr>
          <w:rFonts w:ascii="宋体" w:hAnsi="宋体" w:cs="宋体" w:eastAsia="宋体" w:hint="default"/>
          <w:sz w:val="20"/>
          <w:szCs w:val="20"/>
        </w:rPr>
      </w:pPr>
      <w:r>
        <w:rPr>
          <w:rFonts w:ascii="宋体" w:hAnsi="宋体" w:cs="宋体" w:eastAsia="宋体" w:hint="default"/>
          <w:position w:val="-108"/>
          <w:sz w:val="20"/>
          <w:szCs w:val="20"/>
        </w:rPr>
        <w:drawing>
          <wp:inline distT="0" distB="0" distL="0" distR="0">
            <wp:extent cx="5289074" cy="3457575"/>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16" cstate="print"/>
                    <a:stretch>
                      <a:fillRect/>
                    </a:stretch>
                  </pic:blipFill>
                  <pic:spPr>
                    <a:xfrm>
                      <a:off x="0" y="0"/>
                      <a:ext cx="5289074" cy="3457575"/>
                    </a:xfrm>
                    <a:prstGeom prst="rect">
                      <a:avLst/>
                    </a:prstGeom>
                  </pic:spPr>
                </pic:pic>
              </a:graphicData>
            </a:graphic>
          </wp:inline>
        </w:drawing>
      </w:r>
      <w:r>
        <w:rPr>
          <w:rFonts w:ascii="宋体" w:hAnsi="宋体" w:cs="宋体" w:eastAsia="宋体" w:hint="default"/>
          <w:position w:val="-108"/>
          <w:sz w:val="20"/>
          <w:szCs w:val="20"/>
        </w:rPr>
      </w:r>
    </w:p>
    <w:p>
      <w:pPr>
        <w:spacing w:line="240" w:lineRule="auto" w:before="9"/>
        <w:rPr>
          <w:rFonts w:ascii="宋体" w:hAnsi="宋体" w:cs="宋体" w:eastAsia="宋体" w:hint="default"/>
          <w:sz w:val="18"/>
          <w:szCs w:val="18"/>
        </w:rPr>
      </w:pPr>
    </w:p>
    <w:p>
      <w:pPr>
        <w:pStyle w:val="BodyText"/>
        <w:spacing w:line="240" w:lineRule="auto"/>
        <w:ind w:left="3429" w:right="3110"/>
        <w:jc w:val="center"/>
      </w:pPr>
      <w:r>
        <w:rPr/>
        <w:t>云计算平台软件架构图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pStyle w:val="BodyText"/>
        <w:spacing w:line="316" w:lineRule="auto"/>
        <w:ind w:right="190" w:firstLine="360"/>
        <w:jc w:val="both"/>
      </w:pPr>
      <w:r>
        <w:rPr>
          <w:rFonts w:ascii="宋体" w:hAnsi="宋体" w:cs="宋体" w:eastAsia="宋体" w:hint="default"/>
          <w:b/>
          <w:bCs/>
        </w:rPr>
        <w:t>项目建设方面</w:t>
      </w:r>
      <w:r>
        <w:rPr>
          <w:rFonts w:ascii="宋体" w:hAnsi="宋体" w:cs="宋体" w:eastAsia="宋体" w:hint="default"/>
          <w:b/>
          <w:bCs/>
          <w:spacing w:val="88"/>
        </w:rPr>
        <w:t> </w:t>
      </w:r>
      <w:r>
        <w:rPr/>
        <w:t>为顺应</w:t>
      </w:r>
      <w:r>
        <w:rPr>
          <w:rFonts w:ascii="宋体" w:hAnsi="宋体" w:cs="宋体" w:eastAsia="宋体" w:hint="default"/>
        </w:rPr>
        <w:t>IDC</w:t>
      </w:r>
      <w:r>
        <w:rPr/>
        <w:t>市场发展需求，进一步提高公司服务能力，公司积极推动募投项目及云计算基地的建设。报 </w:t>
      </w:r>
      <w:r>
        <w:rPr>
          <w:spacing w:val="-2"/>
        </w:rPr>
        <w:t>告期内，公司继续推进各募投项目的建设，“互联网数据服务一体化平台二期工程”项目已完工并投产运营，“互联网技术</w:t>
      </w:r>
      <w:r>
        <w:rPr>
          <w:spacing w:val="-67"/>
        </w:rPr>
        <w:t> </w:t>
      </w:r>
      <w:r>
        <w:rPr>
          <w:spacing w:val="-67"/>
        </w:rPr>
      </w:r>
      <w:r>
        <w:rPr>
          <w:spacing w:val="-2"/>
        </w:rPr>
        <w:t>研发中心扩建”项目已完成</w:t>
      </w:r>
      <w:r>
        <w:rPr>
          <w:rFonts w:ascii="宋体" w:hAnsi="宋体" w:cs="宋体" w:eastAsia="宋体" w:hint="default"/>
          <w:spacing w:val="-2"/>
        </w:rPr>
        <w:t>85.85%</w:t>
      </w:r>
      <w:r>
        <w:rPr>
          <w:spacing w:val="-2"/>
        </w:rPr>
        <w:t>建设进度。同时，公司进一步加快其他云计算基地的建设步伐，报告期内，公司顺利完成</w:t>
      </w:r>
      <w:r>
        <w:rPr>
          <w:spacing w:val="-62"/>
        </w:rPr>
        <w:t> </w:t>
      </w:r>
      <w:r>
        <w:rPr>
          <w:spacing w:val="-62"/>
        </w:rPr>
      </w:r>
      <w:r>
        <w:rPr>
          <w:spacing w:val="-2"/>
        </w:rPr>
        <w:t>了由子公司光环云谷实施的燕郊云计算基地一期的项目建设，并已有序启动上海嘉定绿色云计算基地、科信盛彩亦庄绿色云</w:t>
      </w:r>
      <w:r>
        <w:rPr>
          <w:spacing w:val="-64"/>
        </w:rPr>
        <w:t> </w:t>
      </w:r>
      <w:r>
        <w:rPr>
          <w:spacing w:val="-64"/>
        </w:rPr>
      </w:r>
      <w:r>
        <w:rPr>
          <w:spacing w:val="-2"/>
        </w:rPr>
        <w:t>计算基地的建设，启动了房山绿色云计算基地及燕郊二期绿色云计算基地的建设。上述在建项目全部达产后，公司将拥有超</w:t>
      </w:r>
      <w:r>
        <w:rPr>
          <w:spacing w:val="-62"/>
        </w:rPr>
        <w:t> </w:t>
      </w:r>
      <w:r>
        <w:rPr>
          <w:spacing w:val="-62"/>
        </w:rPr>
      </w:r>
      <w:r>
        <w:rPr/>
        <w:t>过</w:t>
      </w:r>
      <w:r>
        <w:rPr>
          <w:rFonts w:ascii="宋体" w:hAnsi="宋体" w:cs="宋体" w:eastAsia="宋体" w:hint="default"/>
        </w:rPr>
        <w:t>4</w:t>
      </w:r>
      <w:r>
        <w:rPr/>
        <w:t>万个机柜的服务能力，将进一步提升公司的服务能力与综合竞争力。</w:t>
      </w:r>
    </w:p>
    <w:p>
      <w:pPr>
        <w:spacing w:line="240" w:lineRule="auto" w:before="5"/>
        <w:rPr>
          <w:rFonts w:ascii="宋体" w:hAnsi="宋体" w:cs="宋体" w:eastAsia="宋体" w:hint="default"/>
          <w:sz w:val="13"/>
          <w:szCs w:val="13"/>
        </w:rPr>
      </w:pPr>
    </w:p>
    <w:p>
      <w:pPr>
        <w:pStyle w:val="BodyText"/>
        <w:spacing w:line="319" w:lineRule="auto"/>
        <w:ind w:right="105" w:firstLine="360"/>
        <w:jc w:val="both"/>
      </w:pPr>
      <w:r>
        <w:rPr>
          <w:rFonts w:ascii="宋体" w:hAnsi="宋体" w:cs="宋体" w:eastAsia="宋体" w:hint="default"/>
          <w:b/>
          <w:bCs/>
        </w:rPr>
        <w:t>投资并购方面</w:t>
      </w:r>
      <w:r>
        <w:rPr>
          <w:rFonts w:ascii="宋体" w:hAnsi="宋体" w:cs="宋体" w:eastAsia="宋体" w:hint="default"/>
          <w:b/>
          <w:bCs/>
          <w:spacing w:val="29"/>
        </w:rPr>
        <w:t> </w:t>
      </w:r>
      <w:r>
        <w:rPr>
          <w:spacing w:val="-3"/>
        </w:rPr>
        <w:t>为增强公司业务范围及服务能力，早日实现成为国内一流互联网综合服务提供商这一发展目标，公司围</w:t>
      </w:r>
      <w:r>
        <w:rPr/>
        <w:t> </w:t>
      </w:r>
      <w:r>
        <w:rPr>
          <w:spacing w:val="-2"/>
        </w:rPr>
        <w:t>绕主营业务，通过投资并购方式，不断增强公司的综合竞争能力：报告期内，公司完成了对北京德信致远科技有限公司的共</w:t>
      </w:r>
      <w:r>
        <w:rPr>
          <w:spacing w:val="-64"/>
        </w:rPr>
        <w:t> </w:t>
      </w:r>
      <w:r>
        <w:rPr>
          <w:spacing w:val="-64"/>
        </w:rPr>
      </w:r>
      <w:r>
        <w:rPr>
          <w:spacing w:val="-4"/>
        </w:rPr>
        <w:t>同投资，上述投资并购完成后，以收购公司为实施主体启动光环新网房山绿色云计算基地及亦庄绿色云计算基地项目的建设，</w:t>
      </w:r>
    </w:p>
    <w:p>
      <w:pPr>
        <w:spacing w:after="0" w:line="319" w:lineRule="auto"/>
        <w:jc w:val="both"/>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240" w:lineRule="auto" w:before="44"/>
        <w:ind w:right="0"/>
        <w:jc w:val="both"/>
      </w:pPr>
      <w:r>
        <w:rPr/>
        <w:t>为广大商企用户提供数据中心、云计算等互联网一体化解决方案服务。</w:t>
      </w:r>
    </w:p>
    <w:p>
      <w:pPr>
        <w:spacing w:line="240" w:lineRule="auto" w:before="4"/>
        <w:rPr>
          <w:rFonts w:ascii="宋体" w:hAnsi="宋体" w:cs="宋体" w:eastAsia="宋体" w:hint="default"/>
          <w:sz w:val="26"/>
          <w:szCs w:val="26"/>
        </w:rPr>
      </w:pPr>
    </w:p>
    <w:p>
      <w:pPr>
        <w:spacing w:line="4440" w:lineRule="exact"/>
        <w:ind w:left="1292" w:right="0" w:firstLine="0"/>
        <w:rPr>
          <w:rFonts w:ascii="宋体" w:hAnsi="宋体" w:cs="宋体" w:eastAsia="宋体" w:hint="default"/>
          <w:sz w:val="20"/>
          <w:szCs w:val="20"/>
        </w:rPr>
      </w:pPr>
      <w:r>
        <w:rPr>
          <w:rFonts w:ascii="宋体" w:hAnsi="宋体" w:cs="宋体" w:eastAsia="宋体" w:hint="default"/>
          <w:position w:val="-88"/>
          <w:sz w:val="20"/>
          <w:szCs w:val="20"/>
        </w:rPr>
        <w:drawing>
          <wp:inline distT="0" distB="0" distL="0" distR="0">
            <wp:extent cx="4905425" cy="2819400"/>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17" cstate="print"/>
                    <a:stretch>
                      <a:fillRect/>
                    </a:stretch>
                  </pic:blipFill>
                  <pic:spPr>
                    <a:xfrm>
                      <a:off x="0" y="0"/>
                      <a:ext cx="4905425" cy="2819400"/>
                    </a:xfrm>
                    <a:prstGeom prst="rect">
                      <a:avLst/>
                    </a:prstGeom>
                  </pic:spPr>
                </pic:pic>
              </a:graphicData>
            </a:graphic>
          </wp:inline>
        </w:drawing>
      </w:r>
      <w:r>
        <w:rPr>
          <w:rFonts w:ascii="宋体" w:hAnsi="宋体" w:cs="宋体" w:eastAsia="宋体" w:hint="default"/>
          <w:position w:val="-88"/>
          <w:sz w:val="20"/>
          <w:szCs w:val="20"/>
        </w:rPr>
      </w:r>
    </w:p>
    <w:p>
      <w:pPr>
        <w:pStyle w:val="BodyText"/>
        <w:spacing w:line="460" w:lineRule="atLeast" w:before="60"/>
        <w:ind w:left="513" w:right="0" w:firstLine="2928"/>
        <w:jc w:val="left"/>
      </w:pPr>
      <w:r>
        <w:rPr/>
        <w:t>光环新网房山绿色云计算基地项目签约仪式 </w:t>
      </w:r>
      <w:r>
        <w:rPr>
          <w:spacing w:val="-2"/>
        </w:rPr>
        <w:t>报告期内，公司筹划了以发行股份及支付现金的方式收购北京中金云网科技有限公司</w:t>
      </w:r>
      <w:r>
        <w:rPr>
          <w:rFonts w:ascii="宋体" w:hAnsi="宋体" w:cs="宋体" w:eastAsia="宋体" w:hint="default"/>
          <w:spacing w:val="-2"/>
        </w:rPr>
        <w:t>100%</w:t>
      </w:r>
      <w:r>
        <w:rPr>
          <w:spacing w:val="-2"/>
        </w:rPr>
        <w:t>股权和北京无双科技有限公司</w:t>
      </w:r>
    </w:p>
    <w:p>
      <w:pPr>
        <w:pStyle w:val="BodyText"/>
        <w:spacing w:line="319" w:lineRule="auto" w:before="76"/>
        <w:ind w:right="149"/>
        <w:jc w:val="both"/>
      </w:pPr>
      <w:r>
        <w:rPr>
          <w:rFonts w:ascii="宋体" w:hAnsi="宋体" w:cs="宋体" w:eastAsia="宋体" w:hint="default"/>
          <w:spacing w:val="-2"/>
        </w:rPr>
        <w:t>100%</w:t>
      </w:r>
      <w:r>
        <w:rPr>
          <w:spacing w:val="-2"/>
        </w:rPr>
        <w:t>股权，同时募集总额不超过购买资产总额</w:t>
      </w:r>
      <w:r>
        <w:rPr>
          <w:rFonts w:ascii="宋体" w:hAnsi="宋体" w:cs="宋体" w:eastAsia="宋体" w:hint="default"/>
          <w:spacing w:val="-2"/>
        </w:rPr>
        <w:t>100%</w:t>
      </w:r>
      <w:r>
        <w:rPr>
          <w:spacing w:val="-2"/>
        </w:rPr>
        <w:t>资金的重大资产重组事项。目前，本次重大资产重组已获得中国证监会的</w:t>
      </w:r>
      <w:r>
        <w:rPr>
          <w:spacing w:val="-62"/>
        </w:rPr>
        <w:t> </w:t>
      </w:r>
      <w:r>
        <w:rPr>
          <w:spacing w:val="-62"/>
        </w:rPr>
      </w:r>
      <w:r>
        <w:rPr>
          <w:spacing w:val="-2"/>
        </w:rPr>
        <w:t>批复，公司正在积极推进重组实施相关工作。本次重大资产重组将进一步加强公司原有业务规模，拓展云计算和大数据领域</w:t>
      </w:r>
      <w:r>
        <w:rPr>
          <w:spacing w:val="-63"/>
        </w:rPr>
        <w:t> </w:t>
      </w:r>
      <w:r>
        <w:rPr>
          <w:spacing w:val="-63"/>
        </w:rPr>
      </w:r>
      <w:r>
        <w:rPr/>
        <w:t>布局，充分发挥协同效应，促进公司发展，增强公司持续盈利能力。</w:t>
      </w:r>
    </w:p>
    <w:p>
      <w:pPr>
        <w:spacing w:line="240" w:lineRule="auto" w:before="3"/>
        <w:rPr>
          <w:rFonts w:ascii="宋体" w:hAnsi="宋体" w:cs="宋体" w:eastAsia="宋体" w:hint="default"/>
          <w:sz w:val="13"/>
          <w:szCs w:val="13"/>
        </w:rPr>
      </w:pPr>
    </w:p>
    <w:p>
      <w:pPr>
        <w:pStyle w:val="BodyText"/>
        <w:spacing w:line="316" w:lineRule="auto"/>
        <w:ind w:right="150" w:firstLine="360"/>
        <w:jc w:val="both"/>
      </w:pPr>
      <w:r>
        <w:rPr>
          <w:rFonts w:ascii="宋体" w:hAnsi="宋体" w:cs="宋体" w:eastAsia="宋体" w:hint="default"/>
          <w:b/>
          <w:bCs/>
        </w:rPr>
        <w:t>公司治理方面</w:t>
      </w:r>
      <w:r>
        <w:rPr>
          <w:rFonts w:ascii="宋体" w:hAnsi="宋体" w:cs="宋体" w:eastAsia="宋体" w:hint="default"/>
          <w:b/>
          <w:bCs/>
          <w:spacing w:val="38"/>
        </w:rPr>
        <w:t> </w:t>
      </w:r>
      <w:r>
        <w:rPr>
          <w:spacing w:val="-3"/>
        </w:rPr>
        <w:t>报告期内，公司严格按照《公司法》、《证券法》、《上市公司治理准则》、《深圳证券交易所创业板</w:t>
      </w:r>
      <w:r>
        <w:rPr/>
        <w:t> </w:t>
      </w:r>
      <w:r>
        <w:rPr>
          <w:spacing w:val="-2"/>
        </w:rPr>
        <w:t>股票上市规则》、《深圳证券交易所创业板上市公司规范运作指引》、《上市公司重大资产重组管理办法》和其他有关法律</w:t>
      </w:r>
      <w:r>
        <w:rPr>
          <w:spacing w:val="-69"/>
        </w:rPr>
        <w:t> </w:t>
      </w:r>
      <w:r>
        <w:rPr>
          <w:spacing w:val="-69"/>
        </w:rPr>
      </w:r>
      <w:r>
        <w:rPr>
          <w:spacing w:val="-2"/>
        </w:rPr>
        <w:t>法规、规范性文件的要求，结合公司实际情况，修订并完善了《公司章程》、《募集资金使用管理制度》，制定了《委托理</w:t>
      </w:r>
      <w:r>
        <w:rPr>
          <w:spacing w:val="-72"/>
        </w:rPr>
        <w:t> </w:t>
      </w:r>
      <w:r>
        <w:rPr>
          <w:spacing w:val="-72"/>
        </w:rPr>
      </w:r>
      <w:r>
        <w:rPr>
          <w:spacing w:val="-2"/>
        </w:rPr>
        <w:t>财管理制度》，依法有序推动了对中金云网及无双科技的重大资产重组事宜的实施，充分发挥了董事会及各专门委员会的职</w:t>
      </w:r>
      <w:r>
        <w:rPr>
          <w:spacing w:val="-67"/>
        </w:rPr>
        <w:t> </w:t>
      </w:r>
      <w:r>
        <w:rPr>
          <w:spacing w:val="-67"/>
        </w:rPr>
      </w:r>
      <w:r>
        <w:rPr/>
        <w:t>能和作用，在完善各项制度的同时，进一步规范了公司的治理结构。</w:t>
      </w:r>
    </w:p>
    <w:p>
      <w:pPr>
        <w:spacing w:line="240" w:lineRule="auto" w:before="5"/>
        <w:rPr>
          <w:rFonts w:ascii="宋体" w:hAnsi="宋体" w:cs="宋体" w:eastAsia="宋体" w:hint="default"/>
          <w:sz w:val="13"/>
          <w:szCs w:val="13"/>
        </w:rPr>
      </w:pPr>
    </w:p>
    <w:p>
      <w:pPr>
        <w:pStyle w:val="BodyText"/>
        <w:spacing w:line="319" w:lineRule="auto"/>
        <w:ind w:right="149" w:firstLine="360"/>
        <w:jc w:val="both"/>
      </w:pPr>
      <w:r>
        <w:rPr>
          <w:rFonts w:ascii="宋体" w:hAnsi="宋体" w:cs="宋体" w:eastAsia="宋体" w:hint="default"/>
          <w:b/>
          <w:bCs/>
        </w:rPr>
        <w:t>团队建设方面</w:t>
      </w:r>
      <w:r>
        <w:rPr>
          <w:rFonts w:ascii="宋体" w:hAnsi="宋体" w:cs="宋体" w:eastAsia="宋体" w:hint="default"/>
          <w:b/>
          <w:bCs/>
          <w:spacing w:val="39"/>
        </w:rPr>
        <w:t> </w:t>
      </w:r>
      <w:r>
        <w:rPr>
          <w:spacing w:val="-3"/>
        </w:rPr>
        <w:t>报告期内，公司秉承“稳中求进，逐步推广”的人才培养理念，进一步完善企业培训体系，梳理整合培</w:t>
      </w:r>
      <w:r>
        <w:rPr/>
        <w:t> </w:t>
      </w:r>
      <w:r>
        <w:rPr>
          <w:spacing w:val="-2"/>
        </w:rPr>
        <w:t>训相关流程，为人才培养与组织发展夯实基础。公司注重人才培训的全面性，培训主题涵盖从基层通用培训到专业业务知识</w:t>
      </w:r>
      <w:r>
        <w:rPr>
          <w:spacing w:val="-61"/>
        </w:rPr>
        <w:t> </w:t>
      </w:r>
      <w:r>
        <w:rPr>
          <w:spacing w:val="-61"/>
        </w:rPr>
      </w:r>
      <w:r>
        <w:rPr>
          <w:spacing w:val="-2"/>
        </w:rPr>
        <w:t>推广等各个方面，力求全方位综合提升员工职业化发展。同时，公司在逐步推广企业文化建设的基础上，始终坚持“以人为</w:t>
      </w:r>
      <w:r>
        <w:rPr>
          <w:spacing w:val="-68"/>
        </w:rPr>
        <w:t> </w:t>
      </w:r>
      <w:r>
        <w:rPr>
          <w:spacing w:val="-68"/>
        </w:rPr>
      </w:r>
      <w:r>
        <w:rPr>
          <w:spacing w:val="-2"/>
        </w:rPr>
        <w:t>本，寓教于乐”的宗旨，关注员工文娱生活，开展各类沙龙活动，身心健康诊疗，趣味户外竞技等活动，进一步巩固了团队</w:t>
      </w:r>
      <w:r>
        <w:rPr>
          <w:spacing w:val="-71"/>
        </w:rPr>
        <w:t> </w:t>
      </w:r>
      <w:r>
        <w:rPr>
          <w:spacing w:val="-71"/>
        </w:rPr>
      </w:r>
      <w:r>
        <w:rPr/>
        <w:t>稳定性，增强了团队凝聚力，使员工与企业共享发展成果。</w:t>
      </w:r>
    </w:p>
    <w:p>
      <w:pPr>
        <w:spacing w:after="0" w:line="319" w:lineRule="auto"/>
        <w:jc w:val="both"/>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line="5516" w:lineRule="exact"/>
        <w:ind w:left="818" w:right="0" w:firstLine="0"/>
        <w:rPr>
          <w:rFonts w:ascii="宋体" w:hAnsi="宋体" w:cs="宋体" w:eastAsia="宋体" w:hint="default"/>
          <w:sz w:val="20"/>
          <w:szCs w:val="20"/>
        </w:rPr>
      </w:pPr>
      <w:r>
        <w:rPr>
          <w:rFonts w:ascii="宋体" w:hAnsi="宋体" w:cs="宋体" w:eastAsia="宋体" w:hint="default"/>
          <w:position w:val="-109"/>
          <w:sz w:val="20"/>
          <w:szCs w:val="20"/>
        </w:rPr>
        <w:drawing>
          <wp:inline distT="0" distB="0" distL="0" distR="0">
            <wp:extent cx="5261862" cy="3503009"/>
            <wp:effectExtent l="0" t="0" r="0" b="0"/>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18" cstate="print"/>
                    <a:stretch>
                      <a:fillRect/>
                    </a:stretch>
                  </pic:blipFill>
                  <pic:spPr>
                    <a:xfrm>
                      <a:off x="0" y="0"/>
                      <a:ext cx="5261862" cy="3503009"/>
                    </a:xfrm>
                    <a:prstGeom prst="rect">
                      <a:avLst/>
                    </a:prstGeom>
                  </pic:spPr>
                </pic:pic>
              </a:graphicData>
            </a:graphic>
          </wp:inline>
        </w:drawing>
      </w:r>
      <w:r>
        <w:rPr>
          <w:rFonts w:ascii="宋体" w:hAnsi="宋体" w:cs="宋体" w:eastAsia="宋体" w:hint="default"/>
          <w:position w:val="-109"/>
          <w:sz w:val="20"/>
          <w:szCs w:val="20"/>
        </w:rPr>
      </w:r>
    </w:p>
    <w:p>
      <w:pPr>
        <w:spacing w:before="92"/>
        <w:ind w:left="3686" w:right="3686" w:firstLine="0"/>
        <w:jc w:val="center"/>
        <w:rPr>
          <w:rFonts w:ascii="宋体" w:hAnsi="宋体" w:cs="宋体" w:eastAsia="宋体" w:hint="default"/>
          <w:sz w:val="15"/>
          <w:szCs w:val="15"/>
        </w:rPr>
      </w:pPr>
      <w:r>
        <w:rPr>
          <w:rFonts w:ascii="宋体" w:hAnsi="宋体" w:cs="宋体" w:eastAsia="宋体" w:hint="default"/>
          <w:sz w:val="15"/>
          <w:szCs w:val="15"/>
        </w:rPr>
        <w:t>光环新网</w:t>
      </w:r>
      <w:r>
        <w:rPr>
          <w:rFonts w:ascii="宋体" w:hAnsi="宋体" w:cs="宋体" w:eastAsia="宋体" w:hint="default"/>
          <w:sz w:val="15"/>
          <w:szCs w:val="15"/>
        </w:rPr>
        <w:t>2015</w:t>
      </w:r>
      <w:r>
        <w:rPr>
          <w:rFonts w:ascii="宋体" w:hAnsi="宋体" w:cs="宋体" w:eastAsia="宋体" w:hint="default"/>
          <w:sz w:val="15"/>
          <w:szCs w:val="15"/>
        </w:rPr>
        <w:t>年</w:t>
      </w:r>
      <w:r>
        <w:rPr>
          <w:rFonts w:ascii="Times New Roman" w:hAnsi="Times New Roman" w:cs="Times New Roman" w:eastAsia="Times New Roman" w:hint="default"/>
          <w:sz w:val="15"/>
          <w:szCs w:val="15"/>
        </w:rPr>
        <w:t>“</w:t>
      </w:r>
      <w:r>
        <w:rPr>
          <w:rFonts w:ascii="宋体" w:hAnsi="宋体" w:cs="宋体" w:eastAsia="宋体" w:hint="default"/>
          <w:sz w:val="15"/>
          <w:szCs w:val="15"/>
        </w:rPr>
        <w:t>影响力</w:t>
      </w:r>
      <w:r>
        <w:rPr>
          <w:rFonts w:ascii="Times New Roman" w:hAnsi="Times New Roman" w:cs="Times New Roman" w:eastAsia="Times New Roman" w:hint="default"/>
          <w:sz w:val="15"/>
          <w:szCs w:val="15"/>
        </w:rPr>
        <w:t>”</w:t>
      </w:r>
      <w:r>
        <w:rPr>
          <w:rFonts w:ascii="宋体" w:hAnsi="宋体" w:cs="宋体" w:eastAsia="宋体" w:hint="default"/>
          <w:sz w:val="15"/>
          <w:szCs w:val="15"/>
        </w:rPr>
        <w:t>团队建设活动</w:t>
      </w:r>
    </w:p>
    <w:p>
      <w:pPr>
        <w:spacing w:line="240" w:lineRule="auto" w:before="6"/>
        <w:rPr>
          <w:rFonts w:ascii="宋体" w:hAnsi="宋体" w:cs="宋体" w:eastAsia="宋体" w:hint="default"/>
          <w:sz w:val="23"/>
          <w:szCs w:val="23"/>
        </w:rPr>
      </w:pPr>
    </w:p>
    <w:p>
      <w:pPr>
        <w:pStyle w:val="Heading2"/>
        <w:spacing w:line="240" w:lineRule="auto" w:before="26"/>
        <w:ind w:right="1134"/>
        <w:jc w:val="left"/>
        <w:rPr>
          <w:b w:val="0"/>
          <w:bCs w:val="0"/>
        </w:rPr>
      </w:pPr>
      <w:r>
        <w:rPr/>
        <w:t>二、主营业务分析</w:t>
      </w:r>
      <w:r>
        <w:rPr>
          <w:b w:val="0"/>
          <w:bCs w:val="0"/>
        </w:rPr>
      </w:r>
    </w:p>
    <w:p>
      <w:pPr>
        <w:spacing w:line="240" w:lineRule="auto" w:before="10"/>
        <w:rPr>
          <w:rFonts w:ascii="宋体" w:hAnsi="宋体" w:cs="宋体" w:eastAsia="宋体" w:hint="default"/>
          <w:b/>
          <w:bCs/>
          <w:sz w:val="24"/>
          <w:szCs w:val="24"/>
        </w:rPr>
      </w:pPr>
    </w:p>
    <w:p>
      <w:pPr>
        <w:spacing w:line="544" w:lineRule="auto" w:before="0"/>
        <w:ind w:left="152" w:right="56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管理层讨论与分析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1134"/>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00"/>
        <w:gridCol w:w="1594"/>
        <w:gridCol w:w="1590"/>
        <w:gridCol w:w="1600"/>
        <w:gridCol w:w="1586"/>
        <w:gridCol w:w="1598"/>
      </w:tblGrid>
      <w:tr>
        <w:trPr>
          <w:trHeight w:val="206" w:hRule="exact"/>
        </w:trPr>
        <w:tc>
          <w:tcPr>
            <w:tcW w:w="160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3" w:hRule="exact"/>
        </w:trPr>
        <w:tc>
          <w:tcPr>
            <w:tcW w:w="1600" w:type="dxa"/>
            <w:vMerge w:val="restart"/>
            <w:tcBorders>
              <w:top w:val="nil" w:sz="6" w:space="0" w:color="auto"/>
              <w:left w:val="single" w:sz="4" w:space="0" w:color="000000"/>
              <w:right w:val="single" w:sz="4" w:space="0" w:color="000000"/>
            </w:tcBorders>
            <w:shd w:val="clear" w:color="auto" w:fill="D2D2D2"/>
          </w:tcPr>
          <w:p>
            <w:pPr/>
          </w:p>
        </w:tc>
        <w:tc>
          <w:tcPr>
            <w:tcW w:w="3184" w:type="dxa"/>
            <w:gridSpan w:val="2"/>
            <w:vMerge/>
            <w:tcBorders>
              <w:left w:val="single" w:sz="4" w:space="0" w:color="000000"/>
              <w:bottom w:val="single" w:sz="4" w:space="0" w:color="000000"/>
              <w:right w:val="single" w:sz="4" w:space="0" w:color="000000"/>
            </w:tcBorders>
            <w:shd w:val="clear" w:color="auto" w:fill="D2D2D2"/>
          </w:tcPr>
          <w:p>
            <w:pPr/>
          </w:p>
        </w:tc>
        <w:tc>
          <w:tcPr>
            <w:tcW w:w="3186"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600"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金额</w:t>
            </w:r>
          </w:p>
        </w:tc>
        <w:tc>
          <w:tcPr>
            <w:tcW w:w="15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6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0" w:type="dxa"/>
            <w:vMerge/>
            <w:tcBorders>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86"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591,530,413.09</w:t>
            </w:r>
          </w:p>
        </w:tc>
        <w:tc>
          <w:tcPr>
            <w:tcW w:w="1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100%</w:t>
            </w:r>
          </w:p>
        </w:tc>
        <w:tc>
          <w:tcPr>
            <w:tcW w:w="1600"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434,543,129.87</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z w:val="18"/>
              </w:rPr>
              <w:t>100%</w:t>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36.13%</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电信服务业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590,097,412.00</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99.76%</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427,950,898.72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z w:val="18"/>
              </w:rPr>
              <w:t>98.48%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37.89%</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1,433,001.09</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0.24%</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6,592,231.15</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1.52%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-78.26%</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4"/>
              <w:jc w:val="left"/>
              <w:rPr>
                <w:rFonts w:ascii="宋体" w:hAnsi="宋体" w:cs="宋体" w:eastAsia="宋体" w:hint="default"/>
                <w:sz w:val="18"/>
                <w:szCs w:val="18"/>
              </w:rPr>
            </w:pPr>
            <w:r>
              <w:rPr>
                <w:rFonts w:ascii="宋体" w:hAnsi="宋体" w:cs="宋体" w:eastAsia="宋体" w:hint="default"/>
                <w:sz w:val="18"/>
                <w:szCs w:val="18"/>
              </w:rPr>
              <w:t>互联网宽带接入服 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63,210,241.31</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10.69%</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70,037,612.54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16.12%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-9.75%</w:t>
            </w:r>
          </w:p>
        </w:tc>
      </w:tr>
      <w:tr>
        <w:trPr>
          <w:trHeight w:val="404"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及其增值服务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4"/>
              <w:jc w:val="right"/>
              <w:rPr>
                <w:rFonts w:ascii="Times New Roman" w:hAnsi="Times New Roman" w:cs="Times New Roman" w:eastAsia="Times New Roman" w:hint="default"/>
                <w:sz w:val="18"/>
                <w:szCs w:val="18"/>
              </w:rPr>
            </w:pPr>
            <w:r>
              <w:rPr>
                <w:rFonts w:ascii="Times New Roman"/>
                <w:spacing w:val="-1"/>
                <w:sz w:val="18"/>
              </w:rPr>
              <w:t>293,646,537.62</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49.64%</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6"/>
              <w:jc w:val="right"/>
              <w:rPr>
                <w:rFonts w:ascii="Times New Roman" w:hAnsi="Times New Roman" w:cs="Times New Roman" w:eastAsia="Times New Roman" w:hint="default"/>
                <w:sz w:val="18"/>
                <w:szCs w:val="18"/>
              </w:rPr>
            </w:pPr>
            <w:r>
              <w:rPr>
                <w:rFonts w:ascii="Times New Roman"/>
                <w:spacing w:val="-1"/>
                <w:sz w:val="18"/>
              </w:rPr>
              <w:t>265,865,263.15</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2"/>
              <w:jc w:val="right"/>
              <w:rPr>
                <w:rFonts w:ascii="Times New Roman" w:hAnsi="Times New Roman" w:cs="Times New Roman" w:eastAsia="Times New Roman" w:hint="default"/>
                <w:sz w:val="18"/>
                <w:szCs w:val="18"/>
              </w:rPr>
            </w:pPr>
            <w:r>
              <w:rPr>
                <w:rFonts w:ascii="Times New Roman"/>
                <w:sz w:val="18"/>
              </w:rPr>
              <w:t>61.18%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10.45%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运营管理服务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218,572,716.18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36.95%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92,048,023.03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137.46%</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云计算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14,667,916.89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2.48%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482,092.24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0.11%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2,942.55%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1,433,001.09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6,110,138.91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-76.55%</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503,737,381.34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85.16%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382,317,995.39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87.98%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31.76%</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87,793,031.75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14.84%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52,225,134.48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12.02%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68.10%</w:t>
            </w:r>
          </w:p>
        </w:tc>
      </w:tr>
    </w:tbl>
    <w:p>
      <w:pPr>
        <w:spacing w:line="240" w:lineRule="auto" w:before="3"/>
        <w:rPr>
          <w:rFonts w:ascii="宋体" w:hAnsi="宋体" w:cs="宋体" w:eastAsia="宋体" w:hint="default"/>
          <w:sz w:val="19"/>
          <w:szCs w:val="19"/>
        </w:rPr>
      </w:pPr>
    </w:p>
    <w:p>
      <w:pPr>
        <w:pStyle w:val="Heading3"/>
        <w:spacing w:line="240" w:lineRule="auto" w:before="36"/>
        <w:ind w:right="1134"/>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1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电信服务业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590,097,412.00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393,393,235.63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37.73%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62.34%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-10.11%</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互联网宽带接入 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63,210,241.31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49,568,579.85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6.78%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-12.14%</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及其增值服 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283,508,452.05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138,431,473.90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13.05%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-2.77%</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运营管理服 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228,710,801.75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202,900,476.35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148.47%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177.96%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云计算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14,667,916.89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2,492,705.53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2,942.55%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451.80%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76.71%</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503,737,381.34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342,562,861.27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31.76%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60.56%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-12.20%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87,793,031.75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53,326,779.22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68.10%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56.02%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4.71%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pStyle w:val="BodyText"/>
        <w:spacing w:line="240" w:lineRule="auto" w:before="49"/>
        <w:ind w:right="-17"/>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2"/>
        <w:ind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2" w:equalWidth="0">
            <w:col w:w="8795" w:space="126"/>
            <w:col w:w="1029"/>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电信服务业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428,432,990.96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242,323,880.03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43.44%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44.08%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54.42%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-3.79%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6,110,138.91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5,375,490.28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-43.35%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-26.20%</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互联网宽带接入 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70,037,612.54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46,422,781.07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0.02%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及其增值服 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265,865,263.15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122,451,879.99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23.82%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25.96%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-0.61%</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运营管理服 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92,048,023.03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72,997,476.02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399.22%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464.28%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云计算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482,092.24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451,742.95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6,110,138.91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5,375,490.28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12.02%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-43.35%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-19.32%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-26.20%</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382,317,995.39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213,351,696.91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44.20%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33.33%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40.62%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-2.89%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52,225,134.48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34,179,208.34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143.92%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187.90%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r>
    </w:tbl>
    <w:p>
      <w:pPr>
        <w:pStyle w:val="BodyText"/>
        <w:spacing w:line="240" w:lineRule="auto" w:before="49"/>
        <w:ind w:right="114"/>
        <w:jc w:val="left"/>
      </w:pPr>
      <w:r>
        <w:rPr/>
        <w:t>变更口径的理由</w:t>
      </w:r>
    </w:p>
    <w:p>
      <w:pPr>
        <w:pStyle w:val="BodyText"/>
        <w:spacing w:line="300" w:lineRule="auto" w:before="115"/>
        <w:ind w:right="114"/>
        <w:jc w:val="left"/>
      </w:pPr>
      <w:r>
        <w:rPr>
          <w:spacing w:val="-1"/>
        </w:rPr>
        <w:t>公司</w:t>
      </w:r>
      <w:r>
        <w:rPr>
          <w:rFonts w:ascii="Times New Roman" w:hAnsi="Times New Roman" w:cs="Times New Roman" w:eastAsia="Times New Roman" w:hint="default"/>
          <w:spacing w:val="-1"/>
        </w:rPr>
        <w:t>IDC</w:t>
      </w:r>
      <w:r>
        <w:rPr>
          <w:spacing w:val="-1"/>
        </w:rPr>
        <w:t>运营管理服务收入和云计算收入增长，对公司营业收入和营业利润影响重大，单独披露相关数据可以更恰当反映公</w:t>
      </w:r>
      <w:r>
        <w:rPr>
          <w:spacing w:val="-70"/>
        </w:rPr>
        <w:t> </w:t>
      </w:r>
      <w:r>
        <w:rPr>
          <w:spacing w:val="-70"/>
        </w:rPr>
      </w:r>
      <w:r>
        <w:rPr/>
        <w:t>司的营业收入和成本。</w:t>
      </w:r>
    </w:p>
    <w:p>
      <w:pPr>
        <w:spacing w:line="240" w:lineRule="auto" w:before="10"/>
        <w:rPr>
          <w:rFonts w:ascii="宋体" w:hAnsi="宋体" w:cs="宋体" w:eastAsia="宋体" w:hint="default"/>
          <w:sz w:val="23"/>
          <w:szCs w:val="23"/>
        </w:rPr>
      </w:pPr>
    </w:p>
    <w:p>
      <w:pPr>
        <w:pStyle w:val="Heading3"/>
        <w:spacing w:line="240" w:lineRule="auto"/>
        <w:ind w:right="114"/>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3"/>
        <w:spacing w:line="240" w:lineRule="auto"/>
        <w:ind w:right="114"/>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pStyle w:val="BodyText"/>
        <w:spacing w:line="450" w:lineRule="atLeast" w:before="144"/>
        <w:ind w:left="513" w:right="114" w:hanging="361"/>
        <w:jc w:val="left"/>
        <w:rPr>
          <w:rFonts w:ascii="宋体" w:hAnsi="宋体" w:cs="宋体" w:eastAsia="宋体"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4"/>
        </w:rPr>
        <w:t>公司及子公司光环云谷与亚马逊通技术服务（北京）有限公司及其关联公司的</w:t>
      </w:r>
      <w:r>
        <w:rPr>
          <w:rFonts w:ascii="宋体" w:hAnsi="宋体" w:cs="宋体" w:eastAsia="宋体" w:hint="default"/>
          <w:spacing w:val="-4"/>
        </w:rPr>
        <w:t>IDC</w:t>
      </w:r>
      <w:r>
        <w:rPr>
          <w:spacing w:val="-4"/>
        </w:rPr>
        <w:t>及其增值服务订单总金额累计为</w:t>
      </w:r>
      <w:r>
        <w:rPr>
          <w:rFonts w:ascii="宋体" w:hAnsi="宋体" w:cs="宋体" w:eastAsia="宋体" w:hint="default"/>
          <w:spacing w:val="-4"/>
        </w:rPr>
        <w:t>33,831</w:t>
      </w:r>
    </w:p>
    <w:p>
      <w:pPr>
        <w:pStyle w:val="BodyText"/>
        <w:spacing w:line="240" w:lineRule="auto" w:before="74"/>
        <w:ind w:right="114"/>
        <w:jc w:val="left"/>
      </w:pPr>
      <w:r>
        <w:rPr/>
        <w:t>万元，报告期内履行金额为</w:t>
      </w:r>
      <w:r>
        <w:rPr>
          <w:rFonts w:ascii="宋体" w:hAnsi="宋体" w:cs="宋体" w:eastAsia="宋体" w:hint="default"/>
        </w:rPr>
        <w:t>20,454</w:t>
      </w:r>
      <w:r>
        <w:rPr/>
        <w:t>万元，尚未履行金额为</w:t>
      </w:r>
      <w:r>
        <w:rPr>
          <w:rFonts w:ascii="宋体" w:hAnsi="宋体" w:cs="宋体" w:eastAsia="宋体" w:hint="default"/>
        </w:rPr>
        <w:t>11,489</w:t>
      </w:r>
      <w:r>
        <w:rPr/>
        <w:t>万元。</w:t>
      </w:r>
    </w:p>
    <w:p>
      <w:pPr>
        <w:spacing w:line="240" w:lineRule="auto" w:before="10"/>
        <w:rPr>
          <w:rFonts w:ascii="宋体" w:hAnsi="宋体" w:cs="宋体" w:eastAsia="宋体" w:hint="default"/>
          <w:sz w:val="17"/>
          <w:szCs w:val="17"/>
        </w:rPr>
      </w:pPr>
    </w:p>
    <w:p>
      <w:pPr>
        <w:pStyle w:val="BodyText"/>
        <w:spacing w:line="316" w:lineRule="auto"/>
        <w:ind w:right="114" w:firstLine="360"/>
        <w:jc w:val="left"/>
      </w:pPr>
      <w:r>
        <w:rPr/>
        <w:t>公司与中国移动通信集团北京有限公司的</w:t>
      </w:r>
      <w:r>
        <w:rPr>
          <w:rFonts w:ascii="宋体" w:hAnsi="宋体" w:cs="宋体" w:eastAsia="宋体" w:hint="default"/>
        </w:rPr>
        <w:t>IDC</w:t>
      </w:r>
      <w:r>
        <w:rPr/>
        <w:t>及其增值服务订单总金额为</w:t>
      </w:r>
      <w:r>
        <w:rPr>
          <w:rFonts w:ascii="宋体" w:hAnsi="宋体" w:cs="宋体" w:eastAsia="宋体" w:hint="default"/>
        </w:rPr>
        <w:t>57,533</w:t>
      </w:r>
      <w:r>
        <w:rPr/>
        <w:t>万元，报告期内履行金额为</w:t>
      </w:r>
      <w:r>
        <w:rPr>
          <w:rFonts w:ascii="宋体" w:hAnsi="宋体" w:cs="宋体" w:eastAsia="宋体" w:hint="default"/>
        </w:rPr>
        <w:t>8,593</w:t>
      </w:r>
      <w:r>
        <w:rPr/>
        <w:t>万元，</w:t>
      </w:r>
      <w:r>
        <w:rPr>
          <w:spacing w:val="2"/>
        </w:rPr>
        <w:t> </w:t>
      </w:r>
      <w:r>
        <w:rPr/>
        <w:t>尚未履行金额为</w:t>
      </w:r>
      <w:r>
        <w:rPr>
          <w:rFonts w:ascii="宋体" w:hAnsi="宋体" w:cs="宋体" w:eastAsia="宋体" w:hint="default"/>
        </w:rPr>
        <w:t>32,310</w:t>
      </w:r>
      <w:r>
        <w:rPr/>
        <w:t>万元。</w:t>
      </w:r>
    </w:p>
    <w:p>
      <w:pPr>
        <w:spacing w:line="240" w:lineRule="auto" w:before="5"/>
        <w:rPr>
          <w:rFonts w:ascii="宋体" w:hAnsi="宋体" w:cs="宋体" w:eastAsia="宋体" w:hint="default"/>
          <w:sz w:val="13"/>
          <w:szCs w:val="13"/>
        </w:rPr>
      </w:pPr>
    </w:p>
    <w:p>
      <w:pPr>
        <w:pStyle w:val="BodyText"/>
        <w:spacing w:line="316" w:lineRule="auto"/>
        <w:ind w:right="384" w:firstLine="360"/>
        <w:jc w:val="left"/>
      </w:pPr>
      <w:r>
        <w:rPr/>
        <w:t>公司与中国联合网络通信有限公司北京市分公司的</w:t>
      </w:r>
      <w:r>
        <w:rPr>
          <w:rFonts w:ascii="宋体" w:hAnsi="宋体" w:cs="宋体" w:eastAsia="宋体" w:hint="default"/>
        </w:rPr>
        <w:t>IDC</w:t>
      </w:r>
      <w:r>
        <w:rPr/>
        <w:t>及其增值服务订单总金额为</w:t>
      </w:r>
      <w:r>
        <w:rPr>
          <w:rFonts w:ascii="宋体" w:hAnsi="宋体" w:cs="宋体" w:eastAsia="宋体" w:hint="default"/>
        </w:rPr>
        <w:t>40,546</w:t>
      </w:r>
      <w:r>
        <w:rPr/>
        <w:t>万元，报告期内履行金额为 </w:t>
      </w:r>
      <w:r>
        <w:rPr>
          <w:rFonts w:ascii="宋体" w:hAnsi="宋体" w:cs="宋体" w:eastAsia="宋体" w:hint="default"/>
        </w:rPr>
        <w:t>3,186</w:t>
      </w:r>
      <w:r>
        <w:rPr/>
        <w:t>万元，尚未履行金额为</w:t>
      </w:r>
      <w:r>
        <w:rPr>
          <w:rFonts w:ascii="宋体" w:hAnsi="宋体" w:cs="宋体" w:eastAsia="宋体" w:hint="default"/>
        </w:rPr>
        <w:t>35,369</w:t>
      </w:r>
      <w:r>
        <w:rPr/>
        <w:t>万元。</w:t>
      </w:r>
    </w:p>
    <w:p>
      <w:pPr>
        <w:spacing w:line="240" w:lineRule="auto" w:before="10"/>
        <w:rPr>
          <w:rFonts w:ascii="宋体" w:hAnsi="宋体" w:cs="宋体" w:eastAsia="宋体" w:hint="default"/>
          <w:sz w:val="22"/>
          <w:szCs w:val="22"/>
        </w:rPr>
      </w:pPr>
    </w:p>
    <w:p>
      <w:pPr>
        <w:pStyle w:val="Heading3"/>
        <w:spacing w:line="240" w:lineRule="auto"/>
        <w:ind w:right="114"/>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114"/>
        <w:jc w:val="left"/>
      </w:pPr>
      <w:r>
        <w:rPr/>
        <w:t>行业分类</w:t>
      </w:r>
    </w:p>
    <w:p>
      <w:pPr>
        <w:pStyle w:val="BodyText"/>
        <w:spacing w:line="240" w:lineRule="auto" w:before="115"/>
        <w:ind w:left="0" w:right="21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13,569,031.35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9,870,845.49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37.47%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带宽使用费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34,415,663.86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34,794,859.60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14.05%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-1.09%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维修及物料消耗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7,366,310.23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6,167,522.71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19.44%</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217,660,565.59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54.93%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87,012,647.27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35.13%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150.15%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机房电费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70,768,208.82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64,088,509.77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10.42%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2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机房租金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9,094,315.91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8,847,400.51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40,739,406.12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31,542,094.68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12.73%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29.16%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1,904,199.98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维修及物料消耗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448,975.59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0.11%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1,165,877.47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-61.49%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240,720.67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物业费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10,201.68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商品销售成本</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4,209,612.81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2"/>
        <w:rPr>
          <w:rFonts w:ascii="宋体" w:hAnsi="宋体" w:cs="宋体" w:eastAsia="宋体" w:hint="default"/>
          <w:sz w:val="27"/>
          <w:szCs w:val="27"/>
        </w:rPr>
      </w:pPr>
    </w:p>
    <w:p>
      <w:pPr>
        <w:pStyle w:val="BodyText"/>
        <w:spacing w:line="240" w:lineRule="auto" w:before="44"/>
        <w:ind w:right="1134"/>
        <w:jc w:val="left"/>
      </w:pPr>
      <w:r>
        <w:rPr/>
        <w:t>产品分类</w:t>
      </w:r>
    </w:p>
    <w:p>
      <w:pPr>
        <w:pStyle w:val="BodyText"/>
        <w:spacing w:line="240" w:lineRule="auto" w:before="118"/>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互联网宽带接入 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4,805,318.03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2,700,763.76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77.92%</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互联网宽带接入 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带宽使用费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22,167,338.74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22,334,665.45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-0.75%</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互联网宽带接入 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维修及物料消耗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2,071,048.23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2,194,687.37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-5.63%</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互联网宽带接入 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13,183,895.42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12,869,494.64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2.44%</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互联网宽带接入 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7,340,979.43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6,323,169.85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16.10%</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及其增值服 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8,763,713.32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7,170,081.73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22.23%</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及其增值服 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带宽使用费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9,949,577.30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11,287,757.27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-11.86%</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及其增值服 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维修及物料消耗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5,295,262.00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3,906,048.90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35.57%</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及其增值服 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4,140,452.84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2,645,132.71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56.53%</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及其增值服 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电费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68,275,503.29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63,636,766.82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25.69%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7.29%</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及其增值服 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房租及物业费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9,094,315.91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8,847,400.51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2.79%</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及其增值服 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33,132,915.45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24,958,692.05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32.75%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运营管理服</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200,336,217.33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71,498,019.92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28.86%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180.20%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36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运营管理服 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带宽使用费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2,298,747.82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1,172,436.88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96.07%</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运营管理服 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维修及物料消耗</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66,786.44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运营管理服 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265,511.24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260,232.78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0.11%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云计算</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电费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2,492,705.53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451,742.95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451.80%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1,904,199.98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维修及物料消耗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448,975.59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0.11%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1,165,877.47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-61.49%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240,720.67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物业费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10,201.68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商品销售成本</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4,209,612.81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3"/>
        <w:rPr>
          <w:rFonts w:ascii="宋体" w:hAnsi="宋体" w:cs="宋体" w:eastAsia="宋体" w:hint="default"/>
          <w:sz w:val="19"/>
          <w:szCs w:val="19"/>
        </w:rPr>
      </w:pPr>
    </w:p>
    <w:p>
      <w:pPr>
        <w:pStyle w:val="Heading3"/>
        <w:spacing w:line="240" w:lineRule="auto" w:before="36"/>
        <w:ind w:right="1134"/>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12"/>
        <w:rPr>
          <w:rFonts w:ascii="宋体" w:hAnsi="宋体" w:cs="宋体" w:eastAsia="宋体" w:hint="default"/>
          <w:sz w:val="16"/>
          <w:szCs w:val="16"/>
        </w:rPr>
      </w:pPr>
    </w:p>
    <w:p>
      <w:pPr>
        <w:pStyle w:val="BodyText"/>
        <w:spacing w:line="316" w:lineRule="auto"/>
        <w:ind w:right="156" w:firstLine="360"/>
        <w:jc w:val="both"/>
      </w:pPr>
      <w:r>
        <w:rPr/>
        <w:t>（</w:t>
      </w:r>
      <w:r>
        <w:rPr>
          <w:rFonts w:ascii="宋体" w:hAnsi="宋体" w:cs="宋体" w:eastAsia="宋体" w:hint="default"/>
        </w:rPr>
        <w:t>1</w:t>
      </w:r>
      <w:r>
        <w:rPr/>
        <w:t>）本公司于</w:t>
      </w:r>
      <w:r>
        <w:rPr>
          <w:rFonts w:ascii="宋体" w:hAnsi="宋体" w:cs="宋体" w:eastAsia="宋体" w:hint="default"/>
        </w:rPr>
        <w:t>2015</w:t>
      </w:r>
      <w:r>
        <w:rPr/>
        <w:t>年</w:t>
      </w:r>
      <w:r>
        <w:rPr>
          <w:rFonts w:ascii="宋体" w:hAnsi="宋体" w:cs="宋体" w:eastAsia="宋体" w:hint="default"/>
        </w:rPr>
        <w:t>10</w:t>
      </w:r>
      <w:r>
        <w:rPr/>
        <w:t>月以</w:t>
      </w:r>
      <w:r>
        <w:rPr>
          <w:rFonts w:ascii="宋体" w:hAnsi="宋体" w:cs="宋体" w:eastAsia="宋体" w:hint="default"/>
        </w:rPr>
        <w:t>136,426,475</w:t>
      </w:r>
      <w:r>
        <w:rPr/>
        <w:t>元购买北京德信致远科技有限公司</w:t>
      </w:r>
      <w:r>
        <w:rPr>
          <w:rFonts w:ascii="宋体" w:hAnsi="宋体" w:cs="宋体" w:eastAsia="宋体" w:hint="default"/>
        </w:rPr>
        <w:t>100.00%</w:t>
      </w:r>
      <w:r>
        <w:rPr/>
        <w:t>股权，由于北京德信致远科技有限 公司不构成业务，不属于非同一控制下企业合并。从购买日起北京德信致远科技有限公司成为本公司的子公司。</w:t>
      </w:r>
    </w:p>
    <w:p>
      <w:pPr>
        <w:spacing w:line="240" w:lineRule="auto" w:before="5"/>
        <w:rPr>
          <w:rFonts w:ascii="宋体" w:hAnsi="宋体" w:cs="宋体" w:eastAsia="宋体" w:hint="default"/>
          <w:sz w:val="13"/>
          <w:szCs w:val="13"/>
        </w:rPr>
      </w:pPr>
    </w:p>
    <w:p>
      <w:pPr>
        <w:pStyle w:val="BodyText"/>
        <w:spacing w:line="316" w:lineRule="auto"/>
        <w:ind w:right="150" w:firstLine="360"/>
        <w:jc w:val="both"/>
      </w:pPr>
      <w:r>
        <w:rPr/>
        <w:t>（</w:t>
      </w:r>
      <w:r>
        <w:rPr>
          <w:rFonts w:ascii="宋体" w:hAnsi="宋体" w:cs="宋体" w:eastAsia="宋体" w:hint="default"/>
        </w:rPr>
        <w:t>2</w:t>
      </w:r>
      <w:r>
        <w:rPr/>
        <w:t>）本公司于</w:t>
      </w:r>
      <w:r>
        <w:rPr>
          <w:rFonts w:ascii="宋体" w:hAnsi="宋体" w:cs="宋体" w:eastAsia="宋体" w:hint="default"/>
        </w:rPr>
        <w:t>2015</w:t>
      </w:r>
      <w:r>
        <w:rPr/>
        <w:t>年</w:t>
      </w:r>
      <w:r>
        <w:rPr>
          <w:rFonts w:ascii="宋体" w:hAnsi="宋体" w:cs="宋体" w:eastAsia="宋体" w:hint="default"/>
        </w:rPr>
        <w:t>12</w:t>
      </w:r>
      <w:r>
        <w:rPr/>
        <w:t>月以</w:t>
      </w:r>
      <w:r>
        <w:rPr>
          <w:rFonts w:ascii="宋体" w:hAnsi="宋体" w:cs="宋体" w:eastAsia="宋体" w:hint="default"/>
        </w:rPr>
        <w:t>68,700,000</w:t>
      </w:r>
      <w:r>
        <w:rPr/>
        <w:t>元增资取得北京科信盛彩置业有限公司</w:t>
      </w:r>
      <w:r>
        <w:rPr>
          <w:rFonts w:ascii="宋体" w:hAnsi="宋体" w:cs="宋体" w:eastAsia="宋体" w:hint="default"/>
        </w:rPr>
        <w:t>15.00%</w:t>
      </w:r>
      <w:r>
        <w:rPr/>
        <w:t>股权，本公司的母公司北京百汇 </w:t>
      </w:r>
      <w:r>
        <w:rPr>
          <w:spacing w:val="-2"/>
        </w:rPr>
        <w:t>达投资管理有限公司增资取得北京科信盛彩置业有限公司</w:t>
      </w:r>
      <w:r>
        <w:rPr>
          <w:rFonts w:ascii="宋体" w:hAnsi="宋体" w:cs="宋体" w:eastAsia="宋体" w:hint="default"/>
          <w:spacing w:val="-2"/>
        </w:rPr>
        <w:t>36.00%</w:t>
      </w:r>
      <w:r>
        <w:rPr>
          <w:spacing w:val="-2"/>
        </w:rPr>
        <w:t>股权，同时本公司与母公司北京百汇达投资管理有限公司签</w:t>
      </w:r>
      <w:r>
        <w:rPr>
          <w:spacing w:val="-60"/>
        </w:rPr>
        <w:t> </w:t>
      </w:r>
      <w:r>
        <w:rPr>
          <w:spacing w:val="-60"/>
        </w:rPr>
      </w:r>
      <w:r>
        <w:rPr>
          <w:spacing w:val="-2"/>
        </w:rPr>
        <w:t>订一致行动协议，约定自投资完成之日起，在决定北京科信盛彩置业有限公司有关经营发展、且须北京科信盛彩置业有限公</w:t>
      </w:r>
      <w:r>
        <w:rPr>
          <w:spacing w:val="-63"/>
        </w:rPr>
        <w:t> </w:t>
      </w:r>
      <w:r>
        <w:rPr>
          <w:spacing w:val="-63"/>
        </w:rPr>
      </w:r>
      <w:r>
        <w:rPr>
          <w:spacing w:val="-2"/>
        </w:rPr>
        <w:t>司股东会批准的重大事项时，北京百汇达投资管理有限公司将跟随本公司行使股东权利，与本公司保持一致，特别是行使股</w:t>
      </w:r>
      <w:r>
        <w:rPr>
          <w:spacing w:val="-63"/>
        </w:rPr>
        <w:t> </w:t>
      </w:r>
      <w:r>
        <w:rPr>
          <w:spacing w:val="-63"/>
        </w:rPr>
      </w:r>
      <w:r>
        <w:rPr>
          <w:spacing w:val="-2"/>
        </w:rPr>
        <w:t>东会召集权、提案权、表决权时采取一致行动。北京科信盛彩置业有限公司不构成业务，不属于非同一控制下企业合并。从</w:t>
      </w:r>
      <w:r>
        <w:rPr>
          <w:spacing w:val="-67"/>
        </w:rPr>
        <w:t> </w:t>
      </w:r>
      <w:r>
        <w:rPr>
          <w:spacing w:val="-67"/>
        </w:rPr>
      </w:r>
      <w:r>
        <w:rPr/>
        <w:t>购买日起北京科信盛彩置业有限公司成为本公司的子公司。</w:t>
      </w:r>
    </w:p>
    <w:p>
      <w:pPr>
        <w:spacing w:line="240" w:lineRule="auto" w:before="5"/>
        <w:rPr>
          <w:rFonts w:ascii="宋体" w:hAnsi="宋体" w:cs="宋体" w:eastAsia="宋体" w:hint="default"/>
          <w:sz w:val="13"/>
          <w:szCs w:val="13"/>
        </w:rPr>
      </w:pPr>
    </w:p>
    <w:p>
      <w:pPr>
        <w:pStyle w:val="BodyText"/>
        <w:spacing w:line="240" w:lineRule="auto"/>
        <w:ind w:left="513" w:right="1134"/>
        <w:jc w:val="left"/>
      </w:pPr>
      <w:r>
        <w:rPr/>
        <w:t>（</w:t>
      </w:r>
      <w:r>
        <w:rPr>
          <w:rFonts w:ascii="宋体" w:hAnsi="宋体" w:cs="宋体" w:eastAsia="宋体" w:hint="default"/>
        </w:rPr>
        <w:t>3</w:t>
      </w:r>
      <w:r>
        <w:rPr/>
        <w:t>）公司于</w:t>
      </w: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4</w:t>
      </w:r>
      <w:r>
        <w:rPr/>
        <w:t>日在香港成立光环新网国际有限公司。</w:t>
      </w:r>
    </w:p>
    <w:p>
      <w:pPr>
        <w:spacing w:line="240" w:lineRule="auto" w:before="0"/>
        <w:rPr>
          <w:rFonts w:ascii="宋体" w:hAnsi="宋体" w:cs="宋体" w:eastAsia="宋体" w:hint="default"/>
          <w:sz w:val="18"/>
          <w:szCs w:val="18"/>
        </w:rPr>
      </w:pPr>
    </w:p>
    <w:p>
      <w:pPr>
        <w:pStyle w:val="Heading3"/>
        <w:spacing w:line="240" w:lineRule="auto" w:before="120"/>
        <w:ind w:right="1134"/>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4"/>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4"/>
        <w:jc w:val="left"/>
      </w:pPr>
      <w:r>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345,162,961.02</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58.35%</w:t>
            </w:r>
          </w:p>
        </w:tc>
      </w:tr>
    </w:tbl>
    <w:p>
      <w:pPr>
        <w:pStyle w:val="BodyText"/>
        <w:spacing w:line="240" w:lineRule="auto" w:before="49"/>
        <w:ind w:right="1134"/>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4"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4" w:right="0"/>
              <w:jc w:val="left"/>
              <w:rPr>
                <w:rFonts w:ascii="Times New Roman" w:hAnsi="Times New Roman" w:cs="Times New Roman" w:eastAsia="Times New Roman" w:hint="default"/>
                <w:sz w:val="18"/>
                <w:szCs w:val="18"/>
              </w:rPr>
            </w:pPr>
            <w:r>
              <w:rPr>
                <w:rFonts w:ascii="Times New Roman"/>
                <w:sz w:val="18"/>
              </w:rPr>
              <w:t>136,169,313.71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23.02%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85,932,924.31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14.53%</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70,311,191.39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11.89%</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32,041,466.43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5.42%</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20,708,065.18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3.50%</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345,162,961.02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58.35%</w:t>
            </w:r>
          </w:p>
        </w:tc>
      </w:tr>
    </w:tbl>
    <w:p>
      <w:pPr>
        <w:pStyle w:val="BodyText"/>
        <w:spacing w:line="240" w:lineRule="auto" w:before="49"/>
        <w:ind w:right="1134"/>
        <w:jc w:val="left"/>
      </w:pPr>
      <w:r>
        <w:rPr/>
        <w:t>公司主要供应商情况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249,106,015.57</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73.49%</w:t>
            </w:r>
          </w:p>
        </w:tc>
      </w:tr>
    </w:tbl>
    <w:p>
      <w:pPr>
        <w:pStyle w:val="BodyText"/>
        <w:spacing w:line="240" w:lineRule="auto" w:before="49"/>
        <w:ind w:right="1134"/>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117,227,235.69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34.58%</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43,275,531.15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12.77%</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32,786,360.30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9.67%</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28,781,946.92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8.49%</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27,034,941.52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7.98%</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249,106,015.57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73.49%</w:t>
            </w:r>
          </w:p>
        </w:tc>
      </w:tr>
    </w:tbl>
    <w:p>
      <w:pPr>
        <w:spacing w:line="240" w:lineRule="auto" w:before="3"/>
        <w:rPr>
          <w:rFonts w:ascii="宋体" w:hAnsi="宋体" w:cs="宋体" w:eastAsia="宋体" w:hint="default"/>
          <w:sz w:val="19"/>
          <w:szCs w:val="19"/>
        </w:rPr>
      </w:pPr>
    </w:p>
    <w:p>
      <w:pPr>
        <w:pStyle w:val="Heading3"/>
        <w:spacing w:line="240" w:lineRule="auto" w:before="36"/>
        <w:ind w:right="1134"/>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3"/>
        <w:gridCol w:w="1648"/>
        <w:gridCol w:w="1637"/>
        <w:gridCol w:w="1462"/>
        <w:gridCol w:w="2919"/>
      </w:tblGrid>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15,562,104.51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17,821,544.04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-12.68%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63,099,216.20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50,505,213.80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24.94%</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5,250,490.16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-917,219.81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672.44%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 w:right="0"/>
              <w:jc w:val="center"/>
              <w:rPr>
                <w:rFonts w:ascii="宋体" w:hAnsi="宋体" w:cs="宋体" w:eastAsia="宋体" w:hint="default"/>
                <w:sz w:val="18"/>
                <w:szCs w:val="18"/>
              </w:rPr>
            </w:pPr>
            <w:r>
              <w:rPr>
                <w:rFonts w:ascii="宋体" w:hAnsi="宋体" w:cs="宋体" w:eastAsia="宋体" w:hint="default"/>
                <w:sz w:val="18"/>
                <w:szCs w:val="18"/>
              </w:rPr>
              <w:t>公司本年度债务融资增加利息支出。</w:t>
            </w:r>
          </w:p>
        </w:tc>
      </w:tr>
    </w:tbl>
    <w:p>
      <w:pPr>
        <w:spacing w:line="240" w:lineRule="auto" w:before="3"/>
        <w:rPr>
          <w:rFonts w:ascii="宋体" w:hAnsi="宋体" w:cs="宋体" w:eastAsia="宋体" w:hint="default"/>
          <w:sz w:val="19"/>
          <w:szCs w:val="19"/>
        </w:rPr>
      </w:pPr>
    </w:p>
    <w:p>
      <w:pPr>
        <w:pStyle w:val="Heading3"/>
        <w:spacing w:line="240" w:lineRule="auto" w:before="36"/>
        <w:ind w:right="1134"/>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151" w:firstLine="360"/>
        <w:jc w:val="both"/>
      </w:pPr>
      <w:r>
        <w:rPr>
          <w:spacing w:val="-4"/>
        </w:rPr>
        <w:t>报告期内，公司完成了</w:t>
      </w:r>
      <w:r>
        <w:rPr>
          <w:spacing w:val="-62"/>
        </w:rPr>
        <w:t> </w:t>
      </w:r>
      <w:r>
        <w:rPr>
          <w:rFonts w:ascii="Times New Roman" w:hAnsi="Times New Roman" w:cs="Times New Roman" w:eastAsia="Times New Roman" w:hint="default"/>
        </w:rPr>
        <w:t>ISP</w:t>
      </w:r>
      <w:r>
        <w:rPr>
          <w:rFonts w:ascii="Times New Roman" w:hAnsi="Times New Roman" w:cs="Times New Roman" w:eastAsia="Times New Roman" w:hint="default"/>
          <w:spacing w:val="-15"/>
        </w:rPr>
        <w:t> </w:t>
      </w:r>
      <w:r>
        <w:rPr/>
        <w:t>流量精细化管理大带宽产品的研发，针对企业客户的不同使用场景需求形成多种互联网带宽 </w:t>
      </w:r>
      <w:r>
        <w:rPr>
          <w:spacing w:val="-6"/>
        </w:rPr>
        <w:t>产品，满足客户个性化需求。报告期内，光环云产品正式上线推向市场，为客户提供云主机、虚拟网络等 </w:t>
      </w:r>
      <w:r>
        <w:rPr>
          <w:rFonts w:ascii="Times New Roman" w:hAnsi="Times New Roman" w:cs="Times New Roman" w:eastAsia="Times New Roman" w:hint="default"/>
        </w:rPr>
        <w:t>IAAS </w:t>
      </w:r>
      <w:r>
        <w:rPr/>
        <w:t>云计算产品，</w:t>
      </w:r>
      <w:r>
        <w:rPr>
          <w:spacing w:val="-89"/>
        </w:rPr>
        <w:t> </w:t>
      </w:r>
      <w:r>
        <w:rPr>
          <w:spacing w:val="-89"/>
        </w:rPr>
      </w:r>
      <w:r>
        <w:rPr/>
        <w:t>同时为客户提供混合云解决方案服务。公司也与亚马逊公司合作开发了</w:t>
      </w:r>
      <w:r>
        <w:rPr>
          <w:spacing w:val="-44"/>
        </w:rPr>
        <w:t> </w:t>
      </w:r>
      <w:r>
        <w:rPr>
          <w:rFonts w:ascii="Times New Roman" w:hAnsi="Times New Roman" w:cs="Times New Roman" w:eastAsia="Times New Roman" w:hint="default"/>
          <w:spacing w:val="-3"/>
        </w:rPr>
        <w:t>AWS-DX</w:t>
      </w:r>
      <w:r>
        <w:rPr>
          <w:rFonts w:ascii="Times New Roman" w:hAnsi="Times New Roman" w:cs="Times New Roman" w:eastAsia="Times New Roman" w:hint="default"/>
          <w:spacing w:val="1"/>
        </w:rPr>
        <w:t> </w:t>
      </w:r>
      <w:r>
        <w:rPr/>
        <w:t>产品，并为广大客户提供云计算架构及方 案咨询服务、混合云系统集成服务、云平台运维服务等。</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4"/>
          <w:szCs w:val="14"/>
        </w:rPr>
      </w:pPr>
    </w:p>
    <w:p>
      <w:pPr>
        <w:pStyle w:val="BodyText"/>
        <w:spacing w:line="240" w:lineRule="auto"/>
        <w:ind w:right="1134"/>
        <w:jc w:val="left"/>
      </w:pPr>
      <w:r>
        <w:rPr/>
        <w:t>近三年公司研发投入金额及占营业收入的比例</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46.12%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43.80%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42.40%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19,626,904.84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17,496,873.92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14,126,695.82</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4.58%</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34"/>
        <w:jc w:val="left"/>
      </w:pPr>
      <w:r>
        <w:rPr/>
        <w:t>研发投入总额占营业收入的比重较上年发生显著变化的原因</w:t>
      </w:r>
    </w:p>
    <w:p>
      <w:pPr>
        <w:pStyle w:val="BodyText"/>
        <w:spacing w:line="340" w:lineRule="auto" w:before="115"/>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340" w:lineRule="auto" w:before="39"/>
        <w:ind w:right="83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近两年专利数情况</w:t>
      </w:r>
    </w:p>
    <w:p>
      <w:pPr>
        <w:pStyle w:val="BodyText"/>
        <w:spacing w:line="240" w:lineRule="auto" w:before="41"/>
        <w:ind w:right="1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4"/>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688,915,057.87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463,707,228.33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48.57%</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589,002,796.70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314,548,426.28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87.25%</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99,912,261.17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149,158,802.05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-33.02%</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150,075,079.70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2,308,747.38%</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419,109,506.15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230,156,778.03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82.10%</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-269,034,426.45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-230,150,278.03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16.90%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261,238,977.20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382,889,569.43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-31.77%</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152,686,974.58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101,955,645.05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49.76%</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108,552,002.62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280,933,924.38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-61.36%</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-60,570,162.66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199,942,448.40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-130.29%</w:t>
            </w:r>
          </w:p>
        </w:tc>
      </w:tr>
    </w:tbl>
    <w:p>
      <w:pPr>
        <w:pStyle w:val="BodyText"/>
        <w:spacing w:line="240" w:lineRule="auto" w:before="49"/>
        <w:ind w:right="1134"/>
        <w:jc w:val="left"/>
      </w:pPr>
      <w:r>
        <w:rPr/>
        <w:t>相关数据同比发生重大变动的主要影响因素说明</w:t>
      </w:r>
    </w:p>
    <w:p>
      <w:pPr>
        <w:pStyle w:val="BodyText"/>
        <w:spacing w:line="453" w:lineRule="auto" w:before="115"/>
        <w:ind w:left="513" w:right="15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rFonts w:ascii="宋体" w:hAnsi="宋体" w:cs="宋体" w:eastAsia="宋体" w:hint="default"/>
          <w:spacing w:val="-4"/>
        </w:rPr>
        <w:t>1</w:t>
      </w:r>
      <w:r>
        <w:rPr>
          <w:spacing w:val="-4"/>
        </w:rPr>
        <w:t>、经营活动现金流入较上年增长主要原因是公司营业收入增长，以及公司收回支付的合作意向保证金，收取政府补助。</w:t>
      </w:r>
    </w:p>
    <w:p>
      <w:pPr>
        <w:pStyle w:val="BodyText"/>
        <w:spacing w:line="240" w:lineRule="auto" w:before="70"/>
        <w:ind w:left="513" w:right="1134"/>
        <w:jc w:val="left"/>
      </w:pPr>
      <w:r>
        <w:rPr>
          <w:rFonts w:ascii="宋体" w:hAnsi="宋体" w:cs="宋体" w:eastAsia="宋体" w:hint="default"/>
        </w:rPr>
        <w:t>2</w:t>
      </w:r>
      <w:r>
        <w:rPr/>
        <w:t>、经营活动现金流出较上年增长主要原因是公司成本费用增加，以及公司支付合作意向保证金。</w:t>
      </w:r>
    </w:p>
    <w:p>
      <w:pPr>
        <w:spacing w:line="240" w:lineRule="auto" w:before="10"/>
        <w:rPr>
          <w:rFonts w:ascii="宋体" w:hAnsi="宋体" w:cs="宋体" w:eastAsia="宋体" w:hint="default"/>
          <w:sz w:val="17"/>
          <w:szCs w:val="17"/>
        </w:rPr>
      </w:pPr>
    </w:p>
    <w:p>
      <w:pPr>
        <w:pStyle w:val="BodyText"/>
        <w:spacing w:line="240" w:lineRule="auto"/>
        <w:ind w:left="513" w:right="1134"/>
        <w:jc w:val="left"/>
      </w:pPr>
      <w:r>
        <w:rPr>
          <w:rFonts w:ascii="宋体" w:hAnsi="宋体" w:cs="宋体" w:eastAsia="宋体" w:hint="default"/>
        </w:rPr>
        <w:t>3</w:t>
      </w:r>
      <w:r>
        <w:rPr/>
        <w:t>、经营活动产生的现金流量净额较上年减少主要原因是公司支付合作意向保证金。</w:t>
      </w:r>
    </w:p>
    <w:p>
      <w:pPr>
        <w:spacing w:line="240" w:lineRule="auto" w:before="10"/>
        <w:rPr>
          <w:rFonts w:ascii="宋体" w:hAnsi="宋体" w:cs="宋体" w:eastAsia="宋体" w:hint="default"/>
          <w:sz w:val="17"/>
          <w:szCs w:val="17"/>
        </w:rPr>
      </w:pPr>
    </w:p>
    <w:p>
      <w:pPr>
        <w:pStyle w:val="BodyText"/>
        <w:spacing w:line="240" w:lineRule="auto"/>
        <w:ind w:left="513" w:right="1134"/>
        <w:jc w:val="left"/>
      </w:pPr>
      <w:r>
        <w:rPr>
          <w:rFonts w:ascii="宋体" w:hAnsi="宋体" w:cs="宋体" w:eastAsia="宋体" w:hint="default"/>
        </w:rPr>
        <w:t>4</w:t>
      </w:r>
      <w:r>
        <w:rPr/>
        <w:t>、投资活动现金流入较上年增长主要原因是公司购买理财产品到期赎回。</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316" w:lineRule="auto" w:before="44"/>
        <w:ind w:right="144" w:firstLine="360"/>
        <w:jc w:val="left"/>
      </w:pPr>
      <w:r>
        <w:rPr>
          <w:rFonts w:ascii="宋体" w:hAnsi="宋体" w:cs="宋体" w:eastAsia="宋体" w:hint="default"/>
        </w:rPr>
        <w:t>5</w:t>
      </w:r>
      <w:r>
        <w:rPr/>
        <w:t>、投资活动现金流出较上年增长的主要原因是公司购买理财产品，以及收购北京德信致远科技有限公司、增资北京科 信盛彩置业有限公司。</w:t>
      </w:r>
    </w:p>
    <w:p>
      <w:pPr>
        <w:spacing w:line="240" w:lineRule="auto" w:before="5"/>
        <w:rPr>
          <w:rFonts w:ascii="宋体" w:hAnsi="宋体" w:cs="宋体" w:eastAsia="宋体" w:hint="default"/>
          <w:sz w:val="13"/>
          <w:szCs w:val="13"/>
        </w:rPr>
      </w:pPr>
    </w:p>
    <w:p>
      <w:pPr>
        <w:pStyle w:val="BodyText"/>
        <w:spacing w:line="316" w:lineRule="auto"/>
        <w:ind w:right="144" w:firstLine="360"/>
        <w:jc w:val="left"/>
        <w:rPr>
          <w:rFonts w:ascii="MS Gothic" w:hAnsi="MS Gothic" w:cs="MS Gothic" w:eastAsia="MS Gothic" w:hint="default"/>
        </w:rPr>
      </w:pPr>
      <w:r>
        <w:rPr>
          <w:rFonts w:ascii="宋体" w:hAnsi="宋体" w:cs="宋体" w:eastAsia="宋体" w:hint="default"/>
        </w:rPr>
        <w:t>6</w:t>
      </w:r>
      <w:r>
        <w:rPr/>
        <w:t>、投资活动产生的现金流量净额较上年减少主要原因是公司收购北京德信致远科技有限公司、增资北京科信盛彩置业 有限公司</w:t>
      </w:r>
      <w:r>
        <w:rPr>
          <w:rFonts w:ascii="MS Gothic" w:hAnsi="MS Gothic" w:cs="MS Gothic" w:eastAsia="MS Gothic" w:hint="default"/>
        </w:rPr>
        <w:t>｡</w:t>
      </w:r>
    </w:p>
    <w:p>
      <w:pPr>
        <w:spacing w:line="240" w:lineRule="auto" w:before="5"/>
        <w:rPr>
          <w:rFonts w:ascii="MS Gothic" w:hAnsi="MS Gothic" w:cs="MS Gothic" w:eastAsia="MS Gothic" w:hint="default"/>
          <w:sz w:val="13"/>
          <w:szCs w:val="13"/>
        </w:rPr>
      </w:pPr>
    </w:p>
    <w:p>
      <w:pPr>
        <w:pStyle w:val="BodyText"/>
        <w:spacing w:line="240" w:lineRule="auto"/>
        <w:ind w:left="513" w:right="1134"/>
        <w:jc w:val="left"/>
      </w:pPr>
      <w:r>
        <w:rPr>
          <w:rFonts w:ascii="宋体" w:hAnsi="宋体" w:cs="宋体" w:eastAsia="宋体" w:hint="default"/>
        </w:rPr>
        <w:t>7</w:t>
      </w:r>
      <w:r>
        <w:rPr/>
        <w:t>、筹资活动现金流入较上年减少主要原因是上年</w:t>
      </w:r>
      <w:r>
        <w:rPr>
          <w:rFonts w:ascii="宋体" w:hAnsi="宋体" w:cs="宋体" w:eastAsia="宋体" w:hint="default"/>
        </w:rPr>
        <w:t>IPO</w:t>
      </w:r>
      <w:r>
        <w:rPr/>
        <w:t>募集资金流入现金。</w:t>
      </w:r>
    </w:p>
    <w:p>
      <w:pPr>
        <w:spacing w:line="240" w:lineRule="auto" w:before="10"/>
        <w:rPr>
          <w:rFonts w:ascii="宋体" w:hAnsi="宋体" w:cs="宋体" w:eastAsia="宋体" w:hint="default"/>
          <w:sz w:val="17"/>
          <w:szCs w:val="17"/>
        </w:rPr>
      </w:pPr>
    </w:p>
    <w:p>
      <w:pPr>
        <w:pStyle w:val="BodyText"/>
        <w:spacing w:line="240" w:lineRule="auto"/>
        <w:ind w:left="513" w:right="1134"/>
        <w:jc w:val="left"/>
      </w:pPr>
      <w:r>
        <w:rPr>
          <w:rFonts w:ascii="宋体" w:hAnsi="宋体" w:cs="宋体" w:eastAsia="宋体" w:hint="default"/>
        </w:rPr>
        <w:t>8</w:t>
      </w:r>
      <w:r>
        <w:rPr/>
        <w:t>、筹资活动现金流出较上年增长的主要原因是公司本年度分配现金股利和支付借款利息高于上年。</w:t>
      </w:r>
    </w:p>
    <w:p>
      <w:pPr>
        <w:spacing w:line="240" w:lineRule="auto" w:before="10"/>
        <w:rPr>
          <w:rFonts w:ascii="宋体" w:hAnsi="宋体" w:cs="宋体" w:eastAsia="宋体" w:hint="default"/>
          <w:sz w:val="17"/>
          <w:szCs w:val="17"/>
        </w:rPr>
      </w:pPr>
    </w:p>
    <w:p>
      <w:pPr>
        <w:pStyle w:val="BodyText"/>
        <w:spacing w:line="316" w:lineRule="auto"/>
        <w:ind w:right="153" w:firstLine="360"/>
        <w:jc w:val="left"/>
      </w:pPr>
      <w:r>
        <w:rPr>
          <w:rFonts w:ascii="宋体" w:hAnsi="宋体" w:cs="宋体" w:eastAsia="宋体" w:hint="default"/>
          <w:spacing w:val="-2"/>
        </w:rPr>
        <w:t>9</w:t>
      </w:r>
      <w:r>
        <w:rPr>
          <w:spacing w:val="-2"/>
        </w:rPr>
        <w:t>、筹资活动产生的现金流量净额较上年减少的主要原因是上年</w:t>
      </w:r>
      <w:r>
        <w:rPr>
          <w:rFonts w:ascii="宋体" w:hAnsi="宋体" w:cs="宋体" w:eastAsia="宋体" w:hint="default"/>
          <w:spacing w:val="-2"/>
        </w:rPr>
        <w:t>IPO</w:t>
      </w:r>
      <w:r>
        <w:rPr>
          <w:spacing w:val="-2"/>
        </w:rPr>
        <w:t>募集资金流入现金，以及本年度分配现金股利和支付</w:t>
      </w:r>
      <w:r>
        <w:rPr/>
        <w:t> 借款利息高于上年。</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3"/>
          <w:szCs w:val="13"/>
        </w:rPr>
      </w:pPr>
    </w:p>
    <w:p>
      <w:pPr>
        <w:pStyle w:val="BodyText"/>
        <w:spacing w:line="240" w:lineRule="auto"/>
        <w:ind w:right="1134"/>
        <w:jc w:val="left"/>
      </w:pPr>
      <w:r>
        <w:rPr/>
        <w:t>报告期内公司经营活动产生的现金净流量与本年度净利润存在重大差异的原因说明</w:t>
      </w:r>
    </w:p>
    <w:p>
      <w:pPr>
        <w:pStyle w:val="BodyText"/>
        <w:spacing w:line="240" w:lineRule="auto" w:before="117"/>
        <w:ind w:right="1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4"/>
        <w:jc w:val="left"/>
        <w:rPr>
          <w:b w:val="0"/>
          <w:bCs w:val="0"/>
        </w:rPr>
      </w:pPr>
      <w:r>
        <w:rPr/>
        <w:t>三、非主营业务情况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4"/>
        <w:jc w:val="left"/>
        <w:rPr>
          <w:b w:val="0"/>
          <w:bCs w:val="0"/>
        </w:rPr>
      </w:pPr>
      <w:r>
        <w:rPr/>
        <w:t>四、资产及负债状况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4"/>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164"/>
        <w:gridCol w:w="1064"/>
        <w:gridCol w:w="1195"/>
        <w:gridCol w:w="1064"/>
        <w:gridCol w:w="797"/>
        <w:gridCol w:w="2919"/>
      </w:tblGrid>
      <w:tr>
        <w:trPr>
          <w:trHeight w:val="380" w:hRule="exact"/>
        </w:trPr>
        <w:tc>
          <w:tcPr>
            <w:tcW w:w="136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79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9"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68"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4"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58"/>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4"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58"/>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3"/>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3"/>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473"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184,833,748.5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85" w:right="0"/>
              <w:jc w:val="left"/>
              <w:rPr>
                <w:rFonts w:ascii="Times New Roman" w:hAnsi="Times New Roman" w:cs="Times New Roman" w:eastAsia="Times New Roman" w:hint="default"/>
                <w:sz w:val="18"/>
                <w:szCs w:val="18"/>
              </w:rPr>
            </w:pPr>
            <w:r>
              <w:rPr>
                <w:rFonts w:ascii="Times New Roman"/>
                <w:sz w:val="18"/>
              </w:rPr>
              <w:t>11.73%</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238,977,816.19</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27.70%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-15.97%</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公司合并范围变化增加资产总额。货</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币资金减少主要原因是由于公司对 </w:t>
            </w:r>
            <w:r>
              <w:rPr>
                <w:rFonts w:ascii="宋体" w:hAnsi="宋体" w:cs="宋体" w:eastAsia="宋体" w:hint="default"/>
                <w:spacing w:val="-2"/>
                <w:sz w:val="18"/>
                <w:szCs w:val="18"/>
              </w:rPr>
              <w:t>外投资支付现金，以及募投项目使用</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募集资金。</w:t>
            </w:r>
          </w:p>
        </w:tc>
      </w:tr>
      <w:tr>
        <w:trPr>
          <w:trHeight w:val="394"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473"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84,405,140.21</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5.36%</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43,948,945.46</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5.09%</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0.27%</w:t>
            </w:r>
          </w:p>
        </w:tc>
        <w:tc>
          <w:tcPr>
            <w:tcW w:w="2919"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应收账款增加主要原因是由于公司</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及其增值业务增长。</w:t>
            </w:r>
          </w:p>
        </w:tc>
      </w:tr>
      <w:tr>
        <w:trPr>
          <w:trHeight w:val="392"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1,305,634.38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1,146,459.61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1,383,142.39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85"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509,172,709.0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32.32%</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362,391,308.37</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42.00%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-9.68%</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公司合并范围变化增加资产总额。固</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定资产增加主要原因是由于公司增 资取得控股子公司北京科信盛彩置 </w:t>
            </w:r>
            <w:r>
              <w:rPr>
                <w:rFonts w:ascii="宋体" w:hAnsi="宋体" w:cs="宋体" w:eastAsia="宋体" w:hint="default"/>
                <w:spacing w:val="-2"/>
                <w:sz w:val="18"/>
                <w:szCs w:val="18"/>
              </w:rPr>
              <w:t>业有限公司，合并范围变化增加固定</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资产，以及酒仙桥机房二期完工转入</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转固定资产。</w:t>
            </w:r>
          </w:p>
        </w:tc>
      </w:tr>
      <w:tr>
        <w:trPr>
          <w:trHeight w:val="391"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78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164"/>
        <w:gridCol w:w="1064"/>
        <w:gridCol w:w="1195"/>
        <w:gridCol w:w="1064"/>
        <w:gridCol w:w="797"/>
        <w:gridCol w:w="2919"/>
      </w:tblGrid>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286,355,131.9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18.17%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14,321,931.77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16.51%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公司增资取得控股子公司北京科信 </w:t>
            </w:r>
            <w:r>
              <w:rPr>
                <w:rFonts w:ascii="宋体" w:hAnsi="宋体" w:cs="宋体" w:eastAsia="宋体" w:hint="default"/>
                <w:spacing w:val="-2"/>
                <w:sz w:val="18"/>
                <w:szCs w:val="18"/>
              </w:rPr>
              <w:t>盛彩置业有限公司，合并范围变化增</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加在建工程。</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130,999,908.4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42,396,232.54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公司取得流动资金贷款较上年增加。</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83,945,444.14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3,040,686.28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公司支付合作意向保证金、融资保证</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金。</w:t>
            </w:r>
          </w:p>
        </w:tc>
      </w:tr>
      <w:tr>
        <w:trPr>
          <w:trHeight w:val="165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245,682,825.5</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15.59%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37,737,014.03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11.22%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公司合并范围变化增加资产总额。无</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形资产增加公司增资取得控股子公 </w:t>
            </w:r>
            <w:r>
              <w:rPr>
                <w:rFonts w:ascii="宋体" w:hAnsi="宋体" w:cs="宋体" w:eastAsia="宋体" w:hint="default"/>
                <w:spacing w:val="-2"/>
                <w:sz w:val="18"/>
                <w:szCs w:val="18"/>
              </w:rPr>
              <w:t>司北京科信盛彩置业有限公司，以及</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收购北京德信致远科技有限公司，合</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并范围变化增加无形资产。</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103,798,815.4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54,869,590.27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酒仙桥机房二期转固而预估未办理 结算的工程项目应付未付款项。</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103,216,542.1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公司应付售后回租融资租赁租赁及 分期付款购买固定资产款项。</w:t>
            </w:r>
          </w:p>
        </w:tc>
      </w:tr>
    </w:tbl>
    <w:p>
      <w:pPr>
        <w:spacing w:line="240" w:lineRule="auto" w:before="3"/>
        <w:rPr>
          <w:rFonts w:ascii="宋体" w:hAnsi="宋体" w:cs="宋体" w:eastAsia="宋体" w:hint="default"/>
          <w:sz w:val="19"/>
          <w:szCs w:val="19"/>
        </w:rPr>
      </w:pPr>
    </w:p>
    <w:p>
      <w:pPr>
        <w:pStyle w:val="Heading3"/>
        <w:spacing w:line="240" w:lineRule="auto" w:before="36"/>
        <w:ind w:right="1134"/>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4"/>
          <w:szCs w:val="24"/>
        </w:rPr>
      </w:pPr>
    </w:p>
    <w:p>
      <w:pPr>
        <w:pStyle w:val="Heading2"/>
        <w:spacing w:line="240" w:lineRule="auto"/>
        <w:ind w:right="1134"/>
        <w:jc w:val="left"/>
        <w:rPr>
          <w:b w:val="0"/>
          <w:bCs w:val="0"/>
        </w:rPr>
      </w:pPr>
      <w:r>
        <w:rPr/>
        <w:t>五、投资状况分析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4"/>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419,109,506.15</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230,156,778.03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82.10%</w:t>
            </w:r>
          </w:p>
        </w:tc>
      </w:tr>
    </w:tbl>
    <w:p>
      <w:pPr>
        <w:spacing w:line="240" w:lineRule="auto" w:before="3"/>
        <w:rPr>
          <w:rFonts w:ascii="宋体" w:hAnsi="宋体" w:cs="宋体" w:eastAsia="宋体" w:hint="default"/>
          <w:sz w:val="19"/>
          <w:szCs w:val="19"/>
        </w:rPr>
      </w:pPr>
    </w:p>
    <w:p>
      <w:pPr>
        <w:pStyle w:val="Heading3"/>
        <w:spacing w:line="240" w:lineRule="auto" w:before="36"/>
        <w:ind w:right="1134"/>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1026"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7" w:right="65"/>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49" w:right="62"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47" w:right="63"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67"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67" w:right="62"/>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47" w:right="65" w:hanging="181"/>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7" w:right="62"/>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62"/>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1652"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4" w:right="108"/>
              <w:jc w:val="both"/>
              <w:rPr>
                <w:rFonts w:ascii="宋体" w:hAnsi="宋体" w:cs="宋体" w:eastAsia="宋体" w:hint="default"/>
                <w:sz w:val="18"/>
                <w:szCs w:val="18"/>
              </w:rPr>
            </w:pPr>
            <w:r>
              <w:rPr>
                <w:rFonts w:ascii="宋体" w:hAnsi="宋体" w:cs="宋体" w:eastAsia="宋体" w:hint="default"/>
                <w:sz w:val="18"/>
                <w:szCs w:val="18"/>
              </w:rPr>
              <w:t>北京德 信致远 科技有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6" w:right="105"/>
              <w:jc w:val="both"/>
              <w:rPr>
                <w:rFonts w:ascii="宋体" w:hAnsi="宋体" w:cs="宋体" w:eastAsia="宋体" w:hint="default"/>
                <w:sz w:val="18"/>
                <w:szCs w:val="18"/>
              </w:rPr>
            </w:pPr>
            <w:r>
              <w:rPr>
                <w:rFonts w:ascii="宋体" w:hAnsi="宋体" w:cs="宋体" w:eastAsia="宋体" w:hint="default"/>
                <w:sz w:val="18"/>
                <w:szCs w:val="18"/>
              </w:rPr>
              <w:t>互联网 信息服 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136,426</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,475.00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0"/>
              <w:jc w:val="left"/>
              <w:rPr>
                <w:rFonts w:ascii="宋体" w:hAnsi="宋体" w:cs="宋体" w:eastAsia="宋体" w:hint="default"/>
                <w:sz w:val="18"/>
                <w:szCs w:val="18"/>
              </w:rPr>
            </w:pPr>
            <w:r>
              <w:rPr>
                <w:rFonts w:ascii="宋体" w:hAnsi="宋体" w:cs="宋体" w:eastAsia="宋体" w:hint="default"/>
                <w:sz w:val="18"/>
                <w:szCs w:val="18"/>
              </w:rPr>
              <w:t>营业期 限至 </w:t>
            </w:r>
            <w:r>
              <w:rPr>
                <w:rFonts w:ascii="Times New Roman" w:hAnsi="Times New Roman" w:cs="Times New Roman" w:eastAsia="Times New Roman" w:hint="default"/>
                <w:sz w:val="18"/>
                <w:szCs w:val="18"/>
              </w:rPr>
              <w:t>2034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9"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云计算 中心</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238,348</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,800.00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-934,19</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7.61</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362" w:lineRule="auto"/>
              <w:ind w:left="26" w:right="54"/>
              <w:jc w:val="left"/>
              <w:rPr>
                <w:rFonts w:ascii="Times New Roman" w:hAnsi="Times New Roman" w:cs="Times New Roman" w:eastAsia="Times New Roman" w:hint="default"/>
                <w:sz w:val="18"/>
                <w:szCs w:val="18"/>
              </w:rPr>
            </w:pPr>
            <w:r>
              <w:rPr>
                <w:rFonts w:ascii="Times New Roman"/>
                <w:spacing w:val="-3"/>
                <w:sz w:val="18"/>
              </w:rPr>
              <w:t>www.cn</w:t>
            </w:r>
            <w:r>
              <w:rPr>
                <w:rFonts w:ascii="Times New Roman"/>
                <w:spacing w:val="-43"/>
                <w:sz w:val="18"/>
              </w:rPr>
              <w:t> </w:t>
            </w:r>
            <w:r>
              <w:rPr>
                <w:rFonts w:ascii="Times New Roman"/>
                <w:spacing w:val="-43"/>
                <w:sz w:val="18"/>
              </w:rPr>
            </w:r>
            <w:r>
              <w:rPr>
                <w:rFonts w:ascii="Times New Roman"/>
                <w:sz w:val="18"/>
              </w:rPr>
              <w:t>info.co</w:t>
            </w:r>
            <w:r>
              <w:rPr>
                <w:rFonts w:ascii="Times New Roman"/>
                <w:sz w:val="18"/>
              </w:rPr>
              <w:t> m.cn</w:t>
            </w:r>
          </w:p>
        </w:tc>
      </w:tr>
    </w:tbl>
    <w:p>
      <w:pPr>
        <w:spacing w:after="0" w:line="362"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2273"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北京科 信盛彩 置业有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6" w:right="105"/>
              <w:jc w:val="both"/>
              <w:rPr>
                <w:rFonts w:ascii="宋体" w:hAnsi="宋体" w:cs="宋体" w:eastAsia="宋体" w:hint="default"/>
                <w:sz w:val="18"/>
                <w:szCs w:val="18"/>
              </w:rPr>
            </w:pPr>
            <w:r>
              <w:rPr>
                <w:rFonts w:ascii="宋体" w:hAnsi="宋体" w:cs="宋体" w:eastAsia="宋体" w:hint="default"/>
                <w:sz w:val="18"/>
                <w:szCs w:val="18"/>
              </w:rPr>
              <w:t>房地产 开发、 物业管 理</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增资</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68,700,</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15.00%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自筹</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both"/>
              <w:rPr>
                <w:rFonts w:ascii="宋体" w:hAnsi="宋体" w:cs="宋体" w:eastAsia="宋体" w:hint="default"/>
                <w:sz w:val="18"/>
                <w:szCs w:val="18"/>
              </w:rPr>
            </w:pPr>
            <w:r>
              <w:rPr>
                <w:rFonts w:ascii="宋体" w:hAnsi="宋体" w:cs="宋体" w:eastAsia="宋体" w:hint="default"/>
                <w:sz w:val="18"/>
                <w:szCs w:val="18"/>
              </w:rPr>
              <w:t>北京百 汇达投 资管理 有限公 司、金 福沈、 金长华</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60"/>
              <w:jc w:val="left"/>
              <w:rPr>
                <w:rFonts w:ascii="宋体" w:hAnsi="宋体" w:cs="宋体" w:eastAsia="宋体" w:hint="default"/>
                <w:sz w:val="18"/>
                <w:szCs w:val="18"/>
              </w:rPr>
            </w:pPr>
            <w:r>
              <w:rPr>
                <w:rFonts w:ascii="宋体" w:hAnsi="宋体" w:cs="宋体" w:eastAsia="宋体" w:hint="default"/>
                <w:sz w:val="18"/>
                <w:szCs w:val="18"/>
              </w:rPr>
              <w:t>营业期 限至 </w:t>
            </w:r>
            <w:r>
              <w:rPr>
                <w:rFonts w:ascii="Times New Roman" w:hAnsi="Times New Roman" w:cs="Times New Roman" w:eastAsia="Times New Roman" w:hint="default"/>
                <w:sz w:val="18"/>
                <w:szCs w:val="18"/>
              </w:rPr>
              <w:t>2041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8"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07"/>
              <w:jc w:val="both"/>
              <w:rPr>
                <w:rFonts w:ascii="宋体" w:hAnsi="宋体" w:cs="宋体" w:eastAsia="宋体" w:hint="default"/>
                <w:sz w:val="18"/>
                <w:szCs w:val="18"/>
              </w:rPr>
            </w:pPr>
            <w:r>
              <w:rPr>
                <w:rFonts w:ascii="宋体" w:hAnsi="宋体" w:cs="宋体" w:eastAsia="宋体" w:hint="default"/>
                <w:sz w:val="18"/>
                <w:szCs w:val="18"/>
              </w:rPr>
              <w:t>云计算 中心、 物业出 租</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45,859,</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845.00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104,042</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.34</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362" w:lineRule="auto"/>
              <w:ind w:left="26" w:right="54"/>
              <w:jc w:val="left"/>
              <w:rPr>
                <w:rFonts w:ascii="Times New Roman" w:hAnsi="Times New Roman" w:cs="Times New Roman" w:eastAsia="Times New Roman" w:hint="default"/>
                <w:sz w:val="18"/>
                <w:szCs w:val="18"/>
              </w:rPr>
            </w:pPr>
            <w:r>
              <w:rPr>
                <w:rFonts w:ascii="Times New Roman"/>
                <w:spacing w:val="-3"/>
                <w:sz w:val="18"/>
              </w:rPr>
              <w:t>www.cn</w:t>
            </w:r>
            <w:r>
              <w:rPr>
                <w:rFonts w:ascii="Times New Roman"/>
                <w:spacing w:val="-43"/>
                <w:sz w:val="18"/>
              </w:rPr>
              <w:t> </w:t>
            </w:r>
            <w:r>
              <w:rPr>
                <w:rFonts w:ascii="Times New Roman"/>
                <w:spacing w:val="-43"/>
                <w:sz w:val="18"/>
              </w:rPr>
            </w:r>
            <w:r>
              <w:rPr>
                <w:rFonts w:ascii="Times New Roman"/>
                <w:sz w:val="18"/>
              </w:rPr>
              <w:t>info.co</w:t>
            </w:r>
            <w:r>
              <w:rPr>
                <w:rFonts w:ascii="Times New Roman"/>
                <w:sz w:val="18"/>
              </w:rPr>
              <w:t> m.cn</w:t>
            </w:r>
          </w:p>
        </w:tc>
      </w:tr>
      <w:tr>
        <w:trPr>
          <w:trHeight w:val="715"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76"/>
              <w:jc w:val="right"/>
              <w:rPr>
                <w:rFonts w:ascii="Times New Roman" w:hAnsi="Times New Roman" w:cs="Times New Roman" w:eastAsia="Times New Roman" w:hint="default"/>
                <w:sz w:val="18"/>
                <w:szCs w:val="18"/>
              </w:rPr>
            </w:pPr>
            <w:r>
              <w:rPr>
                <w:rFonts w:ascii="Times New Roman"/>
                <w:sz w:val="18"/>
              </w:rPr>
              <w:t>--</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4" w:right="0"/>
              <w:jc w:val="left"/>
              <w:rPr>
                <w:rFonts w:ascii="Times New Roman" w:hAnsi="Times New Roman" w:cs="Times New Roman" w:eastAsia="Times New Roman" w:hint="default"/>
                <w:sz w:val="18"/>
                <w:szCs w:val="18"/>
              </w:rPr>
            </w:pPr>
            <w:r>
              <w:rPr>
                <w:rFonts w:ascii="Times New Roman"/>
                <w:sz w:val="18"/>
              </w:rPr>
              <w:t>205,126</w:t>
            </w:r>
          </w:p>
          <w:p>
            <w:pPr>
              <w:pStyle w:val="TableParagraph"/>
              <w:spacing w:line="240" w:lineRule="auto" w:before="102"/>
              <w:ind w:left="110" w:right="0"/>
              <w:jc w:val="left"/>
              <w:rPr>
                <w:rFonts w:ascii="Times New Roman" w:hAnsi="Times New Roman" w:cs="Times New Roman" w:eastAsia="Times New Roman" w:hint="default"/>
                <w:sz w:val="18"/>
                <w:szCs w:val="18"/>
              </w:rPr>
            </w:pPr>
            <w:r>
              <w:rPr>
                <w:rFonts w:ascii="Times New Roman"/>
                <w:sz w:val="18"/>
              </w:rPr>
              <w:t>,475.00</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75"/>
              <w:jc w:val="right"/>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4" w:right="0"/>
              <w:jc w:val="left"/>
              <w:rPr>
                <w:rFonts w:ascii="Times New Roman" w:hAnsi="Times New Roman" w:cs="Times New Roman" w:eastAsia="Times New Roman" w:hint="default"/>
                <w:sz w:val="18"/>
                <w:szCs w:val="18"/>
              </w:rPr>
            </w:pPr>
            <w:r>
              <w:rPr>
                <w:rFonts w:ascii="Times New Roman"/>
                <w:sz w:val="18"/>
              </w:rPr>
              <w:t>284,208</w:t>
            </w:r>
          </w:p>
          <w:p>
            <w:pPr>
              <w:pStyle w:val="TableParagraph"/>
              <w:spacing w:line="240" w:lineRule="auto" w:before="102"/>
              <w:ind w:left="110" w:right="0"/>
              <w:jc w:val="left"/>
              <w:rPr>
                <w:rFonts w:ascii="Times New Roman" w:hAnsi="Times New Roman" w:cs="Times New Roman" w:eastAsia="Times New Roman" w:hint="default"/>
                <w:sz w:val="18"/>
                <w:szCs w:val="18"/>
              </w:rPr>
            </w:pPr>
            <w:r>
              <w:rPr>
                <w:rFonts w:ascii="Times New Roman"/>
                <w:sz w:val="18"/>
              </w:rPr>
              <w:t>,645.00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5" w:right="0"/>
              <w:jc w:val="left"/>
              <w:rPr>
                <w:rFonts w:ascii="Times New Roman" w:hAnsi="Times New Roman" w:cs="Times New Roman" w:eastAsia="Times New Roman" w:hint="default"/>
                <w:sz w:val="18"/>
                <w:szCs w:val="18"/>
              </w:rPr>
            </w:pPr>
            <w:r>
              <w:rPr>
                <w:rFonts w:ascii="Times New Roman"/>
                <w:sz w:val="18"/>
              </w:rPr>
              <w:t>-830,15</w:t>
            </w:r>
          </w:p>
          <w:p>
            <w:pPr>
              <w:pStyle w:val="TableParagraph"/>
              <w:spacing w:line="240" w:lineRule="auto" w:before="102"/>
              <w:ind w:left="335" w:right="0"/>
              <w:jc w:val="left"/>
              <w:rPr>
                <w:rFonts w:ascii="Times New Roman" w:hAnsi="Times New Roman" w:cs="Times New Roman" w:eastAsia="Times New Roman" w:hint="default"/>
                <w:sz w:val="18"/>
                <w:szCs w:val="18"/>
              </w:rPr>
            </w:pPr>
            <w:r>
              <w:rPr>
                <w:rFonts w:ascii="Times New Roman"/>
                <w:sz w:val="18"/>
              </w:rPr>
              <w:t>5.27</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4"/>
        <w:jc w:val="left"/>
      </w:pPr>
      <w:r>
        <w:rPr/>
        <w:t>注：上述预计收益为项目建成满产后的年收益。</w:t>
      </w:r>
    </w:p>
    <w:p>
      <w:pPr>
        <w:spacing w:line="240" w:lineRule="auto" w:before="0"/>
        <w:rPr>
          <w:rFonts w:ascii="宋体" w:hAnsi="宋体" w:cs="宋体" w:eastAsia="宋体" w:hint="default"/>
          <w:sz w:val="18"/>
          <w:szCs w:val="18"/>
        </w:rPr>
      </w:pPr>
    </w:p>
    <w:p>
      <w:pPr>
        <w:pStyle w:val="Heading3"/>
        <w:spacing w:line="240" w:lineRule="auto" w:before="118"/>
        <w:ind w:right="1134"/>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649"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71"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89"/>
              <w:jc w:val="both"/>
              <w:rPr>
                <w:rFonts w:ascii="宋体" w:hAnsi="宋体" w:cs="宋体" w:eastAsia="宋体" w:hint="default"/>
                <w:sz w:val="18"/>
                <w:szCs w:val="18"/>
              </w:rPr>
            </w:pPr>
            <w:r>
              <w:rPr>
                <w:rFonts w:ascii="宋体" w:hAnsi="宋体" w:cs="宋体" w:eastAsia="宋体" w:hint="default"/>
                <w:sz w:val="18"/>
                <w:szCs w:val="18"/>
              </w:rPr>
              <w:t>是否为 固定资 产投资</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2"/>
              <w:jc w:val="both"/>
              <w:rPr>
                <w:rFonts w:ascii="宋体" w:hAnsi="宋体" w:cs="宋体" w:eastAsia="宋体" w:hint="default"/>
                <w:sz w:val="18"/>
                <w:szCs w:val="18"/>
              </w:rPr>
            </w:pPr>
            <w:r>
              <w:rPr>
                <w:rFonts w:ascii="宋体" w:hAnsi="宋体" w:cs="宋体" w:eastAsia="宋体" w:hint="default"/>
                <w:sz w:val="18"/>
                <w:szCs w:val="18"/>
              </w:rPr>
              <w:t>投资项 目涉及 行业</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1"/>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89"/>
              <w:jc w:val="both"/>
              <w:rPr>
                <w:rFonts w:ascii="宋体" w:hAnsi="宋体" w:cs="宋体" w:eastAsia="宋体" w:hint="default"/>
                <w:sz w:val="18"/>
                <w:szCs w:val="18"/>
              </w:rPr>
            </w:pPr>
            <w:r>
              <w:rPr>
                <w:rFonts w:ascii="宋体" w:hAnsi="宋体" w:cs="宋体" w:eastAsia="宋体" w:hint="default"/>
                <w:sz w:val="18"/>
                <w:szCs w:val="18"/>
              </w:rPr>
              <w:t>截至报 告期末 累计实 际投入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73" w:right="89"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截止报 告期末 累计实 现的收 益</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2"/>
              <w:jc w:val="both"/>
              <w:rPr>
                <w:rFonts w:ascii="宋体" w:hAnsi="宋体" w:cs="宋体" w:eastAsia="宋体" w:hint="default"/>
                <w:sz w:val="18"/>
                <w:szCs w:val="18"/>
              </w:rPr>
            </w:pPr>
            <w:r>
              <w:rPr>
                <w:rFonts w:ascii="宋体" w:hAnsi="宋体" w:cs="宋体" w:eastAsia="宋体" w:hint="default"/>
                <w:sz w:val="18"/>
                <w:szCs w:val="18"/>
              </w:rPr>
              <w:t>未达到 计划进 度和预 计收益 的原因</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89"/>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1"/>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134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上海嘉 定绿色 云计算 基地</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自建</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61"/>
              <w:jc w:val="both"/>
              <w:rPr>
                <w:rFonts w:ascii="宋体" w:hAnsi="宋体" w:cs="宋体" w:eastAsia="宋体" w:hint="default"/>
                <w:sz w:val="18"/>
                <w:szCs w:val="18"/>
              </w:rPr>
            </w:pPr>
            <w:r>
              <w:rPr>
                <w:rFonts w:ascii="宋体" w:hAnsi="宋体" w:cs="宋体" w:eastAsia="宋体" w:hint="default"/>
                <w:sz w:val="18"/>
                <w:szCs w:val="18"/>
              </w:rPr>
              <w:t>互联网 和相关 服务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14,380,1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93.70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108,180,</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193.70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自筹</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17.02%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128,904,</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800.00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建设中</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24" w:right="58"/>
              <w:jc w:val="both"/>
              <w:rPr>
                <w:rFonts w:ascii="Times New Roman" w:hAnsi="Times New Roman" w:cs="Times New Roman" w:eastAsia="Times New Roman" w:hint="default"/>
                <w:sz w:val="18"/>
                <w:szCs w:val="18"/>
              </w:rPr>
            </w:pPr>
            <w:r>
              <w:rPr>
                <w:rFonts w:ascii="Times New Roman"/>
                <w:spacing w:val="-2"/>
                <w:sz w:val="18"/>
              </w:rPr>
              <w:t>www.cni</w:t>
            </w:r>
            <w:r>
              <w:rPr>
                <w:rFonts w:ascii="Times New Roman"/>
                <w:sz w:val="18"/>
              </w:rPr>
              <w:t> nfo.com. cn</w:t>
            </w:r>
          </w:p>
        </w:tc>
      </w:tr>
      <w:tr>
        <w:trPr>
          <w:trHeight w:val="102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房山绿 色云计 算基地</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41"/>
              <w:jc w:val="right"/>
              <w:rPr>
                <w:rFonts w:ascii="宋体" w:hAnsi="宋体" w:cs="宋体" w:eastAsia="宋体" w:hint="default"/>
                <w:sz w:val="18"/>
                <w:szCs w:val="18"/>
              </w:rPr>
            </w:pPr>
            <w:r>
              <w:rPr>
                <w:rFonts w:ascii="宋体" w:hAnsi="宋体" w:cs="宋体" w:eastAsia="宋体" w:hint="default"/>
                <w:sz w:val="18"/>
                <w:szCs w:val="18"/>
              </w:rPr>
              <w:t>自建</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both"/>
              <w:rPr>
                <w:rFonts w:ascii="宋体" w:hAnsi="宋体" w:cs="宋体" w:eastAsia="宋体" w:hint="default"/>
                <w:sz w:val="18"/>
                <w:szCs w:val="18"/>
              </w:rPr>
            </w:pPr>
            <w:r>
              <w:rPr>
                <w:rFonts w:ascii="宋体" w:hAnsi="宋体" w:cs="宋体" w:eastAsia="宋体" w:hint="default"/>
                <w:sz w:val="18"/>
                <w:szCs w:val="18"/>
              </w:rPr>
              <w:t>互联网 和相关 服务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138,253,</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393.50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138,253,</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393.50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41"/>
              <w:jc w:val="right"/>
              <w:rPr>
                <w:rFonts w:ascii="宋体" w:hAnsi="宋体" w:cs="宋体" w:eastAsia="宋体" w:hint="default"/>
                <w:sz w:val="18"/>
                <w:szCs w:val="18"/>
              </w:rPr>
            </w:pPr>
            <w:r>
              <w:rPr>
                <w:rFonts w:ascii="宋体" w:hAnsi="宋体" w:cs="宋体" w:eastAsia="宋体" w:hint="default"/>
                <w:sz w:val="18"/>
                <w:szCs w:val="18"/>
              </w:rPr>
              <w:t>自筹</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238,348,</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800.00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建设中</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58"/>
              <w:jc w:val="both"/>
              <w:rPr>
                <w:rFonts w:ascii="Times New Roman" w:hAnsi="Times New Roman" w:cs="Times New Roman" w:eastAsia="Times New Roman" w:hint="default"/>
                <w:sz w:val="18"/>
                <w:szCs w:val="18"/>
              </w:rPr>
            </w:pPr>
            <w:r>
              <w:rPr>
                <w:rFonts w:ascii="Times New Roman"/>
                <w:spacing w:val="-2"/>
                <w:sz w:val="18"/>
              </w:rPr>
              <w:t>www.cni</w:t>
            </w:r>
            <w:r>
              <w:rPr>
                <w:rFonts w:ascii="Times New Roman"/>
                <w:sz w:val="18"/>
              </w:rPr>
              <w:t> nfo.com. cn</w:t>
            </w:r>
          </w:p>
        </w:tc>
      </w:tr>
      <w:tr>
        <w:trPr>
          <w:trHeight w:val="102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亦庄绿 色云计 算基地</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41"/>
              <w:jc w:val="right"/>
              <w:rPr>
                <w:rFonts w:ascii="宋体" w:hAnsi="宋体" w:cs="宋体" w:eastAsia="宋体" w:hint="default"/>
                <w:sz w:val="18"/>
                <w:szCs w:val="18"/>
              </w:rPr>
            </w:pPr>
            <w:r>
              <w:rPr>
                <w:rFonts w:ascii="宋体" w:hAnsi="宋体" w:cs="宋体" w:eastAsia="宋体" w:hint="default"/>
                <w:sz w:val="18"/>
                <w:szCs w:val="18"/>
              </w:rPr>
              <w:t>自建</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both"/>
              <w:rPr>
                <w:rFonts w:ascii="宋体" w:hAnsi="宋体" w:cs="宋体" w:eastAsia="宋体" w:hint="default"/>
                <w:sz w:val="18"/>
                <w:szCs w:val="18"/>
              </w:rPr>
            </w:pPr>
            <w:r>
              <w:rPr>
                <w:rFonts w:ascii="宋体" w:hAnsi="宋体" w:cs="宋体" w:eastAsia="宋体" w:hint="default"/>
                <w:sz w:val="18"/>
                <w:szCs w:val="18"/>
              </w:rPr>
              <w:t>互联网 和相关 服务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259,925,</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875.80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259,925,</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875.80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41"/>
              <w:jc w:val="right"/>
              <w:rPr>
                <w:rFonts w:ascii="宋体" w:hAnsi="宋体" w:cs="宋体" w:eastAsia="宋体" w:hint="default"/>
                <w:sz w:val="18"/>
                <w:szCs w:val="18"/>
              </w:rPr>
            </w:pPr>
            <w:r>
              <w:rPr>
                <w:rFonts w:ascii="宋体" w:hAnsi="宋体" w:cs="宋体" w:eastAsia="宋体" w:hint="default"/>
                <w:sz w:val="18"/>
                <w:szCs w:val="18"/>
              </w:rPr>
              <w:t>自筹</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22.20%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305,732,</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300.00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建设中</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58"/>
              <w:jc w:val="both"/>
              <w:rPr>
                <w:rFonts w:ascii="Times New Roman" w:hAnsi="Times New Roman" w:cs="Times New Roman" w:eastAsia="Times New Roman" w:hint="default"/>
                <w:sz w:val="18"/>
                <w:szCs w:val="18"/>
              </w:rPr>
            </w:pPr>
            <w:r>
              <w:rPr>
                <w:rFonts w:ascii="Times New Roman"/>
                <w:spacing w:val="-2"/>
                <w:sz w:val="18"/>
              </w:rPr>
              <w:t>www.cni</w:t>
            </w:r>
            <w:r>
              <w:rPr>
                <w:rFonts w:ascii="Times New Roman"/>
                <w:sz w:val="18"/>
              </w:rPr>
              <w:t> nfo.com. cn</w:t>
            </w:r>
          </w:p>
        </w:tc>
      </w:tr>
      <w:tr>
        <w:trPr>
          <w:trHeight w:val="133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燕郊绿 色云计 算基地 二期</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自建</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61"/>
              <w:jc w:val="both"/>
              <w:rPr>
                <w:rFonts w:ascii="宋体" w:hAnsi="宋体" w:cs="宋体" w:eastAsia="宋体" w:hint="default"/>
                <w:sz w:val="18"/>
                <w:szCs w:val="18"/>
              </w:rPr>
            </w:pPr>
            <w:r>
              <w:rPr>
                <w:rFonts w:ascii="宋体" w:hAnsi="宋体" w:cs="宋体" w:eastAsia="宋体" w:hint="default"/>
                <w:sz w:val="18"/>
                <w:szCs w:val="18"/>
              </w:rPr>
              <w:t>互联网 和相关 服务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752,626.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12,421,9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96.52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自筹</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43,307,4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建设中</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24" w:right="58"/>
              <w:jc w:val="both"/>
              <w:rPr>
                <w:rFonts w:ascii="Times New Roman" w:hAnsi="Times New Roman" w:cs="Times New Roman" w:eastAsia="Times New Roman" w:hint="default"/>
                <w:sz w:val="18"/>
                <w:szCs w:val="18"/>
              </w:rPr>
            </w:pPr>
            <w:r>
              <w:rPr>
                <w:rFonts w:ascii="Times New Roman"/>
                <w:spacing w:val="-2"/>
                <w:sz w:val="18"/>
              </w:rPr>
              <w:t>www.cni</w:t>
            </w:r>
            <w:r>
              <w:rPr>
                <w:rFonts w:ascii="Times New Roman"/>
                <w:sz w:val="18"/>
              </w:rPr>
              <w:t> nfo.com. cn</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413,312,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089.4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518,781,</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459.52</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716,293,</w:t>
            </w:r>
          </w:p>
          <w:p>
            <w:pPr>
              <w:pStyle w:val="TableParagraph"/>
              <w:spacing w:line="240" w:lineRule="auto" w:before="105"/>
              <w:ind w:left="431" w:right="0"/>
              <w:jc w:val="left"/>
              <w:rPr>
                <w:rFonts w:ascii="Times New Roman" w:hAnsi="Times New Roman" w:cs="Times New Roman" w:eastAsia="Times New Roman" w:hint="default"/>
                <w:sz w:val="18"/>
                <w:szCs w:val="18"/>
              </w:rPr>
            </w:pPr>
            <w:r>
              <w:rPr>
                <w:rFonts w:ascii="Times New Roman"/>
                <w:sz w:val="18"/>
              </w:rPr>
              <w:t>300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4"/>
        <w:jc w:val="left"/>
      </w:pPr>
      <w:r>
        <w:rPr/>
        <w:t>注：上述预计收益为项目建成满产后的年收益。</w:t>
      </w:r>
    </w:p>
    <w:p>
      <w:pPr>
        <w:spacing w:line="240" w:lineRule="auto" w:before="0"/>
        <w:rPr>
          <w:rFonts w:ascii="宋体" w:hAnsi="宋体" w:cs="宋体" w:eastAsia="宋体" w:hint="default"/>
          <w:sz w:val="18"/>
          <w:szCs w:val="18"/>
        </w:rPr>
      </w:pPr>
    </w:p>
    <w:p>
      <w:pPr>
        <w:pStyle w:val="Heading3"/>
        <w:spacing w:line="240" w:lineRule="auto" w:before="118"/>
        <w:ind w:right="1134"/>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r>
        <w:rPr/>
        <w:pict>
          <v:shape style="position:absolute;margin-left:449.5pt;margin-top:410.949982pt;width:85.2pt;height:124.8pt;mso-position-horizontal-relative:page;mso-position-vertical-relative:page;z-index:-159366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BodyText"/>
                    <w:spacing w:line="240" w:lineRule="auto"/>
                    <w:ind w:left="0" w:right="0"/>
                    <w:jc w:val="left"/>
                  </w:pPr>
                  <w:r>
                    <w:rPr/>
                    <w:t>理、规范，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pStyle w:val="BodyText"/>
                    <w:spacing w:line="240" w:lineRule="auto"/>
                    <w:ind w:left="0" w:right="0"/>
                    <w:jc w:val="left"/>
                  </w:pPr>
                  <w:r>
                    <w:rPr/>
                    <w:t>确、完整。</w:t>
                  </w:r>
                </w:p>
              </w:txbxContent>
            </v:textbox>
            <w10:wrap type="none"/>
          </v:shape>
        </w:pict>
      </w:r>
      <w:r>
        <w:rPr/>
        <w:pict>
          <v:group style="position:absolute;margin-left:491.73999pt;margin-top:410.949982pt;width:43pt;height:124.8pt;mso-position-horizontal-relative:page;mso-position-vertical-relative:page;z-index:-1593640" coordorigin="9835,8219" coordsize="860,2496">
            <v:shape style="position:absolute;left:9835;top:8219;width:860;height:2496" coordorigin="9835,8219" coordsize="860,2496" path="m9835,10715l10694,10715,10694,8219,9835,8219,9835,10715xe" filled="true" fillcolor="#ffffff" stroked="false">
              <v:path arrowok="t"/>
              <v:fill type="solid"/>
            </v:shape>
            <w10:wrap type="none"/>
          </v:group>
        </w:pict>
      </w:r>
    </w:p>
    <w:p>
      <w:pPr>
        <w:pStyle w:val="Heading3"/>
        <w:spacing w:line="240" w:lineRule="auto" w:before="36"/>
        <w:ind w:right="1134"/>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4"/>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pict>
          <v:shape style="position:absolute;margin-left:449.5pt;margin-top:89.731705pt;width:85.2pt;height:124.8pt;mso-position-horizontal-relative:page;mso-position-vertical-relative:paragraph;z-index:-1593688"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5"/>
                    <w:ind w:left="0" w:right="0"/>
                    <w:jc w:val="left"/>
                  </w:pPr>
                  <w:r>
                    <w:rPr/>
                    <w:t>银行机构、</w:t>
                  </w:r>
                </w:p>
              </w:txbxContent>
            </v:textbox>
            <w10:wrap type="none"/>
          </v:shape>
        </w:pict>
      </w:r>
      <w:r>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7"/>
        <w:gridCol w:w="862"/>
        <w:gridCol w:w="878"/>
        <w:gridCol w:w="869"/>
        <w:gridCol w:w="871"/>
        <w:gridCol w:w="869"/>
        <w:gridCol w:w="869"/>
        <w:gridCol w:w="871"/>
        <w:gridCol w:w="869"/>
        <w:gridCol w:w="871"/>
        <w:gridCol w:w="869"/>
      </w:tblGrid>
      <w:tr>
        <w:trPr>
          <w:trHeight w:val="1339"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56" w:right="71"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0"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69"/>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1" w:right="67"/>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2" w:right="67"/>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5393"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19" w:lineRule="auto"/>
              <w:ind w:left="23" w:right="107"/>
              <w:jc w:val="left"/>
              <w:rPr>
                <w:rFonts w:ascii="宋体" w:hAnsi="宋体" w:cs="宋体" w:eastAsia="宋体" w:hint="default"/>
                <w:sz w:val="18"/>
                <w:szCs w:val="18"/>
              </w:rPr>
            </w:pPr>
            <w:r>
              <w:rPr>
                <w:rFonts w:ascii="宋体" w:hAnsi="宋体" w:cs="宋体" w:eastAsia="宋体" w:hint="default"/>
                <w:sz w:val="18"/>
                <w:szCs w:val="18"/>
              </w:rPr>
              <w:t>公开发行 股票</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5" w:right="0"/>
              <w:jc w:val="center"/>
              <w:rPr>
                <w:rFonts w:ascii="Times New Roman" w:hAnsi="Times New Roman" w:cs="Times New Roman" w:eastAsia="Times New Roman" w:hint="default"/>
                <w:sz w:val="18"/>
                <w:szCs w:val="18"/>
              </w:rPr>
            </w:pPr>
            <w:r>
              <w:rPr>
                <w:rFonts w:ascii="Times New Roman"/>
                <w:sz w:val="18"/>
              </w:rPr>
              <w:t>31,080.83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4,689.04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29,801.08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9,038.84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29.08%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1,279.75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公司已与</w:t>
            </w: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3"/>
              <w:ind w:left="26" w:right="19"/>
              <w:jc w:val="left"/>
              <w:rPr>
                <w:rFonts w:ascii="宋体" w:hAnsi="宋体" w:cs="宋体" w:eastAsia="宋体" w:hint="default"/>
                <w:sz w:val="18"/>
                <w:szCs w:val="18"/>
              </w:rPr>
            </w:pPr>
            <w:r>
              <w:rPr>
                <w:rFonts w:ascii="宋体" w:hAnsi="宋体" w:cs="宋体" w:eastAsia="宋体" w:hint="default"/>
                <w:sz w:val="18"/>
                <w:szCs w:val="18"/>
              </w:rPr>
              <w:t>西南证券 签订了募 集资金三 方监管协 </w:t>
            </w:r>
            <w:r>
              <w:rPr>
                <w:rFonts w:ascii="宋体" w:hAnsi="宋体" w:cs="宋体" w:eastAsia="宋体" w:hint="default"/>
                <w:spacing w:val="-18"/>
                <w:sz w:val="18"/>
                <w:szCs w:val="18"/>
              </w:rPr>
              <w:t>议，尚未使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用募集资 金的存放 于专用账 </w:t>
            </w:r>
            <w:r>
              <w:rPr>
                <w:rFonts w:ascii="宋体" w:hAnsi="宋体" w:cs="宋体" w:eastAsia="宋体" w:hint="default"/>
                <w:spacing w:val="-18"/>
                <w:sz w:val="18"/>
                <w:szCs w:val="18"/>
              </w:rPr>
              <w:t>户中。公司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募集资金 的使用合</w:t>
            </w:r>
          </w:p>
          <w:p>
            <w:pPr>
              <w:pStyle w:val="TableParagraph"/>
              <w:spacing w:line="240" w:lineRule="auto" w:before="4"/>
              <w:ind w:right="0"/>
              <w:jc w:val="left"/>
              <w:rPr>
                <w:rFonts w:ascii="宋体" w:hAnsi="宋体" w:cs="宋体" w:eastAsia="宋体" w:hint="default"/>
                <w:sz w:val="25"/>
                <w:szCs w:val="25"/>
              </w:rPr>
            </w:pPr>
          </w:p>
          <w:p>
            <w:pPr>
              <w:pStyle w:val="TableParagraph"/>
              <w:spacing w:line="316" w:lineRule="auto"/>
              <w:ind w:left="26" w:right="113"/>
              <w:jc w:val="left"/>
              <w:rPr>
                <w:rFonts w:ascii="宋体" w:hAnsi="宋体" w:cs="宋体" w:eastAsia="宋体" w:hint="default"/>
                <w:sz w:val="18"/>
                <w:szCs w:val="18"/>
              </w:rPr>
            </w:pPr>
            <w:r>
              <w:rPr>
                <w:rFonts w:ascii="宋体" w:hAnsi="宋体" w:cs="宋体" w:eastAsia="宋体" w:hint="default"/>
                <w:sz w:val="18"/>
                <w:szCs w:val="18"/>
              </w:rPr>
              <w:t>信息披露 及时、准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96" w:lineRule="exact"/>
              <w:ind w:right="-51"/>
              <w:jc w:val="left"/>
              <w:rPr>
                <w:rFonts w:ascii="宋体" w:hAnsi="宋体" w:cs="宋体" w:eastAsia="宋体" w:hint="default"/>
                <w:sz w:val="20"/>
                <w:szCs w:val="20"/>
              </w:rPr>
            </w:pPr>
            <w:r>
              <w:rPr>
                <w:rFonts w:ascii="宋体" w:hAnsi="宋体" w:cs="宋体" w:eastAsia="宋体" w:hint="default"/>
                <w:position w:val="-49"/>
                <w:sz w:val="20"/>
                <w:szCs w:val="20"/>
              </w:rPr>
              <w:pict>
                <v:group style="width:43pt;height:124.8pt;mso-position-horizontal-relative:char;mso-position-vertical-relative:line" coordorigin="0,0" coordsize="860,2496">
                  <v:group style="position:absolute;left:0;top:0;width:860;height:2496" coordorigin="0,0" coordsize="860,2496">
                    <v:shape style="position:absolute;left:0;top:0;width:860;height:2496" coordorigin="0,0" coordsize="860,2496" path="m0,2496l859,2496,859,0,0,0,0,2496xe" filled="true" fillcolor="#ffffff" stroked="false">
                      <v:path arrowok="t"/>
                      <v:fill type="solid"/>
                    </v:shape>
                  </v:group>
                </v:group>
              </w:pict>
            </w:r>
            <w:r>
              <w:rPr>
                <w:rFonts w:ascii="宋体" w:hAnsi="宋体" w:cs="宋体" w:eastAsia="宋体" w:hint="default"/>
                <w:position w:val="-49"/>
                <w:sz w:val="20"/>
                <w:szCs w:val="20"/>
              </w:rPr>
            </w:r>
          </w:p>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87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98" w:right="0"/>
              <w:jc w:val="center"/>
              <w:rPr>
                <w:rFonts w:ascii="Times New Roman" w:hAnsi="Times New Roman" w:cs="Times New Roman" w:eastAsia="Times New Roman" w:hint="default"/>
                <w:sz w:val="18"/>
                <w:szCs w:val="18"/>
              </w:rPr>
            </w:pPr>
            <w:r>
              <w:rPr>
                <w:rFonts w:ascii="Times New Roman"/>
                <w:sz w:val="18"/>
              </w:rPr>
              <w:t>31,080.83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4,689.04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center"/>
              <w:rPr>
                <w:rFonts w:ascii="Times New Roman" w:hAnsi="Times New Roman" w:cs="Times New Roman" w:eastAsia="Times New Roman" w:hint="default"/>
                <w:sz w:val="18"/>
                <w:szCs w:val="18"/>
              </w:rPr>
            </w:pPr>
            <w:r>
              <w:rPr>
                <w:rFonts w:ascii="Times New Roman"/>
                <w:sz w:val="18"/>
              </w:rPr>
              <w:t>29,801.08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9,038.84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29.08%</w:t>
            </w:r>
          </w:p>
        </w:tc>
        <w:tc>
          <w:tcPr>
            <w:tcW w:w="869"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3"/>
              <w:ind w:right="6"/>
              <w:jc w:val="right"/>
              <w:rPr>
                <w:rFonts w:ascii="Times New Roman" w:hAnsi="Times New Roman" w:cs="Times New Roman" w:eastAsia="Times New Roman" w:hint="default"/>
                <w:sz w:val="18"/>
                <w:szCs w:val="18"/>
              </w:rPr>
            </w:pPr>
            <w:r>
              <w:rPr>
                <w:rFonts w:ascii="Times New Roman"/>
                <w:w w:val="95"/>
                <w:sz w:val="18"/>
              </w:rPr>
              <w:t>1,279.75</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124"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日，公司实际使用募集资金投入募投项目共计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29,801.08 </w:t>
            </w:r>
            <w:r>
              <w:rPr>
                <w:rFonts w:ascii="宋体" w:hAnsi="宋体" w:cs="宋体" w:eastAsia="宋体" w:hint="default"/>
                <w:sz w:val="18"/>
                <w:szCs w:val="18"/>
              </w:rPr>
              <w:t>万元。其中各募投项目进展情况如下：</w:t>
            </w:r>
          </w:p>
          <w:p>
            <w:pPr>
              <w:pStyle w:val="TableParagraph"/>
              <w:spacing w:line="240" w:lineRule="auto" w:before="10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、互联网数据服务一体化平台二期工程项目总投资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18,629.2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万元，截至本报告期末累计投入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17,646.44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万元，投入进度</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94.72%</w:t>
            </w:r>
            <w:r>
              <w:rPr>
                <w:rFonts w:ascii="宋体" w:hAnsi="宋体" w:cs="宋体" w:eastAsia="宋体" w:hint="default"/>
                <w:sz w:val="18"/>
                <w:szCs w:val="18"/>
              </w:rPr>
              <w:t>。</w:t>
            </w:r>
          </w:p>
          <w:p>
            <w:pPr>
              <w:pStyle w:val="TableParagraph"/>
              <w:spacing w:line="240" w:lineRule="auto" w:before="10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、宽带接入服务拓展项目总投资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547.16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万元，截至本报告期末累计投入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547.16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万元，投入进度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w:t>
            </w:r>
          </w:p>
          <w:p>
            <w:pPr>
              <w:pStyle w:val="TableParagraph"/>
              <w:spacing w:line="240" w:lineRule="auto" w:before="10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、上海嘉定绿色云计算基地项目总投资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9,038.84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万元，截至本报告期末累计投入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9,146.58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万元，投入进度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101.19%</w:t>
            </w:r>
            <w:r>
              <w:rPr>
                <w:rFonts w:ascii="宋体" w:hAnsi="宋体" w:cs="宋体" w:eastAsia="宋体" w:hint="default"/>
                <w:sz w:val="18"/>
                <w:szCs w:val="18"/>
              </w:rPr>
              <w:t>。</w:t>
            </w:r>
          </w:p>
          <w:p>
            <w:pPr>
              <w:pStyle w:val="TableParagraph"/>
              <w:spacing w:line="240" w:lineRule="auto" w:before="10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、互联网技术研发中心扩建总投资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万元，截至本报告期末累计投入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2,456.27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万元，投入进度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85.85%</w:t>
            </w:r>
            <w:r>
              <w:rPr>
                <w:rFonts w:ascii="宋体" w:hAnsi="宋体" w:cs="宋体" w:eastAsia="宋体" w:hint="default"/>
                <w:sz w:val="18"/>
                <w:szCs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4"/>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单位：万元</w:t>
      </w:r>
    </w:p>
    <w:p>
      <w:pPr>
        <w:spacing w:after="0" w:line="240" w:lineRule="auto"/>
        <w:jc w:val="right"/>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652"/>
        <w:gridCol w:w="733"/>
        <w:gridCol w:w="727"/>
        <w:gridCol w:w="716"/>
        <w:gridCol w:w="717"/>
        <w:gridCol w:w="702"/>
        <w:gridCol w:w="734"/>
        <w:gridCol w:w="718"/>
        <w:gridCol w:w="718"/>
        <w:gridCol w:w="720"/>
        <w:gridCol w:w="718"/>
        <w:gridCol w:w="710"/>
      </w:tblGrid>
      <w:tr>
        <w:trPr>
          <w:trHeight w:val="1649" w:hRule="exact"/>
        </w:trPr>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370" w:right="99"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2" w:lineRule="auto"/>
              <w:ind w:left="64" w:right="56" w:firstLine="28"/>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87" w:right="87"/>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81" w:right="82"/>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80" w:right="84"/>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81" w:right="68"/>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83" w:right="68"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8" w:lineRule="exact"/>
              <w:ind w:left="4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82"/>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80" w:right="85"/>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0" w:right="87"/>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81" w:right="84"/>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9"/>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3" w:hRule="exact"/>
        </w:trPr>
        <w:tc>
          <w:tcPr>
            <w:tcW w:w="956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5"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77"/>
              <w:jc w:val="left"/>
              <w:rPr>
                <w:rFonts w:ascii="宋体" w:hAnsi="宋体" w:cs="宋体" w:eastAsia="宋体" w:hint="default"/>
                <w:sz w:val="18"/>
                <w:szCs w:val="18"/>
              </w:rPr>
            </w:pPr>
            <w:r>
              <w:rPr>
                <w:rFonts w:ascii="宋体" w:hAnsi="宋体" w:cs="宋体" w:eastAsia="宋体" w:hint="default"/>
                <w:sz w:val="18"/>
                <w:szCs w:val="18"/>
              </w:rPr>
              <w:t>互联网数据服务一 体化平台二期工程</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18,629.2</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18,629.2</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2,974.36</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17,646.4</w:t>
            </w:r>
          </w:p>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z w:val="18"/>
              </w:rPr>
              <w:t>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94.72%</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7,807.84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18,021.1</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9</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宽带接入服务拓展</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547.16</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547.16</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547.16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100.00%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6,321.02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13,324.7</w:t>
            </w:r>
          </w:p>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8</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77"/>
              <w:jc w:val="left"/>
              <w:rPr>
                <w:rFonts w:ascii="宋体" w:hAnsi="宋体" w:cs="宋体" w:eastAsia="宋体" w:hint="default"/>
                <w:sz w:val="18"/>
                <w:szCs w:val="18"/>
              </w:rPr>
            </w:pPr>
            <w:r>
              <w:rPr>
                <w:rFonts w:ascii="宋体" w:hAnsi="宋体" w:cs="宋体" w:eastAsia="宋体" w:hint="default"/>
                <w:sz w:val="18"/>
                <w:szCs w:val="18"/>
              </w:rPr>
              <w:t>上海明月光学有限 公司股权收购</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9,038.84</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5"/>
                <w:sz w:val="18"/>
              </w:rPr>
              <w:t>9,038.84</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235.58</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5"/>
                <w:sz w:val="18"/>
              </w:rPr>
              <w:t>9,146.58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101.19%</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8"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177"/>
              <w:jc w:val="left"/>
              <w:rPr>
                <w:rFonts w:ascii="宋体" w:hAnsi="宋体" w:cs="宋体" w:eastAsia="宋体" w:hint="default"/>
                <w:sz w:val="18"/>
                <w:szCs w:val="18"/>
              </w:rPr>
            </w:pPr>
            <w:r>
              <w:rPr>
                <w:rFonts w:ascii="宋体" w:hAnsi="宋体" w:cs="宋体" w:eastAsia="宋体" w:hint="default"/>
                <w:sz w:val="18"/>
                <w:szCs w:val="18"/>
              </w:rPr>
              <w:t>互联网技术研发中 心扩建</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2,861</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2,861</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1,474.47</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5"/>
                <w:sz w:val="18"/>
              </w:rPr>
              <w:t>2,456.27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85.85%</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8"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652" w:type="dxa"/>
            <w:tcBorders>
              <w:top w:val="single" w:sz="4" w:space="0" w:color="000000"/>
              <w:left w:val="single" w:sz="4" w:space="0" w:color="000000"/>
              <w:bottom w:val="nil" w:sz="6" w:space="0" w:color="auto"/>
              <w:right w:val="single" w:sz="4" w:space="0" w:color="000000"/>
            </w:tcBorders>
            <w:shd w:val="clear" w:color="auto" w:fill="D2D2D2"/>
          </w:tcPr>
          <w:p>
            <w:pPr/>
          </w:p>
        </w:tc>
        <w:tc>
          <w:tcPr>
            <w:tcW w:w="733" w:type="dxa"/>
            <w:tcBorders>
              <w:top w:val="single" w:sz="4" w:space="0" w:color="000000"/>
              <w:left w:val="single" w:sz="4" w:space="0" w:color="000000"/>
              <w:bottom w:val="nil" w:sz="6" w:space="0" w:color="auto"/>
              <w:right w:val="single" w:sz="4" w:space="0" w:color="000000"/>
            </w:tcBorders>
            <w:shd w:val="clear" w:color="auto" w:fill="D2D2D2"/>
          </w:tcPr>
          <w:p>
            <w:pPr/>
          </w:p>
        </w:tc>
        <w:tc>
          <w:tcPr>
            <w:tcW w:w="727"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31,076.2</w:t>
            </w:r>
          </w:p>
        </w:tc>
        <w:tc>
          <w:tcPr>
            <w:tcW w:w="71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31,076.2</w:t>
            </w:r>
          </w:p>
        </w:tc>
        <w:tc>
          <w:tcPr>
            <w:tcW w:w="71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4,684.41</w:t>
            </w:r>
          </w:p>
        </w:tc>
        <w:tc>
          <w:tcPr>
            <w:tcW w:w="702" w:type="dxa"/>
            <w:vMerge w:val="restart"/>
            <w:tcBorders>
              <w:top w:val="single" w:sz="4" w:space="0" w:color="000000"/>
              <w:left w:val="single" w:sz="4" w:space="0" w:color="000000"/>
              <w:right w:val="single" w:sz="10"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29,796.4</w:t>
            </w:r>
          </w:p>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z w:val="18"/>
              </w:rPr>
              <w:t>5</w:t>
            </w:r>
          </w:p>
        </w:tc>
        <w:tc>
          <w:tcPr>
            <w:tcW w:w="7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vMerge w:val="restart"/>
            <w:tcBorders>
              <w:top w:val="single" w:sz="4" w:space="0" w:color="000000"/>
              <w:left w:val="single" w:sz="10" w:space="0" w:color="D2D2D2"/>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14,128.8</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6</w:t>
            </w:r>
          </w:p>
        </w:tc>
        <w:tc>
          <w:tcPr>
            <w:tcW w:w="720" w:type="dxa"/>
            <w:vMerge w:val="restart"/>
            <w:tcBorders>
              <w:top w:val="single" w:sz="4" w:space="0" w:color="000000"/>
              <w:left w:val="single" w:sz="4" w:space="0" w:color="000000"/>
              <w:right w:val="single" w:sz="10"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31,345.9</w:t>
            </w:r>
          </w:p>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z w:val="18"/>
              </w:rPr>
              <w:t>7</w:t>
            </w: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6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3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6"/>
              <w:jc w:val="right"/>
              <w:rPr>
                <w:rFonts w:ascii="Times New Roman" w:hAnsi="Times New Roman" w:cs="Times New Roman" w:eastAsia="Times New Roman" w:hint="default"/>
                <w:sz w:val="18"/>
                <w:szCs w:val="18"/>
              </w:rPr>
            </w:pPr>
            <w:r>
              <w:rPr>
                <w:rFonts w:ascii="Times New Roman"/>
                <w:sz w:val="18"/>
              </w:rPr>
              <w:t>--</w:t>
            </w:r>
          </w:p>
        </w:tc>
        <w:tc>
          <w:tcPr>
            <w:tcW w:w="727" w:type="dxa"/>
            <w:vMerge/>
            <w:tcBorders>
              <w:left w:val="single" w:sz="9" w:space="0" w:color="D2D2D2"/>
              <w:right w:val="single" w:sz="4" w:space="0" w:color="000000"/>
            </w:tcBorders>
          </w:tcPr>
          <w:p>
            <w:pPr/>
          </w:p>
        </w:tc>
        <w:tc>
          <w:tcPr>
            <w:tcW w:w="716" w:type="dxa"/>
            <w:vMerge/>
            <w:tcBorders>
              <w:left w:val="single" w:sz="4" w:space="0" w:color="000000"/>
              <w:right w:val="single" w:sz="4" w:space="0" w:color="000000"/>
            </w:tcBorders>
          </w:tcPr>
          <w:p>
            <w:pPr/>
          </w:p>
        </w:tc>
        <w:tc>
          <w:tcPr>
            <w:tcW w:w="717" w:type="dxa"/>
            <w:vMerge/>
            <w:tcBorders>
              <w:left w:val="single" w:sz="4" w:space="0" w:color="000000"/>
              <w:right w:val="single" w:sz="4" w:space="0" w:color="000000"/>
            </w:tcBorders>
          </w:tcPr>
          <w:p>
            <w:pPr/>
          </w:p>
        </w:tc>
        <w:tc>
          <w:tcPr>
            <w:tcW w:w="702" w:type="dxa"/>
            <w:vMerge/>
            <w:tcBorders>
              <w:left w:val="single" w:sz="4" w:space="0" w:color="000000"/>
              <w:right w:val="single" w:sz="10" w:space="0" w:color="D2D2D2"/>
            </w:tcBorders>
          </w:tcPr>
          <w:p>
            <w:pPr/>
          </w:p>
        </w:tc>
        <w:tc>
          <w:tcPr>
            <w:tcW w:w="7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718" w:type="dxa"/>
            <w:vMerge/>
            <w:tcBorders>
              <w:left w:val="single" w:sz="10" w:space="0" w:color="D2D2D2"/>
              <w:right w:val="single" w:sz="4" w:space="0" w:color="000000"/>
            </w:tcBorders>
          </w:tcPr>
          <w:p>
            <w:pPr/>
          </w:p>
        </w:tc>
        <w:tc>
          <w:tcPr>
            <w:tcW w:w="720" w:type="dxa"/>
            <w:vMerge/>
            <w:tcBorders>
              <w:left w:val="single" w:sz="4" w:space="0" w:color="000000"/>
              <w:right w:val="single" w:sz="10" w:space="0" w:color="D2D2D2"/>
            </w:tcBorders>
          </w:tcPr>
          <w:p>
            <w:pP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87"/>
              <w:jc w:val="right"/>
              <w:rPr>
                <w:rFonts w:ascii="Times New Roman" w:hAnsi="Times New Roman" w:cs="Times New Roman" w:eastAsia="Times New Roman" w:hint="default"/>
                <w:sz w:val="18"/>
                <w:szCs w:val="18"/>
              </w:rPr>
            </w:pPr>
            <w:r>
              <w:rPr>
                <w:rFonts w:ascii="Times New Roman"/>
                <w:sz w:val="18"/>
              </w:rPr>
              <w:t>--</w:t>
            </w:r>
          </w:p>
        </w:tc>
        <w:tc>
          <w:tcPr>
            <w:tcW w:w="7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87"/>
              <w:jc w:val="right"/>
              <w:rPr>
                <w:rFonts w:ascii="Times New Roman" w:hAnsi="Times New Roman" w:cs="Times New Roman" w:eastAsia="Times New Roman" w:hint="default"/>
                <w:sz w:val="18"/>
                <w:szCs w:val="18"/>
              </w:rPr>
            </w:pPr>
            <w:r>
              <w:rPr>
                <w:rFonts w:ascii="Times New Roman"/>
                <w:sz w:val="18"/>
              </w:rPr>
              <w:t>--</w:t>
            </w:r>
          </w:p>
        </w:tc>
      </w:tr>
      <w:tr>
        <w:trPr>
          <w:trHeight w:val="168" w:hRule="exact"/>
        </w:trPr>
        <w:tc>
          <w:tcPr>
            <w:tcW w:w="1652" w:type="dxa"/>
            <w:tcBorders>
              <w:top w:val="nil" w:sz="6" w:space="0" w:color="auto"/>
              <w:left w:val="single" w:sz="4" w:space="0" w:color="000000"/>
              <w:bottom w:val="single" w:sz="4" w:space="0" w:color="000000"/>
              <w:right w:val="single" w:sz="4" w:space="0" w:color="000000"/>
            </w:tcBorders>
            <w:shd w:val="clear" w:color="auto" w:fill="D2D2D2"/>
          </w:tcPr>
          <w:p>
            <w:pPr/>
          </w:p>
        </w:tc>
        <w:tc>
          <w:tcPr>
            <w:tcW w:w="733" w:type="dxa"/>
            <w:tcBorders>
              <w:top w:val="nil" w:sz="6" w:space="0" w:color="auto"/>
              <w:left w:val="single" w:sz="4" w:space="0" w:color="000000"/>
              <w:bottom w:val="single" w:sz="4" w:space="0" w:color="000000"/>
              <w:right w:val="single" w:sz="4" w:space="0" w:color="000000"/>
            </w:tcBorders>
            <w:shd w:val="clear" w:color="auto" w:fill="D2D2D2"/>
          </w:tcPr>
          <w:p>
            <w:pPr/>
          </w:p>
        </w:tc>
        <w:tc>
          <w:tcPr>
            <w:tcW w:w="727" w:type="dxa"/>
            <w:vMerge/>
            <w:tcBorders>
              <w:left w:val="single" w:sz="9" w:space="0" w:color="D2D2D2"/>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717" w:type="dxa"/>
            <w:vMerge/>
            <w:tcBorders>
              <w:left w:val="single" w:sz="4" w:space="0" w:color="000000"/>
              <w:bottom w:val="single" w:sz="4" w:space="0" w:color="000000"/>
              <w:right w:val="single" w:sz="4" w:space="0" w:color="000000"/>
            </w:tcBorders>
          </w:tcPr>
          <w:p>
            <w:pPr/>
          </w:p>
        </w:tc>
        <w:tc>
          <w:tcPr>
            <w:tcW w:w="702" w:type="dxa"/>
            <w:vMerge/>
            <w:tcBorders>
              <w:left w:val="single" w:sz="4" w:space="0" w:color="000000"/>
              <w:bottom w:val="single" w:sz="4" w:space="0" w:color="000000"/>
              <w:right w:val="single" w:sz="10" w:space="0" w:color="D2D2D2"/>
            </w:tcBorders>
          </w:tcPr>
          <w:p>
            <w:pPr/>
          </w:p>
        </w:tc>
        <w:tc>
          <w:tcPr>
            <w:tcW w:w="7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vMerge/>
            <w:tcBorders>
              <w:left w:val="single" w:sz="10" w:space="0" w:color="D2D2D2"/>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10" w:space="0" w:color="D2D2D2"/>
            </w:tcBorders>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6" w:hRule="exact"/>
        </w:trPr>
        <w:tc>
          <w:tcPr>
            <w:tcW w:w="956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1"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733"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717"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652"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24" w:right="177"/>
              <w:jc w:val="left"/>
              <w:rPr>
                <w:rFonts w:ascii="宋体" w:hAnsi="宋体" w:cs="宋体" w:eastAsia="宋体" w:hint="default"/>
                <w:sz w:val="18"/>
                <w:szCs w:val="18"/>
              </w:rPr>
            </w:pPr>
            <w:r>
              <w:rPr>
                <w:rFonts w:ascii="宋体" w:hAnsi="宋体" w:cs="宋体" w:eastAsia="宋体" w:hint="default"/>
                <w:sz w:val="18"/>
                <w:szCs w:val="18"/>
              </w:rPr>
              <w:t>补充流动资金（如 有）</w:t>
            </w:r>
          </w:p>
        </w:tc>
        <w:tc>
          <w:tcPr>
            <w:tcW w:w="733" w:type="dxa"/>
            <w:tcBorders>
              <w:top w:val="single" w:sz="4" w:space="0" w:color="000000"/>
              <w:left w:val="single" w:sz="4" w:space="0" w:color="000000"/>
              <w:bottom w:val="nil" w:sz="6" w:space="0" w:color="auto"/>
              <w:right w:val="single" w:sz="4" w:space="0" w:color="000000"/>
            </w:tcBorders>
            <w:shd w:val="clear" w:color="auto" w:fill="D2D2D2"/>
          </w:tcPr>
          <w:p>
            <w:pPr/>
          </w:p>
        </w:tc>
        <w:tc>
          <w:tcPr>
            <w:tcW w:w="727" w:type="dxa"/>
            <w:vMerge w:val="restart"/>
            <w:tcBorders>
              <w:top w:val="single" w:sz="4" w:space="0" w:color="000000"/>
              <w:left w:val="single" w:sz="9" w:space="0" w:color="D2D2D2"/>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70" w:right="0"/>
              <w:jc w:val="left"/>
              <w:rPr>
                <w:rFonts w:ascii="Times New Roman" w:hAnsi="Times New Roman" w:cs="Times New Roman" w:eastAsia="Times New Roman" w:hint="default"/>
                <w:sz w:val="18"/>
                <w:szCs w:val="18"/>
              </w:rPr>
            </w:pPr>
            <w:r>
              <w:rPr>
                <w:rFonts w:ascii="Times New Roman"/>
                <w:sz w:val="18"/>
              </w:rPr>
              <w:t>4.63</w:t>
            </w:r>
          </w:p>
        </w:tc>
        <w:tc>
          <w:tcPr>
            <w:tcW w:w="71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67" w:right="0"/>
              <w:jc w:val="left"/>
              <w:rPr>
                <w:rFonts w:ascii="Times New Roman" w:hAnsi="Times New Roman" w:cs="Times New Roman" w:eastAsia="Times New Roman" w:hint="default"/>
                <w:sz w:val="18"/>
                <w:szCs w:val="18"/>
              </w:rPr>
            </w:pPr>
            <w:r>
              <w:rPr>
                <w:rFonts w:ascii="Times New Roman"/>
                <w:sz w:val="18"/>
              </w:rPr>
              <w:t>4.63</w:t>
            </w:r>
          </w:p>
        </w:tc>
        <w:tc>
          <w:tcPr>
            <w:tcW w:w="717"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66" w:right="0"/>
              <w:jc w:val="left"/>
              <w:rPr>
                <w:rFonts w:ascii="Times New Roman" w:hAnsi="Times New Roman" w:cs="Times New Roman" w:eastAsia="Times New Roman" w:hint="default"/>
                <w:sz w:val="18"/>
                <w:szCs w:val="18"/>
              </w:rPr>
            </w:pPr>
            <w:r>
              <w:rPr>
                <w:rFonts w:ascii="Times New Roman"/>
                <w:sz w:val="18"/>
              </w:rPr>
              <w:t>4.63</w:t>
            </w:r>
          </w:p>
        </w:tc>
        <w:tc>
          <w:tcPr>
            <w:tcW w:w="70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4.63</w:t>
            </w:r>
          </w:p>
        </w:tc>
        <w:tc>
          <w:tcPr>
            <w:tcW w:w="734" w:type="dxa"/>
            <w:vMerge w:val="restart"/>
            <w:tcBorders>
              <w:top w:val="single" w:sz="4" w:space="0" w:color="000000"/>
              <w:left w:val="single" w:sz="4" w:space="0" w:color="000000"/>
              <w:right w:val="single" w:sz="10" w:space="0" w:color="D2D2D2"/>
            </w:tcBorders>
          </w:tcPr>
          <w:p>
            <w:pP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652" w:type="dxa"/>
            <w:vMerge/>
            <w:tcBorders>
              <w:left w:val="single" w:sz="4" w:space="0" w:color="000000"/>
              <w:right w:val="single" w:sz="4" w:space="0" w:color="000000"/>
            </w:tcBorders>
            <w:shd w:val="clear" w:color="auto" w:fill="D2D2D2"/>
          </w:tcPr>
          <w:p>
            <w:pPr/>
          </w:p>
        </w:tc>
        <w:tc>
          <w:tcPr>
            <w:tcW w:w="73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6"/>
              <w:jc w:val="right"/>
              <w:rPr>
                <w:rFonts w:ascii="Times New Roman" w:hAnsi="Times New Roman" w:cs="Times New Roman" w:eastAsia="Times New Roman" w:hint="default"/>
                <w:sz w:val="18"/>
                <w:szCs w:val="18"/>
              </w:rPr>
            </w:pPr>
            <w:r>
              <w:rPr>
                <w:rFonts w:ascii="Times New Roman"/>
                <w:sz w:val="18"/>
              </w:rPr>
              <w:t>--</w:t>
            </w:r>
          </w:p>
        </w:tc>
        <w:tc>
          <w:tcPr>
            <w:tcW w:w="727" w:type="dxa"/>
            <w:vMerge/>
            <w:tcBorders>
              <w:left w:val="single" w:sz="9" w:space="0" w:color="D2D2D2"/>
              <w:right w:val="single" w:sz="4" w:space="0" w:color="000000"/>
            </w:tcBorders>
          </w:tcPr>
          <w:p>
            <w:pPr/>
          </w:p>
        </w:tc>
        <w:tc>
          <w:tcPr>
            <w:tcW w:w="716" w:type="dxa"/>
            <w:vMerge/>
            <w:tcBorders>
              <w:left w:val="single" w:sz="4" w:space="0" w:color="000000"/>
              <w:right w:val="single" w:sz="4" w:space="0" w:color="000000"/>
            </w:tcBorders>
          </w:tcPr>
          <w:p>
            <w:pPr/>
          </w:p>
        </w:tc>
        <w:tc>
          <w:tcPr>
            <w:tcW w:w="717" w:type="dxa"/>
            <w:vMerge/>
            <w:tcBorders>
              <w:left w:val="single" w:sz="4" w:space="0" w:color="000000"/>
              <w:right w:val="single" w:sz="4" w:space="0" w:color="000000"/>
            </w:tcBorders>
          </w:tcPr>
          <w:p>
            <w:pPr/>
          </w:p>
        </w:tc>
        <w:tc>
          <w:tcPr>
            <w:tcW w:w="702" w:type="dxa"/>
            <w:vMerge/>
            <w:tcBorders>
              <w:left w:val="single" w:sz="4" w:space="0" w:color="000000"/>
              <w:right w:val="single" w:sz="4" w:space="0" w:color="000000"/>
            </w:tcBorders>
          </w:tcPr>
          <w:p>
            <w:pPr/>
          </w:p>
        </w:tc>
        <w:tc>
          <w:tcPr>
            <w:tcW w:w="734" w:type="dxa"/>
            <w:vMerge/>
            <w:tcBorders>
              <w:left w:val="single" w:sz="4" w:space="0" w:color="000000"/>
              <w:right w:val="single" w:sz="10" w:space="0" w:color="D2D2D2"/>
            </w:tcBorders>
          </w:tcPr>
          <w:p>
            <w:pP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3"/>
              <w:jc w:val="right"/>
              <w:rPr>
                <w:rFonts w:ascii="Times New Roman" w:hAnsi="Times New Roman" w:cs="Times New Roman" w:eastAsia="Times New Roman" w:hint="default"/>
                <w:sz w:val="18"/>
                <w:szCs w:val="18"/>
              </w:rPr>
            </w:pPr>
            <w:r>
              <w:rPr>
                <w:rFonts w:ascii="Times New Roman"/>
                <w:sz w:val="18"/>
              </w:rPr>
              <w:t>--</w:t>
            </w:r>
          </w:p>
        </w:tc>
        <w:tc>
          <w:tcPr>
            <w:tcW w:w="7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88"/>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52" w:type="dxa"/>
            <w:vMerge/>
            <w:tcBorders>
              <w:left w:val="single" w:sz="4" w:space="0" w:color="000000"/>
              <w:bottom w:val="single" w:sz="4" w:space="0" w:color="000000"/>
              <w:right w:val="single" w:sz="4" w:space="0" w:color="000000"/>
            </w:tcBorders>
            <w:shd w:val="clear" w:color="auto" w:fill="D2D2D2"/>
          </w:tcPr>
          <w:p>
            <w:pPr/>
          </w:p>
        </w:tc>
        <w:tc>
          <w:tcPr>
            <w:tcW w:w="733" w:type="dxa"/>
            <w:tcBorders>
              <w:top w:val="nil" w:sz="6" w:space="0" w:color="auto"/>
              <w:left w:val="single" w:sz="4" w:space="0" w:color="000000"/>
              <w:bottom w:val="single" w:sz="4" w:space="0" w:color="000000"/>
              <w:right w:val="single" w:sz="4" w:space="0" w:color="000000"/>
            </w:tcBorders>
            <w:shd w:val="clear" w:color="auto" w:fill="D2D2D2"/>
          </w:tcPr>
          <w:p>
            <w:pPr/>
          </w:p>
        </w:tc>
        <w:tc>
          <w:tcPr>
            <w:tcW w:w="727" w:type="dxa"/>
            <w:vMerge/>
            <w:tcBorders>
              <w:left w:val="single" w:sz="9" w:space="0" w:color="D2D2D2"/>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717" w:type="dxa"/>
            <w:vMerge/>
            <w:tcBorders>
              <w:left w:val="single" w:sz="4" w:space="0" w:color="000000"/>
              <w:bottom w:val="single" w:sz="4" w:space="0" w:color="000000"/>
              <w:right w:val="single" w:sz="4" w:space="0" w:color="000000"/>
            </w:tcBorders>
          </w:tcPr>
          <w:p>
            <w:pPr/>
          </w:p>
        </w:tc>
        <w:tc>
          <w:tcPr>
            <w:tcW w:w="702"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10" w:space="0" w:color="D2D2D2"/>
            </w:tcBorders>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96"/>
              <w:jc w:val="right"/>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4.63</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4.63</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4.63</w:t>
            </w:r>
          </w:p>
        </w:tc>
        <w:tc>
          <w:tcPr>
            <w:tcW w:w="702" w:type="dxa"/>
            <w:tcBorders>
              <w:top w:val="single" w:sz="4" w:space="0" w:color="000000"/>
              <w:left w:val="single" w:sz="4" w:space="0" w:color="000000"/>
              <w:bottom w:val="single" w:sz="4" w:space="0" w:color="000000"/>
              <w:right w:val="single" w:sz="15" w:space="0" w:color="D2D2D2"/>
            </w:tcBorders>
          </w:tcPr>
          <w:p>
            <w:pPr>
              <w:pStyle w:val="TableParagraph"/>
              <w:spacing w:line="240" w:lineRule="auto" w:before="91"/>
              <w:ind w:left="319" w:right="0"/>
              <w:jc w:val="left"/>
              <w:rPr>
                <w:rFonts w:ascii="Times New Roman" w:hAnsi="Times New Roman" w:cs="Times New Roman" w:eastAsia="Times New Roman" w:hint="default"/>
                <w:sz w:val="18"/>
                <w:szCs w:val="18"/>
              </w:rPr>
            </w:pPr>
            <w:r>
              <w:rPr>
                <w:rFonts w:ascii="Times New Roman"/>
                <w:sz w:val="18"/>
              </w:rPr>
              <w:t>4.63</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3"/>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single" w:sz="4" w:space="0" w:color="000000"/>
              <w:left w:val="single" w:sz="10" w:space="0" w:color="D2D2D2"/>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10" w:space="0" w:color="D2D2D2"/>
            </w:tcBorders>
          </w:tcPr>
          <w:p>
            <w:pP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93"/>
              <w:jc w:val="right"/>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88"/>
              <w:jc w:val="right"/>
              <w:rPr>
                <w:rFonts w:ascii="Times New Roman" w:hAnsi="Times New Roman" w:cs="Times New Roman" w:eastAsia="Times New Roman" w:hint="default"/>
                <w:sz w:val="18"/>
                <w:szCs w:val="18"/>
              </w:rPr>
            </w:pPr>
            <w:r>
              <w:rPr>
                <w:rFonts w:ascii="Times New Roman"/>
                <w:sz w:val="18"/>
              </w:rPr>
              <w:t>--</w:t>
            </w:r>
          </w:p>
        </w:tc>
      </w:tr>
      <w:tr>
        <w:trPr>
          <w:trHeight w:val="162" w:hRule="exact"/>
        </w:trPr>
        <w:tc>
          <w:tcPr>
            <w:tcW w:w="1652" w:type="dxa"/>
            <w:tcBorders>
              <w:top w:val="single" w:sz="4" w:space="0" w:color="000000"/>
              <w:left w:val="single" w:sz="4" w:space="0" w:color="000000"/>
              <w:bottom w:val="nil" w:sz="6" w:space="0" w:color="auto"/>
              <w:right w:val="single" w:sz="4" w:space="0" w:color="000000"/>
            </w:tcBorders>
            <w:shd w:val="clear" w:color="auto" w:fill="D2D2D2"/>
          </w:tcPr>
          <w:p>
            <w:pPr/>
          </w:p>
        </w:tc>
        <w:tc>
          <w:tcPr>
            <w:tcW w:w="733" w:type="dxa"/>
            <w:tcBorders>
              <w:top w:val="single" w:sz="4" w:space="0" w:color="000000"/>
              <w:left w:val="single" w:sz="4" w:space="0" w:color="000000"/>
              <w:bottom w:val="nil" w:sz="6" w:space="0" w:color="auto"/>
              <w:right w:val="single" w:sz="4" w:space="0" w:color="000000"/>
            </w:tcBorders>
            <w:shd w:val="clear" w:color="auto" w:fill="D2D2D2"/>
          </w:tcPr>
          <w:p>
            <w:pPr/>
          </w:p>
        </w:tc>
        <w:tc>
          <w:tcPr>
            <w:tcW w:w="727" w:type="dxa"/>
            <w:vMerge w:val="restart"/>
            <w:tcBorders>
              <w:top w:val="single" w:sz="4" w:space="0" w:color="000000"/>
              <w:left w:val="single" w:sz="9" w:space="0" w:color="D2D2D2"/>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31,080.8</w:t>
            </w:r>
          </w:p>
          <w:p>
            <w:pPr>
              <w:pStyle w:val="TableParagraph"/>
              <w:spacing w:line="240" w:lineRule="auto" w:before="102"/>
              <w:ind w:right="25"/>
              <w:jc w:val="right"/>
              <w:rPr>
                <w:rFonts w:ascii="Times New Roman" w:hAnsi="Times New Roman" w:cs="Times New Roman" w:eastAsia="Times New Roman" w:hint="default"/>
                <w:sz w:val="18"/>
                <w:szCs w:val="18"/>
              </w:rPr>
            </w:pPr>
            <w:r>
              <w:rPr>
                <w:rFonts w:ascii="Times New Roman"/>
                <w:sz w:val="18"/>
              </w:rPr>
              <w:t>3</w:t>
            </w:r>
          </w:p>
        </w:tc>
        <w:tc>
          <w:tcPr>
            <w:tcW w:w="716" w:type="dxa"/>
            <w:vMerge w:val="restart"/>
            <w:tcBorders>
              <w:top w:val="single" w:sz="4" w:space="0" w:color="000000"/>
              <w:left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31,080.8</w:t>
            </w:r>
          </w:p>
          <w:p>
            <w:pPr>
              <w:pStyle w:val="TableParagraph"/>
              <w:spacing w:line="240" w:lineRule="auto" w:before="102"/>
              <w:ind w:right="24"/>
              <w:jc w:val="right"/>
              <w:rPr>
                <w:rFonts w:ascii="Times New Roman" w:hAnsi="Times New Roman" w:cs="Times New Roman" w:eastAsia="Times New Roman" w:hint="default"/>
                <w:sz w:val="18"/>
                <w:szCs w:val="18"/>
              </w:rPr>
            </w:pPr>
            <w:r>
              <w:rPr>
                <w:rFonts w:ascii="Times New Roman"/>
                <w:sz w:val="18"/>
              </w:rPr>
              <w:t>3</w:t>
            </w:r>
          </w:p>
        </w:tc>
        <w:tc>
          <w:tcPr>
            <w:tcW w:w="717"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9" w:right="0"/>
              <w:jc w:val="left"/>
              <w:rPr>
                <w:rFonts w:ascii="Times New Roman" w:hAnsi="Times New Roman" w:cs="Times New Roman" w:eastAsia="Times New Roman" w:hint="default"/>
                <w:sz w:val="18"/>
                <w:szCs w:val="18"/>
              </w:rPr>
            </w:pPr>
            <w:r>
              <w:rPr>
                <w:rFonts w:ascii="Times New Roman"/>
                <w:sz w:val="18"/>
              </w:rPr>
              <w:t>4,689.04</w:t>
            </w:r>
          </w:p>
        </w:tc>
        <w:tc>
          <w:tcPr>
            <w:tcW w:w="702" w:type="dxa"/>
            <w:vMerge w:val="restart"/>
            <w:tcBorders>
              <w:top w:val="single" w:sz="4" w:space="0" w:color="000000"/>
              <w:left w:val="single" w:sz="4" w:space="0" w:color="000000"/>
              <w:right w:val="single" w:sz="10" w:space="0" w:color="D2D2D2"/>
            </w:tcBorders>
          </w:tcPr>
          <w:p>
            <w:pPr>
              <w:pStyle w:val="TableParagraph"/>
              <w:spacing w:line="240" w:lineRule="auto" w:before="92"/>
              <w:ind w:left="93" w:right="0"/>
              <w:jc w:val="left"/>
              <w:rPr>
                <w:rFonts w:ascii="Times New Roman" w:hAnsi="Times New Roman" w:cs="Times New Roman" w:eastAsia="Times New Roman" w:hint="default"/>
                <w:sz w:val="18"/>
                <w:szCs w:val="18"/>
              </w:rPr>
            </w:pPr>
            <w:r>
              <w:rPr>
                <w:rFonts w:ascii="Times New Roman"/>
                <w:sz w:val="18"/>
              </w:rPr>
              <w:t>29,801.</w:t>
            </w:r>
          </w:p>
          <w:p>
            <w:pPr>
              <w:pStyle w:val="TableParagraph"/>
              <w:spacing w:line="240" w:lineRule="auto" w:before="102"/>
              <w:ind w:left="453" w:right="0"/>
              <w:jc w:val="left"/>
              <w:rPr>
                <w:rFonts w:ascii="Times New Roman" w:hAnsi="Times New Roman" w:cs="Times New Roman" w:eastAsia="Times New Roman" w:hint="default"/>
                <w:sz w:val="18"/>
                <w:szCs w:val="18"/>
              </w:rPr>
            </w:pPr>
            <w:r>
              <w:rPr>
                <w:rFonts w:ascii="Times New Roman"/>
                <w:sz w:val="18"/>
              </w:rPr>
              <w:t>08</w:t>
            </w:r>
          </w:p>
        </w:tc>
        <w:tc>
          <w:tcPr>
            <w:tcW w:w="7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vMerge w:val="restart"/>
            <w:tcBorders>
              <w:top w:val="single" w:sz="4" w:space="0" w:color="000000"/>
              <w:left w:val="single" w:sz="10" w:space="0" w:color="D2D2D2"/>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14,128.8</w:t>
            </w:r>
          </w:p>
          <w:p>
            <w:pPr>
              <w:pStyle w:val="TableParagraph"/>
              <w:spacing w:line="240" w:lineRule="auto" w:before="102"/>
              <w:ind w:right="24"/>
              <w:jc w:val="right"/>
              <w:rPr>
                <w:rFonts w:ascii="Times New Roman" w:hAnsi="Times New Roman" w:cs="Times New Roman" w:eastAsia="Times New Roman" w:hint="default"/>
                <w:sz w:val="18"/>
                <w:szCs w:val="18"/>
              </w:rPr>
            </w:pPr>
            <w:r>
              <w:rPr>
                <w:rFonts w:ascii="Times New Roman"/>
                <w:sz w:val="18"/>
              </w:rPr>
              <w:t>6</w:t>
            </w:r>
          </w:p>
        </w:tc>
        <w:tc>
          <w:tcPr>
            <w:tcW w:w="720" w:type="dxa"/>
            <w:vMerge w:val="restart"/>
            <w:tcBorders>
              <w:top w:val="single" w:sz="4" w:space="0" w:color="000000"/>
              <w:left w:val="single" w:sz="4" w:space="0" w:color="000000"/>
              <w:right w:val="single" w:sz="10" w:space="0" w:color="D2D2D2"/>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31,345.9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7</w:t>
            </w: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6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6"/>
              <w:jc w:val="right"/>
              <w:rPr>
                <w:rFonts w:ascii="Times New Roman" w:hAnsi="Times New Roman" w:cs="Times New Roman" w:eastAsia="Times New Roman" w:hint="default"/>
                <w:sz w:val="18"/>
                <w:szCs w:val="18"/>
              </w:rPr>
            </w:pPr>
            <w:r>
              <w:rPr>
                <w:rFonts w:ascii="Times New Roman"/>
                <w:sz w:val="18"/>
              </w:rPr>
              <w:t>--</w:t>
            </w:r>
          </w:p>
        </w:tc>
        <w:tc>
          <w:tcPr>
            <w:tcW w:w="727" w:type="dxa"/>
            <w:vMerge/>
            <w:tcBorders>
              <w:left w:val="single" w:sz="9" w:space="0" w:color="D2D2D2"/>
              <w:right w:val="single" w:sz="4" w:space="0" w:color="000000"/>
            </w:tcBorders>
          </w:tcPr>
          <w:p>
            <w:pPr/>
          </w:p>
        </w:tc>
        <w:tc>
          <w:tcPr>
            <w:tcW w:w="716" w:type="dxa"/>
            <w:vMerge/>
            <w:tcBorders>
              <w:left w:val="single" w:sz="4" w:space="0" w:color="000000"/>
              <w:right w:val="single" w:sz="4" w:space="0" w:color="000000"/>
            </w:tcBorders>
          </w:tcPr>
          <w:p>
            <w:pPr/>
          </w:p>
        </w:tc>
        <w:tc>
          <w:tcPr>
            <w:tcW w:w="717" w:type="dxa"/>
            <w:vMerge/>
            <w:tcBorders>
              <w:left w:val="single" w:sz="4" w:space="0" w:color="000000"/>
              <w:right w:val="single" w:sz="4" w:space="0" w:color="000000"/>
            </w:tcBorders>
          </w:tcPr>
          <w:p>
            <w:pPr/>
          </w:p>
        </w:tc>
        <w:tc>
          <w:tcPr>
            <w:tcW w:w="702" w:type="dxa"/>
            <w:vMerge/>
            <w:tcBorders>
              <w:left w:val="single" w:sz="4" w:space="0" w:color="000000"/>
              <w:right w:val="single" w:sz="10" w:space="0" w:color="D2D2D2"/>
            </w:tcBorders>
          </w:tcPr>
          <w:p>
            <w:pPr/>
          </w:p>
        </w:tc>
        <w:tc>
          <w:tcPr>
            <w:tcW w:w="7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3"/>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718" w:type="dxa"/>
            <w:vMerge/>
            <w:tcBorders>
              <w:left w:val="single" w:sz="10" w:space="0" w:color="D2D2D2"/>
              <w:right w:val="single" w:sz="4" w:space="0" w:color="000000"/>
            </w:tcBorders>
          </w:tcPr>
          <w:p>
            <w:pPr/>
          </w:p>
        </w:tc>
        <w:tc>
          <w:tcPr>
            <w:tcW w:w="720" w:type="dxa"/>
            <w:vMerge/>
            <w:tcBorders>
              <w:left w:val="single" w:sz="4" w:space="0" w:color="000000"/>
              <w:right w:val="single" w:sz="10" w:space="0" w:color="D2D2D2"/>
            </w:tcBorders>
          </w:tcPr>
          <w:p>
            <w:pP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3"/>
              <w:jc w:val="right"/>
              <w:rPr>
                <w:rFonts w:ascii="Times New Roman" w:hAnsi="Times New Roman" w:cs="Times New Roman" w:eastAsia="Times New Roman" w:hint="default"/>
                <w:sz w:val="18"/>
                <w:szCs w:val="18"/>
              </w:rPr>
            </w:pPr>
            <w:r>
              <w:rPr>
                <w:rFonts w:ascii="Times New Roman"/>
                <w:sz w:val="18"/>
              </w:rPr>
              <w:t>--</w:t>
            </w:r>
          </w:p>
        </w:tc>
        <w:tc>
          <w:tcPr>
            <w:tcW w:w="7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88"/>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52" w:type="dxa"/>
            <w:tcBorders>
              <w:top w:val="nil" w:sz="6" w:space="0" w:color="auto"/>
              <w:left w:val="single" w:sz="4" w:space="0" w:color="000000"/>
              <w:bottom w:val="single" w:sz="4" w:space="0" w:color="000000"/>
              <w:right w:val="single" w:sz="4" w:space="0" w:color="000000"/>
            </w:tcBorders>
            <w:shd w:val="clear" w:color="auto" w:fill="D2D2D2"/>
          </w:tcPr>
          <w:p>
            <w:pPr/>
          </w:p>
        </w:tc>
        <w:tc>
          <w:tcPr>
            <w:tcW w:w="733" w:type="dxa"/>
            <w:tcBorders>
              <w:top w:val="nil" w:sz="6" w:space="0" w:color="auto"/>
              <w:left w:val="single" w:sz="4" w:space="0" w:color="000000"/>
              <w:bottom w:val="single" w:sz="4" w:space="0" w:color="000000"/>
              <w:right w:val="single" w:sz="4" w:space="0" w:color="000000"/>
            </w:tcBorders>
            <w:shd w:val="clear" w:color="auto" w:fill="D2D2D2"/>
          </w:tcPr>
          <w:p>
            <w:pPr/>
          </w:p>
        </w:tc>
        <w:tc>
          <w:tcPr>
            <w:tcW w:w="727" w:type="dxa"/>
            <w:vMerge/>
            <w:tcBorders>
              <w:left w:val="single" w:sz="9" w:space="0" w:color="D2D2D2"/>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717" w:type="dxa"/>
            <w:vMerge/>
            <w:tcBorders>
              <w:left w:val="single" w:sz="4" w:space="0" w:color="000000"/>
              <w:bottom w:val="single" w:sz="4" w:space="0" w:color="000000"/>
              <w:right w:val="single" w:sz="4" w:space="0" w:color="000000"/>
            </w:tcBorders>
          </w:tcPr>
          <w:p>
            <w:pPr/>
          </w:p>
        </w:tc>
        <w:tc>
          <w:tcPr>
            <w:tcW w:w="702" w:type="dxa"/>
            <w:vMerge/>
            <w:tcBorders>
              <w:left w:val="single" w:sz="4" w:space="0" w:color="000000"/>
              <w:bottom w:val="single" w:sz="4" w:space="0" w:color="000000"/>
              <w:right w:val="single" w:sz="10" w:space="0" w:color="D2D2D2"/>
            </w:tcBorders>
          </w:tcPr>
          <w:p>
            <w:pPr/>
          </w:p>
        </w:tc>
        <w:tc>
          <w:tcPr>
            <w:tcW w:w="7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vMerge/>
            <w:tcBorders>
              <w:left w:val="single" w:sz="10" w:space="0" w:color="D2D2D2"/>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10" w:space="0" w:color="D2D2D2"/>
            </w:tcBorders>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629" w:hRule="exact"/>
        </w:trPr>
        <w:tc>
          <w:tcPr>
            <w:tcW w:w="165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12" w:type="dxa"/>
            <w:gridSpan w:val="11"/>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both"/>
              <w:rPr>
                <w:rFonts w:ascii="宋体" w:hAnsi="宋体" w:cs="宋体" w:eastAsia="宋体" w:hint="default"/>
                <w:sz w:val="18"/>
                <w:szCs w:val="18"/>
              </w:rPr>
            </w:pPr>
            <w:r>
              <w:rPr>
                <w:rFonts w:ascii="宋体" w:hAnsi="宋体" w:cs="宋体" w:eastAsia="宋体" w:hint="default"/>
                <w:sz w:val="18"/>
                <w:szCs w:val="18"/>
              </w:rPr>
              <w:t>因宽带接入服务拓展项目的制定时间较早，近几年市场环境发生较大变化，经第二届董事会</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07" w:lineRule="auto" w:before="63"/>
              <w:ind w:left="16" w:right="21"/>
              <w:jc w:val="both"/>
              <w:rPr>
                <w:rFonts w:ascii="宋体" w:hAnsi="宋体" w:cs="宋体" w:eastAsia="宋体" w:hint="default"/>
                <w:sz w:val="18"/>
                <w:szCs w:val="18"/>
              </w:rPr>
            </w:pPr>
            <w:r>
              <w:rPr>
                <w:rFonts w:ascii="宋体" w:hAnsi="宋体" w:cs="宋体" w:eastAsia="宋体" w:hint="default"/>
                <w:sz w:val="18"/>
                <w:szCs w:val="18"/>
              </w:rPr>
              <w:t>第八次董事会和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年第二次临时股东大会审议通过，变更该项目募集资金投向收购光环新网（上 海）信息服务有限公司（原上海明月光学有限公司）</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股权。截至报告期末，公司已完成股权收 </w:t>
            </w:r>
            <w:r>
              <w:rPr>
                <w:rFonts w:ascii="宋体" w:hAnsi="宋体" w:cs="宋体" w:eastAsia="宋体" w:hint="default"/>
                <w:spacing w:val="-2"/>
                <w:sz w:val="18"/>
                <w:szCs w:val="18"/>
              </w:rPr>
              <w:t>购工作，目前光环新网（上海）信息服务有限公司负责实施的上海嘉定绿色云计算基地项目正处于建</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设阶段，预计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年度将有部分项目可投入使用。报告期内，公司积极推进互联网技术研发中心扩 </w:t>
            </w:r>
            <w:r>
              <w:rPr>
                <w:rFonts w:ascii="宋体" w:hAnsi="宋体" w:cs="宋体" w:eastAsia="宋体" w:hint="default"/>
                <w:spacing w:val="-2"/>
                <w:sz w:val="18"/>
                <w:szCs w:val="18"/>
              </w:rPr>
              <w:t>建项目和互联网数据服务一体化平台二期工程未尽项目的建设，互联网数据服务一体化平台二期工程</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已完工。</w:t>
            </w:r>
          </w:p>
        </w:tc>
      </w:tr>
      <w:tr>
        <w:trPr>
          <w:trHeight w:val="1015" w:hRule="exact"/>
        </w:trPr>
        <w:tc>
          <w:tcPr>
            <w:tcW w:w="16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3"/>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912" w:type="dxa"/>
            <w:gridSpan w:val="11"/>
            <w:vMerge/>
            <w:tcBorders>
              <w:left w:val="single" w:sz="10" w:space="0" w:color="D2D2D2"/>
              <w:right w:val="single" w:sz="4" w:space="0" w:color="000000"/>
            </w:tcBorders>
          </w:tcPr>
          <w:p>
            <w:pPr/>
          </w:p>
        </w:tc>
      </w:tr>
      <w:tr>
        <w:trPr>
          <w:trHeight w:val="629" w:hRule="exact"/>
        </w:trPr>
        <w:tc>
          <w:tcPr>
            <w:tcW w:w="165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12" w:type="dxa"/>
            <w:gridSpan w:val="11"/>
            <w:vMerge/>
            <w:tcBorders>
              <w:left w:val="single" w:sz="10" w:space="0" w:color="D2D2D2"/>
              <w:bottom w:val="single" w:sz="4" w:space="0" w:color="000000"/>
              <w:right w:val="single" w:sz="4" w:space="0" w:color="000000"/>
            </w:tcBorders>
          </w:tcPr>
          <w:p>
            <w:pPr/>
          </w:p>
        </w:tc>
      </w:tr>
      <w:tr>
        <w:trPr>
          <w:trHeight w:val="610" w:hRule="exact"/>
        </w:trPr>
        <w:tc>
          <w:tcPr>
            <w:tcW w:w="165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12" w:type="dxa"/>
            <w:gridSpan w:val="11"/>
            <w:vMerge w:val="restart"/>
            <w:tcBorders>
              <w:top w:val="single" w:sz="4" w:space="0" w:color="000000"/>
              <w:left w:val="single" w:sz="10" w:space="0" w:color="D2D2D2"/>
              <w:right w:val="single" w:sz="4" w:space="0" w:color="000000"/>
            </w:tcBorders>
          </w:tcPr>
          <w:p>
            <w:pPr>
              <w:pStyle w:val="TableParagraph"/>
              <w:spacing w:line="304" w:lineRule="auto" w:before="51"/>
              <w:ind w:left="16" w:right="-44"/>
              <w:jc w:val="left"/>
              <w:rPr>
                <w:rFonts w:ascii="Times New Roman" w:hAnsi="Times New Roman" w:cs="Times New Roman" w:eastAsia="Times New Roman" w:hint="default"/>
                <w:sz w:val="18"/>
                <w:szCs w:val="18"/>
              </w:rPr>
            </w:pPr>
            <w:r>
              <w:rPr>
                <w:rFonts w:ascii="宋体" w:hAnsi="宋体" w:cs="宋体" w:eastAsia="宋体" w:hint="default"/>
                <w:sz w:val="18"/>
                <w:szCs w:val="18"/>
              </w:rPr>
              <w:t>为顺应</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IDC </w:t>
            </w:r>
            <w:r>
              <w:rPr>
                <w:rFonts w:ascii="宋体" w:hAnsi="宋体" w:cs="宋体" w:eastAsia="宋体" w:hint="default"/>
                <w:sz w:val="18"/>
                <w:szCs w:val="18"/>
              </w:rPr>
              <w:t>迅速发展的市场行情，抓住云计算、大数据的发展契机，落实公司战略发展布局，经公 司第二届董事会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年第八次董事会和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年第二次临时股东大会审议通过，同意公司终止</w:t>
            </w:r>
            <w:r>
              <w:rPr>
                <w:rFonts w:ascii="Times New Roman" w:hAnsi="Times New Roman" w:cs="Times New Roman" w:eastAsia="Times New Roman" w:hint="default"/>
                <w:sz w:val="18"/>
                <w:szCs w:val="18"/>
              </w:rPr>
              <w:t>"</w:t>
            </w:r>
            <w:r>
              <w:rPr>
                <w:rFonts w:ascii="宋体" w:hAnsi="宋体" w:cs="宋体" w:eastAsia="宋体" w:hint="default"/>
                <w:sz w:val="18"/>
                <w:szCs w:val="18"/>
              </w:rPr>
              <w:t>宽带 接入服务拓展项目</w:t>
            </w:r>
            <w:r>
              <w:rPr>
                <w:rFonts w:ascii="Times New Roman" w:hAnsi="Times New Roman" w:cs="Times New Roman" w:eastAsia="Times New Roman" w:hint="default"/>
                <w:sz w:val="18"/>
                <w:szCs w:val="18"/>
              </w:rPr>
              <w:t>"</w:t>
            </w:r>
            <w:r>
              <w:rPr>
                <w:rFonts w:ascii="宋体" w:hAnsi="宋体" w:cs="宋体" w:eastAsia="宋体" w:hint="default"/>
                <w:sz w:val="18"/>
                <w:szCs w:val="18"/>
              </w:rPr>
              <w:t>，变更该项目募集资金投向收购光环新网（上海）信息服务有限公司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 </w:t>
            </w:r>
            <w:r>
              <w:rPr>
                <w:rFonts w:ascii="宋体" w:hAnsi="宋体" w:cs="宋体" w:eastAsia="宋体" w:hint="default"/>
                <w:spacing w:val="-2"/>
                <w:sz w:val="18"/>
                <w:szCs w:val="18"/>
              </w:rPr>
              <w:t>股权转让完成后，光环新网（上海）信息服务有限公司成为公司的全资子公司，负责实施上海嘉定绿</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色云计算基地项目。截至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日，原</w:t>
            </w:r>
            <w:r>
              <w:rPr>
                <w:rFonts w:ascii="Times New Roman" w:hAnsi="Times New Roman" w:cs="Times New Roman" w:eastAsia="Times New Roman" w:hint="default"/>
                <w:sz w:val="18"/>
                <w:szCs w:val="18"/>
              </w:rPr>
              <w:t>"</w:t>
            </w:r>
            <w:r>
              <w:rPr>
                <w:rFonts w:ascii="宋体" w:hAnsi="宋体" w:cs="宋体" w:eastAsia="宋体" w:hint="default"/>
                <w:sz w:val="18"/>
                <w:szCs w:val="18"/>
              </w:rPr>
              <w:t>宽带接入服务拓展项目</w:t>
            </w:r>
            <w:r>
              <w:rPr>
                <w:rFonts w:ascii="Times New Roman" w:hAnsi="Times New Roman" w:cs="Times New Roman" w:eastAsia="Times New Roman" w:hint="default"/>
                <w:sz w:val="18"/>
                <w:szCs w:val="18"/>
              </w:rPr>
              <w:t>"</w:t>
            </w:r>
            <w:r>
              <w:rPr>
                <w:rFonts w:ascii="宋体" w:hAnsi="宋体" w:cs="宋体" w:eastAsia="宋体" w:hint="default"/>
                <w:sz w:val="18"/>
                <w:szCs w:val="18"/>
              </w:rPr>
              <w:t>剩余募集资金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90,388,396.40</w:t>
            </w:r>
          </w:p>
          <w:p>
            <w:pPr>
              <w:pStyle w:val="TableParagraph"/>
              <w:spacing w:line="240" w:lineRule="auto" w:before="9"/>
              <w:ind w:left="16" w:right="0"/>
              <w:jc w:val="left"/>
              <w:rPr>
                <w:rFonts w:ascii="宋体" w:hAnsi="宋体" w:cs="宋体" w:eastAsia="宋体" w:hint="default"/>
                <w:sz w:val="18"/>
                <w:szCs w:val="18"/>
              </w:rPr>
            </w:pPr>
            <w:r>
              <w:rPr>
                <w:rFonts w:ascii="宋体" w:hAnsi="宋体" w:cs="宋体" w:eastAsia="宋体" w:hint="default"/>
                <w:sz w:val="18"/>
                <w:szCs w:val="18"/>
              </w:rPr>
              <w:t>元，账户净损益</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902,661.40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元，合计</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91,291,057.80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元全部用于收购光环新网（上海）信息服务有限</w:t>
            </w:r>
          </w:p>
        </w:tc>
      </w:tr>
      <w:tr>
        <w:trPr>
          <w:trHeight w:val="706" w:hRule="exact"/>
        </w:trPr>
        <w:tc>
          <w:tcPr>
            <w:tcW w:w="16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77"/>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912" w:type="dxa"/>
            <w:gridSpan w:val="11"/>
            <w:vMerge/>
            <w:tcBorders>
              <w:left w:val="single" w:sz="10" w:space="0" w:color="D2D2D2"/>
              <w:right w:val="single" w:sz="4" w:space="0" w:color="000000"/>
            </w:tcBorders>
          </w:tcPr>
          <w:p>
            <w:pPr/>
          </w:p>
        </w:tc>
      </w:tr>
      <w:tr>
        <w:trPr>
          <w:trHeight w:val="608" w:hRule="exact"/>
        </w:trPr>
        <w:tc>
          <w:tcPr>
            <w:tcW w:w="165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12" w:type="dxa"/>
            <w:gridSpan w:val="11"/>
            <w:vMerge/>
            <w:tcBorders>
              <w:left w:val="single" w:sz="10" w:space="0" w:color="D2D2D2"/>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8"/>
          <w:szCs w:val="18"/>
        </w:rPr>
      </w:pPr>
    </w:p>
    <w:p>
      <w:pPr>
        <w:pStyle w:val="BodyText"/>
        <w:spacing w:line="240" w:lineRule="auto"/>
        <w:ind w:left="0" w:right="164"/>
        <w:jc w:val="right"/>
      </w:pPr>
      <w:r>
        <w:rPr/>
        <w:pict>
          <v:shape style="position:absolute;margin-left:56.459999pt;margin-top:-371.51828pt;width:478.85pt;height:456.1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50"/>
                    <w:gridCol w:w="7912"/>
                  </w:tblGrid>
                  <w:tr>
                    <w:trPr>
                      <w:trHeight w:val="675" w:hRule="exact"/>
                    </w:trPr>
                    <w:tc>
                      <w:tcPr>
                        <w:tcW w:w="1650"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FFFFFF"/>
                          <w:right w:val="single" w:sz="4" w:space="0" w:color="000000"/>
                        </w:tcBorders>
                      </w:tcPr>
                      <w:p>
                        <w:pPr>
                          <w:pStyle w:val="TableParagraph"/>
                          <w:spacing w:line="300" w:lineRule="auto" w:before="8"/>
                          <w:ind w:left="24" w:right="3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股权。截至报告期末，该募集资金账户余额已全部用于支付收购款项，收购工作已完成， 目前上海嘉定绿色云计算基地项目正处于建设阶段。</w:t>
                        </w:r>
                      </w:p>
                    </w:tc>
                  </w:tr>
                  <w:tr>
                    <w:trPr>
                      <w:trHeight w:val="401" w:hRule="exact"/>
                    </w:trPr>
                    <w:tc>
                      <w:tcPr>
                        <w:tcW w:w="1650" w:type="dxa"/>
                        <w:vMerge w:val="restart"/>
                        <w:tcBorders>
                          <w:top w:val="single" w:sz="4" w:space="0" w:color="FFFFFF"/>
                          <w:left w:val="single" w:sz="4" w:space="0" w:color="000000"/>
                          <w:right w:val="single" w:sz="4" w:space="0" w:color="000000"/>
                        </w:tcBorders>
                        <w:shd w:val="clear" w:color="auto" w:fill="D2D2D2"/>
                      </w:tcPr>
                      <w:p>
                        <w:pPr>
                          <w:pStyle w:val="TableParagraph"/>
                          <w:spacing w:line="314" w:lineRule="auto" w:before="94"/>
                          <w:ind w:left="22" w:right="22"/>
                          <w:jc w:val="left"/>
                          <w:rPr>
                            <w:rFonts w:ascii="宋体" w:hAnsi="宋体" w:cs="宋体" w:eastAsia="宋体" w:hint="default"/>
                            <w:sz w:val="18"/>
                            <w:szCs w:val="18"/>
                          </w:rPr>
                        </w:pPr>
                        <w:r>
                          <w:rPr>
                            <w:rFonts w:ascii="宋体" w:hAnsi="宋体" w:cs="宋体" w:eastAsia="宋体" w:hint="default"/>
                            <w:spacing w:val="-3"/>
                            <w:sz w:val="18"/>
                            <w:szCs w:val="18"/>
                          </w:rPr>
                          <w:t>超募资金的金额、用</w:t>
                        </w:r>
                        <w:r>
                          <w:rPr>
                            <w:rFonts w:ascii="宋体" w:hAnsi="宋体" w:cs="宋体" w:eastAsia="宋体" w:hint="default"/>
                            <w:sz w:val="18"/>
                            <w:szCs w:val="18"/>
                          </w:rPr>
                          <w:t> 途及使用进展情况</w:t>
                        </w:r>
                      </w:p>
                    </w:tc>
                    <w:tc>
                      <w:tcPr>
                        <w:tcW w:w="7912"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3"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4.63 </w:t>
                        </w:r>
                        <w:r>
                          <w:rPr>
                            <w:rFonts w:ascii="宋体" w:hAnsi="宋体" w:cs="宋体" w:eastAsia="宋体" w:hint="default"/>
                            <w:sz w:val="18"/>
                            <w:szCs w:val="18"/>
                          </w:rPr>
                          <w:t>万元，用于补充公司流动资金，截至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日已用于补充流动资金。</w:t>
                        </w:r>
                      </w:p>
                    </w:tc>
                  </w:tr>
                  <w:tr>
                    <w:trPr>
                      <w:trHeight w:val="401"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2"/>
                            <w:szCs w:val="22"/>
                          </w:rPr>
                        </w:pPr>
                      </w:p>
                      <w:p>
                        <w:pPr>
                          <w:pStyle w:val="TableParagraph"/>
                          <w:spacing w:line="316" w:lineRule="auto"/>
                          <w:ind w:left="22" w:right="177"/>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650" w:type="dxa"/>
                        <w:vMerge/>
                        <w:tcBorders>
                          <w:left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9" w:lineRule="auto"/>
                          <w:ind w:left="22" w:right="177"/>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650" w:type="dxa"/>
                        <w:vMerge/>
                        <w:tcBorders>
                          <w:left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2" w:right="177"/>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7"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pacing w:val="-3"/>
                            <w:sz w:val="18"/>
                            <w:szCs w:val="18"/>
                          </w:rPr>
                          <w:t>日，公司第二届董事会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年第三次会议和第二届监事会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年第一次会议审议通</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过，并经独立董事发表独立意见，同意公司使用募集资金</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106,241,143.30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元置换预先已投入募集资金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投资项目的自筹资金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106,241,143.30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元。上述置换已于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日实施完毕。</w:t>
                        </w:r>
                      </w:p>
                    </w:tc>
                  </w:tr>
                  <w:tr>
                    <w:trPr>
                      <w:trHeight w:val="401"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2" w:right="177"/>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2" w:right="177"/>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77"/>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0"/>
                          <w:jc w:val="left"/>
                          <w:rPr>
                            <w:rFonts w:ascii="宋体" w:hAnsi="宋体" w:cs="宋体" w:eastAsia="宋体" w:hint="default"/>
                            <w:sz w:val="18"/>
                            <w:szCs w:val="18"/>
                          </w:rPr>
                        </w:pPr>
                        <w:r>
                          <w:rPr>
                            <w:rFonts w:ascii="宋体" w:hAnsi="宋体" w:cs="宋体" w:eastAsia="宋体" w:hint="default"/>
                            <w:spacing w:val="-4"/>
                            <w:sz w:val="18"/>
                            <w:szCs w:val="18"/>
                          </w:rPr>
                          <w:t>公司已与银行机构、西南证券签订了募集资金三方监管协议，尚未使用募集资金的存放于专用账户中</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公司募集资金的使用合理、规范，信息披露及时、准确、完整。</w:t>
                        </w:r>
                      </w:p>
                    </w:tc>
                  </w:tr>
                  <w:tr>
                    <w:trPr>
                      <w:trHeight w:val="1027"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77"/>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公司募集资金的使用合理、规范，信息披露及时、准确、完整。</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72"/>
        <w:ind w:right="1134"/>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1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5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8"/>
        <w:gridCol w:w="958"/>
        <w:gridCol w:w="958"/>
        <w:gridCol w:w="956"/>
        <w:gridCol w:w="958"/>
        <w:gridCol w:w="955"/>
        <w:gridCol w:w="958"/>
        <w:gridCol w:w="958"/>
      </w:tblGrid>
      <w:tr>
        <w:trPr>
          <w:trHeight w:val="1337"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84" w:right="22" w:hanging="361"/>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23" w:right="22"/>
              <w:jc w:val="center"/>
              <w:rPr>
                <w:rFonts w:ascii="Times New Roman" w:hAnsi="Times New Roman" w:cs="Times New Roman" w:eastAsia="Times New Roman" w:hint="default"/>
                <w:sz w:val="18"/>
                <w:szCs w:val="18"/>
              </w:rPr>
            </w:pPr>
            <w:r>
              <w:rPr>
                <w:rFonts w:ascii="宋体" w:hAnsi="宋体" w:cs="宋体" w:eastAsia="宋体" w:hint="default"/>
                <w:sz w:val="18"/>
                <w:szCs w:val="18"/>
              </w:rPr>
              <w:t>变更后项目 拟投入募集 资金总额 </w:t>
            </w:r>
            <w:r>
              <w:rPr>
                <w:rFonts w:ascii="Times New Roman" w:hAnsi="Times New Roman" w:cs="Times New Roman" w:eastAsia="Times New Roman" w:hint="default"/>
                <w:sz w:val="18"/>
                <w:szCs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3"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2" w:right="19"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4" w:right="22" w:hanging="181"/>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both"/>
              <w:rPr>
                <w:rFonts w:ascii="宋体" w:hAnsi="宋体" w:cs="宋体" w:eastAsia="宋体" w:hint="default"/>
                <w:sz w:val="18"/>
                <w:szCs w:val="18"/>
              </w:rPr>
            </w:pPr>
            <w:r>
              <w:rPr>
                <w:rFonts w:ascii="宋体" w:hAnsi="宋体" w:cs="宋体" w:eastAsia="宋体" w:hint="default"/>
                <w:sz w:val="18"/>
                <w:szCs w:val="18"/>
              </w:rPr>
              <w:t>上海嘉定绿 色云计算基 地项目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23"/>
              <w:jc w:val="left"/>
              <w:rPr>
                <w:rFonts w:ascii="宋体" w:hAnsi="宋体" w:cs="宋体" w:eastAsia="宋体" w:hint="default"/>
                <w:sz w:val="18"/>
                <w:szCs w:val="18"/>
              </w:rPr>
            </w:pPr>
            <w:r>
              <w:rPr>
                <w:rFonts w:ascii="宋体" w:hAnsi="宋体" w:cs="宋体" w:eastAsia="宋体" w:hint="default"/>
                <w:sz w:val="18"/>
                <w:szCs w:val="18"/>
              </w:rPr>
              <w:t>宽带接入服 务拓展</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9,038.84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235.58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9,146.58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101.19%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9,038.84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235.58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9,146.58</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362" w:hRule="exact"/>
        </w:trPr>
        <w:tc>
          <w:tcPr>
            <w:tcW w:w="28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5"/>
                <w:sz w:val="18"/>
                <w:szCs w:val="18"/>
              </w:rPr>
              <w:t>变更原因、决策程序及信息披露情况</w:t>
            </w:r>
          </w:p>
        </w:tc>
        <w:tc>
          <w:tcPr>
            <w:tcW w:w="6699" w:type="dxa"/>
            <w:gridSpan w:val="7"/>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w w:val="95"/>
                <w:sz w:val="18"/>
                <w:szCs w:val="18"/>
              </w:rPr>
              <w:t>为顺应  </w:t>
            </w:r>
            <w:r>
              <w:rPr>
                <w:rFonts w:ascii="Times New Roman" w:hAnsi="Times New Roman" w:cs="Times New Roman" w:eastAsia="Times New Roman" w:hint="default"/>
                <w:w w:val="95"/>
                <w:sz w:val="18"/>
                <w:szCs w:val="18"/>
              </w:rPr>
              <w:t>IDC   </w:t>
            </w:r>
            <w:r>
              <w:rPr>
                <w:rFonts w:ascii="Times New Roman" w:hAnsi="Times New Roman" w:cs="Times New Roman" w:eastAsia="Times New Roman" w:hint="default"/>
                <w:spacing w:val="18"/>
                <w:w w:val="95"/>
                <w:sz w:val="18"/>
                <w:szCs w:val="18"/>
              </w:rPr>
              <w:t> </w:t>
            </w:r>
            <w:r>
              <w:rPr>
                <w:rFonts w:ascii="宋体" w:hAnsi="宋体" w:cs="宋体" w:eastAsia="宋体" w:hint="default"/>
                <w:w w:val="95"/>
                <w:sz w:val="18"/>
                <w:szCs w:val="18"/>
              </w:rPr>
              <w:t>迅速发展的市场行情，抓住云计算、大数据的发展契机，落实公司战略发</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73"/>
        <w:gridCol w:w="6699"/>
      </w:tblGrid>
      <w:tr>
        <w:trPr>
          <w:trHeight w:val="1923"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8"/>
              <w:ind w:left="23" w:right="2"/>
              <w:jc w:val="both"/>
              <w:rPr>
                <w:rFonts w:ascii="宋体" w:hAnsi="宋体" w:cs="宋体" w:eastAsia="宋体" w:hint="default"/>
                <w:sz w:val="18"/>
                <w:szCs w:val="18"/>
              </w:rPr>
            </w:pPr>
            <w:r>
              <w:rPr>
                <w:rFonts w:ascii="宋体" w:hAnsi="宋体" w:cs="宋体" w:eastAsia="宋体" w:hint="default"/>
                <w:spacing w:val="-5"/>
                <w:sz w:val="18"/>
                <w:szCs w:val="18"/>
              </w:rPr>
              <w:t>展布局，经公司第二届董事会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年第八次董事会和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年第二次临时股东大会审 议通过，同意公司终止</w:t>
            </w:r>
            <w:r>
              <w:rPr>
                <w:rFonts w:ascii="Times New Roman" w:hAnsi="Times New Roman" w:cs="Times New Roman" w:eastAsia="Times New Roman" w:hint="default"/>
                <w:sz w:val="18"/>
                <w:szCs w:val="18"/>
              </w:rPr>
              <w:t>"</w:t>
            </w:r>
            <w:r>
              <w:rPr>
                <w:rFonts w:ascii="宋体" w:hAnsi="宋体" w:cs="宋体" w:eastAsia="宋体" w:hint="default"/>
                <w:sz w:val="18"/>
                <w:szCs w:val="18"/>
              </w:rPr>
              <w:t>宽带接入服务拓展项目</w:t>
            </w:r>
            <w:r>
              <w:rPr>
                <w:rFonts w:ascii="Times New Roman" w:hAnsi="Times New Roman" w:cs="Times New Roman" w:eastAsia="Times New Roman" w:hint="default"/>
                <w:sz w:val="18"/>
                <w:szCs w:val="18"/>
              </w:rPr>
              <w:t>"</w:t>
            </w:r>
            <w:r>
              <w:rPr>
                <w:rFonts w:ascii="宋体" w:hAnsi="宋体" w:cs="宋体" w:eastAsia="宋体" w:hint="default"/>
                <w:sz w:val="18"/>
                <w:szCs w:val="18"/>
              </w:rPr>
              <w:t>，变更该项目募集资金投向收购上海 明月光学有限公司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股权。股权转让完成后，上海明月光学有限公司成为公司的 全资子公司，负责实施上海嘉定绿色云计算基地项目，目前该项目正处于建设阶段。 该项目的实施符合公司立足北京，面向全国的发展布局，开拓了京外市场，进一步提 升了公司的综合竞争力。</w:t>
            </w:r>
          </w:p>
        </w:tc>
      </w:tr>
      <w:tr>
        <w:trPr>
          <w:trHeight w:val="713"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38"/>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1"/>
                <w:sz w:val="18"/>
                <w:szCs w:val="18"/>
              </w:rPr>
              <w:t>截至报告期末，该募集资金账户余额已全部用于支付收购款项，收购工作已完成并已</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取得变更后的营业执照。上海嘉定绿色云计算基地项目目前正处于建设阶段。</w:t>
            </w:r>
          </w:p>
        </w:tc>
      </w:tr>
      <w:tr>
        <w:trPr>
          <w:trHeight w:val="715"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38"/>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
        <w:rPr>
          <w:rFonts w:ascii="宋体" w:hAnsi="宋体" w:cs="宋体" w:eastAsia="宋体" w:hint="default"/>
          <w:sz w:val="18"/>
          <w:szCs w:val="18"/>
        </w:rPr>
      </w:pPr>
    </w:p>
    <w:p>
      <w:pPr>
        <w:pStyle w:val="Heading2"/>
        <w:spacing w:line="240" w:lineRule="auto" w:before="26"/>
        <w:ind w:right="1134"/>
        <w:jc w:val="left"/>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4"/>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3"/>
        <w:rPr>
          <w:rFonts w:ascii="宋体" w:hAnsi="宋体" w:cs="宋体" w:eastAsia="宋体" w:hint="default"/>
          <w:sz w:val="21"/>
          <w:szCs w:val="21"/>
        </w:rPr>
      </w:pPr>
    </w:p>
    <w:p>
      <w:pPr>
        <w:pStyle w:val="Heading3"/>
        <w:spacing w:line="240" w:lineRule="auto"/>
        <w:ind w:right="1134"/>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4"/>
        <w:jc w:val="left"/>
        <w:rPr>
          <w:b w:val="0"/>
          <w:bCs w:val="0"/>
        </w:rPr>
      </w:pP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979" w:top="1060" w:bottom="1160" w:left="980" w:right="980"/>
        </w:sectPr>
      </w:pPr>
    </w:p>
    <w:p>
      <w:pPr>
        <w:pStyle w:val="BodyText"/>
        <w:spacing w:line="240" w:lineRule="auto" w:before="44"/>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right="-18"/>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2" w:equalWidth="0">
            <w:col w:w="4851" w:space="4069"/>
            <w:col w:w="103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7"/>
        <w:gridCol w:w="1046"/>
        <w:gridCol w:w="1044"/>
        <w:gridCol w:w="1045"/>
        <w:gridCol w:w="1046"/>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5"/>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34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4" w:right="118"/>
              <w:jc w:val="left"/>
              <w:rPr>
                <w:rFonts w:ascii="宋体" w:hAnsi="宋体" w:cs="宋体" w:eastAsia="宋体" w:hint="default"/>
                <w:sz w:val="18"/>
                <w:szCs w:val="18"/>
              </w:rPr>
            </w:pPr>
            <w:r>
              <w:rPr>
                <w:rFonts w:ascii="宋体" w:hAnsi="宋体" w:cs="宋体" w:eastAsia="宋体" w:hint="default"/>
                <w:sz w:val="18"/>
                <w:szCs w:val="18"/>
              </w:rPr>
              <w:t>光环云谷科 技有限公司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0"/>
              <w:jc w:val="left"/>
              <w:rPr>
                <w:rFonts w:ascii="宋体" w:hAnsi="宋体" w:cs="宋体" w:eastAsia="宋体" w:hint="default"/>
                <w:sz w:val="18"/>
                <w:szCs w:val="18"/>
              </w:rPr>
            </w:pPr>
            <w:r>
              <w:rPr>
                <w:rFonts w:ascii="宋体" w:hAnsi="宋体" w:cs="宋体" w:eastAsia="宋体" w:hint="default"/>
                <w:sz w:val="18"/>
                <w:szCs w:val="18"/>
              </w:rPr>
              <w:t>软件和信息 技术服务 业、互联网 和相关服务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6"/>
              <w:jc w:val="right"/>
              <w:rPr>
                <w:rFonts w:ascii="Times New Roman" w:hAnsi="Times New Roman" w:cs="Times New Roman" w:eastAsia="Times New Roman" w:hint="default"/>
                <w:sz w:val="18"/>
                <w:szCs w:val="18"/>
              </w:rPr>
            </w:pPr>
            <w:r>
              <w:rPr>
                <w:rFonts w:ascii="Times New Roman"/>
                <w:spacing w:val="-1"/>
                <w:sz w:val="18"/>
              </w:rPr>
              <w:t>51,800,000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233,638,360.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93,268,322.1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87,793,031.7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27,883,957.2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24,888,084.9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w:t>
            </w:r>
          </w:p>
        </w:tc>
      </w:tr>
    </w:tbl>
    <w:p>
      <w:pPr>
        <w:pStyle w:val="BodyText"/>
        <w:spacing w:line="240" w:lineRule="auto" w:before="49"/>
        <w:ind w:right="1134"/>
        <w:jc w:val="left"/>
      </w:pPr>
      <w:r>
        <w:rPr/>
        <w:t>报告期内取得和处置子公司的情况</w:t>
      </w:r>
    </w:p>
    <w:p>
      <w:pPr>
        <w:pStyle w:val="BodyText"/>
        <w:spacing w:line="240" w:lineRule="auto" w:before="115"/>
        <w:ind w:right="1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北京德信致远科技有限公司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报告期内无重大影响</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北京科信盛彩置业有限公司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报告期内无重大影响</w:t>
            </w:r>
          </w:p>
        </w:tc>
      </w:tr>
    </w:tbl>
    <w:p>
      <w:pPr>
        <w:pStyle w:val="BodyText"/>
        <w:spacing w:line="240" w:lineRule="auto" w:before="49"/>
        <w:ind w:right="1134"/>
        <w:jc w:val="left"/>
      </w:pPr>
      <w:r>
        <w:rPr/>
        <w:t>主要控股参股公司情况说明</w:t>
      </w:r>
    </w:p>
    <w:p>
      <w:pPr>
        <w:spacing w:line="240" w:lineRule="auto" w:before="10"/>
        <w:rPr>
          <w:rFonts w:ascii="宋体" w:hAnsi="宋体" w:cs="宋体" w:eastAsia="宋体" w:hint="default"/>
          <w:sz w:val="17"/>
          <w:szCs w:val="17"/>
        </w:rPr>
      </w:pPr>
    </w:p>
    <w:p>
      <w:pPr>
        <w:pStyle w:val="BodyText"/>
        <w:spacing w:line="316" w:lineRule="auto"/>
        <w:ind w:right="144" w:firstLine="360"/>
        <w:jc w:val="left"/>
      </w:pPr>
      <w:r>
        <w:rPr/>
        <w:t>（</w:t>
      </w:r>
      <w:r>
        <w:rPr>
          <w:rFonts w:ascii="宋体" w:hAnsi="宋体" w:cs="宋体" w:eastAsia="宋体" w:hint="default"/>
        </w:rPr>
        <w:t>1</w:t>
      </w:r>
      <w:r>
        <w:rPr/>
        <w:t>）本公司于</w:t>
      </w:r>
      <w:r>
        <w:rPr>
          <w:rFonts w:ascii="宋体" w:hAnsi="宋体" w:cs="宋体" w:eastAsia="宋体" w:hint="default"/>
        </w:rPr>
        <w:t>2015</w:t>
      </w:r>
      <w:r>
        <w:rPr/>
        <w:t>年</w:t>
      </w:r>
      <w:r>
        <w:rPr>
          <w:rFonts w:ascii="宋体" w:hAnsi="宋体" w:cs="宋体" w:eastAsia="宋体" w:hint="default"/>
        </w:rPr>
        <w:t>10</w:t>
      </w:r>
      <w:r>
        <w:rPr/>
        <w:t>月以</w:t>
      </w:r>
      <w:r>
        <w:rPr>
          <w:rFonts w:ascii="宋体" w:hAnsi="宋体" w:cs="宋体" w:eastAsia="宋体" w:hint="default"/>
        </w:rPr>
        <w:t>136,426,475</w:t>
      </w:r>
      <w:r>
        <w:rPr/>
        <w:t>元购买北京德信致远科技有限公司</w:t>
      </w:r>
      <w:r>
        <w:rPr>
          <w:rFonts w:ascii="宋体" w:hAnsi="宋体" w:cs="宋体" w:eastAsia="宋体" w:hint="default"/>
        </w:rPr>
        <w:t>100.00%</w:t>
      </w:r>
      <w:r>
        <w:rPr/>
        <w:t>股权，由于北京德信致远科技有限 公司不构成业务，不属于非同一控制下企业合并。从购买日起北京德信致远科技有限公司成为本公司的子公司。</w:t>
      </w:r>
    </w:p>
    <w:p>
      <w:pPr>
        <w:spacing w:after="0" w:line="316" w:lineRule="auto"/>
        <w:jc w:val="left"/>
        <w:sectPr>
          <w:type w:val="continuous"/>
          <w:pgSz w:w="11910" w:h="16840"/>
          <w:pgMar w:top="1060" w:bottom="1160" w:left="980" w:right="980"/>
        </w:sectPr>
      </w:pPr>
    </w:p>
    <w:p>
      <w:pPr>
        <w:spacing w:line="240" w:lineRule="auto" w:before="10"/>
        <w:rPr>
          <w:rFonts w:ascii="宋体" w:hAnsi="宋体" w:cs="宋体" w:eastAsia="宋体" w:hint="default"/>
          <w:sz w:val="25"/>
          <w:szCs w:val="25"/>
        </w:rPr>
      </w:pPr>
    </w:p>
    <w:p>
      <w:pPr>
        <w:pStyle w:val="BodyText"/>
        <w:spacing w:line="316" w:lineRule="auto" w:before="44"/>
        <w:ind w:right="190" w:firstLine="360"/>
        <w:jc w:val="both"/>
      </w:pPr>
      <w:r>
        <w:rPr/>
        <w:t>（</w:t>
      </w:r>
      <w:r>
        <w:rPr>
          <w:rFonts w:ascii="宋体" w:hAnsi="宋体" w:cs="宋体" w:eastAsia="宋体" w:hint="default"/>
        </w:rPr>
        <w:t>2</w:t>
      </w:r>
      <w:r>
        <w:rPr/>
        <w:t>）本公司于</w:t>
      </w:r>
      <w:r>
        <w:rPr>
          <w:rFonts w:ascii="宋体" w:hAnsi="宋体" w:cs="宋体" w:eastAsia="宋体" w:hint="default"/>
        </w:rPr>
        <w:t>2015</w:t>
      </w:r>
      <w:r>
        <w:rPr/>
        <w:t>年</w:t>
      </w:r>
      <w:r>
        <w:rPr>
          <w:rFonts w:ascii="宋体" w:hAnsi="宋体" w:cs="宋体" w:eastAsia="宋体" w:hint="default"/>
        </w:rPr>
        <w:t>12</w:t>
      </w:r>
      <w:r>
        <w:rPr/>
        <w:t>月以</w:t>
      </w:r>
      <w:r>
        <w:rPr>
          <w:rFonts w:ascii="宋体" w:hAnsi="宋体" w:cs="宋体" w:eastAsia="宋体" w:hint="default"/>
        </w:rPr>
        <w:t>68,700,000</w:t>
      </w:r>
      <w:r>
        <w:rPr/>
        <w:t>元增资取得北京科信盛彩置业有限公司</w:t>
      </w:r>
      <w:r>
        <w:rPr>
          <w:rFonts w:ascii="宋体" w:hAnsi="宋体" w:cs="宋体" w:eastAsia="宋体" w:hint="default"/>
        </w:rPr>
        <w:t>15.00%</w:t>
      </w:r>
      <w:r>
        <w:rPr/>
        <w:t>股权，本公司的母公司北京百汇 </w:t>
      </w:r>
      <w:r>
        <w:rPr>
          <w:spacing w:val="-2"/>
        </w:rPr>
        <w:t>达投资管理有限公司增资取得北京科信盛彩置业有限公司</w:t>
      </w:r>
      <w:r>
        <w:rPr>
          <w:rFonts w:ascii="宋体" w:hAnsi="宋体" w:cs="宋体" w:eastAsia="宋体" w:hint="default"/>
          <w:spacing w:val="-2"/>
        </w:rPr>
        <w:t>36.00%</w:t>
      </w:r>
      <w:r>
        <w:rPr>
          <w:spacing w:val="-2"/>
        </w:rPr>
        <w:t>股权，同时本公司与母公司北京百汇达投资管理有限公司签</w:t>
      </w:r>
      <w:r>
        <w:rPr>
          <w:spacing w:val="-60"/>
        </w:rPr>
        <w:t> </w:t>
      </w:r>
      <w:r>
        <w:rPr>
          <w:spacing w:val="-60"/>
        </w:rPr>
      </w:r>
      <w:r>
        <w:rPr>
          <w:spacing w:val="-2"/>
        </w:rPr>
        <w:t>订一致行动协议，约定自投资完成之日起，在决定北京科信盛彩置业有限公司有关经营发展、且须北京科信盛彩置业有限公</w:t>
      </w:r>
      <w:r>
        <w:rPr>
          <w:spacing w:val="-63"/>
        </w:rPr>
        <w:t> </w:t>
      </w:r>
      <w:r>
        <w:rPr>
          <w:spacing w:val="-63"/>
        </w:rPr>
      </w:r>
      <w:r>
        <w:rPr>
          <w:spacing w:val="-2"/>
        </w:rPr>
        <w:t>司股东会批准的重大事项时，北京百汇达投资管理有限公司将跟随本公司行使股东权利，与本公司保持一致，特别是行使股</w:t>
      </w:r>
      <w:r>
        <w:rPr>
          <w:spacing w:val="-63"/>
        </w:rPr>
        <w:t> </w:t>
      </w:r>
      <w:r>
        <w:rPr>
          <w:spacing w:val="-63"/>
        </w:rPr>
      </w:r>
      <w:r>
        <w:rPr>
          <w:spacing w:val="-2"/>
        </w:rPr>
        <w:t>东会召集权、提案权、表决权时采取一致行动。北京科信盛彩置业有限公司不构成业务，不属于非同一控制下企业合并。从</w:t>
      </w:r>
      <w:r>
        <w:rPr>
          <w:spacing w:val="-67"/>
        </w:rPr>
        <w:t> </w:t>
      </w:r>
      <w:r>
        <w:rPr>
          <w:spacing w:val="-67"/>
        </w:rPr>
      </w:r>
      <w:r>
        <w:rPr/>
        <w:t>购买日起北京科信盛彩置业有限公司成为本公司的子公司。</w:t>
      </w:r>
    </w:p>
    <w:p>
      <w:pPr>
        <w:spacing w:line="240" w:lineRule="auto" w:before="11"/>
        <w:rPr>
          <w:rFonts w:ascii="宋体" w:hAnsi="宋体" w:cs="宋体" w:eastAsia="宋体" w:hint="default"/>
          <w:sz w:val="20"/>
          <w:szCs w:val="20"/>
        </w:rPr>
      </w:pPr>
    </w:p>
    <w:p>
      <w:pPr>
        <w:pStyle w:val="Heading2"/>
        <w:spacing w:line="240" w:lineRule="auto"/>
        <w:ind w:right="0"/>
        <w:jc w:val="both"/>
        <w:rPr>
          <w:b w:val="0"/>
          <w:bCs w:val="0"/>
        </w:rPr>
      </w:pP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4"/>
          <w:szCs w:val="24"/>
        </w:rPr>
      </w:pPr>
    </w:p>
    <w:p>
      <w:pPr>
        <w:pStyle w:val="Heading2"/>
        <w:spacing w:line="240" w:lineRule="auto"/>
        <w:ind w:right="0"/>
        <w:jc w:val="both"/>
        <w:rPr>
          <w:b w:val="0"/>
          <w:bCs w:val="0"/>
        </w:rPr>
      </w:pPr>
      <w:r>
        <w:rPr/>
        <w:t>九、公司未来发展的展望</w:t>
      </w:r>
      <w:r>
        <w:rPr>
          <w:b w:val="0"/>
          <w:bCs w:val="0"/>
        </w:rPr>
      </w:r>
    </w:p>
    <w:p>
      <w:pPr>
        <w:spacing w:line="240" w:lineRule="auto" w:before="6"/>
        <w:rPr>
          <w:rFonts w:ascii="宋体" w:hAnsi="宋体" w:cs="宋体" w:eastAsia="宋体" w:hint="default"/>
          <w:b/>
          <w:bCs/>
          <w:sz w:val="26"/>
          <w:szCs w:val="26"/>
        </w:rPr>
      </w:pPr>
    </w:p>
    <w:p>
      <w:pPr>
        <w:pStyle w:val="BodyText"/>
        <w:spacing w:line="477" w:lineRule="auto"/>
        <w:ind w:left="513" w:right="3423"/>
        <w:jc w:val="left"/>
      </w:pPr>
      <w:r>
        <w:rPr/>
        <w:t>（一）行业发展趋势 公司所从事的宽带接入服务和</w:t>
      </w:r>
      <w:r>
        <w:rPr>
          <w:rFonts w:ascii="宋体" w:hAnsi="宋体" w:cs="宋体" w:eastAsia="宋体" w:hint="default"/>
        </w:rPr>
        <w:t>IDC</w:t>
      </w:r>
      <w:r>
        <w:rPr/>
        <w:t>及其增值服务与互联网行业发展息息相关。</w:t>
      </w:r>
    </w:p>
    <w:p>
      <w:pPr>
        <w:pStyle w:val="BodyText"/>
        <w:spacing w:line="316" w:lineRule="auto" w:before="54"/>
        <w:ind w:right="189" w:firstLine="360"/>
        <w:jc w:val="both"/>
      </w:pPr>
      <w:r>
        <w:rPr/>
        <w:t>中国互联网络信息中心（</w:t>
      </w:r>
      <w:r>
        <w:rPr>
          <w:rFonts w:ascii="宋体" w:hAnsi="宋体" w:cs="宋体" w:eastAsia="宋体" w:hint="default"/>
        </w:rPr>
        <w:t>CNNIC</w:t>
      </w:r>
      <w:r>
        <w:rPr/>
        <w:t>）发布的第</w:t>
      </w:r>
      <w:r>
        <w:rPr>
          <w:rFonts w:ascii="宋体" w:hAnsi="宋体" w:cs="宋体" w:eastAsia="宋体" w:hint="default"/>
        </w:rPr>
        <w:t>37</w:t>
      </w:r>
      <w:r>
        <w:rPr/>
        <w:t>次《中国互联网络发展状况统计报告》显示，截至</w:t>
      </w:r>
      <w:r>
        <w:rPr>
          <w:rFonts w:ascii="宋体" w:hAnsi="宋体" w:cs="宋体" w:eastAsia="宋体" w:hint="default"/>
        </w:rPr>
        <w:t>2015</w:t>
      </w:r>
      <w:r>
        <w:rPr/>
        <w:t>年</w:t>
      </w:r>
      <w:r>
        <w:rPr>
          <w:rFonts w:ascii="宋体" w:hAnsi="宋体" w:cs="宋体" w:eastAsia="宋体" w:hint="default"/>
        </w:rPr>
        <w:t>12</w:t>
      </w:r>
      <w:r>
        <w:rPr/>
        <w:t>月，我国网民 </w:t>
      </w:r>
      <w:r>
        <w:rPr>
          <w:spacing w:val="-2"/>
        </w:rPr>
        <w:t>规模达</w:t>
      </w:r>
      <w:r>
        <w:rPr>
          <w:rFonts w:ascii="宋体" w:hAnsi="宋体" w:cs="宋体" w:eastAsia="宋体" w:hint="default"/>
          <w:spacing w:val="-2"/>
        </w:rPr>
        <w:t>6.88</w:t>
      </w:r>
      <w:r>
        <w:rPr>
          <w:spacing w:val="-2"/>
        </w:rPr>
        <w:t>亿，全年共计新增网民</w:t>
      </w:r>
      <w:r>
        <w:rPr>
          <w:rFonts w:ascii="宋体" w:hAnsi="宋体" w:cs="宋体" w:eastAsia="宋体" w:hint="default"/>
          <w:spacing w:val="-2"/>
        </w:rPr>
        <w:t>3951</w:t>
      </w:r>
      <w:r>
        <w:rPr>
          <w:spacing w:val="-2"/>
        </w:rPr>
        <w:t>万人。互联网普及率为</w:t>
      </w:r>
      <w:r>
        <w:rPr>
          <w:rFonts w:ascii="宋体" w:hAnsi="宋体" w:cs="宋体" w:eastAsia="宋体" w:hint="default"/>
          <w:spacing w:val="-2"/>
        </w:rPr>
        <w:t>50.3%</w:t>
      </w:r>
      <w:r>
        <w:rPr>
          <w:spacing w:val="-2"/>
        </w:rPr>
        <w:t>，较</w:t>
      </w:r>
      <w:r>
        <w:rPr>
          <w:rFonts w:ascii="宋体" w:hAnsi="宋体" w:cs="宋体" w:eastAsia="宋体" w:hint="default"/>
          <w:spacing w:val="-2"/>
        </w:rPr>
        <w:t>2014</w:t>
      </w:r>
      <w:r>
        <w:rPr>
          <w:spacing w:val="-2"/>
        </w:rPr>
        <w:t>年底提升了</w:t>
      </w:r>
      <w:r>
        <w:rPr>
          <w:rFonts w:ascii="宋体" w:hAnsi="宋体" w:cs="宋体" w:eastAsia="宋体" w:hint="default"/>
          <w:spacing w:val="-2"/>
        </w:rPr>
        <w:t>2.4</w:t>
      </w:r>
      <w:r>
        <w:rPr>
          <w:spacing w:val="-2"/>
        </w:rPr>
        <w:t>个百分点。在互联网快速发展的</w:t>
      </w:r>
      <w:r>
        <w:rPr>
          <w:spacing w:val="-51"/>
        </w:rPr>
        <w:t> </w:t>
      </w:r>
      <w:r>
        <w:rPr>
          <w:spacing w:val="-51"/>
        </w:rPr>
      </w:r>
      <w:r>
        <w:rPr/>
        <w:t>同时，互联网应用的程度与深度进一步得到发展，“宽带中国”战略及“互联网</w:t>
      </w:r>
      <w:r>
        <w:rPr>
          <w:rFonts w:ascii="宋体" w:hAnsi="宋体" w:cs="宋体" w:eastAsia="宋体" w:hint="default"/>
        </w:rPr>
        <w:t>+</w:t>
      </w:r>
      <w:r>
        <w:rPr/>
        <w:t>”行动计划的贯彻与推广，进一步提高了 企业互联网使用比例，推动了互联网行业的持续强劲发展势头。</w:t>
      </w:r>
    </w:p>
    <w:p>
      <w:pPr>
        <w:pStyle w:val="BodyText"/>
        <w:spacing w:line="468" w:lineRule="exact" w:before="10"/>
        <w:ind w:left="513" w:right="106"/>
        <w:jc w:val="left"/>
      </w:pPr>
      <w:r>
        <w:rPr/>
        <w:t>（二）公司未来的发展战略 </w:t>
      </w:r>
      <w:r>
        <w:rPr>
          <w:spacing w:val="-2"/>
        </w:rPr>
        <w:t>凭借多年来的经营经验，公司根据行业的发展趋势与市场需求，结合自身特点与宏观经济环境，制定了明确的公司发展</w:t>
      </w:r>
    </w:p>
    <w:p>
      <w:pPr>
        <w:pStyle w:val="BodyText"/>
        <w:spacing w:line="316" w:lineRule="auto" w:before="8"/>
        <w:ind w:right="107"/>
        <w:jc w:val="both"/>
      </w:pPr>
      <w:r>
        <w:rPr/>
        <w:t>目标，即成为国内一流的互联网业务综合解决方案一体化服务商。为此，公司将继续秉承客户第一、服务至上的经营理念，</w:t>
      </w:r>
      <w:r>
        <w:rPr>
          <w:spacing w:val="-86"/>
        </w:rPr>
        <w:t> </w:t>
      </w:r>
      <w:r>
        <w:rPr>
          <w:spacing w:val="-86"/>
        </w:rPr>
      </w:r>
      <w:r>
        <w:rPr/>
        <w:t>以市场需求为导向，以互联网技术发展为基础，不断强化自身核心竞争力，把企业建设成为具有高技术水平、高增长速度、</w:t>
      </w:r>
      <w:r>
        <w:rPr>
          <w:spacing w:val="-86"/>
        </w:rPr>
        <w:t> </w:t>
      </w:r>
      <w:r>
        <w:rPr>
          <w:spacing w:val="-86"/>
        </w:rPr>
      </w:r>
      <w:r>
        <w:rPr/>
        <w:t>高利润率、高客户满意度的一流的互联网综合服务商。</w:t>
      </w:r>
    </w:p>
    <w:p>
      <w:pPr>
        <w:pStyle w:val="BodyText"/>
        <w:spacing w:line="468" w:lineRule="exact" w:before="10"/>
        <w:ind w:left="513" w:right="183"/>
        <w:jc w:val="left"/>
      </w:pPr>
      <w:r>
        <w:rPr/>
        <w:t>（三）</w:t>
      </w:r>
      <w:r>
        <w:rPr>
          <w:rFonts w:ascii="宋体" w:hAnsi="宋体" w:cs="宋体" w:eastAsia="宋体" w:hint="default"/>
        </w:rPr>
        <w:t>2016</w:t>
      </w:r>
      <w:r>
        <w:rPr/>
        <w:t>年度经营计划 </w:t>
      </w:r>
      <w:r>
        <w:rPr>
          <w:rFonts w:ascii="宋体" w:hAnsi="宋体" w:cs="宋体" w:eastAsia="宋体" w:hint="default"/>
        </w:rPr>
        <w:t>2016</w:t>
      </w:r>
      <w:r>
        <w:rPr/>
        <w:t>年度，公司将紧紧围绕企业发展战略，响应“宽带中国”战略及“互联网</w:t>
      </w:r>
      <w:r>
        <w:rPr>
          <w:rFonts w:ascii="宋体" w:hAnsi="宋体" w:cs="宋体" w:eastAsia="宋体" w:hint="default"/>
        </w:rPr>
        <w:t>+</w:t>
      </w:r>
      <w:r>
        <w:rPr/>
        <w:t>”行动计划，大力推动重组配套募集资</w:t>
      </w:r>
    </w:p>
    <w:p>
      <w:pPr>
        <w:pStyle w:val="BodyText"/>
        <w:spacing w:line="240" w:lineRule="auto" w:before="8"/>
        <w:ind w:right="0"/>
        <w:jc w:val="both"/>
      </w:pPr>
      <w:r>
        <w:rPr/>
        <w:t>金项目的落地及建设进程，继续加大研发投入与市场开拓力度，提升云计算服务能力，为公司长期稳定发展奠定坚实基础。</w:t>
      </w:r>
    </w:p>
    <w:p>
      <w:pPr>
        <w:spacing w:line="240" w:lineRule="auto" w:before="10"/>
        <w:rPr>
          <w:rFonts w:ascii="宋体" w:hAnsi="宋体" w:cs="宋体" w:eastAsia="宋体" w:hint="default"/>
          <w:sz w:val="17"/>
          <w:szCs w:val="17"/>
        </w:rPr>
      </w:pPr>
    </w:p>
    <w:p>
      <w:pPr>
        <w:pStyle w:val="BodyText"/>
        <w:spacing w:line="319" w:lineRule="auto"/>
        <w:ind w:right="192" w:firstLine="360"/>
        <w:jc w:val="both"/>
      </w:pPr>
      <w:r>
        <w:rPr>
          <w:spacing w:val="-2"/>
        </w:rPr>
        <w:t>加快配套资金募集，推动项目建设。本次重大资产重组实施工作正在积极进行中。重组项目募集配套资金将用于“燕郊</w:t>
      </w:r>
      <w:r>
        <w:rPr/>
        <w:t> </w:t>
      </w:r>
      <w:r>
        <w:rPr>
          <w:spacing w:val="-2"/>
        </w:rPr>
        <w:t>光环云谷二期项目”、“上海嘉定绿色云计算基地项目”及“房山绿色云计算基地项目”等三个募投项目的实施。募投项目</w:t>
      </w:r>
      <w:r>
        <w:rPr>
          <w:spacing w:val="-71"/>
        </w:rPr>
        <w:t> </w:t>
      </w:r>
      <w:r>
        <w:rPr>
          <w:spacing w:val="-71"/>
        </w:rPr>
      </w:r>
      <w:r>
        <w:rPr/>
        <w:t>的建设，将进一步加强公司原有业务规模，提升公司的服务能力，增强公司的综合竞争力。</w:t>
      </w:r>
    </w:p>
    <w:p>
      <w:pPr>
        <w:spacing w:line="240" w:lineRule="auto" w:before="3"/>
        <w:rPr>
          <w:rFonts w:ascii="宋体" w:hAnsi="宋体" w:cs="宋体" w:eastAsia="宋体" w:hint="default"/>
          <w:sz w:val="13"/>
          <w:szCs w:val="13"/>
        </w:rPr>
      </w:pPr>
    </w:p>
    <w:p>
      <w:pPr>
        <w:pStyle w:val="BodyText"/>
        <w:spacing w:line="316" w:lineRule="auto"/>
        <w:ind w:right="94" w:firstLine="360"/>
        <w:jc w:val="left"/>
      </w:pPr>
      <w:r>
        <w:rPr>
          <w:spacing w:val="-2"/>
        </w:rPr>
        <w:t>继续加大研发投入，增强核心竞争力。公司将继续加大研发投入，逐步完善云计算产品体系，大力推动云计算应用，致</w:t>
      </w:r>
      <w:r>
        <w:rPr/>
        <w:t> 力于为客户提供高品质的云计算一体化解决方案服务；随着公司数据中心规模扩大，公司面临更严峻的数据中心运维压力，</w:t>
      </w:r>
      <w:r>
        <w:rPr>
          <w:spacing w:val="-86"/>
        </w:rPr>
        <w:t> </w:t>
      </w:r>
      <w:r>
        <w:rPr>
          <w:spacing w:val="-86"/>
        </w:rPr>
      </w:r>
      <w:r>
        <w:rPr>
          <w:spacing w:val="-2"/>
        </w:rPr>
        <w:t>因此，公司将加大数据中心智能化管理系统的研发，逐步推广机房智能化管理系统的应用，进一步提升数据中心运维能力及</w:t>
      </w:r>
      <w:r>
        <w:rPr>
          <w:spacing w:val="-63"/>
        </w:rPr>
        <w:t> </w:t>
      </w:r>
      <w:r>
        <w:rPr>
          <w:spacing w:val="-63"/>
        </w:rPr>
      </w:r>
      <w:r>
        <w:rPr/>
        <w:t>服务能力。</w:t>
      </w:r>
    </w:p>
    <w:p>
      <w:pPr>
        <w:spacing w:line="240" w:lineRule="auto" w:before="5"/>
        <w:rPr>
          <w:rFonts w:ascii="宋体" w:hAnsi="宋体" w:cs="宋体" w:eastAsia="宋体" w:hint="default"/>
          <w:sz w:val="13"/>
          <w:szCs w:val="13"/>
        </w:rPr>
      </w:pPr>
    </w:p>
    <w:p>
      <w:pPr>
        <w:pStyle w:val="BodyText"/>
        <w:spacing w:line="319" w:lineRule="auto"/>
        <w:ind w:right="188" w:firstLine="360"/>
        <w:jc w:val="both"/>
      </w:pPr>
      <w:r>
        <w:rPr/>
        <w:t>加强市场开拓力度，助力云计算推广。</w:t>
      </w:r>
      <w:r>
        <w:rPr>
          <w:spacing w:val="12"/>
        </w:rPr>
        <w:t> </w:t>
      </w:r>
      <w:r>
        <w:rPr/>
        <w:t>随着公司项目建设进度的推进及云计算产品的上线，公司服务能力将得到进一</w:t>
      </w:r>
      <w:r>
        <w:rPr/>
        <w:t> </w:t>
      </w:r>
      <w:r>
        <w:rPr>
          <w:spacing w:val="-2"/>
        </w:rPr>
        <w:t>步提升。</w:t>
      </w:r>
      <w:r>
        <w:rPr>
          <w:rFonts w:ascii="宋体" w:hAnsi="宋体" w:cs="宋体" w:eastAsia="宋体" w:hint="default"/>
          <w:spacing w:val="-2"/>
        </w:rPr>
        <w:t>2016</w:t>
      </w:r>
      <w:r>
        <w:rPr>
          <w:spacing w:val="-2"/>
        </w:rPr>
        <w:t>年，公司将继续加强市场开拓力度，根据各地云计算中心建设进度，积极推动与大客户的市场沟通及预销售工</w:t>
      </w:r>
      <w:r>
        <w:rPr>
          <w:spacing w:val="-61"/>
        </w:rPr>
        <w:t> </w:t>
      </w:r>
      <w:r>
        <w:rPr>
          <w:spacing w:val="-61"/>
        </w:rPr>
      </w:r>
      <w:r>
        <w:rPr/>
        <w:t>作，充分储备市场资源，以期有序消化</w:t>
      </w:r>
      <w:r>
        <w:rPr>
          <w:rFonts w:ascii="宋体" w:hAnsi="宋体" w:cs="宋体" w:eastAsia="宋体" w:hint="default"/>
        </w:rPr>
        <w:t>IDC</w:t>
      </w:r>
      <w:r>
        <w:rPr/>
        <w:t>服务增量，保持公司业绩稳定增长；同时，公司将进一步加强云计算产品销售培 </w:t>
      </w:r>
      <w:r>
        <w:rPr>
          <w:spacing w:val="-2"/>
        </w:rPr>
        <w:t>训，完善云计算销售团队建设，大力推动云计算市场开拓，实现云计算营销业绩的飞跃，力争早日成为国内云计算服务的主</w:t>
      </w:r>
      <w:r>
        <w:rPr>
          <w:spacing w:val="-62"/>
        </w:rPr>
        <w:t> </w:t>
      </w:r>
      <w:r>
        <w:rPr>
          <w:spacing w:val="-62"/>
        </w:rPr>
      </w:r>
      <w:r>
        <w:rPr/>
        <w:t>要提供商。</w:t>
      </w:r>
    </w:p>
    <w:p>
      <w:pPr>
        <w:spacing w:line="240" w:lineRule="auto" w:before="3"/>
        <w:rPr>
          <w:rFonts w:ascii="宋体" w:hAnsi="宋体" w:cs="宋体" w:eastAsia="宋体" w:hint="default"/>
          <w:sz w:val="13"/>
          <w:szCs w:val="13"/>
        </w:rPr>
      </w:pPr>
    </w:p>
    <w:p>
      <w:pPr>
        <w:pStyle w:val="BodyText"/>
        <w:spacing w:line="240" w:lineRule="auto"/>
        <w:ind w:left="513" w:right="0"/>
        <w:jc w:val="left"/>
      </w:pPr>
      <w:r>
        <w:rPr/>
        <w:t>继续寻求行业并购，拓展业务范围。为了能够进一步优化公司的业务范围，快速提升公司盈利能力，公司将围绕发展战</w:t>
      </w:r>
    </w:p>
    <w:p>
      <w:pPr>
        <w:spacing w:after="0" w:line="24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t>略和目标，继续寻找行业优质资源，适时进行并购整合，从而不断拓展公司业务范围，提升公司的整体实力和市场竞争力。</w:t>
      </w:r>
    </w:p>
    <w:p>
      <w:pPr>
        <w:spacing w:line="240" w:lineRule="auto" w:before="10"/>
        <w:rPr>
          <w:rFonts w:ascii="宋体" w:hAnsi="宋体" w:cs="宋体" w:eastAsia="宋体" w:hint="default"/>
          <w:sz w:val="17"/>
          <w:szCs w:val="17"/>
        </w:rPr>
      </w:pPr>
    </w:p>
    <w:p>
      <w:pPr>
        <w:pStyle w:val="BodyText"/>
        <w:spacing w:line="316" w:lineRule="auto"/>
        <w:ind w:right="189" w:firstLine="360"/>
        <w:jc w:val="both"/>
      </w:pPr>
      <w:r>
        <w:rPr>
          <w:spacing w:val="-2"/>
        </w:rPr>
        <w:t>着力提升管理能力，完善公司治理。本次重大重组交易完成后，公司将新增中金云网及无双科技两家全资子公司（以下</w:t>
      </w:r>
      <w:r>
        <w:rPr/>
        <w:t> </w:t>
      </w:r>
      <w:r>
        <w:rPr>
          <w:spacing w:val="-2"/>
        </w:rPr>
        <w:t>简称“重组子公司”），为规范公司治理，公司将着力提升管理能力，继续按照《公司法》、《证券法》等有关法律、法规</w:t>
      </w:r>
      <w:r>
        <w:rPr>
          <w:spacing w:val="-72"/>
        </w:rPr>
        <w:t> </w:t>
      </w:r>
      <w:r>
        <w:rPr>
          <w:spacing w:val="-72"/>
        </w:rPr>
      </w:r>
      <w:r>
        <w:rPr>
          <w:spacing w:val="-2"/>
        </w:rPr>
        <w:t>和《公司章程》的要求规范运作，并将在保持重组子公司独立性的基础上，在业务、资产、财务、人员、机构等方面进行全</w:t>
      </w:r>
      <w:r>
        <w:rPr>
          <w:spacing w:val="-65"/>
        </w:rPr>
        <w:t> </w:t>
      </w:r>
      <w:r>
        <w:rPr>
          <w:spacing w:val="-65"/>
        </w:rPr>
      </w:r>
      <w:r>
        <w:rPr>
          <w:spacing w:val="-2"/>
        </w:rPr>
        <w:t>方位的整合，以充分发挥公司与重组子公司的协同效应，在完善公司法人治理结构的同时，进一步推动公司与重组子公司的</w:t>
      </w:r>
      <w:r>
        <w:rPr>
          <w:spacing w:val="-64"/>
        </w:rPr>
        <w:t> </w:t>
      </w:r>
      <w:r>
        <w:rPr>
          <w:spacing w:val="-64"/>
        </w:rPr>
      </w:r>
      <w:r>
        <w:rPr>
          <w:spacing w:val="-5"/>
        </w:rPr>
        <w:t>健康发展。同时，为进一步完善公司治理结构，践行公司与个人共同持续发展的理念，有效调动管理者和公司员工的积极性，</w:t>
      </w:r>
      <w:r>
        <w:rPr>
          <w:spacing w:val="-78"/>
        </w:rPr>
        <w:t> </w:t>
      </w:r>
      <w:r>
        <w:rPr>
          <w:spacing w:val="-78"/>
        </w:rPr>
      </w:r>
      <w:r>
        <w:rPr/>
        <w:t>公司将适时推动股权激励计划的实施，以吸引和保留优秀管理人才和业务骨干，促进公司长期、持续、健康发展。</w:t>
      </w:r>
    </w:p>
    <w:p>
      <w:pPr>
        <w:spacing w:line="240" w:lineRule="auto" w:before="11"/>
        <w:rPr>
          <w:rFonts w:ascii="宋体" w:hAnsi="宋体" w:cs="宋体" w:eastAsia="宋体" w:hint="default"/>
          <w:sz w:val="20"/>
          <w:szCs w:val="20"/>
        </w:rPr>
      </w:pPr>
    </w:p>
    <w:p>
      <w:pPr>
        <w:pStyle w:val="Heading2"/>
        <w:spacing w:line="240" w:lineRule="auto"/>
        <w:ind w:right="106"/>
        <w:jc w:val="left"/>
        <w:rPr>
          <w:b w:val="0"/>
          <w:bCs w:val="0"/>
        </w:rPr>
      </w:pPr>
      <w:r>
        <w:rPr/>
        <w:t>十、接待调研、沟通、采访等活动情况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06"/>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0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7"/>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bl>
    <w:p>
      <w:pPr>
        <w:spacing w:line="240" w:lineRule="auto" w:before="3"/>
        <w:rPr>
          <w:rFonts w:ascii="宋体" w:hAnsi="宋体" w:cs="宋体" w:eastAsia="宋体" w:hint="default"/>
          <w:sz w:val="19"/>
          <w:szCs w:val="19"/>
        </w:rPr>
      </w:pPr>
    </w:p>
    <w:p>
      <w:pPr>
        <w:pStyle w:val="Heading3"/>
        <w:spacing w:line="240" w:lineRule="auto" w:before="36"/>
        <w:ind w:right="106"/>
        <w:jc w:val="left"/>
        <w:rPr>
          <w:b w:val="0"/>
          <w:bCs w:val="0"/>
        </w:rPr>
      </w:pPr>
      <w:r>
        <w:rPr>
          <w:rFonts w:ascii="Times New Roman" w:hAnsi="Times New Roman" w:cs="Times New Roman" w:eastAsia="Times New Roman" w:hint="default"/>
        </w:rPr>
        <w:t>2</w:t>
      </w:r>
      <w:r>
        <w:rPr/>
        <w:t>、报告期末至披露日期间接待调研、沟通、采访等活动登记表</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4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公司报告期期末至披露日期间未发生接待调研、沟通、采访等活动。</w:t>
      </w:r>
    </w:p>
    <w:p>
      <w:pPr>
        <w:spacing w:after="0" w:line="340" w:lineRule="auto"/>
        <w:jc w:val="left"/>
        <w:sectPr>
          <w:pgSz w:w="11910" w:h="16840"/>
          <w:pgMar w:header="745" w:footer="979"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465"/>
        <w:jc w:val="center"/>
        <w:rPr>
          <w:b w:val="0"/>
          <w:bCs w:val="0"/>
        </w:rPr>
      </w:pPr>
      <w:bookmarkStart w:name="_TOC_250006" w:id="5"/>
      <w:r>
        <w:rPr/>
        <w:t>第五节</w:t>
      </w:r>
      <w:r>
        <w:rPr>
          <w:spacing w:val="-2"/>
        </w:rPr>
        <w:t> </w:t>
      </w:r>
      <w:r>
        <w:rPr/>
        <w:t>重要事项</w:t>
      </w:r>
      <w:bookmarkEnd w:id="5"/>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06"/>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06"/>
        <w:jc w:val="left"/>
      </w:pPr>
      <w:r>
        <w:rPr/>
        <w:t>报告期内普通股利润分配政策，特别是现金分红政策的制定、执行或调整情况</w:t>
      </w:r>
    </w:p>
    <w:p>
      <w:pPr>
        <w:pStyle w:val="BodyText"/>
        <w:spacing w:line="240" w:lineRule="auto" w:before="117"/>
        <w:ind w:right="10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9"/>
        <w:rPr>
          <w:rFonts w:ascii="宋体" w:hAnsi="宋体" w:cs="宋体" w:eastAsia="宋体" w:hint="default"/>
          <w:sz w:val="16"/>
          <w:szCs w:val="16"/>
        </w:rPr>
      </w:pPr>
    </w:p>
    <w:p>
      <w:pPr>
        <w:pStyle w:val="BodyText"/>
        <w:spacing w:line="319" w:lineRule="auto"/>
        <w:ind w:right="191" w:firstLine="360"/>
        <w:jc w:val="both"/>
      </w:pPr>
      <w:r>
        <w:rPr>
          <w:spacing w:val="-2"/>
        </w:rPr>
        <w:t>报告期内，公司严格按照相关利润分配政策和审议程序实施利润分配方案，分红标准和分红比例明确、清晰，相关的决</w:t>
      </w:r>
      <w:r>
        <w:rPr/>
        <w:t> </w:t>
      </w:r>
      <w:r>
        <w:rPr>
          <w:spacing w:val="-2"/>
        </w:rPr>
        <w:t>策程序和机制完备；相关议案经由公司董事会、监事会审议后提交股东大会审议，公司独立董事发表了独立意见；并在分配</w:t>
      </w:r>
      <w:r>
        <w:rPr>
          <w:spacing w:val="-65"/>
        </w:rPr>
        <w:t> </w:t>
      </w:r>
      <w:r>
        <w:rPr>
          <w:spacing w:val="-65"/>
        </w:rPr>
      </w:r>
      <w:r>
        <w:rPr/>
        <w:t>方案审议通过后的</w:t>
      </w:r>
      <w:r>
        <w:rPr>
          <w:rFonts w:ascii="Times New Roman" w:hAnsi="Times New Roman" w:cs="Times New Roman" w:eastAsia="Times New Roman" w:hint="default"/>
        </w:rPr>
        <w:t>2</w:t>
      </w:r>
      <w:r>
        <w:rPr/>
        <w:t>个月内进行了权益分派，保证了全体股东的利益。</w:t>
      </w:r>
    </w:p>
    <w:p>
      <w:pPr>
        <w:pStyle w:val="BodyText"/>
        <w:spacing w:line="240" w:lineRule="auto" w:before="153"/>
        <w:ind w:left="513" w:right="106"/>
        <w:jc w:val="left"/>
      </w:pPr>
      <w:r>
        <w:rPr/>
        <w:t>报告期内，公司利润分配政策的执行情况如下：</w:t>
      </w:r>
    </w:p>
    <w:p>
      <w:pPr>
        <w:spacing w:line="240" w:lineRule="auto" w:before="10"/>
        <w:rPr>
          <w:rFonts w:ascii="宋体" w:hAnsi="宋体" w:cs="宋体" w:eastAsia="宋体" w:hint="default"/>
          <w:sz w:val="17"/>
          <w:szCs w:val="17"/>
        </w:rPr>
      </w:pPr>
    </w:p>
    <w:p>
      <w:pPr>
        <w:pStyle w:val="BodyText"/>
        <w:spacing w:line="300" w:lineRule="auto"/>
        <w:ind w:right="188" w:firstLine="360"/>
        <w:jc w:val="both"/>
      </w:pPr>
      <w:r>
        <w:rPr>
          <w:rFonts w:ascii="宋体" w:hAnsi="宋体" w:cs="宋体" w:eastAsia="宋体" w:hint="default"/>
          <w:spacing w:val="-4"/>
        </w:rPr>
        <w:t>1</w:t>
      </w:r>
      <w:r>
        <w:rPr>
          <w:spacing w:val="-4"/>
        </w:rPr>
        <w:t>、根据公司</w:t>
      </w:r>
      <w:r>
        <w:rPr>
          <w:rFonts w:ascii="Times New Roman" w:hAnsi="Times New Roman" w:cs="Times New Roman" w:eastAsia="Times New Roman" w:hint="default"/>
          <w:spacing w:val="-4"/>
        </w:rPr>
        <w:t>2014</w:t>
      </w:r>
      <w:r>
        <w:rPr>
          <w:spacing w:val="-4"/>
        </w:rPr>
        <w:t>年度股东大会审议通过的《关于公司</w:t>
      </w:r>
      <w:r>
        <w:rPr>
          <w:rFonts w:ascii="Times New Roman" w:hAnsi="Times New Roman" w:cs="Times New Roman" w:eastAsia="Times New Roman" w:hint="default"/>
          <w:spacing w:val="-4"/>
        </w:rPr>
        <w:t>2014</w:t>
      </w:r>
      <w:r>
        <w:rPr>
          <w:spacing w:val="-4"/>
        </w:rPr>
        <w:t>年度利润分配及资本公积转增股本方案的议案》，以截至</w:t>
      </w:r>
      <w:r>
        <w:rPr>
          <w:rFonts w:ascii="Times New Roman" w:hAnsi="Times New Roman" w:cs="Times New Roman" w:eastAsia="Times New Roman" w:hint="default"/>
          <w:spacing w:val="-4"/>
        </w:rPr>
        <w:t>2014</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109,160,000</w:t>
      </w:r>
      <w:r>
        <w:rPr/>
        <w:t>股为基数，向全体东每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3</w:t>
      </w:r>
      <w:r>
        <w:rPr/>
        <w:t>元人民币（含税）；同时进行资本公积转增股 </w:t>
      </w:r>
      <w:r>
        <w:rPr>
          <w:spacing w:val="-2"/>
        </w:rPr>
        <w:t>本，以公司总股本</w:t>
      </w:r>
      <w:r>
        <w:rPr>
          <w:rFonts w:ascii="Times New Roman" w:hAnsi="Times New Roman" w:cs="Times New Roman" w:eastAsia="Times New Roman" w:hint="default"/>
          <w:spacing w:val="-2"/>
        </w:rPr>
        <w:t>109,160,000</w:t>
      </w:r>
      <w:r>
        <w:rPr>
          <w:spacing w:val="-2"/>
        </w:rPr>
        <w:t>股为基数，向全体股东每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15</w:t>
      </w:r>
      <w:r>
        <w:rPr>
          <w:spacing w:val="-2"/>
        </w:rPr>
        <w:t>股，转增后公司总股本将增加至</w:t>
      </w:r>
      <w:r>
        <w:rPr>
          <w:rFonts w:ascii="Times New Roman" w:hAnsi="Times New Roman" w:cs="Times New Roman" w:eastAsia="Times New Roman" w:hint="default"/>
          <w:spacing w:val="-2"/>
        </w:rPr>
        <w:t>272,900,000</w:t>
      </w:r>
      <w:r>
        <w:rPr>
          <w:spacing w:val="-2"/>
        </w:rPr>
        <w:t>股。该利润分</w:t>
      </w:r>
      <w:r>
        <w:rPr>
          <w:spacing w:val="-43"/>
        </w:rPr>
        <w:t> </w:t>
      </w:r>
      <w:r>
        <w:rPr>
          <w:spacing w:val="-43"/>
        </w:rPr>
      </w:r>
      <w:r>
        <w:rPr/>
        <w:t>配方案已于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日实施完毕。</w:t>
      </w:r>
    </w:p>
    <w:p>
      <w:pPr>
        <w:spacing w:line="240" w:lineRule="auto" w:before="12"/>
        <w:rPr>
          <w:rFonts w:ascii="宋体" w:hAnsi="宋体" w:cs="宋体" w:eastAsia="宋体" w:hint="default"/>
          <w:sz w:val="12"/>
          <w:szCs w:val="12"/>
        </w:rPr>
      </w:pPr>
    </w:p>
    <w:p>
      <w:pPr>
        <w:pStyle w:val="BodyText"/>
        <w:spacing w:line="300" w:lineRule="auto"/>
        <w:ind w:right="94" w:firstLine="360"/>
        <w:jc w:val="left"/>
      </w:pPr>
      <w:r>
        <w:rPr>
          <w:rFonts w:ascii="宋体" w:hAnsi="宋体" w:cs="宋体" w:eastAsia="宋体" w:hint="default"/>
          <w:spacing w:val="-5"/>
        </w:rPr>
        <w:t>2</w:t>
      </w:r>
      <w:r>
        <w:rPr>
          <w:spacing w:val="-5"/>
        </w:rPr>
        <w:t>、根据公司</w:t>
      </w:r>
      <w:r>
        <w:rPr>
          <w:rFonts w:ascii="Times New Roman" w:hAnsi="Times New Roman" w:cs="Times New Roman" w:eastAsia="Times New Roman" w:hint="default"/>
          <w:spacing w:val="-5"/>
        </w:rPr>
        <w:t>2015</w:t>
      </w:r>
      <w:r>
        <w:rPr>
          <w:spacing w:val="-5"/>
        </w:rPr>
        <w:t>年第三次临时股东大会审议通过的《关于调整</w:t>
      </w:r>
      <w:r>
        <w:rPr>
          <w:rFonts w:ascii="Times New Roman" w:hAnsi="Times New Roman" w:cs="Times New Roman" w:eastAsia="Times New Roman" w:hint="default"/>
          <w:spacing w:val="-5"/>
        </w:rPr>
        <w:t>2015</w:t>
      </w:r>
      <w:r>
        <w:rPr>
          <w:spacing w:val="-5"/>
        </w:rPr>
        <w:t>年半年度利润分配及资本公积转增股本方案的议案》，</w:t>
      </w:r>
      <w:r>
        <w:rPr/>
        <w:t> 以截至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日公司总股本</w:t>
      </w:r>
      <w:r>
        <w:rPr>
          <w:rFonts w:ascii="Times New Roman" w:hAnsi="Times New Roman" w:cs="Times New Roman" w:eastAsia="Times New Roman" w:hint="default"/>
        </w:rPr>
        <w:t>272,900,000</w:t>
      </w:r>
      <w:r>
        <w:rPr/>
        <w:t>股为基数，向全体股东每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0.6</w:t>
      </w:r>
      <w:r>
        <w:rPr/>
        <w:t>元人民币（含税），同时向全体 </w:t>
      </w:r>
      <w:r>
        <w:rPr>
          <w:spacing w:val="-2"/>
        </w:rPr>
        <w:t>股东每</w:t>
      </w:r>
      <w:r>
        <w:rPr>
          <w:rFonts w:ascii="Times New Roman" w:hAnsi="Times New Roman" w:cs="Times New Roman" w:eastAsia="Times New Roman" w:hint="default"/>
          <w:spacing w:val="-2"/>
        </w:rPr>
        <w:t>10</w:t>
      </w:r>
      <w:r>
        <w:rPr>
          <w:spacing w:val="-2"/>
        </w:rPr>
        <w:t>股送红股</w:t>
      </w:r>
      <w:r>
        <w:rPr>
          <w:rFonts w:ascii="Times New Roman" w:hAnsi="Times New Roman" w:cs="Times New Roman" w:eastAsia="Times New Roman" w:hint="default"/>
          <w:spacing w:val="-2"/>
        </w:rPr>
        <w:t>5</w:t>
      </w:r>
      <w:r>
        <w:rPr>
          <w:spacing w:val="-2"/>
        </w:rPr>
        <w:t>股（含税）；并以资本公积金每</w:t>
      </w:r>
      <w:r>
        <w:rPr>
          <w:rFonts w:ascii="Times New Roman" w:hAnsi="Times New Roman" w:cs="Times New Roman" w:eastAsia="Times New Roman" w:hint="default"/>
          <w:spacing w:val="-2"/>
        </w:rPr>
        <w:t>10</w:t>
      </w:r>
      <w:r>
        <w:rPr>
          <w:spacing w:val="-2"/>
        </w:rPr>
        <w:t>股向全体股东转增</w:t>
      </w:r>
      <w:r>
        <w:rPr>
          <w:rFonts w:ascii="Times New Roman" w:hAnsi="Times New Roman" w:cs="Times New Roman" w:eastAsia="Times New Roman" w:hint="default"/>
          <w:spacing w:val="-2"/>
        </w:rPr>
        <w:t>5</w:t>
      </w:r>
      <w:r>
        <w:rPr>
          <w:spacing w:val="-2"/>
        </w:rPr>
        <w:t>股，送增后公司总股本将增加至</w:t>
      </w:r>
      <w:r>
        <w:rPr>
          <w:rFonts w:ascii="Times New Roman" w:hAnsi="Times New Roman" w:cs="Times New Roman" w:eastAsia="Times New Roman" w:hint="default"/>
          <w:spacing w:val="-2"/>
        </w:rPr>
        <w:t>545,800,000</w:t>
      </w:r>
      <w:r>
        <w:rPr>
          <w:spacing w:val="-2"/>
        </w:rPr>
        <w:t>股。该</w:t>
      </w:r>
      <w:r>
        <w:rPr>
          <w:spacing w:val="-54"/>
        </w:rPr>
        <w:t> </w:t>
      </w:r>
      <w:r>
        <w:rPr>
          <w:spacing w:val="-54"/>
        </w:rPr>
      </w:r>
      <w:r>
        <w:rPr/>
        <w:t>利润分配方案已于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8</w:t>
      </w:r>
      <w:r>
        <w:rPr/>
        <w:t>日实施完毕。</w:t>
      </w:r>
    </w:p>
    <w:p>
      <w:pPr>
        <w:spacing w:line="240" w:lineRule="auto" w:before="3"/>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396"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8"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9"/>
        <w:ind w:right="106"/>
        <w:jc w:val="left"/>
      </w:pPr>
      <w:r>
        <w:rPr/>
        <w:t>公司报告期利润分配预案及资本公积金转增股本预案与公司章程和分红管理办法等的相关规定一致</w:t>
      </w:r>
    </w:p>
    <w:p>
      <w:pPr>
        <w:pStyle w:val="BodyText"/>
        <w:spacing w:line="348" w:lineRule="auto" w:before="117"/>
        <w:ind w:right="33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 </w:t>
      </w:r>
      <w:r>
        <w:rPr/>
        <w:t>不适用 公司报告期利润分配预案及资本公积金转增股本预案符合公司章程等的相关规定。 本年度利润分配及资本公积金转增股本预案</w:t>
      </w:r>
    </w:p>
    <w:p>
      <w:pPr>
        <w:spacing w:line="240" w:lineRule="auto" w:before="2"/>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3717"/>
        <w:gridCol w:w="5852"/>
      </w:tblGrid>
      <w:tr>
        <w:trPr>
          <w:trHeight w:val="40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0.20</w:t>
            </w:r>
          </w:p>
        </w:tc>
      </w:tr>
      <w:tr>
        <w:trPr>
          <w:trHeight w:val="40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545,800,000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708"/>
        <w:gridCol w:w="5863"/>
      </w:tblGrid>
      <w:tr>
        <w:trPr>
          <w:trHeight w:val="402"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10,916,000.00</w:t>
            </w:r>
          </w:p>
        </w:tc>
      </w:tr>
      <w:tr>
        <w:trPr>
          <w:trHeight w:val="402"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86,708,495.90</w:t>
            </w:r>
          </w:p>
        </w:tc>
      </w:tr>
      <w:tr>
        <w:trPr>
          <w:trHeight w:val="402"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78"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1"/>
                <w:sz w:val="18"/>
                <w:szCs w:val="18"/>
              </w:rPr>
              <w:t>公司发展阶段属成长期且有重大资金支出安排的，进行利润分配时，现金分红在本次利润分配中所占比例最低应达到</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3"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3"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以截至</w:t>
            </w:r>
            <w:r>
              <w:rPr>
                <w:rFonts w:ascii="宋体" w:hAnsi="宋体" w:cs="宋体" w:eastAsia="宋体" w:hint="default"/>
                <w:spacing w:val="-45"/>
                <w:sz w:val="18"/>
                <w:szCs w:val="18"/>
              </w:rPr>
              <w:t> </w:t>
            </w:r>
            <w:r>
              <w:rPr>
                <w:rFonts w:ascii="宋体" w:hAnsi="宋体" w:cs="宋体" w:eastAsia="宋体" w:hint="default"/>
                <w:sz w:val="18"/>
                <w:szCs w:val="18"/>
              </w:rPr>
              <w:t>2015</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日公司总股本</w:t>
            </w:r>
            <w:r>
              <w:rPr>
                <w:rFonts w:ascii="宋体" w:hAnsi="宋体" w:cs="宋体" w:eastAsia="宋体" w:hint="default"/>
                <w:spacing w:val="-45"/>
                <w:sz w:val="18"/>
                <w:szCs w:val="18"/>
              </w:rPr>
              <w:t> </w:t>
            </w:r>
            <w:r>
              <w:rPr>
                <w:rFonts w:ascii="宋体" w:hAnsi="宋体" w:cs="宋体" w:eastAsia="宋体" w:hint="default"/>
                <w:sz w:val="18"/>
                <w:szCs w:val="18"/>
              </w:rPr>
              <w:t>54,580</w:t>
            </w:r>
            <w:r>
              <w:rPr>
                <w:rFonts w:ascii="宋体" w:hAnsi="宋体" w:cs="宋体" w:eastAsia="宋体" w:hint="default"/>
                <w:spacing w:val="-44"/>
                <w:sz w:val="18"/>
                <w:szCs w:val="18"/>
              </w:rPr>
              <w:t> </w:t>
            </w:r>
            <w:r>
              <w:rPr>
                <w:rFonts w:ascii="宋体" w:hAnsi="宋体" w:cs="宋体" w:eastAsia="宋体" w:hint="default"/>
                <w:sz w:val="18"/>
                <w:szCs w:val="18"/>
              </w:rPr>
              <w:t>万股为基数，向全体股东每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股派发现金红利</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元人民币</w:t>
            </w:r>
            <w:r>
              <w:rPr>
                <w:rFonts w:ascii="宋体" w:hAnsi="宋体" w:cs="宋体" w:eastAsia="宋体" w:hint="default"/>
                <w:sz w:val="18"/>
                <w:szCs w:val="18"/>
              </w:rPr>
              <w:t>(</w:t>
            </w:r>
            <w:r>
              <w:rPr>
                <w:rFonts w:ascii="宋体" w:hAnsi="宋体" w:cs="宋体" w:eastAsia="宋体" w:hint="default"/>
                <w:sz w:val="18"/>
                <w:szCs w:val="18"/>
              </w:rPr>
              <w:t>含税</w:t>
            </w:r>
            <w:r>
              <w:rPr>
                <w:rFonts w:ascii="宋体" w:hAnsi="宋体" w:cs="宋体" w:eastAsia="宋体" w:hint="default"/>
                <w:sz w:val="18"/>
                <w:szCs w:val="18"/>
              </w:rPr>
              <w:t>)</w:t>
            </w:r>
            <w:r>
              <w:rPr>
                <w:rFonts w:ascii="宋体" w:hAnsi="宋体" w:cs="宋体" w:eastAsia="宋体" w:hint="default"/>
                <w:sz w:val="18"/>
                <w:szCs w:val="18"/>
              </w:rPr>
              <w:t>，合计</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派发现金股利</w:t>
            </w:r>
            <w:r>
              <w:rPr>
                <w:rFonts w:ascii="宋体" w:hAnsi="宋体" w:cs="宋体" w:eastAsia="宋体" w:hint="default"/>
                <w:spacing w:val="-47"/>
                <w:sz w:val="18"/>
                <w:szCs w:val="18"/>
              </w:rPr>
              <w:t> </w:t>
            </w:r>
            <w:r>
              <w:rPr>
                <w:rFonts w:ascii="宋体" w:hAnsi="宋体" w:cs="宋体" w:eastAsia="宋体" w:hint="default"/>
                <w:sz w:val="18"/>
                <w:szCs w:val="18"/>
              </w:rPr>
              <w:t>10,916,000</w:t>
            </w:r>
            <w:r>
              <w:rPr>
                <w:rFonts w:ascii="宋体" w:hAnsi="宋体" w:cs="宋体" w:eastAsia="宋体" w:hint="default"/>
                <w:spacing w:val="-46"/>
                <w:sz w:val="18"/>
                <w:szCs w:val="18"/>
              </w:rPr>
              <w:t> </w:t>
            </w:r>
            <w:r>
              <w:rPr>
                <w:rFonts w:ascii="宋体" w:hAnsi="宋体" w:cs="宋体" w:eastAsia="宋体" w:hint="default"/>
                <w:sz w:val="18"/>
                <w:szCs w:val="18"/>
              </w:rPr>
              <w:t>元（含税）。</w:t>
            </w:r>
          </w:p>
        </w:tc>
      </w:tr>
    </w:tbl>
    <w:p>
      <w:pPr>
        <w:pStyle w:val="BodyText"/>
        <w:spacing w:line="240" w:lineRule="auto" w:before="49"/>
        <w:ind w:right="1134"/>
        <w:jc w:val="left"/>
      </w:pPr>
      <w:r>
        <w:rPr/>
        <w:t>公司近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w:t>
      </w:r>
      <w:r>
        <w:rPr>
          <w:spacing w:val="-3"/>
        </w:rPr>
        <w:t>）</w:t>
      </w:r>
      <w:r>
        <w:rPr/>
        <w:t>的普通股股利分配方案（预案</w:t>
      </w:r>
      <w:r>
        <w:rPr>
          <w:spacing w:val="-89"/>
        </w:rPr>
        <w:t>）</w:t>
      </w:r>
      <w:r>
        <w:rPr/>
        <w:t>、资本公积金转增股本方案（预案）情况</w:t>
      </w:r>
    </w:p>
    <w:p>
      <w:pPr>
        <w:spacing w:line="240" w:lineRule="auto" w:before="12"/>
        <w:rPr>
          <w:rFonts w:ascii="宋体" w:hAnsi="宋体" w:cs="宋体" w:eastAsia="宋体" w:hint="default"/>
          <w:sz w:val="16"/>
          <w:szCs w:val="16"/>
        </w:rPr>
      </w:pPr>
    </w:p>
    <w:p>
      <w:pPr>
        <w:pStyle w:val="BodyText"/>
        <w:spacing w:line="316" w:lineRule="auto"/>
        <w:ind w:right="148" w:firstLine="360"/>
        <w:jc w:val="both"/>
      </w:pPr>
      <w:r>
        <w:rPr>
          <w:rFonts w:ascii="宋体" w:hAnsi="宋体" w:cs="宋体" w:eastAsia="宋体" w:hint="default"/>
        </w:rPr>
        <w:t>1</w:t>
      </w:r>
      <w:r>
        <w:rPr/>
        <w:t>、公司</w:t>
      </w:r>
      <w:r>
        <w:rPr>
          <w:rFonts w:ascii="宋体" w:hAnsi="宋体" w:cs="宋体" w:eastAsia="宋体" w:hint="default"/>
        </w:rPr>
        <w:t>2013</w:t>
      </w:r>
      <w:r>
        <w:rPr/>
        <w:t>年度利润分配方案为：以截至</w:t>
      </w:r>
      <w:r>
        <w:rPr>
          <w:rFonts w:ascii="宋体" w:hAnsi="宋体" w:cs="宋体" w:eastAsia="宋体" w:hint="default"/>
        </w:rPr>
        <w:t>2014</w:t>
      </w:r>
      <w:r>
        <w:rPr/>
        <w:t>年</w:t>
      </w:r>
      <w:r>
        <w:rPr>
          <w:rFonts w:ascii="宋体" w:hAnsi="宋体" w:cs="宋体" w:eastAsia="宋体" w:hint="default"/>
        </w:rPr>
        <w:t>2</w:t>
      </w:r>
      <w:r>
        <w:rPr/>
        <w:t>月</w:t>
      </w:r>
      <w:r>
        <w:rPr>
          <w:rFonts w:ascii="宋体" w:hAnsi="宋体" w:cs="宋体" w:eastAsia="宋体" w:hint="default"/>
        </w:rPr>
        <w:t>17</w:t>
      </w:r>
      <w:r>
        <w:rPr/>
        <w:t>日公司总股本</w:t>
      </w:r>
      <w:r>
        <w:rPr>
          <w:rFonts w:ascii="宋体" w:hAnsi="宋体" w:cs="宋体" w:eastAsia="宋体" w:hint="default"/>
        </w:rPr>
        <w:t>5,458</w:t>
      </w:r>
      <w:r>
        <w:rPr/>
        <w:t>万股为基数，向全体股东每</w:t>
      </w:r>
      <w:r>
        <w:rPr>
          <w:rFonts w:ascii="宋体" w:hAnsi="宋体" w:cs="宋体" w:eastAsia="宋体" w:hint="default"/>
        </w:rPr>
        <w:t>10</w:t>
      </w:r>
      <w:r>
        <w:rPr/>
        <w:t>股派发现金红 </w:t>
      </w:r>
      <w:r>
        <w:rPr>
          <w:spacing w:val="-2"/>
        </w:rPr>
        <w:t>利</w:t>
      </w:r>
      <w:r>
        <w:rPr>
          <w:rFonts w:ascii="宋体" w:hAnsi="宋体" w:cs="宋体" w:eastAsia="宋体" w:hint="default"/>
          <w:spacing w:val="-2"/>
        </w:rPr>
        <w:t>3</w:t>
      </w:r>
      <w:r>
        <w:rPr>
          <w:spacing w:val="-2"/>
        </w:rPr>
        <w:t>元人民币</w:t>
      </w:r>
      <w:r>
        <w:rPr>
          <w:rFonts w:ascii="宋体" w:hAnsi="宋体" w:cs="宋体" w:eastAsia="宋体" w:hint="default"/>
          <w:spacing w:val="-2"/>
        </w:rPr>
        <w:t>(</w:t>
      </w:r>
      <w:r>
        <w:rPr>
          <w:spacing w:val="-2"/>
        </w:rPr>
        <w:t>含税</w:t>
      </w:r>
      <w:r>
        <w:rPr>
          <w:rFonts w:ascii="宋体" w:hAnsi="宋体" w:cs="宋体" w:eastAsia="宋体" w:hint="default"/>
          <w:spacing w:val="-2"/>
        </w:rPr>
        <w:t>)</w:t>
      </w:r>
      <w:r>
        <w:rPr>
          <w:spacing w:val="-2"/>
        </w:rPr>
        <w:t>；同时进行资本公积转增股本，以公司总股本</w:t>
      </w:r>
      <w:r>
        <w:rPr>
          <w:rFonts w:ascii="宋体" w:hAnsi="宋体" w:cs="宋体" w:eastAsia="宋体" w:hint="default"/>
          <w:spacing w:val="-2"/>
        </w:rPr>
        <w:t>5,458</w:t>
      </w:r>
      <w:r>
        <w:rPr>
          <w:spacing w:val="-2"/>
        </w:rPr>
        <w:t>万股为基数，向全体股东每</w:t>
      </w:r>
      <w:r>
        <w:rPr>
          <w:rFonts w:ascii="宋体" w:hAnsi="宋体" w:cs="宋体" w:eastAsia="宋体" w:hint="default"/>
          <w:spacing w:val="-2"/>
        </w:rPr>
        <w:t>10</w:t>
      </w:r>
      <w:r>
        <w:rPr>
          <w:spacing w:val="-2"/>
        </w:rPr>
        <w:t>股转增</w:t>
      </w:r>
      <w:r>
        <w:rPr>
          <w:rFonts w:ascii="宋体" w:hAnsi="宋体" w:cs="宋体" w:eastAsia="宋体" w:hint="default"/>
          <w:spacing w:val="-2"/>
        </w:rPr>
        <w:t>10</w:t>
      </w:r>
      <w:r>
        <w:rPr>
          <w:spacing w:val="-2"/>
        </w:rPr>
        <w:t>股，转增后公</w:t>
      </w:r>
      <w:r>
        <w:rPr>
          <w:spacing w:val="-57"/>
        </w:rPr>
        <w:t> </w:t>
      </w:r>
      <w:r>
        <w:rPr>
          <w:spacing w:val="-57"/>
        </w:rPr>
      </w:r>
      <w:r>
        <w:rPr/>
        <w:t>司总股本增加至</w:t>
      </w:r>
      <w:r>
        <w:rPr>
          <w:rFonts w:ascii="宋体" w:hAnsi="宋体" w:cs="宋体" w:eastAsia="宋体" w:hint="default"/>
        </w:rPr>
        <w:t>10,916</w:t>
      </w:r>
      <w:r>
        <w:rPr/>
        <w:t>万股。</w:t>
      </w:r>
    </w:p>
    <w:p>
      <w:pPr>
        <w:spacing w:line="240" w:lineRule="auto" w:before="5"/>
        <w:rPr>
          <w:rFonts w:ascii="宋体" w:hAnsi="宋体" w:cs="宋体" w:eastAsia="宋体" w:hint="default"/>
          <w:sz w:val="13"/>
          <w:szCs w:val="13"/>
        </w:rPr>
      </w:pPr>
    </w:p>
    <w:p>
      <w:pPr>
        <w:pStyle w:val="BodyText"/>
        <w:spacing w:line="316" w:lineRule="auto"/>
        <w:ind w:right="156" w:firstLine="360"/>
        <w:jc w:val="both"/>
      </w:pPr>
      <w:r>
        <w:rPr>
          <w:rFonts w:ascii="宋体" w:hAnsi="宋体" w:cs="宋体" w:eastAsia="宋体" w:hint="default"/>
        </w:rPr>
        <w:t>2</w:t>
      </w:r>
      <w:r>
        <w:rPr/>
        <w:t>、公司</w:t>
      </w:r>
      <w:r>
        <w:rPr>
          <w:rFonts w:ascii="宋体" w:hAnsi="宋体" w:cs="宋体" w:eastAsia="宋体" w:hint="default"/>
        </w:rPr>
        <w:t>2014</w:t>
      </w:r>
      <w:r>
        <w:rPr/>
        <w:t>年度利润分配方案为：以截至</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日公司总股本</w:t>
      </w:r>
      <w:r>
        <w:rPr>
          <w:rFonts w:ascii="宋体" w:hAnsi="宋体" w:cs="宋体" w:eastAsia="宋体" w:hint="default"/>
        </w:rPr>
        <w:t>10,916</w:t>
      </w:r>
      <w:r>
        <w:rPr/>
        <w:t>万股为基数，向全体东每</w:t>
      </w:r>
      <w:r>
        <w:rPr>
          <w:rFonts w:ascii="宋体" w:hAnsi="宋体" w:cs="宋体" w:eastAsia="宋体" w:hint="default"/>
        </w:rPr>
        <w:t>10</w:t>
      </w:r>
      <w:r>
        <w:rPr/>
        <w:t>股派发现金红 利</w:t>
      </w:r>
      <w:r>
        <w:rPr>
          <w:rFonts w:ascii="宋体" w:hAnsi="宋体" w:cs="宋体" w:eastAsia="宋体" w:hint="default"/>
        </w:rPr>
        <w:t>3</w:t>
      </w:r>
      <w:r>
        <w:rPr/>
        <w:t>元人民币（含税）；同时进行资本公积转增股本，以公司总股本</w:t>
      </w:r>
      <w:r>
        <w:rPr>
          <w:rFonts w:ascii="宋体" w:hAnsi="宋体" w:cs="宋体" w:eastAsia="宋体" w:hint="default"/>
        </w:rPr>
        <w:t>10,916</w:t>
      </w:r>
      <w:r>
        <w:rPr/>
        <w:t>万股为基数，向全体股东每</w:t>
      </w:r>
      <w:r>
        <w:rPr>
          <w:rFonts w:ascii="宋体" w:hAnsi="宋体" w:cs="宋体" w:eastAsia="宋体" w:hint="default"/>
        </w:rPr>
        <w:t>10</w:t>
      </w:r>
      <w:r>
        <w:rPr/>
        <w:t>股转增</w:t>
      </w:r>
      <w:r>
        <w:rPr>
          <w:rFonts w:ascii="宋体" w:hAnsi="宋体" w:cs="宋体" w:eastAsia="宋体" w:hint="default"/>
        </w:rPr>
        <w:t>15</w:t>
      </w:r>
      <w:r>
        <w:rPr/>
        <w:t>股，转增 后公司总股本将增加至</w:t>
      </w:r>
      <w:r>
        <w:rPr>
          <w:rFonts w:ascii="宋体" w:hAnsi="宋体" w:cs="宋体" w:eastAsia="宋体" w:hint="default"/>
        </w:rPr>
        <w:t>27,290</w:t>
      </w:r>
      <w:r>
        <w:rPr/>
        <w:t>万股。</w:t>
      </w:r>
    </w:p>
    <w:p>
      <w:pPr>
        <w:spacing w:line="240" w:lineRule="auto" w:before="5"/>
        <w:rPr>
          <w:rFonts w:ascii="宋体" w:hAnsi="宋体" w:cs="宋体" w:eastAsia="宋体" w:hint="default"/>
          <w:sz w:val="13"/>
          <w:szCs w:val="13"/>
        </w:rPr>
      </w:pPr>
    </w:p>
    <w:p>
      <w:pPr>
        <w:pStyle w:val="BodyText"/>
        <w:spacing w:line="319" w:lineRule="auto"/>
        <w:ind w:right="148" w:firstLine="360"/>
        <w:jc w:val="both"/>
      </w:pPr>
      <w:r>
        <w:rPr>
          <w:rFonts w:ascii="宋体" w:hAnsi="宋体" w:cs="宋体" w:eastAsia="宋体" w:hint="default"/>
          <w:spacing w:val="-2"/>
        </w:rPr>
        <w:t>3</w:t>
      </w:r>
      <w:r>
        <w:rPr>
          <w:spacing w:val="-2"/>
        </w:rPr>
        <w:t>、公司</w:t>
      </w:r>
      <w:r>
        <w:rPr>
          <w:rFonts w:ascii="宋体" w:hAnsi="宋体" w:cs="宋体" w:eastAsia="宋体" w:hint="default"/>
          <w:spacing w:val="-2"/>
        </w:rPr>
        <w:t>2015</w:t>
      </w:r>
      <w:r>
        <w:rPr>
          <w:spacing w:val="-2"/>
        </w:rPr>
        <w:t>年半年度利润分配方案为：以截至</w:t>
      </w:r>
      <w:r>
        <w:rPr>
          <w:rFonts w:ascii="宋体" w:hAnsi="宋体" w:cs="宋体" w:eastAsia="宋体" w:hint="default"/>
          <w:spacing w:val="-2"/>
        </w:rPr>
        <w:t>2015</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30</w:t>
      </w:r>
      <w:r>
        <w:rPr>
          <w:spacing w:val="-2"/>
        </w:rPr>
        <w:t>日公司总股本</w:t>
      </w:r>
      <w:r>
        <w:rPr>
          <w:rFonts w:ascii="宋体" w:hAnsi="宋体" w:cs="宋体" w:eastAsia="宋体" w:hint="default"/>
          <w:spacing w:val="-2"/>
        </w:rPr>
        <w:t>27,290</w:t>
      </w:r>
      <w:r>
        <w:rPr>
          <w:spacing w:val="-2"/>
        </w:rPr>
        <w:t>万股为基数，向全体股东每</w:t>
      </w:r>
      <w:r>
        <w:rPr>
          <w:rFonts w:ascii="宋体" w:hAnsi="宋体" w:cs="宋体" w:eastAsia="宋体" w:hint="default"/>
          <w:spacing w:val="-2"/>
        </w:rPr>
        <w:t>10</w:t>
      </w:r>
      <w:r>
        <w:rPr>
          <w:spacing w:val="-2"/>
        </w:rPr>
        <w:t>股派发现</w:t>
      </w:r>
      <w:r>
        <w:rPr/>
        <w:t> 金股利</w:t>
      </w:r>
      <w:r>
        <w:rPr>
          <w:rFonts w:ascii="宋体" w:hAnsi="宋体" w:cs="宋体" w:eastAsia="宋体" w:hint="default"/>
        </w:rPr>
        <w:t>0.6</w:t>
      </w:r>
      <w:r>
        <w:rPr/>
        <w:t>元人民币（含税），同时向全体股东每</w:t>
      </w:r>
      <w:r>
        <w:rPr>
          <w:rFonts w:ascii="宋体" w:hAnsi="宋体" w:cs="宋体" w:eastAsia="宋体" w:hint="default"/>
        </w:rPr>
        <w:t>10</w:t>
      </w:r>
      <w:r>
        <w:rPr/>
        <w:t>股送红股</w:t>
      </w:r>
      <w:r>
        <w:rPr>
          <w:rFonts w:ascii="宋体" w:hAnsi="宋体" w:cs="宋体" w:eastAsia="宋体" w:hint="default"/>
        </w:rPr>
        <w:t>5</w:t>
      </w:r>
      <w:r>
        <w:rPr/>
        <w:t>股（含税）；并以资本公积金每</w:t>
      </w:r>
      <w:r>
        <w:rPr>
          <w:rFonts w:ascii="宋体" w:hAnsi="宋体" w:cs="宋体" w:eastAsia="宋体" w:hint="default"/>
        </w:rPr>
        <w:t>10</w:t>
      </w:r>
      <w:r>
        <w:rPr/>
        <w:t>股向全体股东转增</w:t>
      </w:r>
      <w:r>
        <w:rPr>
          <w:rFonts w:ascii="宋体" w:hAnsi="宋体" w:cs="宋体" w:eastAsia="宋体" w:hint="default"/>
        </w:rPr>
        <w:t>5</w:t>
      </w:r>
      <w:r>
        <w:rPr/>
        <w:t>股，送</w:t>
      </w:r>
      <w:r>
        <w:rPr>
          <w:spacing w:val="-87"/>
        </w:rPr>
        <w:t> </w:t>
      </w:r>
      <w:r>
        <w:rPr/>
        <w:t>增后公司总股本将增加至</w:t>
      </w:r>
      <w:r>
        <w:rPr>
          <w:rFonts w:ascii="宋体" w:hAnsi="宋体" w:cs="宋体" w:eastAsia="宋体" w:hint="default"/>
        </w:rPr>
        <w:t>54,580</w:t>
      </w:r>
      <w:r>
        <w:rPr/>
        <w:t>万股。</w:t>
      </w:r>
    </w:p>
    <w:p>
      <w:pPr>
        <w:spacing w:line="240" w:lineRule="auto" w:before="3"/>
        <w:rPr>
          <w:rFonts w:ascii="宋体" w:hAnsi="宋体" w:cs="宋体" w:eastAsia="宋体" w:hint="default"/>
          <w:sz w:val="13"/>
          <w:szCs w:val="13"/>
        </w:rPr>
      </w:pPr>
    </w:p>
    <w:p>
      <w:pPr>
        <w:pStyle w:val="BodyText"/>
        <w:spacing w:line="316" w:lineRule="auto"/>
        <w:ind w:right="156" w:firstLine="360"/>
        <w:jc w:val="both"/>
      </w:pPr>
      <w:r>
        <w:rPr>
          <w:rFonts w:ascii="宋体" w:hAnsi="宋体" w:cs="宋体" w:eastAsia="宋体" w:hint="default"/>
        </w:rPr>
        <w:t>4</w:t>
      </w:r>
      <w:r>
        <w:rPr/>
        <w:t>、公司</w:t>
      </w:r>
      <w:r>
        <w:rPr>
          <w:rFonts w:ascii="宋体" w:hAnsi="宋体" w:cs="宋体" w:eastAsia="宋体" w:hint="default"/>
        </w:rPr>
        <w:t>2015</w:t>
      </w:r>
      <w:r>
        <w:rPr/>
        <w:t>年度利润分配预案为：以截至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日公司总股本</w:t>
      </w:r>
      <w:r>
        <w:rPr>
          <w:rFonts w:ascii="宋体" w:hAnsi="宋体" w:cs="宋体" w:eastAsia="宋体" w:hint="default"/>
        </w:rPr>
        <w:t>54,580</w:t>
      </w:r>
      <w:r>
        <w:rPr/>
        <w:t>万股为基数，向全体股东每</w:t>
      </w:r>
      <w:r>
        <w:rPr>
          <w:rFonts w:ascii="宋体" w:hAnsi="宋体" w:cs="宋体" w:eastAsia="宋体" w:hint="default"/>
        </w:rPr>
        <w:t>10</w:t>
      </w:r>
      <w:r>
        <w:rPr/>
        <w:t>股派发现金 红利</w:t>
      </w:r>
      <w:r>
        <w:rPr>
          <w:rFonts w:ascii="宋体" w:hAnsi="宋体" w:cs="宋体" w:eastAsia="宋体" w:hint="default"/>
        </w:rPr>
        <w:t>0.2</w:t>
      </w:r>
      <w:r>
        <w:rPr/>
        <w:t>元人民币</w:t>
      </w:r>
      <w:r>
        <w:rPr>
          <w:rFonts w:ascii="宋体" w:hAnsi="宋体" w:cs="宋体" w:eastAsia="宋体" w:hint="default"/>
        </w:rPr>
        <w:t>(</w:t>
      </w:r>
      <w:r>
        <w:rPr/>
        <w:t>含税</w:t>
      </w:r>
      <w:r>
        <w:rPr>
          <w:rFonts w:ascii="宋体" w:hAnsi="宋体" w:cs="宋体" w:eastAsia="宋体" w:hint="default"/>
        </w:rPr>
        <w:t>)</w:t>
      </w:r>
      <w:r>
        <w:rPr/>
        <w:t>，合计派发现金股利</w:t>
      </w:r>
      <w:r>
        <w:rPr>
          <w:rFonts w:ascii="宋体" w:hAnsi="宋体" w:cs="宋体" w:eastAsia="宋体" w:hint="default"/>
        </w:rPr>
        <w:t>10,916,000</w:t>
      </w:r>
      <w:r>
        <w:rPr/>
        <w:t>元（含税）。</w:t>
      </w:r>
    </w:p>
    <w:p>
      <w:pPr>
        <w:spacing w:line="240" w:lineRule="auto" w:before="12"/>
        <w:rPr>
          <w:rFonts w:ascii="宋体" w:hAnsi="宋体" w:cs="宋体" w:eastAsia="宋体" w:hint="default"/>
          <w:sz w:val="27"/>
          <w:szCs w:val="27"/>
        </w:rPr>
      </w:pPr>
    </w:p>
    <w:p>
      <w:pPr>
        <w:pStyle w:val="BodyText"/>
        <w:spacing w:line="240" w:lineRule="auto" w:before="44"/>
        <w:ind w:right="1134"/>
        <w:jc w:val="left"/>
      </w:pPr>
      <w:r>
        <w:rPr/>
        <w:t>公司近三年（包括本报告期）普通股现金分红情况表</w:t>
      </w:r>
    </w:p>
    <w:p>
      <w:pPr>
        <w:pStyle w:val="BodyText"/>
        <w:spacing w:line="240" w:lineRule="auto" w:before="117"/>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17"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1" w:right="71"/>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1" w:right="72"/>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431"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432"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612" w:right="70"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391"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317"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27,290,000.00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113,588,409.62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32,748,000.00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95,184,364.67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16,374,000.00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67,264,610.13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34"/>
        <w:jc w:val="left"/>
      </w:pPr>
      <w:r>
        <w:rPr/>
        <w:t>公司报告期内盈利且母公司可供普通股股东分配利润为正但未提出普通股现金红利分配预案</w:t>
      </w:r>
    </w:p>
    <w:p>
      <w:pPr>
        <w:pStyle w:val="BodyText"/>
        <w:spacing w:line="240" w:lineRule="auto" w:before="115"/>
        <w:ind w:right="1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1134"/>
        <w:jc w:val="left"/>
        <w:rPr>
          <w:b w:val="0"/>
          <w:bCs w:val="0"/>
        </w:rPr>
      </w:pPr>
      <w:r>
        <w:rPr/>
        <w:t>二、承诺事项履行情况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56" w:lineRule="auto"/>
        <w:ind w:right="153"/>
        <w:jc w:val="left"/>
        <w:rPr>
          <w:b w:val="0"/>
          <w:bCs w:val="0"/>
        </w:rPr>
      </w:pP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65"/>
        </w:rPr>
        <w:t> </w:t>
      </w:r>
      <w:r>
        <w:rPr>
          <w:spacing w:val="-65"/>
        </w:rPr>
      </w:r>
      <w:r>
        <w:rPr/>
        <w:t>截至报告期末尚未履行完毕的承诺事项</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838"/>
        <w:gridCol w:w="1123"/>
        <w:gridCol w:w="1128"/>
        <w:gridCol w:w="1126"/>
        <w:gridCol w:w="1126"/>
        <w:gridCol w:w="1121"/>
        <w:gridCol w:w="1106"/>
      </w:tblGrid>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9"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2"/>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3"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5135" w:hRule="exact"/>
        </w:trPr>
        <w:tc>
          <w:tcPr>
            <w:tcW w:w="28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3"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百汇达</w:t>
            </w: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sz w:val="18"/>
                <w:szCs w:val="18"/>
              </w:rPr>
              <w:t>关于避免同 业竞争的承 </w:t>
            </w:r>
            <w:r>
              <w:rPr>
                <w:rFonts w:ascii="宋体" w:hAnsi="宋体" w:cs="宋体" w:eastAsia="宋体" w:hint="default"/>
                <w:spacing w:val="-2"/>
                <w:sz w:val="18"/>
                <w:szCs w:val="18"/>
              </w:rPr>
              <w:t>诺、关于规范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关联交易的 </w:t>
            </w:r>
            <w:r>
              <w:rPr>
                <w:rFonts w:ascii="宋体" w:hAnsi="宋体" w:cs="宋体" w:eastAsia="宋体" w:hint="default"/>
                <w:spacing w:val="-2"/>
                <w:sz w:val="18"/>
                <w:szCs w:val="18"/>
              </w:rPr>
              <w:t>承诺、关于保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持上市公司 独立性的承 诺</w:t>
            </w:r>
          </w:p>
        </w:tc>
        <w:tc>
          <w:tcPr>
            <w:tcW w:w="1126"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0"/>
              <w:jc w:val="left"/>
              <w:rPr>
                <w:rFonts w:ascii="宋体" w:hAnsi="宋体" w:cs="宋体" w:eastAsia="宋体" w:hint="default"/>
                <w:sz w:val="18"/>
                <w:szCs w:val="18"/>
              </w:rPr>
            </w:pPr>
            <w:r>
              <w:rPr>
                <w:rFonts w:ascii="宋体" w:hAnsi="宋体" w:cs="宋体" w:eastAsia="宋体" w:hint="default"/>
                <w:sz w:val="18"/>
                <w:szCs w:val="18"/>
              </w:rPr>
              <w:t>关于避免同 业竞争的承 诺：</w:t>
            </w:r>
            <w:r>
              <w:rPr>
                <w:rFonts w:ascii="Times New Roman" w:hAnsi="Times New Roman" w:cs="Times New Roman" w:eastAsia="Times New Roman" w:hint="default"/>
                <w:sz w:val="18"/>
                <w:szCs w:val="18"/>
              </w:rPr>
              <w:t>1</w:t>
            </w:r>
            <w:r>
              <w:rPr>
                <w:rFonts w:ascii="宋体" w:hAnsi="宋体" w:cs="宋体" w:eastAsia="宋体" w:hint="default"/>
                <w:sz w:val="18"/>
                <w:szCs w:val="18"/>
              </w:rPr>
              <w:t>、本公 司以及本公 司之全资、控 股子企业目 前不拥有及 经营任何在 商业上与光 环新网正在 经营的业务 有直接竞争 的业务。</w:t>
            </w:r>
            <w:r>
              <w:rPr>
                <w:rFonts w:ascii="Times New Roman" w:hAnsi="Times New Roman" w:cs="Times New Roman" w:eastAsia="Times New Roman" w:hint="default"/>
                <w:sz w:val="18"/>
                <w:szCs w:val="18"/>
              </w:rPr>
              <w:t>2</w:t>
            </w:r>
            <w:r>
              <w:rPr>
                <w:rFonts w:ascii="宋体" w:hAnsi="宋体" w:cs="宋体" w:eastAsia="宋体" w:hint="default"/>
                <w:sz w:val="18"/>
                <w:szCs w:val="18"/>
              </w:rPr>
              <w:t>、 本公司承诺 本公司本身、 并且本公司 必将通过法 律程序使本 公司之全资、 控股子企业 将来均不从 事任何在商 业上与光环 新网正在经 营的业务有 直接竞争的 业务。</w:t>
            </w:r>
            <w:r>
              <w:rPr>
                <w:rFonts w:ascii="Times New Roman" w:hAnsi="Times New Roman" w:cs="Times New Roman" w:eastAsia="Times New Roman" w:hint="default"/>
                <w:sz w:val="18"/>
                <w:szCs w:val="18"/>
              </w:rPr>
              <w:t>3</w:t>
            </w:r>
            <w:r>
              <w:rPr>
                <w:rFonts w:ascii="宋体" w:hAnsi="宋体" w:cs="宋体" w:eastAsia="宋体" w:hint="default"/>
                <w:sz w:val="18"/>
                <w:szCs w:val="18"/>
              </w:rPr>
              <w:t>、如 本公司（包括 受本公司控 制的子企业 或其他关联 企业）将来经 营的产品或 服务与光环</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6"/>
              <w:ind w:left="23" w:right="185"/>
              <w:jc w:val="both"/>
              <w:rPr>
                <w:rFonts w:ascii="宋体" w:hAnsi="宋体" w:cs="宋体" w:eastAsia="宋体" w:hint="default"/>
                <w:sz w:val="18"/>
                <w:szCs w:val="18"/>
              </w:rPr>
            </w:pPr>
            <w:r>
              <w:rPr>
                <w:rFonts w:ascii="宋体" w:hAnsi="宋体" w:cs="宋体" w:eastAsia="宋体" w:hint="default"/>
                <w:sz w:val="18"/>
                <w:szCs w:val="18"/>
              </w:rPr>
              <w:t>作出承诺开 始至承诺履 行完毕。</w:t>
            </w:r>
          </w:p>
        </w:tc>
        <w:tc>
          <w:tcPr>
            <w:tcW w:w="11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6"/>
              <w:ind w:left="23" w:right="170"/>
              <w:jc w:val="both"/>
              <w:rPr>
                <w:rFonts w:ascii="宋体" w:hAnsi="宋体" w:cs="宋体" w:eastAsia="宋体" w:hint="default"/>
                <w:sz w:val="18"/>
                <w:szCs w:val="18"/>
              </w:rPr>
            </w:pPr>
            <w:r>
              <w:rPr>
                <w:rFonts w:ascii="宋体" w:hAnsi="宋体" w:cs="宋体" w:eastAsia="宋体" w:hint="default"/>
                <w:sz w:val="18"/>
                <w:szCs w:val="18"/>
              </w:rPr>
              <w:t>报告期内承 诺人遵守了 所做承诺。</w:t>
            </w:r>
          </w:p>
        </w:tc>
      </w:tr>
      <w:tr>
        <w:trPr>
          <w:trHeight w:val="391" w:hRule="exact"/>
        </w:trPr>
        <w:tc>
          <w:tcPr>
            <w:tcW w:w="28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3" w:type="dxa"/>
            <w:vMerge/>
            <w:tcBorders>
              <w:left w:val="single" w:sz="10" w:space="0" w:color="D2D2D2"/>
              <w:right w:val="single" w:sz="4" w:space="0" w:color="000000"/>
            </w:tcBorders>
          </w:tcPr>
          <w:p>
            <w:pP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5135" w:hRule="exact"/>
        </w:trPr>
        <w:tc>
          <w:tcPr>
            <w:tcW w:w="28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3" w:type="dxa"/>
            <w:vMerge/>
            <w:tcBorders>
              <w:left w:val="single" w:sz="10" w:space="0" w:color="D2D2D2"/>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630005pt;margin-top:72.47998pt;width:61.8pt;height:686.55pt;mso-position-horizontal-relative:page;mso-position-vertical-relative:page;z-index:-159356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48"/>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166"/>
              <w:jc w:val="center"/>
              <w:rPr>
                <w:rFonts w:ascii="宋体" w:hAnsi="宋体" w:cs="宋体" w:eastAsia="宋体" w:hint="default"/>
                <w:sz w:val="18"/>
                <w:szCs w:val="18"/>
              </w:rPr>
            </w:pPr>
            <w:r>
              <w:rPr>
                <w:rFonts w:ascii="宋体" w:hAnsi="宋体" w:cs="宋体" w:eastAsia="宋体" w:hint="default"/>
                <w:sz w:val="18"/>
                <w:szCs w:val="18"/>
              </w:rPr>
              <w:t>新网的主营</w:t>
            </w:r>
          </w:p>
        </w:tc>
        <w:tc>
          <w:tcPr>
            <w:tcW w:w="1126" w:type="dxa"/>
            <w:vMerge w:val="restart"/>
            <w:tcBorders>
              <w:top w:val="single" w:sz="4" w:space="0" w:color="000000"/>
              <w:left w:val="single" w:sz="4" w:space="0" w:color="000000"/>
              <w:right w:val="single" w:sz="4" w:space="0" w:color="000000"/>
            </w:tcBorders>
          </w:tcPr>
          <w:p>
            <w:pPr>
              <w:pStyle w:val="TableParagraph"/>
              <w:spacing w:line="1373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pt;height:686.55pt;mso-position-horizontal-relative:char;mso-position-vertical-relative:line" coordorigin="0,0" coordsize="1116,13731">
                  <v:group style="position:absolute;left:0;top:0;width:1116;height:13731" coordorigin="0,0" coordsize="1116,13731">
                    <v:shape style="position:absolute;left:0;top:0;width:1116;height:13731" coordorigin="0,0" coordsize="1116,13731" path="m0,13730l1116,13730,1116,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产品或服务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有可能形成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竞争，本公司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同意光环新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网有权优先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收购本公司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与该等产品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或服务有关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的资产或本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公司在子企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业中的全部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股权。</w:t>
            </w:r>
            <w:r>
              <w:rPr>
                <w:rFonts w:ascii="Times New Roman" w:hAnsi="Times New Roman" w:cs="Times New Roman" w:eastAsia="Times New Roman" w:hint="default"/>
                <w:sz w:val="18"/>
                <w:szCs w:val="18"/>
              </w:rPr>
              <w:t>4</w:t>
            </w:r>
            <w:r>
              <w:rPr>
                <w:rFonts w:ascii="宋体" w:hAnsi="宋体" w:cs="宋体" w:eastAsia="宋体" w:hint="default"/>
                <w:sz w:val="18"/>
                <w:szCs w:val="18"/>
              </w:rPr>
              <w:t>、如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因本公司未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履行在本承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诺函中所作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的承诺给光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环新网造成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损失的，本公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司将赔偿光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环新网的实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际损失。关于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规范关联交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5"/>
              <w:jc w:val="center"/>
              <w:rPr>
                <w:rFonts w:ascii="Times New Roman" w:hAnsi="Times New Roman" w:cs="Times New Roman" w:eastAsia="Times New Roman" w:hint="default"/>
                <w:sz w:val="18"/>
                <w:szCs w:val="18"/>
              </w:rPr>
            </w:pPr>
            <w:r>
              <w:rPr>
                <w:rFonts w:ascii="宋体" w:hAnsi="宋体" w:cs="宋体" w:eastAsia="宋体" w:hint="default"/>
                <w:sz w:val="18"/>
                <w:szCs w:val="18"/>
              </w:rPr>
              <w:t>易的承诺：</w:t>
            </w:r>
            <w:r>
              <w:rPr>
                <w:rFonts w:ascii="Times New Roman" w:hAnsi="Times New Roman" w:cs="Times New Roman" w:eastAsia="Times New Roman" w:hint="default"/>
                <w:sz w:val="18"/>
                <w:szCs w:val="18"/>
              </w:rPr>
              <w:t>1</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尽量避免或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减少与上市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公司及其下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属子公司之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间的关联交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易；</w:t>
            </w:r>
            <w:r>
              <w:rPr>
                <w:rFonts w:ascii="Times New Roman" w:hAnsi="Times New Roman" w:cs="Times New Roman" w:eastAsia="Times New Roman" w:hint="default"/>
                <w:sz w:val="18"/>
                <w:szCs w:val="18"/>
              </w:rPr>
              <w:t>2</w:t>
            </w:r>
            <w:r>
              <w:rPr>
                <w:rFonts w:ascii="宋体" w:hAnsi="宋体" w:cs="宋体" w:eastAsia="宋体" w:hint="default"/>
                <w:sz w:val="18"/>
                <w:szCs w:val="18"/>
              </w:rPr>
              <w:t>、对于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无法避免或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有合理理由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存在的关联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交易，将与上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市公司依法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签订规范的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关联交易协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议，并按照有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关法律、法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规、规章、其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他规范性文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件和公司章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程的规定履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行批准程序；</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166"/>
              <w:jc w:val="center"/>
              <w:rPr>
                <w:rFonts w:ascii="宋体" w:hAnsi="宋体" w:cs="宋体" w:eastAsia="宋体" w:hint="default"/>
                <w:sz w:val="18"/>
                <w:szCs w:val="18"/>
              </w:rPr>
            </w:pPr>
            <w:r>
              <w:rPr>
                <w:rFonts w:ascii="宋体" w:hAnsi="宋体" w:cs="宋体" w:eastAsia="宋体" w:hint="default"/>
                <w:sz w:val="18"/>
                <w:szCs w:val="18"/>
              </w:rPr>
              <w:t>关联交易价</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格按照市场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原则确定，保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证关联交易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价格具有公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允性；保证按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照有关法律、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法规、规章、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其他规范性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文件和公司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章程的规定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履行关联交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易的信息披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露义务；</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保证不利用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关联交易非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法移转上市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公司的资金、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利润，不利用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关联交易损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害上市公司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及非关联股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东的利益。关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于保持上市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公司独立性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的承诺：</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保证上市公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司人员独立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）保证上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市公司的生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产经营与行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政管理（包括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劳动、人事及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薪酬管理等）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完全独立于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本公司及本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公司控制的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其他企业。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）保证上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市公司的董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事、监事和高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级管理人员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严格按照《中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华人民共和</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630005pt;margin-top:72.47998pt;width:61.8pt;height:686.55pt;mso-position-horizontal-relative:page;mso-position-vertical-relative:page;z-index:-15935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1"/>
                      <w:szCs w:val="21"/>
                    </w:rPr>
                  </w:pPr>
                </w:p>
                <w:p>
                  <w:pPr>
                    <w:pStyle w:val="BodyText"/>
                    <w:spacing w:line="240" w:lineRule="auto"/>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国公司法》和</w:t>
            </w:r>
          </w:p>
        </w:tc>
        <w:tc>
          <w:tcPr>
            <w:tcW w:w="1126" w:type="dxa"/>
            <w:vMerge w:val="restart"/>
            <w:tcBorders>
              <w:top w:val="single" w:sz="4" w:space="0" w:color="000000"/>
              <w:left w:val="single" w:sz="4" w:space="0" w:color="000000"/>
              <w:right w:val="single" w:sz="4" w:space="0" w:color="000000"/>
            </w:tcBorders>
          </w:tcPr>
          <w:p>
            <w:pPr>
              <w:pStyle w:val="TableParagraph"/>
              <w:spacing w:line="1373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pt;height:686.55pt;mso-position-horizontal-relative:char;mso-position-vertical-relative:line" coordorigin="0,0" coordsize="1116,13731">
                  <v:group style="position:absolute;left:0;top:0;width:1116;height:13731" coordorigin="0,0" coordsize="1116,13731">
                    <v:shape style="position:absolute;left:0;top:0;width:1116;height:13731" coordorigin="0,0" coordsize="1116,13731" path="m0,13730l1116,13730,1116,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《公司章程》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的有关规定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产生，保证上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市公司的总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经理、副总经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理、财务负责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人、董事会秘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书等高级管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理人员均在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上市公司专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职工作，不在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本公司及本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公司控制的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其他企业担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任除董事、监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事以外的职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务</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5"/>
                <w:sz w:val="18"/>
                <w:szCs w:val="18"/>
              </w:rPr>
              <w:t>）</w:t>
            </w:r>
            <w:r>
              <w:rPr>
                <w:rFonts w:ascii="宋体" w:hAnsi="宋体" w:cs="宋体" w:eastAsia="宋体" w:hint="default"/>
                <w:sz w:val="18"/>
                <w:szCs w:val="18"/>
              </w:rPr>
              <w:t>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司不干预上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市公司董事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会和股东大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会行使职权、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5"/>
              <w:jc w:val="center"/>
              <w:rPr>
                <w:rFonts w:ascii="Times New Roman" w:hAnsi="Times New Roman" w:cs="Times New Roman" w:eastAsia="Times New Roman" w:hint="default"/>
                <w:sz w:val="18"/>
                <w:szCs w:val="18"/>
              </w:rPr>
            </w:pPr>
            <w:r>
              <w:rPr>
                <w:rFonts w:ascii="宋体" w:hAnsi="宋体" w:cs="宋体" w:eastAsia="宋体" w:hint="default"/>
                <w:sz w:val="18"/>
                <w:szCs w:val="18"/>
              </w:rPr>
              <w:t>作出决定。</w:t>
            </w:r>
            <w:r>
              <w:rPr>
                <w:rFonts w:ascii="Times New Roman" w:hAnsi="Times New Roman" w:cs="Times New Roman" w:eastAsia="Times New Roman" w:hint="default"/>
                <w:sz w:val="18"/>
                <w:szCs w:val="18"/>
              </w:rPr>
              <w:t>2</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保证上市公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司资产独立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）保证上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市公司具有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与经营有关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的业务体系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和相关的独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立完整的资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产</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5"/>
                <w:sz w:val="18"/>
                <w:szCs w:val="18"/>
              </w:rPr>
              <w:t>）</w:t>
            </w:r>
            <w:r>
              <w:rPr>
                <w:rFonts w:ascii="宋体" w:hAnsi="宋体" w:cs="宋体" w:eastAsia="宋体" w:hint="default"/>
                <w:sz w:val="18"/>
                <w:szCs w:val="18"/>
              </w:rPr>
              <w:t>保证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6"/>
              <w:jc w:val="center"/>
              <w:rPr>
                <w:rFonts w:ascii="宋体" w:hAnsi="宋体" w:cs="宋体" w:eastAsia="宋体" w:hint="default"/>
                <w:sz w:val="18"/>
                <w:szCs w:val="18"/>
              </w:rPr>
            </w:pPr>
            <w:r>
              <w:rPr>
                <w:rFonts w:ascii="宋体" w:hAnsi="宋体" w:cs="宋体" w:eastAsia="宋体" w:hint="default"/>
                <w:sz w:val="18"/>
                <w:szCs w:val="18"/>
              </w:rPr>
              <w:t>本公司及本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公司控制的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其他企业不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以任何方式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违法违规占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用上市公司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的资金、资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产</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5"/>
                <w:sz w:val="18"/>
                <w:szCs w:val="18"/>
              </w:rPr>
              <w:t>）</w:t>
            </w:r>
            <w:r>
              <w:rPr>
                <w:rFonts w:ascii="宋体" w:hAnsi="宋体" w:cs="宋体" w:eastAsia="宋体" w:hint="default"/>
                <w:sz w:val="18"/>
                <w:szCs w:val="18"/>
              </w:rPr>
              <w:t>保证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不以上市公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司的资产为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本公司及本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公司控制的</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166"/>
              <w:jc w:val="center"/>
              <w:rPr>
                <w:rFonts w:ascii="宋体" w:hAnsi="宋体" w:cs="宋体" w:eastAsia="宋体" w:hint="default"/>
                <w:sz w:val="18"/>
                <w:szCs w:val="18"/>
              </w:rPr>
            </w:pPr>
            <w:r>
              <w:rPr>
                <w:rFonts w:ascii="宋体" w:hAnsi="宋体" w:cs="宋体" w:eastAsia="宋体" w:hint="default"/>
                <w:sz w:val="18"/>
                <w:szCs w:val="18"/>
              </w:rPr>
              <w:t>其他企业的</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债务违规提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供担保</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保证上市公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司的住所独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立于本公司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及本公司控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制的其他企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业。</w:t>
            </w:r>
            <w:r>
              <w:rPr>
                <w:rFonts w:ascii="Times New Roman" w:hAnsi="Times New Roman" w:cs="Times New Roman" w:eastAsia="Times New Roman" w:hint="default"/>
                <w:sz w:val="18"/>
                <w:szCs w:val="18"/>
              </w:rPr>
              <w:t>3</w:t>
            </w:r>
            <w:r>
              <w:rPr>
                <w:rFonts w:ascii="宋体" w:hAnsi="宋体" w:cs="宋体" w:eastAsia="宋体" w:hint="default"/>
                <w:sz w:val="18"/>
                <w:szCs w:val="18"/>
              </w:rPr>
              <w:t>、保证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上市公司财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务独立（</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6"/>
              <w:jc w:val="center"/>
              <w:rPr>
                <w:rFonts w:ascii="宋体" w:hAnsi="宋体" w:cs="宋体" w:eastAsia="宋体" w:hint="default"/>
                <w:sz w:val="18"/>
                <w:szCs w:val="18"/>
              </w:rPr>
            </w:pPr>
            <w:r>
              <w:rPr>
                <w:rFonts w:ascii="宋体" w:hAnsi="宋体" w:cs="宋体" w:eastAsia="宋体" w:hint="default"/>
                <w:sz w:val="18"/>
                <w:szCs w:val="18"/>
              </w:rPr>
              <w:t>保证上市公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司建立独立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的财务部门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和独立的财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务核算体系，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具有规范、独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立的财务核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算制度</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保证上市公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司独立在银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行开户，不和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本公司及本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公司控制的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其他企业共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用银行账户。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）保证上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市公司的财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务人员不在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本公司及本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公司控制的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其他企业兼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职</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pacing w:val="-5"/>
                <w:sz w:val="18"/>
                <w:szCs w:val="18"/>
              </w:rPr>
              <w:t>）</w:t>
            </w:r>
            <w:r>
              <w:rPr>
                <w:rFonts w:ascii="宋体" w:hAnsi="宋体" w:cs="宋体" w:eastAsia="宋体" w:hint="default"/>
                <w:sz w:val="18"/>
                <w:szCs w:val="18"/>
              </w:rPr>
              <w:t>保证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上市公司依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法独立纳税。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）保障上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市公司能够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独立作出财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务决策，本公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司不干预上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市公司的资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金使用。</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保证上市公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司机构独立</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20"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）保证上</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市公司依法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建立健全股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份公司法人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治理结构，拥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有独立、完整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的组织机构，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与本公司及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本公司控制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的其他企业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间不存在机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构混同的情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形</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5"/>
                <w:sz w:val="18"/>
                <w:szCs w:val="18"/>
              </w:rPr>
              <w:t>）</w:t>
            </w:r>
            <w:r>
              <w:rPr>
                <w:rFonts w:ascii="宋体" w:hAnsi="宋体" w:cs="宋体" w:eastAsia="宋体" w:hint="default"/>
                <w:sz w:val="18"/>
                <w:szCs w:val="18"/>
              </w:rPr>
              <w:t>保证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上市公司的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股东大会、董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事会、独立董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事、监事、总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经理等依照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法律、法规和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公司章程独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立行使职权。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、保证上市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公司业务独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立（</w:t>
            </w:r>
            <w:r>
              <w:rPr>
                <w:rFonts w:ascii="Times New Roman" w:hAnsi="Times New Roman" w:cs="Times New Roman" w:eastAsia="Times New Roman" w:hint="default"/>
                <w:sz w:val="18"/>
                <w:szCs w:val="18"/>
              </w:rPr>
              <w:t>1</w:t>
            </w:r>
            <w:r>
              <w:rPr>
                <w:rFonts w:ascii="宋体" w:hAnsi="宋体" w:cs="宋体" w:eastAsia="宋体" w:hint="default"/>
                <w:sz w:val="18"/>
                <w:szCs w:val="18"/>
              </w:rPr>
              <w:t>）保证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上市公司拥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有独立开展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经营活动的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资产、人员、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资质和能力，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具有面向市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场独立自主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持续经营的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能力</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5"/>
                <w:sz w:val="18"/>
                <w:szCs w:val="18"/>
              </w:rPr>
              <w:t>）保</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证本公司除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通过下属子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公司行使股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东权利之外，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不对上市公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司的业务活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动进行干预。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）保证本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公司及本公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司控制的其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他企业避免</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7852"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从事与上市 公司具有实 质性竞争的 </w:t>
            </w:r>
            <w:r>
              <w:rPr>
                <w:rFonts w:ascii="宋体" w:hAnsi="宋体" w:cs="宋体" w:eastAsia="宋体" w:hint="default"/>
                <w:spacing w:val="-15"/>
                <w:sz w:val="18"/>
                <w:szCs w:val="18"/>
              </w:rPr>
              <w:t>业务。（</w:t>
            </w:r>
            <w:r>
              <w:rPr>
                <w:rFonts w:ascii="Times New Roman" w:hAnsi="Times New Roman" w:cs="Times New Roman" w:eastAsia="Times New Roman" w:hint="default"/>
                <w:spacing w:val="-15"/>
                <w:sz w:val="18"/>
                <w:szCs w:val="18"/>
              </w:rPr>
              <w:t>4</w:t>
            </w:r>
            <w:r>
              <w:rPr>
                <w:rFonts w:ascii="宋体" w:hAnsi="宋体" w:cs="宋体" w:eastAsia="宋体" w:hint="default"/>
                <w:spacing w:val="-15"/>
                <w:sz w:val="18"/>
                <w:szCs w:val="18"/>
              </w:rPr>
              <w:t>）保</w:t>
            </w:r>
            <w:r>
              <w:rPr>
                <w:rFonts w:ascii="宋体" w:hAnsi="宋体" w:cs="宋体" w:eastAsia="宋体" w:hint="default"/>
                <w:spacing w:val="-5"/>
                <w:sz w:val="18"/>
                <w:szCs w:val="18"/>
              </w:rPr>
              <w:t> </w:t>
            </w:r>
            <w:r>
              <w:rPr>
                <w:rFonts w:ascii="宋体" w:hAnsi="宋体" w:cs="宋体" w:eastAsia="宋体" w:hint="default"/>
                <w:sz w:val="18"/>
                <w:szCs w:val="18"/>
              </w:rPr>
              <w:t>证尽量减少</w:t>
            </w:r>
            <w:r>
              <w:rPr>
                <w:rFonts w:ascii="宋体" w:hAnsi="宋体" w:cs="宋体" w:eastAsia="宋体" w:hint="default"/>
                <w:sz w:val="18"/>
                <w:szCs w:val="18"/>
              </w:rPr>
              <w:t> 本公司及本 公司控制的 其他企业与 上市公司的 </w:t>
            </w:r>
            <w:r>
              <w:rPr>
                <w:rFonts w:ascii="宋体" w:hAnsi="宋体" w:cs="宋体" w:eastAsia="宋体" w:hint="default"/>
                <w:spacing w:val="-2"/>
                <w:sz w:val="18"/>
                <w:szCs w:val="18"/>
              </w:rPr>
              <w:t>关联交易；在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进行确有必 要且无法避 免的关联交 </w:t>
            </w:r>
            <w:r>
              <w:rPr>
                <w:rFonts w:ascii="宋体" w:hAnsi="宋体" w:cs="宋体" w:eastAsia="宋体" w:hint="default"/>
                <w:spacing w:val="-2"/>
                <w:sz w:val="18"/>
                <w:szCs w:val="18"/>
              </w:rPr>
              <w:t>易时，保证按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照市场化原 则和公允价 格进行公平 </w:t>
            </w:r>
            <w:r>
              <w:rPr>
                <w:rFonts w:ascii="宋体" w:hAnsi="宋体" w:cs="宋体" w:eastAsia="宋体" w:hint="default"/>
                <w:spacing w:val="-2"/>
                <w:sz w:val="18"/>
                <w:szCs w:val="18"/>
              </w:rPr>
              <w:t>操作，并按相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关法律法规 和规范性文 件的规定履 行关联交易 决策程序及 信息披露义 务。</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597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宋体" w:hAnsi="宋体" w:cs="宋体" w:eastAsia="宋体" w:hint="default"/>
                <w:sz w:val="18"/>
                <w:szCs w:val="18"/>
              </w:rPr>
            </w:pPr>
            <w:r>
              <w:rPr>
                <w:rFonts w:ascii="宋体" w:hAnsi="宋体" w:cs="宋体" w:eastAsia="宋体" w:hint="default"/>
                <w:sz w:val="18"/>
                <w:szCs w:val="18"/>
              </w:rPr>
              <w:t>耿殿根</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sz w:val="18"/>
                <w:szCs w:val="18"/>
              </w:rPr>
              <w:t>关于避免同 业竞争的承 </w:t>
            </w:r>
            <w:r>
              <w:rPr>
                <w:rFonts w:ascii="宋体" w:hAnsi="宋体" w:cs="宋体" w:eastAsia="宋体" w:hint="default"/>
                <w:spacing w:val="-2"/>
                <w:sz w:val="18"/>
                <w:szCs w:val="18"/>
              </w:rPr>
              <w:t>诺、关于规范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关联交易的 </w:t>
            </w:r>
            <w:r>
              <w:rPr>
                <w:rFonts w:ascii="宋体" w:hAnsi="宋体" w:cs="宋体" w:eastAsia="宋体" w:hint="default"/>
                <w:spacing w:val="-2"/>
                <w:sz w:val="18"/>
                <w:szCs w:val="18"/>
              </w:rPr>
              <w:t>承诺、关于保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持上市公司 独立性的承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关于避免同 业竞争的承 诺：</w:t>
            </w:r>
            <w:r>
              <w:rPr>
                <w:rFonts w:ascii="Times New Roman" w:hAnsi="Times New Roman" w:cs="Times New Roman" w:eastAsia="Times New Roman" w:hint="default"/>
                <w:sz w:val="18"/>
                <w:szCs w:val="18"/>
              </w:rPr>
              <w:t>1</w:t>
            </w:r>
            <w:r>
              <w:rPr>
                <w:rFonts w:ascii="宋体" w:hAnsi="宋体" w:cs="宋体" w:eastAsia="宋体" w:hint="default"/>
                <w:sz w:val="18"/>
                <w:szCs w:val="18"/>
              </w:rPr>
              <w:t>、本人 以及本人之 </w:t>
            </w:r>
            <w:r>
              <w:rPr>
                <w:rFonts w:ascii="宋体" w:hAnsi="宋体" w:cs="宋体" w:eastAsia="宋体" w:hint="default"/>
                <w:spacing w:val="-2"/>
                <w:sz w:val="18"/>
                <w:szCs w:val="18"/>
              </w:rPr>
              <w:t>全资、控股子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企业目前不 拥有及经营 任何在商业 上与光环新 网正在经营 的业务有直 接竞争的业 务。</w:t>
            </w:r>
            <w:r>
              <w:rPr>
                <w:rFonts w:ascii="Times New Roman" w:hAnsi="Times New Roman" w:cs="Times New Roman" w:eastAsia="Times New Roman" w:hint="default"/>
                <w:sz w:val="18"/>
                <w:szCs w:val="18"/>
              </w:rPr>
              <w:t>2</w:t>
            </w:r>
            <w:r>
              <w:rPr>
                <w:rFonts w:ascii="宋体" w:hAnsi="宋体" w:cs="宋体" w:eastAsia="宋体" w:hint="default"/>
                <w:sz w:val="18"/>
                <w:szCs w:val="18"/>
              </w:rPr>
              <w:t>、本人 承诺本人本 </w:t>
            </w:r>
            <w:r>
              <w:rPr>
                <w:rFonts w:ascii="宋体" w:hAnsi="宋体" w:cs="宋体" w:eastAsia="宋体" w:hint="default"/>
                <w:spacing w:val="-2"/>
                <w:sz w:val="18"/>
                <w:szCs w:val="18"/>
              </w:rPr>
              <w:t>身、并且本人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必将通过法 律程序使本 </w:t>
            </w:r>
            <w:r>
              <w:rPr>
                <w:rFonts w:ascii="宋体" w:hAnsi="宋体" w:cs="宋体" w:eastAsia="宋体" w:hint="default"/>
                <w:spacing w:val="-2"/>
                <w:sz w:val="18"/>
                <w:szCs w:val="18"/>
              </w:rPr>
              <w:t>人之全资、控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股子企业将</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316" w:lineRule="auto"/>
              <w:ind w:left="23" w:right="185"/>
              <w:jc w:val="both"/>
              <w:rPr>
                <w:rFonts w:ascii="宋体" w:hAnsi="宋体" w:cs="宋体" w:eastAsia="宋体" w:hint="default"/>
                <w:sz w:val="18"/>
                <w:szCs w:val="18"/>
              </w:rPr>
            </w:pPr>
            <w:r>
              <w:rPr>
                <w:rFonts w:ascii="宋体" w:hAnsi="宋体" w:cs="宋体" w:eastAsia="宋体" w:hint="default"/>
                <w:sz w:val="18"/>
                <w:szCs w:val="18"/>
              </w:rPr>
              <w:t>作出承诺开 始至承诺履 行完毕。</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316" w:lineRule="auto"/>
              <w:ind w:left="23" w:right="173"/>
              <w:jc w:val="both"/>
              <w:rPr>
                <w:rFonts w:ascii="宋体" w:hAnsi="宋体" w:cs="宋体" w:eastAsia="宋体" w:hint="default"/>
                <w:sz w:val="18"/>
                <w:szCs w:val="18"/>
              </w:rPr>
            </w:pPr>
            <w:r>
              <w:rPr>
                <w:rFonts w:ascii="宋体" w:hAnsi="宋体" w:cs="宋体" w:eastAsia="宋体" w:hint="default"/>
                <w:sz w:val="18"/>
                <w:szCs w:val="18"/>
              </w:rPr>
              <w:t>报告期内承 诺人遵守了 所做承诺。</w:t>
            </w:r>
          </w:p>
        </w:tc>
      </w:tr>
    </w:tbl>
    <w:p>
      <w:pPr>
        <w:spacing w:after="0" w:line="316" w:lineRule="auto"/>
        <w:jc w:val="both"/>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166"/>
              <w:jc w:val="center"/>
              <w:rPr>
                <w:rFonts w:ascii="宋体" w:hAnsi="宋体" w:cs="宋体" w:eastAsia="宋体" w:hint="default"/>
                <w:sz w:val="18"/>
                <w:szCs w:val="18"/>
              </w:rPr>
            </w:pPr>
            <w:r>
              <w:rPr>
                <w:rFonts w:ascii="宋体" w:hAnsi="宋体" w:cs="宋体" w:eastAsia="宋体" w:hint="default"/>
                <w:sz w:val="18"/>
                <w:szCs w:val="18"/>
              </w:rPr>
              <w:t>来均不从事</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任何在商业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上与光环新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网正在经营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的业务有直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接竞争的业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务。</w:t>
            </w:r>
            <w:r>
              <w:rPr>
                <w:rFonts w:ascii="Times New Roman" w:hAnsi="Times New Roman" w:cs="Times New Roman" w:eastAsia="Times New Roman" w:hint="default"/>
                <w:sz w:val="18"/>
                <w:szCs w:val="18"/>
              </w:rPr>
              <w:t>3</w:t>
            </w:r>
            <w:r>
              <w:rPr>
                <w:rFonts w:ascii="宋体" w:hAnsi="宋体" w:cs="宋体" w:eastAsia="宋体" w:hint="default"/>
                <w:sz w:val="18"/>
                <w:szCs w:val="18"/>
              </w:rPr>
              <w:t>、如本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 w:right="0"/>
              <w:jc w:val="center"/>
              <w:rPr>
                <w:rFonts w:ascii="宋体" w:hAnsi="宋体" w:cs="宋体" w:eastAsia="宋体" w:hint="default"/>
                <w:sz w:val="18"/>
                <w:szCs w:val="18"/>
              </w:rPr>
            </w:pPr>
            <w:r>
              <w:rPr>
                <w:rFonts w:ascii="宋体" w:hAnsi="宋体" w:cs="宋体" w:eastAsia="宋体" w:hint="default"/>
                <w:sz w:val="18"/>
                <w:szCs w:val="18"/>
              </w:rPr>
              <w:t>人（包括受本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人控制的子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企业或其他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关联企业）将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来经营的产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品或服务与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光环新网的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主营产品或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服务有可能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形成竞争，本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人同意光环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新网有权优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先收购本人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与该等产品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或服务有关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的资产或本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人在子企业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中的全部股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权。</w:t>
            </w:r>
            <w:r>
              <w:rPr>
                <w:rFonts w:ascii="Times New Roman" w:hAnsi="Times New Roman" w:cs="Times New Roman" w:eastAsia="Times New Roman" w:hint="default"/>
                <w:sz w:val="18"/>
                <w:szCs w:val="18"/>
              </w:rPr>
              <w:t>4</w:t>
            </w:r>
            <w:r>
              <w:rPr>
                <w:rFonts w:ascii="宋体" w:hAnsi="宋体" w:cs="宋体" w:eastAsia="宋体" w:hint="default"/>
                <w:sz w:val="18"/>
                <w:szCs w:val="18"/>
              </w:rPr>
              <w:t>、如因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本人未履行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在本承诺函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中所作的承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诺给光环新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网造成损失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的，本人将赔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偿光环新网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的实际损失。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关于规范关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联交易的承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诺：</w:t>
            </w:r>
            <w:r>
              <w:rPr>
                <w:rFonts w:ascii="Times New Roman" w:hAnsi="Times New Roman" w:cs="Times New Roman" w:eastAsia="Times New Roman" w:hint="default"/>
                <w:sz w:val="18"/>
                <w:szCs w:val="18"/>
              </w:rPr>
              <w:t>1</w:t>
            </w:r>
            <w:r>
              <w:rPr>
                <w:rFonts w:ascii="宋体" w:hAnsi="宋体" w:cs="宋体" w:eastAsia="宋体" w:hint="default"/>
                <w:sz w:val="18"/>
                <w:szCs w:val="18"/>
              </w:rPr>
              <w:t>、尽量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避免或减少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与上市公司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及其下属子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公司之间的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关联交易；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、对于无法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4"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避免或有合</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166"/>
              <w:jc w:val="center"/>
              <w:rPr>
                <w:rFonts w:ascii="宋体" w:hAnsi="宋体" w:cs="宋体" w:eastAsia="宋体" w:hint="default"/>
                <w:sz w:val="18"/>
                <w:szCs w:val="18"/>
              </w:rPr>
            </w:pPr>
            <w:r>
              <w:rPr>
                <w:rFonts w:ascii="宋体" w:hAnsi="宋体" w:cs="宋体" w:eastAsia="宋体" w:hint="default"/>
                <w:sz w:val="18"/>
                <w:szCs w:val="18"/>
              </w:rPr>
              <w:t>理理由存在</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的关联交易，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将与上市公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司依法签订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规范的关联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交易协议，并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按照有关法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律、法规、规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章、其他规范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性文件和公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司章程的规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定履行批准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程序；关联交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易价格按照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市场原则确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定，保证关联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交易价格具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有公允性；保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证按照有关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法律、法规、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规章、其他规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范性文件和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公司章程的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规定履行关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联交易的信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息披露义务；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、保证不利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用关联交易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非法移转上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市公司的资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金、利润，不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利用关联交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易损害上市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公司及非关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联股东的利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益。关于保持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上市公司独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立性的承诺：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、保证上市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公司人员独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立（</w:t>
            </w:r>
            <w:r>
              <w:rPr>
                <w:rFonts w:ascii="Times New Roman" w:hAnsi="Times New Roman" w:cs="Times New Roman" w:eastAsia="Times New Roman" w:hint="default"/>
                <w:sz w:val="18"/>
                <w:szCs w:val="18"/>
              </w:rPr>
              <w:t>1</w:t>
            </w:r>
            <w:r>
              <w:rPr>
                <w:rFonts w:ascii="宋体" w:hAnsi="宋体" w:cs="宋体" w:eastAsia="宋体" w:hint="default"/>
                <w:sz w:val="18"/>
                <w:szCs w:val="18"/>
              </w:rPr>
              <w:t>）保证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上市公司的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生产经营与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行政管理（包</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括劳动、人事</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及薪酬管理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等）完全独立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于本人控制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的其他企业。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）保证上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市公司的董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事、监事和高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级管理人员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严格按照《中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华人民共和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国公司法》和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《公司章程》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的有关规定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产生，保证上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市公司的总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经理、副总经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理、财务负责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人、董事会秘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书等高级管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理人员均在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上市公司专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职工作，不在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本人控制的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其他企业担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任除董事、监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事以外的职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务。</w:t>
            </w:r>
            <w:r>
              <w:rPr>
                <w:rFonts w:ascii="Times New Roman" w:hAnsi="Times New Roman" w:cs="Times New Roman" w:eastAsia="Times New Roman" w:hint="default"/>
                <w:sz w:val="18"/>
                <w:szCs w:val="18"/>
              </w:rPr>
              <w:t>2</w:t>
            </w:r>
            <w:r>
              <w:rPr>
                <w:rFonts w:ascii="宋体" w:hAnsi="宋体" w:cs="宋体" w:eastAsia="宋体" w:hint="default"/>
                <w:sz w:val="18"/>
                <w:szCs w:val="18"/>
              </w:rPr>
              <w:t>、保证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上市公司资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产独立（</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保证上市公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司具有与经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营有关的业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务体系和相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关的独立完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整的资产。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）保证本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人控制的其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他企业不以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任何方式违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法违规占用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上市公司的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资金、资产。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）保证不</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以上市公司</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的资产为本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人控制的其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他企业的债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务违规提供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pacing w:val="-5"/>
                <w:sz w:val="18"/>
                <w:szCs w:val="18"/>
              </w:rPr>
              <w:t>）保</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证上市公司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的住所独立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于本人控制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的其他企业。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、保证上市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公司财务独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立（</w:t>
            </w:r>
            <w:r>
              <w:rPr>
                <w:rFonts w:ascii="Times New Roman" w:hAnsi="Times New Roman" w:cs="Times New Roman" w:eastAsia="Times New Roman" w:hint="default"/>
                <w:sz w:val="18"/>
                <w:szCs w:val="18"/>
              </w:rPr>
              <w:t>1</w:t>
            </w:r>
            <w:r>
              <w:rPr>
                <w:rFonts w:ascii="宋体" w:hAnsi="宋体" w:cs="宋体" w:eastAsia="宋体" w:hint="default"/>
                <w:sz w:val="18"/>
                <w:szCs w:val="18"/>
              </w:rPr>
              <w:t>）保证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上市公司建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立独立的财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务部门和独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立的财务核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算体系，具有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规范、独立的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财务核算制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度</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5"/>
                <w:sz w:val="18"/>
                <w:szCs w:val="18"/>
              </w:rPr>
              <w:t>）</w:t>
            </w:r>
            <w:r>
              <w:rPr>
                <w:rFonts w:ascii="宋体" w:hAnsi="宋体" w:cs="宋体" w:eastAsia="宋体" w:hint="default"/>
                <w:sz w:val="18"/>
                <w:szCs w:val="18"/>
              </w:rPr>
              <w:t>保证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上市公司独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立在银行开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户，不和本人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控制的其他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企业共用银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行账户</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保证上市公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司的财务人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员不在本人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控制的其他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企业兼职。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）保证上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市公司依法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独立纳税。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）保障上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市公司能够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独立作出财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务决策，本公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司不干预上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市公司的资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金使用。</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保证上市公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司机构独立</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20"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）保证上</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市公司依法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建立健全股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份公司法人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治理结构，拥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有独立、完整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的组织机构，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与本人控制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的其他企业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间不存在机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构混同的情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形</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5"/>
                <w:sz w:val="18"/>
                <w:szCs w:val="18"/>
              </w:rPr>
              <w:t>）</w:t>
            </w:r>
            <w:r>
              <w:rPr>
                <w:rFonts w:ascii="宋体" w:hAnsi="宋体" w:cs="宋体" w:eastAsia="宋体" w:hint="default"/>
                <w:sz w:val="18"/>
                <w:szCs w:val="18"/>
              </w:rPr>
              <w:t>保证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上市公司的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股东大会、董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事会、独立董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事、监事、总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经理等依照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法律、法规和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公司章程独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立行使职权。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、保证上市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公司业务独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立（</w:t>
            </w:r>
            <w:r>
              <w:rPr>
                <w:rFonts w:ascii="Times New Roman" w:hAnsi="Times New Roman" w:cs="Times New Roman" w:eastAsia="Times New Roman" w:hint="default"/>
                <w:sz w:val="18"/>
                <w:szCs w:val="18"/>
              </w:rPr>
              <w:t>1</w:t>
            </w:r>
            <w:r>
              <w:rPr>
                <w:rFonts w:ascii="宋体" w:hAnsi="宋体" w:cs="宋体" w:eastAsia="宋体" w:hint="default"/>
                <w:sz w:val="18"/>
                <w:szCs w:val="18"/>
              </w:rPr>
              <w:t>）保证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上市公司拥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有独立开展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经营活动的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资产、人员、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资质和能力，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具有面向市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场独立自主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持续经营的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能力</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5"/>
                <w:sz w:val="18"/>
                <w:szCs w:val="18"/>
              </w:rPr>
              <w:t>）保</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证本公司除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通过下属子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公司行使股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东权利之外，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不对上市公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司的业务活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动进行干预。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）保证本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人控制的其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他企业避免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从事与上市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公司具有实</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6916"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质性竞争的 </w:t>
            </w:r>
            <w:r>
              <w:rPr>
                <w:rFonts w:ascii="宋体" w:hAnsi="宋体" w:cs="宋体" w:eastAsia="宋体" w:hint="default"/>
                <w:spacing w:val="-15"/>
                <w:sz w:val="18"/>
                <w:szCs w:val="18"/>
              </w:rPr>
              <w:t>业务。（</w:t>
            </w:r>
            <w:r>
              <w:rPr>
                <w:rFonts w:ascii="Times New Roman" w:hAnsi="Times New Roman" w:cs="Times New Roman" w:eastAsia="Times New Roman" w:hint="default"/>
                <w:spacing w:val="-15"/>
                <w:sz w:val="18"/>
                <w:szCs w:val="18"/>
              </w:rPr>
              <w:t>4</w:t>
            </w:r>
            <w:r>
              <w:rPr>
                <w:rFonts w:ascii="宋体" w:hAnsi="宋体" w:cs="宋体" w:eastAsia="宋体" w:hint="default"/>
                <w:spacing w:val="-15"/>
                <w:sz w:val="18"/>
                <w:szCs w:val="18"/>
              </w:rPr>
              <w:t>）保</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证尽量减少 本人控制的 其他企业与 上市公司的 </w:t>
            </w:r>
            <w:r>
              <w:rPr>
                <w:rFonts w:ascii="宋体" w:hAnsi="宋体" w:cs="宋体" w:eastAsia="宋体" w:hint="default"/>
                <w:spacing w:val="-2"/>
                <w:sz w:val="18"/>
                <w:szCs w:val="18"/>
              </w:rPr>
              <w:t>关联交易；在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进行确有必 要且无法避 免的关联交 </w:t>
            </w:r>
            <w:r>
              <w:rPr>
                <w:rFonts w:ascii="宋体" w:hAnsi="宋体" w:cs="宋体" w:eastAsia="宋体" w:hint="default"/>
                <w:spacing w:val="-2"/>
                <w:sz w:val="18"/>
                <w:szCs w:val="18"/>
              </w:rPr>
              <w:t>易时，保证按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照市场化原 则和公允价 格进行公平 </w:t>
            </w:r>
            <w:r>
              <w:rPr>
                <w:rFonts w:ascii="宋体" w:hAnsi="宋体" w:cs="宋体" w:eastAsia="宋体" w:hint="default"/>
                <w:spacing w:val="-2"/>
                <w:sz w:val="18"/>
                <w:szCs w:val="18"/>
              </w:rPr>
              <w:t>操作，并按相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关法律法规 和规范性文 件的规定履 行关联交易 决策程序及 信息披露义 务。</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6915"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316" w:lineRule="auto"/>
              <w:ind w:left="23" w:right="7"/>
              <w:jc w:val="left"/>
              <w:rPr>
                <w:rFonts w:ascii="宋体" w:hAnsi="宋体" w:cs="宋体" w:eastAsia="宋体" w:hint="default"/>
                <w:sz w:val="18"/>
                <w:szCs w:val="18"/>
              </w:rPr>
            </w:pPr>
            <w:r>
              <w:rPr>
                <w:rFonts w:ascii="宋体" w:hAnsi="宋体" w:cs="宋体" w:eastAsia="宋体" w:hint="default"/>
                <w:sz w:val="18"/>
                <w:szCs w:val="18"/>
              </w:rPr>
              <w:t>董事耿殿根、 侯焰、袁丁、 曹毅、韩旭、 税军、王淑 </w:t>
            </w:r>
            <w:r>
              <w:rPr>
                <w:rFonts w:ascii="宋体" w:hAnsi="宋体" w:cs="宋体" w:eastAsia="宋体" w:hint="default"/>
                <w:spacing w:val="-3"/>
                <w:sz w:val="18"/>
                <w:szCs w:val="18"/>
              </w:rPr>
              <w:t>芳；监事庞宝</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光、李超、汝</w:t>
            </w:r>
            <w:r>
              <w:rPr>
                <w:rFonts w:ascii="宋体" w:hAnsi="宋体" w:cs="宋体" w:eastAsia="宋体" w:hint="default"/>
                <w:sz w:val="18"/>
                <w:szCs w:val="18"/>
              </w:rPr>
              <w:t> </w:t>
            </w:r>
            <w:r>
              <w:rPr>
                <w:rFonts w:ascii="宋体" w:hAnsi="宋体" w:cs="宋体" w:eastAsia="宋体" w:hint="default"/>
                <w:spacing w:val="-3"/>
                <w:sz w:val="18"/>
                <w:szCs w:val="18"/>
              </w:rPr>
              <w:t>书伟；高级管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理人员杨宇 航、高宏、陈</w:t>
            </w:r>
            <w:r>
              <w:rPr>
                <w:rFonts w:ascii="宋体" w:hAnsi="宋体" w:cs="宋体" w:eastAsia="宋体" w:hint="default"/>
                <w:sz w:val="18"/>
                <w:szCs w:val="18"/>
              </w:rPr>
              <w:t> 浩、张利军、 </w:t>
            </w:r>
            <w:r>
              <w:rPr>
                <w:rFonts w:ascii="宋体" w:hAnsi="宋体" w:cs="宋体" w:eastAsia="宋体" w:hint="default"/>
                <w:spacing w:val="-3"/>
                <w:sz w:val="18"/>
                <w:szCs w:val="18"/>
              </w:rPr>
              <w:t>齐顺杰、耿岩</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316" w:lineRule="auto"/>
              <w:ind w:left="26" w:right="191"/>
              <w:jc w:val="both"/>
              <w:rPr>
                <w:rFonts w:ascii="宋体" w:hAnsi="宋体" w:cs="宋体" w:eastAsia="宋体" w:hint="default"/>
                <w:sz w:val="18"/>
                <w:szCs w:val="18"/>
              </w:rPr>
            </w:pPr>
            <w:r>
              <w:rPr>
                <w:rFonts w:ascii="宋体" w:hAnsi="宋体" w:cs="宋体" w:eastAsia="宋体" w:hint="default"/>
                <w:sz w:val="18"/>
                <w:szCs w:val="18"/>
              </w:rPr>
              <w:t>关于因信息 披露不实被 立案调查后 股份锁定的 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如本人就本 次交易所提 供或披露的 信息涉嫌虚 </w:t>
            </w:r>
            <w:r>
              <w:rPr>
                <w:rFonts w:ascii="宋体" w:hAnsi="宋体" w:cs="宋体" w:eastAsia="宋体" w:hint="default"/>
                <w:spacing w:val="-2"/>
                <w:sz w:val="18"/>
                <w:szCs w:val="18"/>
              </w:rPr>
              <w:t>假记载、误导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性陈述或者 重大遗漏</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宋体" w:hAnsi="宋体" w:cs="宋体" w:eastAsia="宋体" w:hint="default"/>
                <w:sz w:val="18"/>
                <w:szCs w:val="18"/>
              </w:rPr>
              <w:t> 被司法机关 立案侦查或 者被中国证 监会立案调 </w:t>
            </w:r>
            <w:r>
              <w:rPr>
                <w:rFonts w:ascii="宋体" w:hAnsi="宋体" w:cs="宋体" w:eastAsia="宋体" w:hint="default"/>
                <w:spacing w:val="-2"/>
                <w:sz w:val="18"/>
                <w:szCs w:val="18"/>
              </w:rPr>
              <w:t>查的，在形成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调查结论以 </w:t>
            </w:r>
            <w:r>
              <w:rPr>
                <w:rFonts w:ascii="宋体" w:hAnsi="宋体" w:cs="宋体" w:eastAsia="宋体" w:hint="default"/>
                <w:spacing w:val="-2"/>
                <w:sz w:val="18"/>
                <w:szCs w:val="18"/>
              </w:rPr>
              <w:t>前，本人将不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转让在光环 新网拥有权 </w:t>
            </w:r>
            <w:r>
              <w:rPr>
                <w:rFonts w:ascii="宋体" w:hAnsi="宋体" w:cs="宋体" w:eastAsia="宋体" w:hint="default"/>
                <w:spacing w:val="-2"/>
                <w:sz w:val="18"/>
                <w:szCs w:val="18"/>
              </w:rPr>
              <w:t>益的股份，并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于收到立案 稽查通知的 两个交易日 内将暂停转 让的书面申</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316" w:lineRule="auto"/>
              <w:ind w:left="23" w:right="185"/>
              <w:jc w:val="both"/>
              <w:rPr>
                <w:rFonts w:ascii="宋体" w:hAnsi="宋体" w:cs="宋体" w:eastAsia="宋体" w:hint="default"/>
                <w:sz w:val="18"/>
                <w:szCs w:val="18"/>
              </w:rPr>
            </w:pPr>
            <w:r>
              <w:rPr>
                <w:rFonts w:ascii="宋体" w:hAnsi="宋体" w:cs="宋体" w:eastAsia="宋体" w:hint="default"/>
                <w:sz w:val="18"/>
                <w:szCs w:val="18"/>
              </w:rPr>
              <w:t>作出承诺开 始至承诺履 行完毕。</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316" w:lineRule="auto"/>
              <w:ind w:left="23" w:right="173"/>
              <w:jc w:val="both"/>
              <w:rPr>
                <w:rFonts w:ascii="宋体" w:hAnsi="宋体" w:cs="宋体" w:eastAsia="宋体" w:hint="default"/>
                <w:sz w:val="18"/>
                <w:szCs w:val="18"/>
              </w:rPr>
            </w:pPr>
            <w:r>
              <w:rPr>
                <w:rFonts w:ascii="宋体" w:hAnsi="宋体" w:cs="宋体" w:eastAsia="宋体" w:hint="default"/>
                <w:sz w:val="18"/>
                <w:szCs w:val="18"/>
              </w:rPr>
              <w:t>报告期内承 诺人遵守了 所做承诺。</w:t>
            </w:r>
          </w:p>
        </w:tc>
      </w:tr>
    </w:tbl>
    <w:p>
      <w:pPr>
        <w:spacing w:after="0" w:line="316" w:lineRule="auto"/>
        <w:jc w:val="both"/>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632996pt;margin-top:667.899963pt;width:61.8pt;height:30.25pt;mso-position-horizontal-relative:page;mso-position-vertical-relative:page;z-index:-1593496" type="#_x0000_t202" filled="false" stroked="false">
            <v:textbox inset="0,0,0,0">
              <w:txbxContent>
                <w:p>
                  <w:pPr>
                    <w:pStyle w:val="BodyText"/>
                    <w:spacing w:line="240" w:lineRule="auto" w:before="49"/>
                    <w:ind w:left="0" w:right="0"/>
                    <w:jc w:val="left"/>
                  </w:pPr>
                  <w:r>
                    <w:rPr/>
                    <w:t>：</w:t>
                  </w:r>
                </w:p>
              </w:txbxContent>
            </v:textbox>
            <w10:wrap type="none"/>
          </v:shape>
        </w:pict>
      </w:r>
      <w:r>
        <w:rPr/>
        <w:pict>
          <v:group style="position:absolute;margin-left:367.630005pt;margin-top:667.899963pt;width:55.8pt;height:30.25pt;mso-position-horizontal-relative:page;mso-position-vertical-relative:page;z-index:-1593472" coordorigin="7353,13358" coordsize="1116,605">
            <v:shape style="position:absolute;left:7353;top:13358;width:1116;height:605" coordorigin="7353,13358" coordsize="1116,605" path="m7353,13963l8469,13963,8469,13358,7353,13358,7353,13963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166"/>
              <w:jc w:val="center"/>
              <w:rPr>
                <w:rFonts w:ascii="宋体" w:hAnsi="宋体" w:cs="宋体" w:eastAsia="宋体" w:hint="default"/>
                <w:sz w:val="18"/>
                <w:szCs w:val="18"/>
              </w:rPr>
            </w:pPr>
            <w:r>
              <w:rPr>
                <w:rFonts w:ascii="宋体" w:hAnsi="宋体" w:cs="宋体" w:eastAsia="宋体" w:hint="default"/>
                <w:sz w:val="18"/>
                <w:szCs w:val="18"/>
              </w:rPr>
              <w:t>请和股票账</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户提交光环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新网董事会，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由董事会代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本人向证券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交易所和登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记结算公司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申请锁定；如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未在两个交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易日内提交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锁定申请的，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本人授权董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事会核实后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直接向证券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交易所和登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记结算公司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报送本人身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份信息和账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户信息并申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请锁定；如董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事会未向证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券交易所和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登记结算公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司报送本人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身份信息和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账户信息的，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本人授权证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券交易所和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登记结算公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司直接锁定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相关股份。如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调查结论发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现存在违法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违规情节，本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人承诺锁定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股份自愿用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于相关投资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60"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者赔偿安排。</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r>
        <w:trPr>
          <w:trHeight w:val="351"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3"/>
                <w:sz w:val="18"/>
                <w:szCs w:val="18"/>
              </w:rPr>
              <w:t>中金盛世、利</w:t>
            </w: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84"/>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、业绩承诺</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
        </w:tc>
      </w:tr>
      <w:tr>
        <w:trPr>
          <w:trHeight w:val="1258"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319" w:lineRule="auto" w:before="15"/>
              <w:ind w:left="23" w:right="17"/>
              <w:jc w:val="left"/>
              <w:rPr>
                <w:rFonts w:ascii="宋体" w:hAnsi="宋体" w:cs="宋体" w:eastAsia="宋体" w:hint="default"/>
                <w:sz w:val="18"/>
                <w:szCs w:val="18"/>
              </w:rPr>
            </w:pPr>
            <w:r>
              <w:rPr>
                <w:rFonts w:ascii="宋体" w:hAnsi="宋体" w:cs="宋体" w:eastAsia="宋体" w:hint="default"/>
                <w:spacing w:val="-3"/>
                <w:sz w:val="18"/>
                <w:szCs w:val="18"/>
              </w:rPr>
              <w:t>源顶盛、宇扬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锦达、卓程 达、利扬盛 </w:t>
            </w:r>
            <w:r>
              <w:rPr>
                <w:rFonts w:ascii="宋体" w:hAnsi="宋体" w:cs="宋体" w:eastAsia="宋体" w:hint="default"/>
                <w:spacing w:val="-2"/>
                <w:sz w:val="18"/>
                <w:szCs w:val="18"/>
              </w:rPr>
              <w:t>达、杨雨、陈</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316" w:lineRule="auto" w:before="152"/>
              <w:ind w:left="26" w:right="191"/>
              <w:jc w:val="both"/>
              <w:rPr>
                <w:rFonts w:ascii="宋体" w:hAnsi="宋体" w:cs="宋体" w:eastAsia="宋体" w:hint="default"/>
                <w:sz w:val="18"/>
                <w:szCs w:val="18"/>
              </w:rPr>
            </w:pPr>
            <w:r>
              <w:rPr>
                <w:rFonts w:ascii="宋体" w:hAnsi="宋体" w:cs="宋体" w:eastAsia="宋体" w:hint="default"/>
                <w:sz w:val="18"/>
                <w:szCs w:val="18"/>
              </w:rPr>
              <w:t>业绩承诺及 利润补偿安 排</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中金云网</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年度的</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3" w:right="170"/>
              <w:jc w:val="both"/>
              <w:rPr>
                <w:rFonts w:ascii="宋体" w:hAnsi="宋体" w:cs="宋体" w:eastAsia="宋体" w:hint="default"/>
                <w:sz w:val="18"/>
                <w:szCs w:val="18"/>
              </w:rPr>
            </w:pPr>
            <w:r>
              <w:rPr>
                <w:rFonts w:ascii="宋体" w:hAnsi="宋体" w:cs="宋体" w:eastAsia="宋体" w:hint="default"/>
                <w:sz w:val="18"/>
                <w:szCs w:val="18"/>
              </w:rPr>
              <w:t>报告期内承 诺人尚未开 始履行上述 承诺。</w:t>
            </w:r>
          </w:p>
        </w:tc>
      </w:tr>
      <w:tr>
        <w:trPr>
          <w:trHeight w:val="314"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静、郑善伟、</w:t>
            </w: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净利润数分</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pgSz w:w="11910" w:h="16840"/>
          <w:pgMar w:header="745" w:footer="979" w:top="1060" w:bottom="1160" w:left="980" w:right="980"/>
        </w:sectPr>
      </w:pPr>
    </w:p>
    <w:p>
      <w:pPr>
        <w:pStyle w:val="BodyText"/>
        <w:spacing w:line="316" w:lineRule="auto" w:before="161"/>
        <w:ind w:left="3019" w:right="-14"/>
        <w:jc w:val="left"/>
      </w:pPr>
      <w:r>
        <w:rPr/>
        <w:pict>
          <v:shape style="position:absolute;margin-left:361.630005pt;margin-top:72.47998pt;width:61.8pt;height:686.55pt;mso-position-horizontal-relative:page;mso-position-vertical-relative:page;z-index:-159344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3"/>
                      <w:szCs w:val="23"/>
                    </w:rPr>
                  </w:pPr>
                </w:p>
                <w:p>
                  <w:pPr>
                    <w:pStyle w:val="BodyText"/>
                    <w:spacing w:line="240" w:lineRule="auto"/>
                    <w:ind w:left="0" w:right="0"/>
                    <w:jc w:val="left"/>
                  </w:pPr>
                  <w:r>
                    <w:rPr/>
                    <w:t>、</w:t>
                  </w:r>
                </w:p>
              </w:txbxContent>
            </v:textbox>
            <w10:wrap type="none"/>
          </v:shape>
        </w:pict>
      </w:r>
      <w:r>
        <w:rPr/>
        <w:pict>
          <v:group style="position:absolute;margin-left:56.400002pt;margin-top:71.759964pt;width:478.9pt;height:688pt;mso-position-horizontal-relative:page;mso-position-vertical-relative:page;z-index:-1593424" coordorigin="1128,1435" coordsize="9578,13760">
            <v:group style="position:absolute;left:1140;top:1450;width:2826;height:13731" coordorigin="1140,1450" coordsize="2826,13731">
              <v:shape style="position:absolute;left:1140;top:1450;width:2826;height:13731" coordorigin="1140,1450" coordsize="2826,13731" path="m1140,15180l3966,15180,3966,1450,1140,1450,1140,15180xe" filled="true" fillcolor="#d2d2d2" stroked="false">
                <v:path arrowok="t"/>
                <v:fill type="solid"/>
              </v:shape>
            </v:group>
            <v:group style="position:absolute;left:1138;top:1445;width:2829;height:2" coordorigin="1138,1445" coordsize="2829,2">
              <v:shape style="position:absolute;left:1138;top:1445;width:2829;height:2" coordorigin="1138,1445" coordsize="2829,0" path="m1138,1445l3966,1445e" filled="false" stroked="true" strokeweight=".48pt" strokecolor="#000000">
                <v:path arrowok="t"/>
              </v:shape>
            </v:group>
            <v:group style="position:absolute;left:3975;top:1445;width:1114;height:2" coordorigin="3975,1445" coordsize="1114,2">
              <v:shape style="position:absolute;left:3975;top:1445;width:1114;height:2" coordorigin="3975,1445" coordsize="1114,0" path="m3975,1445l5089,1445e" filled="false" stroked="true" strokeweight=".48pt" strokecolor="#000000">
                <v:path arrowok="t"/>
              </v:shape>
            </v:group>
            <v:group style="position:absolute;left:5099;top:1445;width:1119;height:2" coordorigin="5099,1445" coordsize="1119,2">
              <v:shape style="position:absolute;left:5099;top:1445;width:1119;height:2" coordorigin="5099,1445" coordsize="1119,0" path="m5099,1445l6217,1445e" filled="false" stroked="true" strokeweight=".48pt" strokecolor="#000000">
                <v:path arrowok="t"/>
              </v:shape>
            </v:group>
            <v:group style="position:absolute;left:7353;top:1450;width:1116;height:13731" coordorigin="7353,1450" coordsize="1116,13731">
              <v:shape style="position:absolute;left:7353;top:1450;width:1116;height:13731" coordorigin="7353,1450" coordsize="1116,13731" path="m7353,15180l8469,15180,8469,1450,7353,1450,7353,15180xe" filled="true" fillcolor="#ffffff" stroked="false">
                <v:path arrowok="t"/>
                <v:fill type="solid"/>
              </v:shape>
            </v:group>
            <v:group style="position:absolute;left:6227;top:1445;width:1117;height:2" coordorigin="6227,1445" coordsize="1117,2">
              <v:shape style="position:absolute;left:6227;top:1445;width:1117;height:2" coordorigin="6227,1445" coordsize="1117,0" path="m6227,1445l7343,1445e" filled="false" stroked="true" strokeweight=".48pt" strokecolor="#000000">
                <v:path arrowok="t"/>
              </v:shape>
            </v:group>
            <v:group style="position:absolute;left:7353;top:1445;width:1116;height:2" coordorigin="7353,1445" coordsize="1116,2">
              <v:shape style="position:absolute;left:7353;top:1445;width:1116;height:2" coordorigin="7353,1445" coordsize="1116,0" path="m7353,1445l8469,1445e" filled="false" stroked="true" strokeweight=".48pt" strokecolor="#000000">
                <v:path arrowok="t"/>
              </v:shape>
            </v:group>
            <v:group style="position:absolute;left:8478;top:1445;width:1112;height:2" coordorigin="8478,1445" coordsize="1112,2">
              <v:shape style="position:absolute;left:8478;top:1445;width:1112;height:2" coordorigin="8478,1445" coordsize="1112,0" path="m8478,1445l9590,1445e" filled="false" stroked="true" strokeweight=".48pt" strokecolor="#000000">
                <v:path arrowok="t"/>
              </v:shape>
            </v:group>
            <v:group style="position:absolute;left:9600;top:1445;width:1097;height:2" coordorigin="9600,1445" coordsize="1097,2">
              <v:shape style="position:absolute;left:9600;top:1445;width:1097;height:2" coordorigin="9600,1445" coordsize="1097,0" path="m9600,1445l10696,1445e" filled="false" stroked="true" strokeweight=".48pt" strokecolor="#000000">
                <v:path arrowok="t"/>
              </v:shape>
            </v:group>
            <v:group style="position:absolute;left:1133;top:1440;width:2;height:13750" coordorigin="1133,1440" coordsize="2,13750">
              <v:shape style="position:absolute;left:1133;top:1440;width:2;height:13750" coordorigin="1133,1440" coordsize="0,13750" path="m1133,1440l1133,15190e" filled="false" stroked="true" strokeweight=".48pt" strokecolor="#000000">
                <v:path arrowok="t"/>
              </v:shape>
            </v:group>
            <v:group style="position:absolute;left:1138;top:15185;width:2829;height:2" coordorigin="1138,15185" coordsize="2829,2">
              <v:shape style="position:absolute;left:1138;top:15185;width:2829;height:2" coordorigin="1138,15185" coordsize="2829,0" path="m1138,15185l3966,15185e" filled="false" stroked="true" strokeweight=".47998pt" strokecolor="#000000">
                <v:path arrowok="t"/>
              </v:shape>
            </v:group>
            <v:group style="position:absolute;left:3971;top:1440;width:2;height:13750" coordorigin="3971,1440" coordsize="2,13750">
              <v:shape style="position:absolute;left:3971;top:1440;width:2;height:13750" coordorigin="3971,1440" coordsize="0,13750" path="m3971,1440l3971,15190e" filled="false" stroked="true" strokeweight=".48001pt" strokecolor="#000000">
                <v:path arrowok="t"/>
              </v:shape>
            </v:group>
            <v:group style="position:absolute;left:3975;top:15185;width:1114;height:2" coordorigin="3975,15185" coordsize="1114,2">
              <v:shape style="position:absolute;left:3975;top:15185;width:1114;height:2" coordorigin="3975,15185" coordsize="1114,0" path="m3975,15185l5089,15185e" filled="false" stroked="true" strokeweight=".47998pt" strokecolor="#000000">
                <v:path arrowok="t"/>
              </v:shape>
            </v:group>
            <v:group style="position:absolute;left:5094;top:1440;width:2;height:13750" coordorigin="5094,1440" coordsize="2,13750">
              <v:shape style="position:absolute;left:5094;top:1440;width:2;height:13750" coordorigin="5094,1440" coordsize="0,13750" path="m5094,1440l5094,15190e" filled="false" stroked="true" strokeweight=".48001pt" strokecolor="#000000">
                <v:path arrowok="t"/>
              </v:shape>
            </v:group>
            <v:group style="position:absolute;left:5099;top:15185;width:1119;height:2" coordorigin="5099,15185" coordsize="1119,2">
              <v:shape style="position:absolute;left:5099;top:15185;width:1119;height:2" coordorigin="5099,15185" coordsize="1119,0" path="m5099,15185l6217,15185e" filled="false" stroked="true" strokeweight=".47998pt" strokecolor="#000000">
                <v:path arrowok="t"/>
              </v:shape>
            </v:group>
            <v:group style="position:absolute;left:6222;top:1440;width:2;height:13750" coordorigin="6222,1440" coordsize="2,13750">
              <v:shape style="position:absolute;left:6222;top:1440;width:2;height:13750" coordorigin="6222,1440" coordsize="0,13750" path="m6222,1440l6222,15190e" filled="false" stroked="true" strokeweight=".48001pt" strokecolor="#000000">
                <v:path arrowok="t"/>
              </v:shape>
            </v:group>
            <v:group style="position:absolute;left:6227;top:15185;width:1117;height:2" coordorigin="6227,15185" coordsize="1117,2">
              <v:shape style="position:absolute;left:6227;top:15185;width:1117;height:2" coordorigin="6227,15185" coordsize="1117,0" path="m6227,15185l7343,15185e" filled="false" stroked="true" strokeweight=".47998pt" strokecolor="#000000">
                <v:path arrowok="t"/>
              </v:shape>
            </v:group>
            <v:group style="position:absolute;left:7348;top:1440;width:2;height:13750" coordorigin="7348,1440" coordsize="2,13750">
              <v:shape style="position:absolute;left:7348;top:1440;width:2;height:13750" coordorigin="7348,1440" coordsize="0,13750" path="m7348,1440l7348,15190e" filled="false" stroked="true" strokeweight=".47998pt" strokecolor="#000000">
                <v:path arrowok="t"/>
              </v:shape>
            </v:group>
            <v:group style="position:absolute;left:7353;top:15185;width:1116;height:2" coordorigin="7353,15185" coordsize="1116,2">
              <v:shape style="position:absolute;left:7353;top:15185;width:1116;height:2" coordorigin="7353,15185" coordsize="1116,0" path="m7353,15185l8469,15185e" filled="false" stroked="true" strokeweight=".47998pt" strokecolor="#000000">
                <v:path arrowok="t"/>
              </v:shape>
            </v:group>
            <v:group style="position:absolute;left:8473;top:1440;width:2;height:13750" coordorigin="8473,1440" coordsize="2,13750">
              <v:shape style="position:absolute;left:8473;top:1440;width:2;height:13750" coordorigin="8473,1440" coordsize="0,13750" path="m8473,1440l8473,15190e" filled="false" stroked="true" strokeweight=".48001pt" strokecolor="#000000">
                <v:path arrowok="t"/>
              </v:shape>
            </v:group>
            <v:group style="position:absolute;left:8478;top:15185;width:1112;height:2" coordorigin="8478,15185" coordsize="1112,2">
              <v:shape style="position:absolute;left:8478;top:15185;width:1112;height:2" coordorigin="8478,15185" coordsize="1112,0" path="m8478,15185l9590,15185e" filled="false" stroked="true" strokeweight=".47998pt" strokecolor="#000000">
                <v:path arrowok="t"/>
              </v:shape>
            </v:group>
            <v:group style="position:absolute;left:9595;top:1440;width:2;height:13750" coordorigin="9595,1440" coordsize="2,13750">
              <v:shape style="position:absolute;left:9595;top:1440;width:2;height:13750" coordorigin="9595,1440" coordsize="0,13750" path="m9595,1440l9595,15190e" filled="false" stroked="true" strokeweight=".48001pt" strokecolor="#000000">
                <v:path arrowok="t"/>
              </v:shape>
            </v:group>
            <v:group style="position:absolute;left:9600;top:15185;width:1097;height:2" coordorigin="9600,15185" coordsize="1097,2">
              <v:shape style="position:absolute;left:9600;top:15185;width:1097;height:2" coordorigin="9600,15185" coordsize="1097,0" path="m9600,15185l10696,15185e" filled="false" stroked="true" strokeweight=".47998pt" strokecolor="#000000">
                <v:path arrowok="t"/>
              </v:shape>
            </v:group>
            <v:group style="position:absolute;left:10701;top:1440;width:2;height:13750" coordorigin="10701,1440" coordsize="2,13750">
              <v:shape style="position:absolute;left:10701;top:1440;width:2;height:13750" coordorigin="10701,1440" coordsize="0,13750" path="m10701,1440l10701,15190e" filled="false" stroked="true" strokeweight=".48004pt" strokecolor="#000000">
                <v:path arrowok="t"/>
              </v:shape>
            </v:group>
            <w10:wrap type="none"/>
          </v:group>
        </w:pict>
      </w:r>
      <w:r>
        <w:rPr>
          <w:spacing w:val="-3"/>
        </w:rPr>
        <w:t>唐征卫、申海</w:t>
      </w:r>
      <w:r>
        <w:rPr>
          <w:spacing w:val="-85"/>
        </w:rPr>
        <w:t> </w:t>
      </w:r>
      <w:r>
        <w:rPr>
          <w:spacing w:val="-85"/>
        </w:rPr>
      </w:r>
      <w:r>
        <w:rPr/>
        <w:t>山、许小平</w:t>
      </w:r>
    </w:p>
    <w:p>
      <w:pPr>
        <w:pStyle w:val="BodyText"/>
        <w:spacing w:line="240" w:lineRule="auto" w:before="161"/>
        <w:ind w:left="1143" w:right="0"/>
        <w:jc w:val="left"/>
      </w:pPr>
      <w:r>
        <w:rPr/>
        <w:br w:type="column"/>
      </w:r>
      <w:r>
        <w:rPr/>
        <w:t>别不低于</w:t>
      </w:r>
    </w:p>
    <w:p>
      <w:pPr>
        <w:pStyle w:val="BodyText"/>
        <w:spacing w:line="240" w:lineRule="auto" w:before="76"/>
        <w:ind w:left="1143" w:right="0"/>
        <w:jc w:val="left"/>
      </w:pPr>
      <w:r>
        <w:rPr>
          <w:rFonts w:ascii="Times New Roman" w:hAnsi="Times New Roman" w:cs="Times New Roman" w:eastAsia="Times New Roman" w:hint="default"/>
        </w:rPr>
        <w:t>13,000</w:t>
      </w:r>
      <w:r>
        <w:rPr>
          <w:rFonts w:ascii="Times New Roman" w:hAnsi="Times New Roman" w:cs="Times New Roman" w:eastAsia="Times New Roman" w:hint="default"/>
          <w:spacing w:val="1"/>
        </w:rPr>
        <w:t> </w:t>
      </w:r>
      <w:r>
        <w:rPr/>
        <w:t>万元、</w:t>
      </w:r>
    </w:p>
    <w:p>
      <w:pPr>
        <w:pStyle w:val="BodyText"/>
        <w:spacing w:line="240" w:lineRule="auto" w:before="63"/>
        <w:ind w:left="1143" w:right="0"/>
        <w:jc w:val="left"/>
      </w:pPr>
      <w:r>
        <w:rPr>
          <w:rFonts w:ascii="Times New Roman" w:hAnsi="Times New Roman" w:cs="Times New Roman" w:eastAsia="Times New Roman" w:hint="default"/>
        </w:rPr>
        <w:t>21,000</w:t>
      </w:r>
      <w:r>
        <w:rPr>
          <w:rFonts w:ascii="Times New Roman" w:hAnsi="Times New Roman" w:cs="Times New Roman" w:eastAsia="Times New Roman" w:hint="default"/>
          <w:spacing w:val="1"/>
        </w:rPr>
        <w:t> </w:t>
      </w:r>
      <w:r>
        <w:rPr/>
        <w:t>万元、</w:t>
      </w:r>
    </w:p>
    <w:p>
      <w:pPr>
        <w:pStyle w:val="BodyText"/>
        <w:spacing w:line="312" w:lineRule="auto" w:before="63"/>
        <w:ind w:left="1143" w:right="3575"/>
        <w:jc w:val="left"/>
      </w:pPr>
      <w:r>
        <w:rPr>
          <w:rFonts w:ascii="Times New Roman" w:hAnsi="Times New Roman" w:cs="Times New Roman" w:eastAsia="Times New Roman" w:hint="default"/>
        </w:rPr>
        <w:t>29,000</w:t>
      </w:r>
      <w:r>
        <w:rPr>
          <w:rFonts w:ascii="Times New Roman" w:hAnsi="Times New Roman" w:cs="Times New Roman" w:eastAsia="Times New Roman" w:hint="default"/>
          <w:spacing w:val="1"/>
        </w:rPr>
        <w:t> </w:t>
      </w:r>
      <w:r>
        <w:rPr/>
        <w:t>万元。 业绩承诺期 不因本次交 易的完成时 间而改变。</w:t>
      </w:r>
      <w:r>
        <w:rPr>
          <w:rFonts w:ascii="Times New Roman" w:hAnsi="Times New Roman" w:cs="Times New Roman" w:eastAsia="Times New Roman" w:hint="default"/>
        </w:rPr>
        <w:t>2 </w:t>
      </w:r>
      <w:r>
        <w:rPr/>
        <w:t>补偿方式：</w:t>
      </w:r>
    </w:p>
    <w:p>
      <w:pPr>
        <w:pStyle w:val="BodyText"/>
        <w:spacing w:line="316" w:lineRule="auto" w:before="22"/>
        <w:ind w:left="1143" w:right="3588"/>
        <w:jc w:val="left"/>
      </w:pPr>
      <w:r>
        <w:rPr/>
        <w:t>（</w:t>
      </w:r>
      <w:r>
        <w:rPr>
          <w:rFonts w:ascii="Times New Roman" w:hAnsi="Times New Roman" w:cs="Times New Roman" w:eastAsia="Times New Roman" w:hint="default"/>
        </w:rPr>
        <w:t>1</w:t>
      </w:r>
      <w:r>
        <w:rPr/>
        <w:t>）中金云 网利润补偿 </w:t>
      </w:r>
      <w:r>
        <w:rPr>
          <w:spacing w:val="-2"/>
        </w:rPr>
        <w:t>方确认，本次</w:t>
      </w:r>
      <w:r>
        <w:rPr>
          <w:spacing w:val="-88"/>
        </w:rPr>
        <w:t> </w:t>
      </w:r>
      <w:r>
        <w:rPr>
          <w:spacing w:val="-88"/>
        </w:rPr>
      </w:r>
      <w:r>
        <w:rPr/>
        <w:t>交易实施完 </w:t>
      </w:r>
      <w:r>
        <w:rPr>
          <w:spacing w:val="-2"/>
        </w:rPr>
        <w:t>毕后，如标的</w:t>
      </w:r>
      <w:r>
        <w:rPr>
          <w:spacing w:val="-88"/>
        </w:rPr>
        <w:t> </w:t>
      </w:r>
      <w:r>
        <w:rPr>
          <w:spacing w:val="-88"/>
        </w:rPr>
      </w:r>
      <w:r>
        <w:rPr/>
        <w:t>资产于利润 补偿期间内 任一年度实 际实现的净 利润数低于 中金云网承 诺的同期净 </w:t>
      </w:r>
      <w:r>
        <w:rPr>
          <w:spacing w:val="-2"/>
        </w:rPr>
        <w:t>利润数，中金</w:t>
      </w:r>
      <w:r>
        <w:rPr>
          <w:spacing w:val="-88"/>
        </w:rPr>
        <w:t> </w:t>
      </w:r>
      <w:r>
        <w:rPr>
          <w:spacing w:val="-88"/>
        </w:rPr>
      </w:r>
      <w:r>
        <w:rPr/>
        <w:t>云网利润补 偿方应按照 协议的约定 自行选择以 股份方式或 以现金方式 向光环新网 </w:t>
      </w:r>
      <w:r>
        <w:rPr>
          <w:spacing w:val="-2"/>
        </w:rPr>
        <w:t>进行补偿，如</w:t>
      </w:r>
      <w:r>
        <w:rPr>
          <w:spacing w:val="-88"/>
        </w:rPr>
        <w:t> </w:t>
      </w:r>
      <w:r>
        <w:rPr>
          <w:spacing w:val="-88"/>
        </w:rPr>
      </w:r>
      <w:r>
        <w:rPr/>
        <w:t>中金云网利 润补偿方选 择先行以取 得的股份对 价为限进行 </w:t>
      </w:r>
      <w:r>
        <w:rPr>
          <w:spacing w:val="-2"/>
        </w:rPr>
        <w:t>补偿，股份不</w:t>
      </w:r>
      <w:r>
        <w:rPr>
          <w:spacing w:val="-88"/>
        </w:rPr>
        <w:t> </w:t>
      </w:r>
      <w:r>
        <w:rPr>
          <w:spacing w:val="-88"/>
        </w:rPr>
      </w:r>
      <w:r>
        <w:rPr/>
        <w:t>足补偿的须 现金继续进 </w:t>
      </w:r>
      <w:r>
        <w:rPr>
          <w:spacing w:val="-2"/>
        </w:rPr>
        <w:t>行补偿。全部</w:t>
      </w:r>
      <w:r>
        <w:rPr>
          <w:spacing w:val="-88"/>
        </w:rPr>
        <w:t> </w:t>
      </w:r>
      <w:r>
        <w:rPr>
          <w:spacing w:val="-88"/>
        </w:rPr>
      </w:r>
      <w:r>
        <w:rPr/>
        <w:t>补偿金额不 超过本次交 易标的资产 交易总对价</w:t>
      </w:r>
    </w:p>
    <w:p>
      <w:pPr>
        <w:pStyle w:val="BodyText"/>
        <w:spacing w:line="240" w:lineRule="auto" w:before="19"/>
        <w:ind w:left="1143" w:right="0"/>
        <w:jc w:val="left"/>
      </w:pPr>
      <w:r>
        <w:rPr/>
        <w:t>（以下简称</w:t>
      </w:r>
    </w:p>
    <w:p>
      <w:pPr>
        <w:spacing w:after="0" w:line="240" w:lineRule="auto"/>
        <w:jc w:val="left"/>
        <w:sectPr>
          <w:type w:val="continuous"/>
          <w:pgSz w:w="11910" w:h="16840"/>
          <w:pgMar w:top="1060" w:bottom="1160" w:left="980" w:right="980"/>
          <w:cols w:num="2" w:equalWidth="0">
            <w:col w:w="4088" w:space="40"/>
            <w:col w:w="5822"/>
          </w:cols>
        </w:sectPr>
      </w:pPr>
    </w:p>
    <w:p>
      <w:pPr>
        <w:spacing w:line="240" w:lineRule="auto" w:before="0"/>
        <w:rPr>
          <w:rFonts w:ascii="Times New Roman" w:hAnsi="Times New Roman" w:cs="Times New Roman" w:eastAsia="Times New Roman" w:hint="default"/>
          <w:sz w:val="20"/>
          <w:szCs w:val="20"/>
        </w:rPr>
      </w:pPr>
      <w:r>
        <w:rPr/>
        <w:pict>
          <v:shape style="position:absolute;margin-left:361.630005pt;margin-top:72.47998pt;width:61.8pt;height:686.55pt;mso-position-horizontal-relative:page;mso-position-vertical-relative:page;z-index:-159337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13"/>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20"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本次交易价</w:t>
            </w:r>
          </w:p>
        </w:tc>
        <w:tc>
          <w:tcPr>
            <w:tcW w:w="1126" w:type="dxa"/>
            <w:vMerge w:val="restart"/>
            <w:tcBorders>
              <w:top w:val="single" w:sz="4" w:space="0" w:color="000000"/>
              <w:left w:val="single" w:sz="4" w:space="0" w:color="000000"/>
              <w:right w:val="single" w:sz="4" w:space="0" w:color="000000"/>
            </w:tcBorders>
          </w:tcPr>
          <w:p>
            <w:pPr>
              <w:pStyle w:val="TableParagraph"/>
              <w:spacing w:line="1373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pt;height:686.55pt;mso-position-horizontal-relative:char;mso-position-vertical-relative:line" coordorigin="0,0" coordsize="1116,13731">
                  <v:group style="position:absolute;left:0;top:0;width:1116;height:13731" coordorigin="0,0" coordsize="1116,13731">
                    <v:shape style="position:absolute;left:0;top:0;width:1116;height:13731" coordorigin="0,0" coordsize="1116,13731" path="m0,13730l1116,13730,1116,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格</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）利润补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偿期内中金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云网利润补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偿方应补偿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金额及应补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偿股份数量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的计算公式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如下：①以现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金方式补偿：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当期应补偿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现金金额</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（截至当期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期末累计承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诺净利润数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－截至当期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期末累计实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现净利润数）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三年累计承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诺净利润数</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本次交易价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格</w:t>
            </w:r>
            <w:r>
              <w:rPr>
                <w:rFonts w:ascii="Times New Roman" w:hAnsi="Times New Roman" w:cs="Times New Roman" w:eastAsia="Times New Roman" w:hint="default"/>
                <w:sz w:val="18"/>
                <w:szCs w:val="18"/>
              </w:rPr>
              <w:t>×60%</w:t>
            </w:r>
            <w:r>
              <w:rPr>
                <w:rFonts w:ascii="宋体" w:hAnsi="宋体" w:cs="宋体" w:eastAsia="宋体" w:hint="default"/>
                <w:sz w:val="18"/>
                <w:szCs w:val="18"/>
              </w:rPr>
              <w:t>－已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补偿的股份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发行价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格－已补偿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现金金额。②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以股份方式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补偿：当期应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补偿的股份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（截至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当期期末累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计承诺净利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润数－截至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当期期末累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计实现净利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润数）</w:t>
            </w:r>
            <w:r>
              <w:rPr>
                <w:rFonts w:ascii="Times New Roman" w:hAnsi="Times New Roman" w:cs="Times New Roman" w:eastAsia="Times New Roman" w:hint="default"/>
                <w:sz w:val="18"/>
                <w:szCs w:val="18"/>
              </w:rPr>
              <w:t>÷</w:t>
            </w:r>
            <w:r>
              <w:rPr>
                <w:rFonts w:ascii="宋体" w:hAnsi="宋体" w:cs="宋体" w:eastAsia="宋体" w:hint="default"/>
                <w:sz w:val="18"/>
                <w:szCs w:val="18"/>
              </w:rPr>
              <w:t>三年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累计承诺净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利润数</w:t>
            </w:r>
            <w:r>
              <w:rPr>
                <w:rFonts w:ascii="Times New Roman" w:hAnsi="Times New Roman" w:cs="Times New Roman" w:eastAsia="Times New Roman" w:hint="default"/>
                <w:sz w:val="18"/>
                <w:szCs w:val="18"/>
              </w:rPr>
              <w:t>×</w:t>
            </w:r>
            <w:r>
              <w:rPr>
                <w:rFonts w:ascii="宋体" w:hAnsi="宋体" w:cs="宋体" w:eastAsia="宋体" w:hint="default"/>
                <w:sz w:val="18"/>
                <w:szCs w:val="18"/>
              </w:rPr>
              <w:t>本次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交易价格</w:t>
            </w:r>
            <w:r>
              <w:rPr>
                <w:rFonts w:ascii="Times New Roman" w:hAnsi="Times New Roman" w:cs="Times New Roman" w:eastAsia="Times New Roman" w:hint="default"/>
                <w:sz w:val="18"/>
                <w:szCs w:val="18"/>
              </w:rPr>
              <w:t>÷</w:t>
            </w:r>
            <w:r>
              <w:rPr>
                <w:rFonts w:ascii="宋体" w:hAnsi="宋体" w:cs="宋体" w:eastAsia="宋体" w:hint="default"/>
                <w:sz w:val="18"/>
                <w:szCs w:val="18"/>
              </w:rPr>
              <w:t>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行价格</w:t>
            </w:r>
            <w:r>
              <w:rPr>
                <w:rFonts w:ascii="Times New Roman" w:hAnsi="Times New Roman" w:cs="Times New Roman" w:eastAsia="Times New Roman" w:hint="default"/>
                <w:sz w:val="18"/>
                <w:szCs w:val="18"/>
              </w:rPr>
              <w:t>×60%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－已补偿现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金金额</w:t>
            </w:r>
            <w:r>
              <w:rPr>
                <w:rFonts w:ascii="Times New Roman" w:hAnsi="Times New Roman" w:cs="Times New Roman" w:eastAsia="Times New Roman" w:hint="default"/>
                <w:sz w:val="18"/>
                <w:szCs w:val="18"/>
              </w:rPr>
              <w:t>÷</w:t>
            </w:r>
            <w:r>
              <w:rPr>
                <w:rFonts w:ascii="宋体" w:hAnsi="宋体" w:cs="宋体" w:eastAsia="宋体" w:hint="default"/>
                <w:sz w:val="18"/>
                <w:szCs w:val="18"/>
              </w:rPr>
              <w:t>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4"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价格－已补</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偿的股份数。</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本次交易价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格</w:t>
            </w:r>
            <w:r>
              <w:rPr>
                <w:rFonts w:ascii="Times New Roman" w:hAnsi="Times New Roman" w:cs="Times New Roman" w:eastAsia="Times New Roman" w:hint="default"/>
                <w:sz w:val="18"/>
                <w:szCs w:val="18"/>
              </w:rPr>
              <w:t>/</w:t>
            </w:r>
            <w:r>
              <w:rPr>
                <w:rFonts w:ascii="宋体" w:hAnsi="宋体" w:cs="宋体" w:eastAsia="宋体" w:hint="default"/>
                <w:sz w:val="18"/>
                <w:szCs w:val="18"/>
              </w:rPr>
              <w:t>发行价格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之值剔除小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数后取整数，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精确到个位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数。假如光环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新网在业绩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承诺期内实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施转增或送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股分配的，则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发行价格、已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补偿股份数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量进行相应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调整。中金云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网利润补偿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方按照本次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交易各自转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让标的公司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股权的对价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占各自合计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总对价的比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例各自承担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相应的补偿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责任。中金云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网利润补偿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方在利润补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偿期间应逐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年对光环新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网进行补偿，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各年计算的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当期应补偿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金额小于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时，当期实现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净利润数与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当期承诺净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利润数的差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额应计入标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的公司下期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实现利润数，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但中金云网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利润补偿方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已经支付的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补偿金额不</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632996pt;margin-top:465.079987pt;width:61.8pt;height:131.7pt;mso-position-horizontal-relative:page;mso-position-vertical-relative:page;z-index:-1593352" type="#_x0000_t202" filled="false" stroked="false">
            <v:textbox inset="0,0,0,0">
              <w:txbxContent>
                <w:p>
                  <w:pPr>
                    <w:pStyle w:val="BodyText"/>
                    <w:spacing w:line="240" w:lineRule="auto" w:before="48"/>
                    <w:ind w:left="0" w:right="0"/>
                    <w:jc w:val="left"/>
                  </w:pPr>
                  <w:r>
                    <w:rPr/>
                    <w:t>：</w:t>
                  </w:r>
                </w:p>
              </w:txbxContent>
            </v:textbox>
            <w10:wrap type="none"/>
          </v:shape>
        </w:pict>
      </w:r>
      <w:r>
        <w:rPr/>
        <w:pict>
          <v:group style="position:absolute;margin-left:367.630005pt;margin-top:465.079987pt;width:55.8pt;height:131.7pt;mso-position-horizontal-relative:page;mso-position-vertical-relative:page;z-index:-1593328" coordorigin="7353,9302" coordsize="1116,2634">
            <v:shape style="position:absolute;left:7353;top:9302;width:1116;height:2634" coordorigin="7353,9302" coordsize="1116,2634" path="m7353,11935l8469,11935,8469,9302,7353,9302,7353,11935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以下期实现</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净利润数冲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回。光环新网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可以通过以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总价人民币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元的价格回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购中金云网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利润补偿方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应补偿股份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并注销</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中金云网利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润补偿方如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采用股份补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偿，中金云网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利润补偿方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应向光环新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网返还该部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分股份的利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润分红</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中金云网利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润补偿方承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担的业绩补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偿责任以本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次交易价格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60"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5"/>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为限。</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r>
        <w:trPr>
          <w:trHeight w:val="360"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、业绩承诺</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无双科技</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净利润数分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别不低于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1316"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施侃、冯天放</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316" w:lineRule="auto"/>
              <w:ind w:left="26" w:right="191"/>
              <w:jc w:val="both"/>
              <w:rPr>
                <w:rFonts w:ascii="宋体" w:hAnsi="宋体" w:cs="宋体" w:eastAsia="宋体" w:hint="default"/>
                <w:sz w:val="18"/>
                <w:szCs w:val="18"/>
              </w:rPr>
            </w:pPr>
            <w:r>
              <w:rPr>
                <w:rFonts w:ascii="宋体" w:hAnsi="宋体" w:cs="宋体" w:eastAsia="宋体" w:hint="default"/>
                <w:sz w:val="18"/>
                <w:szCs w:val="18"/>
              </w:rPr>
              <w:t>业绩承诺及 利润补偿安 排</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5,915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23" w:right="170"/>
              <w:jc w:val="both"/>
              <w:rPr>
                <w:rFonts w:ascii="宋体" w:hAnsi="宋体" w:cs="宋体" w:eastAsia="宋体" w:hint="default"/>
                <w:sz w:val="18"/>
                <w:szCs w:val="18"/>
              </w:rPr>
            </w:pPr>
            <w:r>
              <w:rPr>
                <w:rFonts w:ascii="宋体" w:hAnsi="宋体" w:cs="宋体" w:eastAsia="宋体" w:hint="default"/>
                <w:sz w:val="18"/>
                <w:szCs w:val="18"/>
              </w:rPr>
              <w:t>报告期内承 诺人尚未开 始履行上述</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承诺。</w:t>
            </w:r>
          </w:p>
        </w:tc>
      </w:tr>
      <w:tr>
        <w:trPr>
          <w:trHeight w:val="245"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3" w:right="0"/>
              <w:jc w:val="left"/>
              <w:rPr>
                <w:rFonts w:ascii="宋体" w:hAnsi="宋体" w:cs="宋体" w:eastAsia="宋体" w:hint="default"/>
                <w:sz w:val="18"/>
                <w:szCs w:val="18"/>
              </w:rPr>
            </w:pPr>
            <w:r>
              <w:rPr>
                <w:rFonts w:ascii="宋体" w:hAnsi="宋体" w:cs="宋体" w:eastAsia="宋体" w:hint="default"/>
                <w:sz w:val="18"/>
                <w:szCs w:val="18"/>
              </w:rPr>
              <w:t>度的净利润</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数是指剔除</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DSP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业务后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的模拟净利</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润数。业绩承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诺期不因本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次交易的完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成时间而改</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627014pt;margin-top:72.47998pt;width:61.85pt;height:686.55pt;mso-position-horizontal-relative:page;mso-position-vertical-relative:page;z-index:-159328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19"/>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20"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变。</w:t>
            </w:r>
            <w:r>
              <w:rPr>
                <w:rFonts w:ascii="Times New Roman" w:hAnsi="Times New Roman" w:cs="Times New Roman" w:eastAsia="Times New Roman" w:hint="default"/>
                <w:sz w:val="18"/>
                <w:szCs w:val="18"/>
              </w:rPr>
              <w:t>2</w:t>
            </w:r>
            <w:r>
              <w:rPr>
                <w:rFonts w:ascii="宋体" w:hAnsi="宋体" w:cs="宋体" w:eastAsia="宋体" w:hint="default"/>
                <w:sz w:val="18"/>
                <w:szCs w:val="18"/>
              </w:rPr>
              <w:t>、补充</w:t>
            </w:r>
          </w:p>
        </w:tc>
        <w:tc>
          <w:tcPr>
            <w:tcW w:w="1126" w:type="dxa"/>
            <w:vMerge w:val="restart"/>
            <w:tcBorders>
              <w:top w:val="single" w:sz="4" w:space="0" w:color="000000"/>
              <w:left w:val="single" w:sz="4" w:space="0" w:color="000000"/>
              <w:right w:val="single" w:sz="4" w:space="0" w:color="000000"/>
            </w:tcBorders>
          </w:tcPr>
          <w:p>
            <w:pPr>
              <w:pStyle w:val="TableParagraph"/>
              <w:spacing w:line="1373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pt;height:686.55pt;mso-position-horizontal-relative:char;mso-position-vertical-relative:line" coordorigin="0,0" coordsize="1116,13731">
                  <v:group style="position:absolute;left:0;top:0;width:1116;height:13731" coordorigin="0,0" coordsize="1116,13731">
                    <v:shape style="position:absolute;left:0;top:0;width:1116;height:13731" coordorigin="0,0" coordsize="1116,13731" path="m0,13730l1116,13730,1116,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方式</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5"/>
                <w:sz w:val="18"/>
                <w:szCs w:val="18"/>
              </w:rPr>
              <w:t>）在</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利润补偿期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的第一年和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第二年（</w:t>
            </w:r>
            <w:r>
              <w:rPr>
                <w:rFonts w:ascii="Times New Roman" w:hAnsi="Times New Roman" w:cs="Times New Roman" w:eastAsia="Times New Roman" w:hint="default"/>
                <w:sz w:val="18"/>
                <w:szCs w:val="18"/>
              </w:rPr>
              <w:t>2015</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10"/>
                <w:sz w:val="18"/>
                <w:szCs w:val="18"/>
              </w:rPr>
              <w:t>年、</w:t>
            </w:r>
            <w:r>
              <w:rPr>
                <w:rFonts w:ascii="Times New Roman" w:hAnsi="Times New Roman" w:cs="Times New Roman" w:eastAsia="Times New Roman" w:hint="default"/>
                <w:spacing w:val="-10"/>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若无双科技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当年实际实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现的净利润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数低于承诺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的净利润数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4"/>
                <w:sz w:val="18"/>
                <w:szCs w:val="18"/>
              </w:rPr>
              <w:t> </w:t>
            </w:r>
            <w:r>
              <w:rPr>
                <w:rFonts w:ascii="Times New Roman" w:hAnsi="Times New Roman" w:cs="Times New Roman" w:eastAsia="Times New Roman" w:hint="default"/>
                <w:spacing w:val="-4"/>
                <w:sz w:val="18"/>
                <w:szCs w:val="18"/>
              </w:rPr>
              <w:t>90%</w:t>
            </w:r>
            <w:r>
              <w:rPr>
                <w:rFonts w:ascii="宋体" w:hAnsi="宋体" w:cs="宋体" w:eastAsia="宋体" w:hint="default"/>
                <w:spacing w:val="-4"/>
                <w:sz w:val="18"/>
                <w:szCs w:val="18"/>
              </w:rPr>
              <w:t>，则施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侃和冯天放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应按照协议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的约定自行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选择以股份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方式或以现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金方式向光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环新网进行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补偿；若标的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公司当年实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际实现的净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利润数低于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承诺净利润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数但是不低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于承诺净利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5"/>
              <w:jc w:val="left"/>
              <w:rPr>
                <w:rFonts w:ascii="宋体" w:hAnsi="宋体" w:cs="宋体" w:eastAsia="宋体" w:hint="default"/>
                <w:sz w:val="18"/>
                <w:szCs w:val="18"/>
              </w:rPr>
            </w:pPr>
            <w:r>
              <w:rPr>
                <w:rFonts w:ascii="宋体" w:hAnsi="宋体" w:cs="宋体" w:eastAsia="宋体" w:hint="default"/>
                <w:sz w:val="18"/>
                <w:szCs w:val="18"/>
              </w:rPr>
              <w:t>润数的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90%</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则施侃和冯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天放当年暂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不补偿；在利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润补偿期的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第三年（</w:t>
            </w:r>
            <w:r>
              <w:rPr>
                <w:rFonts w:ascii="Times New Roman" w:hAnsi="Times New Roman" w:cs="Times New Roman" w:eastAsia="Times New Roman" w:hint="default"/>
                <w:sz w:val="18"/>
                <w:szCs w:val="18"/>
              </w:rPr>
              <w:t>2017</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92"/>
                <w:sz w:val="18"/>
                <w:szCs w:val="18"/>
              </w:rPr>
              <w:t>）</w:t>
            </w:r>
            <w:r>
              <w:rPr>
                <w:rFonts w:ascii="宋体" w:hAnsi="宋体" w:cs="宋体" w:eastAsia="宋体" w:hint="default"/>
                <w:sz w:val="18"/>
                <w:szCs w:val="18"/>
              </w:rPr>
              <w:t>，若标的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公司三年累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计实现净利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润数总和低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于三年累计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承诺净利润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数总和，则施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侃和冯天放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应按照协议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的约定自行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选择以股份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方式或以现</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166"/>
              <w:jc w:val="center"/>
              <w:rPr>
                <w:rFonts w:ascii="宋体" w:hAnsi="宋体" w:cs="宋体" w:eastAsia="宋体" w:hint="default"/>
                <w:sz w:val="18"/>
                <w:szCs w:val="18"/>
              </w:rPr>
            </w:pPr>
            <w:r>
              <w:rPr>
                <w:rFonts w:ascii="宋体" w:hAnsi="宋体" w:cs="宋体" w:eastAsia="宋体" w:hint="default"/>
                <w:sz w:val="18"/>
                <w:szCs w:val="18"/>
              </w:rPr>
              <w:t>金方式向光</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环新网进行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补偿，如施侃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和冯天放选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择先行以取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得的股份对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价为限进行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补偿，股份不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足补偿的应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以现金继续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进行补偿。施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侃和冯天放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的全部补偿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金额不超过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其本次交易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合计取得的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交易对价。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）利润补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偿期内施侃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和冯天放应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补偿金额及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应补偿股份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数量的计算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公式如下：①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以现金方式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补偿：当期应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补偿现金金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65"/>
              <w:jc w:val="center"/>
              <w:rPr>
                <w:rFonts w:ascii="宋体" w:hAnsi="宋体" w:cs="宋体" w:eastAsia="宋体" w:hint="default"/>
                <w:sz w:val="18"/>
                <w:szCs w:val="18"/>
              </w:rPr>
            </w:pPr>
            <w:r>
              <w:rPr>
                <w:rFonts w:ascii="宋体" w:hAnsi="宋体" w:cs="宋体" w:eastAsia="宋体" w:hint="default"/>
                <w:sz w:val="18"/>
                <w:szCs w:val="18"/>
              </w:rPr>
              <w:t>额</w:t>
            </w:r>
            <w:r>
              <w:rPr>
                <w:rFonts w:ascii="Times New Roman" w:hAnsi="Times New Roman" w:cs="Times New Roman" w:eastAsia="Times New Roman" w:hint="default"/>
                <w:sz w:val="18"/>
                <w:szCs w:val="18"/>
              </w:rPr>
              <w:t>=</w:t>
            </w:r>
            <w:r>
              <w:rPr>
                <w:rFonts w:ascii="宋体" w:hAnsi="宋体" w:cs="宋体" w:eastAsia="宋体" w:hint="default"/>
                <w:sz w:val="18"/>
                <w:szCs w:val="18"/>
              </w:rPr>
              <w:t>（截至当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期期末累计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承诺净利润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数－截至当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期期末累计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实现净利润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67"/>
              <w:jc w:val="center"/>
              <w:rPr>
                <w:rFonts w:ascii="宋体" w:hAnsi="宋体" w:cs="宋体" w:eastAsia="宋体" w:hint="default"/>
                <w:sz w:val="18"/>
                <w:szCs w:val="18"/>
              </w:rPr>
            </w:pPr>
            <w:r>
              <w:rPr>
                <w:rFonts w:ascii="宋体" w:hAnsi="宋体" w:cs="宋体" w:eastAsia="宋体" w:hint="default"/>
                <w:sz w:val="18"/>
                <w:szCs w:val="18"/>
              </w:rPr>
              <w:t>数）</w:t>
            </w:r>
            <w:r>
              <w:rPr>
                <w:rFonts w:ascii="Times New Roman" w:hAnsi="Times New Roman" w:cs="Times New Roman" w:eastAsia="Times New Roman" w:hint="default"/>
                <w:sz w:val="18"/>
                <w:szCs w:val="18"/>
              </w:rPr>
              <w:t>÷</w:t>
            </w:r>
            <w:r>
              <w:rPr>
                <w:rFonts w:ascii="宋体" w:hAnsi="宋体" w:cs="宋体" w:eastAsia="宋体" w:hint="default"/>
                <w:sz w:val="18"/>
                <w:szCs w:val="18"/>
              </w:rPr>
              <w:t>业绩补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偿期内累计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承诺净利润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65"/>
              <w:jc w:val="center"/>
              <w:rPr>
                <w:rFonts w:ascii="宋体" w:hAnsi="宋体" w:cs="宋体" w:eastAsia="宋体" w:hint="default"/>
                <w:sz w:val="18"/>
                <w:szCs w:val="18"/>
              </w:rPr>
            </w:pPr>
            <w:r>
              <w:rPr>
                <w:rFonts w:ascii="宋体" w:hAnsi="宋体" w:cs="宋体" w:eastAsia="宋体" w:hint="default"/>
                <w:sz w:val="18"/>
                <w:szCs w:val="18"/>
              </w:rPr>
              <w:t>数</w:t>
            </w:r>
            <w:r>
              <w:rPr>
                <w:rFonts w:ascii="Times New Roman" w:hAnsi="Times New Roman" w:cs="Times New Roman" w:eastAsia="Times New Roman" w:hint="default"/>
                <w:sz w:val="18"/>
                <w:szCs w:val="18"/>
              </w:rPr>
              <w:t>×</w:t>
            </w:r>
            <w:r>
              <w:rPr>
                <w:rFonts w:ascii="宋体" w:hAnsi="宋体" w:cs="宋体" w:eastAsia="宋体" w:hint="default"/>
                <w:sz w:val="18"/>
                <w:szCs w:val="18"/>
              </w:rPr>
              <w:t>本次交易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价格－已补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偿的股份数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65"/>
              <w:jc w:val="center"/>
              <w:rPr>
                <w:rFonts w:ascii="宋体" w:hAnsi="宋体" w:cs="宋体" w:eastAsia="宋体" w:hint="default"/>
                <w:sz w:val="18"/>
                <w:szCs w:val="18"/>
              </w:rPr>
            </w:pPr>
            <w:r>
              <w:rPr>
                <w:rFonts w:ascii="宋体" w:hAnsi="宋体" w:cs="宋体" w:eastAsia="宋体" w:hint="default"/>
                <w:sz w:val="18"/>
                <w:szCs w:val="18"/>
              </w:rPr>
              <w:t>量</w:t>
            </w:r>
            <w:r>
              <w:rPr>
                <w:rFonts w:ascii="Times New Roman" w:hAnsi="Times New Roman" w:cs="Times New Roman" w:eastAsia="Times New Roman" w:hint="default"/>
                <w:sz w:val="18"/>
                <w:szCs w:val="18"/>
              </w:rPr>
              <w:t>×</w:t>
            </w:r>
            <w:r>
              <w:rPr>
                <w:rFonts w:ascii="宋体" w:hAnsi="宋体" w:cs="宋体" w:eastAsia="宋体" w:hint="default"/>
                <w:sz w:val="18"/>
                <w:szCs w:val="18"/>
              </w:rPr>
              <w:t>发行价格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－已补偿现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金金额。②以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股份方式补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偿：当期应补</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166"/>
              <w:jc w:val="center"/>
              <w:rPr>
                <w:rFonts w:ascii="宋体" w:hAnsi="宋体" w:cs="宋体" w:eastAsia="宋体" w:hint="default"/>
                <w:sz w:val="18"/>
                <w:szCs w:val="18"/>
              </w:rPr>
            </w:pPr>
            <w:r>
              <w:rPr>
                <w:rFonts w:ascii="宋体" w:hAnsi="宋体" w:cs="宋体" w:eastAsia="宋体" w:hint="default"/>
                <w:sz w:val="18"/>
                <w:szCs w:val="18"/>
              </w:rPr>
              <w:t>偿的股份数</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65"/>
              <w:jc w:val="center"/>
              <w:rPr>
                <w:rFonts w:ascii="宋体" w:hAnsi="宋体" w:cs="宋体" w:eastAsia="宋体" w:hint="default"/>
                <w:sz w:val="18"/>
                <w:szCs w:val="18"/>
              </w:rPr>
            </w:pPr>
            <w:r>
              <w:rPr>
                <w:rFonts w:ascii="宋体" w:hAnsi="宋体" w:cs="宋体" w:eastAsia="宋体" w:hint="default"/>
                <w:sz w:val="18"/>
                <w:szCs w:val="18"/>
              </w:rPr>
              <w:t>量</w:t>
            </w:r>
            <w:r>
              <w:rPr>
                <w:rFonts w:ascii="Times New Roman" w:hAnsi="Times New Roman" w:cs="Times New Roman" w:eastAsia="Times New Roman" w:hint="default"/>
                <w:sz w:val="18"/>
                <w:szCs w:val="18"/>
              </w:rPr>
              <w:t>=</w:t>
            </w:r>
            <w:r>
              <w:rPr>
                <w:rFonts w:ascii="宋体" w:hAnsi="宋体" w:cs="宋体" w:eastAsia="宋体" w:hint="default"/>
                <w:sz w:val="18"/>
                <w:szCs w:val="18"/>
              </w:rPr>
              <w:t>（截至当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期期末累计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承诺净利润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数－截至当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期期末累计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实现净利润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67"/>
              <w:jc w:val="center"/>
              <w:rPr>
                <w:rFonts w:ascii="宋体" w:hAnsi="宋体" w:cs="宋体" w:eastAsia="宋体" w:hint="default"/>
                <w:sz w:val="18"/>
                <w:szCs w:val="18"/>
              </w:rPr>
            </w:pPr>
            <w:r>
              <w:rPr>
                <w:rFonts w:ascii="宋体" w:hAnsi="宋体" w:cs="宋体" w:eastAsia="宋体" w:hint="default"/>
                <w:sz w:val="18"/>
                <w:szCs w:val="18"/>
              </w:rPr>
              <w:t>数）</w:t>
            </w:r>
            <w:r>
              <w:rPr>
                <w:rFonts w:ascii="Times New Roman" w:hAnsi="Times New Roman" w:cs="Times New Roman" w:eastAsia="Times New Roman" w:hint="default"/>
                <w:sz w:val="18"/>
                <w:szCs w:val="18"/>
              </w:rPr>
              <w:t>÷</w:t>
            </w:r>
            <w:r>
              <w:rPr>
                <w:rFonts w:ascii="宋体" w:hAnsi="宋体" w:cs="宋体" w:eastAsia="宋体" w:hint="default"/>
                <w:sz w:val="18"/>
                <w:szCs w:val="18"/>
              </w:rPr>
              <w:t>业绩补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偿期内累计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承诺净利润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65"/>
              <w:jc w:val="center"/>
              <w:rPr>
                <w:rFonts w:ascii="宋体" w:hAnsi="宋体" w:cs="宋体" w:eastAsia="宋体" w:hint="default"/>
                <w:sz w:val="18"/>
                <w:szCs w:val="18"/>
              </w:rPr>
            </w:pPr>
            <w:r>
              <w:rPr>
                <w:rFonts w:ascii="宋体" w:hAnsi="宋体" w:cs="宋体" w:eastAsia="宋体" w:hint="default"/>
                <w:sz w:val="18"/>
                <w:szCs w:val="18"/>
              </w:rPr>
              <w:t>数</w:t>
            </w:r>
            <w:r>
              <w:rPr>
                <w:rFonts w:ascii="Times New Roman" w:hAnsi="Times New Roman" w:cs="Times New Roman" w:eastAsia="Times New Roman" w:hint="default"/>
                <w:sz w:val="18"/>
                <w:szCs w:val="18"/>
              </w:rPr>
              <w:t>×</w:t>
            </w:r>
            <w:r>
              <w:rPr>
                <w:rFonts w:ascii="宋体" w:hAnsi="宋体" w:cs="宋体" w:eastAsia="宋体" w:hint="default"/>
                <w:sz w:val="18"/>
                <w:szCs w:val="18"/>
              </w:rPr>
              <w:t>本次交易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67"/>
              <w:jc w:val="center"/>
              <w:rPr>
                <w:rFonts w:ascii="宋体" w:hAnsi="宋体" w:cs="宋体" w:eastAsia="宋体" w:hint="default"/>
                <w:sz w:val="18"/>
                <w:szCs w:val="18"/>
              </w:rPr>
            </w:pPr>
            <w:r>
              <w:rPr>
                <w:rFonts w:ascii="宋体" w:hAnsi="宋体" w:cs="宋体" w:eastAsia="宋体" w:hint="default"/>
                <w:sz w:val="18"/>
                <w:szCs w:val="18"/>
              </w:rPr>
              <w:t>价格</w:t>
            </w:r>
            <w:r>
              <w:rPr>
                <w:rFonts w:ascii="Times New Roman" w:hAnsi="Times New Roman" w:cs="Times New Roman" w:eastAsia="Times New Roman" w:hint="default"/>
                <w:sz w:val="18"/>
                <w:szCs w:val="18"/>
              </w:rPr>
              <w:t>÷</w:t>
            </w:r>
            <w:r>
              <w:rPr>
                <w:rFonts w:ascii="宋体" w:hAnsi="宋体" w:cs="宋体" w:eastAsia="宋体" w:hint="default"/>
                <w:sz w:val="18"/>
                <w:szCs w:val="18"/>
              </w:rPr>
              <w:t>发行价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格－已补偿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的股份数量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－已补偿现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67"/>
              <w:jc w:val="center"/>
              <w:rPr>
                <w:rFonts w:ascii="宋体" w:hAnsi="宋体" w:cs="宋体" w:eastAsia="宋体" w:hint="default"/>
                <w:sz w:val="18"/>
                <w:szCs w:val="18"/>
              </w:rPr>
            </w:pPr>
            <w:r>
              <w:rPr>
                <w:rFonts w:ascii="宋体" w:hAnsi="宋体" w:cs="宋体" w:eastAsia="宋体" w:hint="default"/>
                <w:sz w:val="18"/>
                <w:szCs w:val="18"/>
              </w:rPr>
              <w:t>金金额</w:t>
            </w:r>
            <w:r>
              <w:rPr>
                <w:rFonts w:ascii="Times New Roman" w:hAnsi="Times New Roman" w:cs="Times New Roman" w:eastAsia="Times New Roman" w:hint="default"/>
                <w:sz w:val="18"/>
                <w:szCs w:val="18"/>
              </w:rPr>
              <w:t>÷</w:t>
            </w:r>
            <w:r>
              <w:rPr>
                <w:rFonts w:ascii="宋体" w:hAnsi="宋体" w:cs="宋体" w:eastAsia="宋体" w:hint="default"/>
                <w:sz w:val="18"/>
                <w:szCs w:val="18"/>
              </w:rPr>
              <w:t>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 w:right="0"/>
              <w:jc w:val="center"/>
              <w:rPr>
                <w:rFonts w:ascii="宋体" w:hAnsi="宋体" w:cs="宋体" w:eastAsia="宋体" w:hint="default"/>
                <w:sz w:val="18"/>
                <w:szCs w:val="18"/>
              </w:rPr>
            </w:pPr>
            <w:r>
              <w:rPr>
                <w:rFonts w:ascii="宋体" w:hAnsi="宋体" w:cs="宋体" w:eastAsia="宋体" w:hint="default"/>
                <w:sz w:val="18"/>
                <w:szCs w:val="18"/>
              </w:rPr>
              <w:t>价格。本次交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15"/>
              <w:jc w:val="center"/>
              <w:rPr>
                <w:rFonts w:ascii="宋体" w:hAnsi="宋体" w:cs="宋体" w:eastAsia="宋体" w:hint="default"/>
                <w:sz w:val="18"/>
                <w:szCs w:val="18"/>
              </w:rPr>
            </w:pPr>
            <w:r>
              <w:rPr>
                <w:rFonts w:ascii="宋体" w:hAnsi="宋体" w:cs="宋体" w:eastAsia="宋体" w:hint="default"/>
                <w:sz w:val="18"/>
                <w:szCs w:val="18"/>
              </w:rPr>
              <w:t>易价格</w:t>
            </w:r>
            <w:r>
              <w:rPr>
                <w:rFonts w:ascii="Times New Roman" w:hAnsi="Times New Roman" w:cs="Times New Roman" w:eastAsia="Times New Roman" w:hint="default"/>
                <w:sz w:val="18"/>
                <w:szCs w:val="18"/>
              </w:rPr>
              <w:t>/</w:t>
            </w:r>
            <w:r>
              <w:rPr>
                <w:rFonts w:ascii="宋体" w:hAnsi="宋体" w:cs="宋体" w:eastAsia="宋体" w:hint="default"/>
                <w:sz w:val="18"/>
                <w:szCs w:val="18"/>
              </w:rPr>
              <w:t>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价格之值剔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除小数位数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取整数，精确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到个位数。假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如光环新网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在业绩承诺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期内实施转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增或送股分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配的，则发行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价格、已补偿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股份数量进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行相应调整。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施侃和冯天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放按照本次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交易各自转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让标的公司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股权的对价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占各自合计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总对价的比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例各自承担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相应的补偿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责任。施侃和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冯天放在利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润补偿期间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应逐年对光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环新网进行</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481.179993pt;margin-top:662.139954pt;width:52.6pt;height:33.15pt;mso-position-horizontal-relative:page;mso-position-vertical-relative:page;z-index:-1593256" coordorigin="9624,13243" coordsize="1052,663">
            <v:group style="position:absolute;left:9624;top:13243;width:1052;height:312" coordorigin="9624,13243" coordsize="1052,312">
              <v:shape style="position:absolute;left:9624;top:13243;width:1052;height:312" coordorigin="9624,13243" coordsize="1052,312" path="m9624,13555l10675,13555,10675,13243,9624,13243,9624,13555xe" filled="true" fillcolor="#ffffff" stroked="false">
                <v:path arrowok="t"/>
                <v:fill type="solid"/>
              </v:shape>
            </v:group>
            <v:group style="position:absolute;left:9624;top:13555;width:1052;height:351" coordorigin="9624,13555" coordsize="1052,351">
              <v:shape style="position:absolute;left:9624;top:13555;width:1052;height:351" coordorigin="9624,13555" coordsize="1052,351" path="m9624,13905l10675,13905,10675,13555,9624,13555,9624,13905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补偿，各年计</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算的当期应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补偿金额小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于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pacing w:val="-14"/>
                <w:sz w:val="18"/>
                <w:szCs w:val="18"/>
              </w:rPr>
              <w:t>时，当期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实现净利润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数与当期承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诺净利润数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的差额应计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入标的公司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下期实现利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润数，但施侃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和冯天放已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经支付的补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偿金额不以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下期实现净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利润数冲回。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光环新网可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以通过以总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价人民币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元的价格回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购无双科技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应补偿股份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并注销</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施侃和冯天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放如采用股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份补偿，施侃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和冯天放应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向光环新网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返还该部分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股份的利润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60"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分红。</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r>
        <w:trPr>
          <w:trHeight w:val="356"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因本次重大</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资产重组取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得的上市公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司股份自上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9"/>
              <w:jc w:val="both"/>
              <w:rPr>
                <w:rFonts w:ascii="宋体" w:hAnsi="宋体" w:cs="宋体" w:eastAsia="宋体" w:hint="default"/>
                <w:sz w:val="18"/>
                <w:szCs w:val="18"/>
              </w:rPr>
            </w:pPr>
            <w:r>
              <w:rPr>
                <w:rFonts w:ascii="宋体" w:hAnsi="宋体" w:cs="宋体" w:eastAsia="宋体" w:hint="default"/>
                <w:spacing w:val="-3"/>
                <w:sz w:val="18"/>
                <w:szCs w:val="18"/>
              </w:rPr>
              <w:t>天图投资、利</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扬盛达、徐庆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良</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股份锁定承 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4" w:lineRule="auto" w:before="10"/>
              <w:ind w:left="23" w:right="19"/>
              <w:jc w:val="left"/>
              <w:rPr>
                <w:rFonts w:ascii="宋体" w:hAnsi="宋体" w:cs="宋体" w:eastAsia="宋体" w:hint="default"/>
                <w:sz w:val="18"/>
                <w:szCs w:val="18"/>
              </w:rPr>
            </w:pPr>
            <w:r>
              <w:rPr>
                <w:rFonts w:ascii="宋体" w:hAnsi="宋体" w:cs="宋体" w:eastAsia="宋体" w:hint="default"/>
                <w:sz w:val="18"/>
                <w:szCs w:val="18"/>
              </w:rPr>
              <w:t>市之日起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个月内将不 以任何方式 </w:t>
            </w:r>
            <w:r>
              <w:rPr>
                <w:rFonts w:ascii="宋体" w:hAnsi="宋体" w:cs="宋体" w:eastAsia="宋体" w:hint="default"/>
                <w:spacing w:val="-2"/>
                <w:sz w:val="18"/>
                <w:szCs w:val="18"/>
              </w:rPr>
              <w:t>转让，包括但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不限于通过</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13"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96"/>
              <w:jc w:val="both"/>
              <w:rPr>
                <w:rFonts w:ascii="宋体" w:hAnsi="宋体" w:cs="宋体" w:eastAsia="宋体" w:hint="default"/>
                <w:sz w:val="18"/>
                <w:szCs w:val="18"/>
              </w:rPr>
            </w:pPr>
            <w:r>
              <w:rPr>
                <w:rFonts w:ascii="宋体" w:hAnsi="宋体" w:cs="宋体" w:eastAsia="宋体" w:hint="default"/>
                <w:sz w:val="18"/>
                <w:szCs w:val="18"/>
              </w:rPr>
              <w:t>承诺人取得 光环新网股 份后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个月</w:t>
            </w:r>
          </w:p>
        </w:tc>
        <w:tc>
          <w:tcPr>
            <w:tcW w:w="1106" w:type="dxa"/>
            <w:tcBorders>
              <w:top w:val="nil" w:sz="6" w:space="0" w:color="auto"/>
              <w:left w:val="single" w:sz="13" w:space="0" w:color="FFFFFF"/>
              <w:bottom w:val="nil" w:sz="6" w:space="0" w:color="auto"/>
              <w:right w:val="single" w:sz="4" w:space="0" w:color="000000"/>
            </w:tcBorders>
          </w:tcPr>
          <w:p>
            <w:pPr>
              <w:pStyle w:val="TableParagraph"/>
              <w:spacing w:line="310" w:lineRule="atLeast" w:before="92"/>
              <w:ind w:left="11" w:right="170"/>
              <w:jc w:val="both"/>
              <w:rPr>
                <w:rFonts w:ascii="宋体" w:hAnsi="宋体" w:cs="宋体" w:eastAsia="宋体" w:hint="default"/>
                <w:sz w:val="18"/>
                <w:szCs w:val="18"/>
              </w:rPr>
            </w:pPr>
            <w:r>
              <w:rPr>
                <w:rFonts w:ascii="宋体" w:hAnsi="宋体" w:cs="宋体" w:eastAsia="宋体" w:hint="default"/>
                <w:sz w:val="18"/>
                <w:szCs w:val="18"/>
              </w:rPr>
              <w:t>报告期内承 诺人尚未开 始履行上述</w:t>
            </w:r>
          </w:p>
          <w:p>
            <w:pPr>
              <w:pStyle w:val="TableParagraph"/>
              <w:spacing w:line="116" w:lineRule="exact"/>
              <w:ind w:left="-13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1" w:right="0"/>
              <w:jc w:val="both"/>
              <w:rPr>
                <w:rFonts w:ascii="宋体" w:hAnsi="宋体" w:cs="宋体" w:eastAsia="宋体" w:hint="default"/>
                <w:sz w:val="18"/>
                <w:szCs w:val="18"/>
              </w:rPr>
            </w:pPr>
            <w:r>
              <w:rPr>
                <w:rFonts w:ascii="宋体" w:hAnsi="宋体" w:cs="宋体" w:eastAsia="宋体" w:hint="default"/>
                <w:sz w:val="18"/>
                <w:szCs w:val="18"/>
              </w:rPr>
              <w:t>承诺。</w:t>
            </w: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证券市场公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开转让或通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过协议方式</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481.179993pt;margin-top:175.939987pt;width:52.6pt;height:33.15pt;mso-position-horizontal-relative:page;mso-position-vertical-relative:page;z-index:-1593232" coordorigin="9624,3519" coordsize="1052,663">
            <v:group style="position:absolute;left:9624;top:3519;width:1052;height:312" coordorigin="9624,3519" coordsize="1052,312">
              <v:shape style="position:absolute;left:9624;top:3519;width:1052;height:312" coordorigin="9624,3519" coordsize="1052,312" path="m9624,3831l10675,3831,10675,3519,9624,3519,9624,3831xe" filled="true" fillcolor="#ffffff" stroked="false">
                <v:path arrowok="t"/>
                <v:fill type="solid"/>
              </v:shape>
            </v:group>
            <v:group style="position:absolute;left:9624;top:3831;width:1052;height:351" coordorigin="9624,3831" coordsize="1052,351">
              <v:shape style="position:absolute;left:9624;top:3831;width:1052;height:351" coordorigin="9624,3831" coordsize="1052,351" path="m9624,4181l10675,4181,10675,3831,9624,3831,9624,4181xe" filled="true" fillcolor="#ffffff" stroked="false">
                <v:path arrowok="t"/>
                <v:fill type="solid"/>
              </v:shape>
            </v:group>
            <w10:wrap type="none"/>
          </v:group>
        </w:pict>
      </w:r>
      <w:r>
        <w:rPr/>
        <w:pict>
          <v:group style="position:absolute;margin-left:481.179993pt;margin-top:522.669983pt;width:52.6pt;height:33.25pt;mso-position-horizontal-relative:page;mso-position-vertical-relative:page;z-index:-1593208" coordorigin="9624,10453" coordsize="1052,665">
            <v:group style="position:absolute;left:9624;top:10453;width:1052;height:312" coordorigin="9624,10453" coordsize="1052,312">
              <v:shape style="position:absolute;left:9624;top:10453;width:1052;height:312" coordorigin="9624,10453" coordsize="1052,312" path="m9624,10765l10675,10765,10675,10453,9624,10453,9624,10765xe" filled="true" fillcolor="#ffffff" stroked="false">
                <v:path arrowok="t"/>
                <v:fill type="solid"/>
              </v:shape>
            </v:group>
            <v:group style="position:absolute;left:9624;top:10765;width:1052;height:353" coordorigin="9624,10765" coordsize="1052,353">
              <v:shape style="position:absolute;left:9624;top:10765;width:1052;height:353" coordorigin="9624,10765" coordsize="1052,353" path="m9624,11118l10675,11118,10675,10765,9624,10765,9624,11118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56"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因本次重大</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资产重组取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天图兴瑞、天</w:t>
            </w: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得的上市公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图兴盛、江苏</w:t>
            </w: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司股份自上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7"/>
              <w:jc w:val="left"/>
              <w:rPr>
                <w:rFonts w:ascii="宋体" w:hAnsi="宋体" w:cs="宋体" w:eastAsia="宋体" w:hint="default"/>
                <w:sz w:val="18"/>
                <w:szCs w:val="18"/>
              </w:rPr>
            </w:pPr>
            <w:r>
              <w:rPr>
                <w:rFonts w:ascii="宋体" w:hAnsi="宋体" w:cs="宋体" w:eastAsia="宋体" w:hint="default"/>
                <w:sz w:val="18"/>
                <w:szCs w:val="18"/>
              </w:rPr>
              <w:t>国投、何长 津、高淑杰、 </w:t>
            </w:r>
            <w:r>
              <w:rPr>
                <w:rFonts w:ascii="宋体" w:hAnsi="宋体" w:cs="宋体" w:eastAsia="宋体" w:hint="default"/>
                <w:spacing w:val="-3"/>
                <w:sz w:val="18"/>
                <w:szCs w:val="18"/>
              </w:rPr>
              <w:t>赵忠彬、王有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昌、杨俊杰、 </w:t>
            </w:r>
            <w:r>
              <w:rPr>
                <w:rFonts w:ascii="宋体" w:hAnsi="宋体" w:cs="宋体" w:eastAsia="宋体" w:hint="default"/>
                <w:spacing w:val="-3"/>
                <w:sz w:val="18"/>
                <w:szCs w:val="18"/>
              </w:rPr>
              <w:t>黄玉珍、徐厚</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股份锁定承 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4" w:lineRule="auto" w:before="10"/>
              <w:ind w:left="23" w:right="19"/>
              <w:jc w:val="left"/>
              <w:rPr>
                <w:rFonts w:ascii="宋体" w:hAnsi="宋体" w:cs="宋体" w:eastAsia="宋体" w:hint="default"/>
                <w:sz w:val="18"/>
                <w:szCs w:val="18"/>
              </w:rPr>
            </w:pPr>
            <w:r>
              <w:rPr>
                <w:rFonts w:ascii="宋体" w:hAnsi="宋体" w:cs="宋体" w:eastAsia="宋体" w:hint="default"/>
                <w:sz w:val="18"/>
                <w:szCs w:val="18"/>
              </w:rPr>
              <w:t>市之日起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个月内将不 以任何方式 </w:t>
            </w:r>
            <w:r>
              <w:rPr>
                <w:rFonts w:ascii="宋体" w:hAnsi="宋体" w:cs="宋体" w:eastAsia="宋体" w:hint="default"/>
                <w:spacing w:val="-2"/>
                <w:sz w:val="18"/>
                <w:szCs w:val="18"/>
              </w:rPr>
              <w:t>转让，包括但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不限于通过</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13"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96"/>
              <w:jc w:val="both"/>
              <w:rPr>
                <w:rFonts w:ascii="宋体" w:hAnsi="宋体" w:cs="宋体" w:eastAsia="宋体" w:hint="default"/>
                <w:sz w:val="18"/>
                <w:szCs w:val="18"/>
              </w:rPr>
            </w:pPr>
            <w:r>
              <w:rPr>
                <w:rFonts w:ascii="宋体" w:hAnsi="宋体" w:cs="宋体" w:eastAsia="宋体" w:hint="default"/>
                <w:sz w:val="18"/>
                <w:szCs w:val="18"/>
              </w:rPr>
              <w:t>承诺人取得 光环新网股 份后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个月</w:t>
            </w:r>
          </w:p>
        </w:tc>
        <w:tc>
          <w:tcPr>
            <w:tcW w:w="1106" w:type="dxa"/>
            <w:tcBorders>
              <w:top w:val="nil" w:sz="6" w:space="0" w:color="auto"/>
              <w:left w:val="single" w:sz="13" w:space="0" w:color="FFFFFF"/>
              <w:bottom w:val="nil" w:sz="6" w:space="0" w:color="auto"/>
              <w:right w:val="single" w:sz="4" w:space="0" w:color="000000"/>
            </w:tcBorders>
          </w:tcPr>
          <w:p>
            <w:pPr>
              <w:pStyle w:val="TableParagraph"/>
              <w:spacing w:line="310" w:lineRule="atLeast" w:before="92"/>
              <w:ind w:left="11" w:right="170"/>
              <w:jc w:val="both"/>
              <w:rPr>
                <w:rFonts w:ascii="宋体" w:hAnsi="宋体" w:cs="宋体" w:eastAsia="宋体" w:hint="default"/>
                <w:sz w:val="18"/>
                <w:szCs w:val="18"/>
              </w:rPr>
            </w:pPr>
            <w:r>
              <w:rPr>
                <w:rFonts w:ascii="宋体" w:hAnsi="宋体" w:cs="宋体" w:eastAsia="宋体" w:hint="default"/>
                <w:sz w:val="18"/>
                <w:szCs w:val="18"/>
              </w:rPr>
              <w:t>报告期内承 诺人尚未开 始履行上述</w:t>
            </w:r>
          </w:p>
          <w:p>
            <w:pPr>
              <w:pStyle w:val="TableParagraph"/>
              <w:spacing w:line="116" w:lineRule="exact"/>
              <w:ind w:left="-13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1" w:right="0"/>
              <w:jc w:val="both"/>
              <w:rPr>
                <w:rFonts w:ascii="宋体" w:hAnsi="宋体" w:cs="宋体" w:eastAsia="宋体" w:hint="default"/>
                <w:sz w:val="18"/>
                <w:szCs w:val="18"/>
              </w:rPr>
            </w:pPr>
            <w:r>
              <w:rPr>
                <w:rFonts w:ascii="宋体" w:hAnsi="宋体" w:cs="宋体" w:eastAsia="宋体" w:hint="default"/>
                <w:sz w:val="18"/>
                <w:szCs w:val="18"/>
              </w:rPr>
              <w:t>承诺。</w:t>
            </w: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华、王德宁、</w:t>
            </w: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证券市场公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车志远</w:t>
            </w: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开转让或通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过协议方式</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因本次重大</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资产重组取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得的股份自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上市之日起</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个月内将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不以任何方</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式转让，包括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但不限于通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过证券市场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公开转让或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通过协议方</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式转让。在此</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基础上，为增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中金盛世</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股份锁定承 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0"/>
              <w:jc w:val="left"/>
              <w:rPr>
                <w:rFonts w:ascii="宋体" w:hAnsi="宋体" w:cs="宋体" w:eastAsia="宋体" w:hint="default"/>
                <w:sz w:val="18"/>
                <w:szCs w:val="18"/>
              </w:rPr>
            </w:pPr>
            <w:r>
              <w:rPr>
                <w:rFonts w:ascii="宋体" w:hAnsi="宋体" w:cs="宋体" w:eastAsia="宋体" w:hint="default"/>
                <w:sz w:val="18"/>
                <w:szCs w:val="18"/>
              </w:rPr>
              <w:t>强利润补偿 的可操作性 和可实现性， 中金盛世所 持股份按以</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13" w:space="0" w:color="FFFFFF"/>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6" w:lineRule="auto"/>
              <w:ind w:left="23" w:right="96"/>
              <w:jc w:val="both"/>
              <w:rPr>
                <w:rFonts w:ascii="宋体" w:hAnsi="宋体" w:cs="宋体" w:eastAsia="宋体" w:hint="default"/>
                <w:sz w:val="18"/>
                <w:szCs w:val="18"/>
              </w:rPr>
            </w:pPr>
            <w:r>
              <w:rPr>
                <w:rFonts w:ascii="宋体" w:hAnsi="宋体" w:cs="宋体" w:eastAsia="宋体" w:hint="default"/>
                <w:sz w:val="18"/>
                <w:szCs w:val="18"/>
              </w:rPr>
              <w:t>承诺人取得 光环新网股 份后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个月</w:t>
            </w:r>
          </w:p>
        </w:tc>
        <w:tc>
          <w:tcPr>
            <w:tcW w:w="1106" w:type="dxa"/>
            <w:tcBorders>
              <w:top w:val="nil" w:sz="6" w:space="0" w:color="auto"/>
              <w:left w:val="single" w:sz="13" w:space="0" w:color="FFFFFF"/>
              <w:bottom w:val="nil" w:sz="6" w:space="0" w:color="auto"/>
              <w:right w:val="single" w:sz="4" w:space="0" w:color="000000"/>
            </w:tcBorders>
          </w:tcPr>
          <w:p>
            <w:pPr>
              <w:pStyle w:val="TableParagraph"/>
              <w:spacing w:line="310" w:lineRule="atLeast" w:before="73"/>
              <w:ind w:left="11" w:right="170"/>
              <w:jc w:val="both"/>
              <w:rPr>
                <w:rFonts w:ascii="宋体" w:hAnsi="宋体" w:cs="宋体" w:eastAsia="宋体" w:hint="default"/>
                <w:sz w:val="18"/>
                <w:szCs w:val="18"/>
              </w:rPr>
            </w:pPr>
            <w:r>
              <w:rPr>
                <w:rFonts w:ascii="宋体" w:hAnsi="宋体" w:cs="宋体" w:eastAsia="宋体" w:hint="default"/>
                <w:sz w:val="18"/>
                <w:szCs w:val="18"/>
              </w:rPr>
              <w:t>报告期内承 诺人尚未开 始履行上述</w:t>
            </w:r>
          </w:p>
          <w:p>
            <w:pPr>
              <w:pStyle w:val="TableParagraph"/>
              <w:spacing w:line="116" w:lineRule="exact"/>
              <w:ind w:left="-13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1" w:right="0"/>
              <w:jc w:val="both"/>
              <w:rPr>
                <w:rFonts w:ascii="宋体" w:hAnsi="宋体" w:cs="宋体" w:eastAsia="宋体" w:hint="default"/>
                <w:sz w:val="18"/>
                <w:szCs w:val="18"/>
              </w:rPr>
            </w:pPr>
            <w:r>
              <w:rPr>
                <w:rFonts w:ascii="宋体" w:hAnsi="宋体" w:cs="宋体" w:eastAsia="宋体" w:hint="default"/>
                <w:sz w:val="18"/>
                <w:szCs w:val="18"/>
              </w:rPr>
              <w:t>承诺。</w:t>
            </w: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下节奏解除</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限售</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5"/>
                <w:sz w:val="18"/>
                <w:szCs w:val="18"/>
              </w:rPr>
              <w:t>）第</w:t>
            </w:r>
            <w:r>
              <w:rPr>
                <w:rFonts w:ascii="宋体" w:hAnsi="宋体" w:cs="宋体" w:eastAsia="宋体" w:hint="default"/>
                <w:sz w:val="18"/>
                <w:szCs w:val="18"/>
              </w:rPr>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一期股份应</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于本次发行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的股份上市</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个月且</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根据标的公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盈利专项审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核报告确认</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实现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度承诺净利</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润或完成利</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润补偿后解</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除限售，解除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限售的股份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通过本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次发行获得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的股份总数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年度补偿股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份数量</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第二期股份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应于本次发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行的股份上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且根据标的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度盈利专项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审核报告确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认实现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年度承诺净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利润数或完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成利润补偿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后解除限售，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解除限售的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过本次发行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获得的股份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总数</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偿股份数量；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）第三期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股份应于本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次发行的股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份上市满</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36</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个月且根据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标的公司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利专项审核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报告确认实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承诺净利润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数且标的公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司《减值测试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报告》确认没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有减值或完</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481.179993pt;margin-top:512.829956pt;width:52.6pt;height:33.25pt;mso-position-horizontal-relative:page;mso-position-vertical-relative:page;z-index:-1593184" coordorigin="9624,10257" coordsize="1052,665">
            <v:group style="position:absolute;left:9624;top:10257;width:1052;height:312" coordorigin="9624,10257" coordsize="1052,312">
              <v:shape style="position:absolute;left:9624;top:10257;width:1052;height:312" coordorigin="9624,10257" coordsize="1052,312" path="m9624,10569l10675,10569,10675,10257,9624,10257,9624,10569xe" filled="true" fillcolor="#ffffff" stroked="false">
                <v:path arrowok="t"/>
                <v:fill type="solid"/>
              </v:shape>
            </v:group>
            <v:group style="position:absolute;left:9624;top:10569;width:1052;height:353" coordorigin="9624,10569" coordsize="1052,353">
              <v:shape style="position:absolute;left:9624;top:10569;width:1052;height:353" coordorigin="9624,10569" coordsize="1052,353" path="m9624,10921l10675,10921,10675,10569,9624,10569,9624,10921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166"/>
              <w:jc w:val="center"/>
              <w:rPr>
                <w:rFonts w:ascii="宋体" w:hAnsi="宋体" w:cs="宋体" w:eastAsia="宋体" w:hint="default"/>
                <w:sz w:val="18"/>
                <w:szCs w:val="18"/>
              </w:rPr>
            </w:pPr>
            <w:r>
              <w:rPr>
                <w:rFonts w:ascii="宋体" w:hAnsi="宋体" w:cs="宋体" w:eastAsia="宋体" w:hint="default"/>
                <w:sz w:val="18"/>
                <w:szCs w:val="18"/>
              </w:rPr>
              <w:t>成利润及减</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值补偿后解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除限售，解除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限售的股份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65"/>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通过本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次发行获得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的股份总数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9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×35%</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年度补偿股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份数量－减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值测试补偿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60"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股份数量。</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r>
        <w:trPr>
          <w:trHeight w:val="355"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166"/>
              <w:jc w:val="center"/>
              <w:rPr>
                <w:rFonts w:ascii="宋体" w:hAnsi="宋体" w:cs="宋体" w:eastAsia="宋体" w:hint="default"/>
                <w:sz w:val="18"/>
                <w:szCs w:val="18"/>
              </w:rPr>
            </w:pPr>
            <w:r>
              <w:rPr>
                <w:rFonts w:ascii="宋体" w:hAnsi="宋体" w:cs="宋体" w:eastAsia="宋体" w:hint="default"/>
                <w:sz w:val="18"/>
                <w:szCs w:val="18"/>
              </w:rPr>
              <w:t>因本次重大</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资产重组取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得的股份自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上市之日起</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18"/>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个月内将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不以任何方</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式转让，包括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但不限于通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过证券市场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公开转让或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通过协议方</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式转让。在此</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基础上，为增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强盈利预测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1258"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卓程达</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6"/>
              <w:ind w:left="26" w:right="191"/>
              <w:jc w:val="left"/>
              <w:rPr>
                <w:rFonts w:ascii="宋体" w:hAnsi="宋体" w:cs="宋体" w:eastAsia="宋体" w:hint="default"/>
                <w:sz w:val="18"/>
                <w:szCs w:val="18"/>
              </w:rPr>
            </w:pPr>
            <w:r>
              <w:rPr>
                <w:rFonts w:ascii="宋体" w:hAnsi="宋体" w:cs="宋体" w:eastAsia="宋体" w:hint="default"/>
                <w:sz w:val="18"/>
                <w:szCs w:val="18"/>
              </w:rPr>
              <w:t>股份锁定承 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3" w:right="19"/>
              <w:jc w:val="left"/>
              <w:rPr>
                <w:rFonts w:ascii="宋体" w:hAnsi="宋体" w:cs="宋体" w:eastAsia="宋体" w:hint="default"/>
                <w:sz w:val="18"/>
                <w:szCs w:val="18"/>
              </w:rPr>
            </w:pPr>
            <w:r>
              <w:rPr>
                <w:rFonts w:ascii="宋体" w:hAnsi="宋体" w:cs="宋体" w:eastAsia="宋体" w:hint="default"/>
                <w:sz w:val="18"/>
                <w:szCs w:val="18"/>
              </w:rPr>
              <w:t>补偿的可操 作性和可实 </w:t>
            </w:r>
            <w:r>
              <w:rPr>
                <w:rFonts w:ascii="宋体" w:hAnsi="宋体" w:cs="宋体" w:eastAsia="宋体" w:hint="default"/>
                <w:spacing w:val="-2"/>
                <w:sz w:val="18"/>
                <w:szCs w:val="18"/>
              </w:rPr>
              <w:t>现性，卓程达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所持股份按</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13" w:space="0" w:color="FFFFFF"/>
            </w:tcBorders>
          </w:tcPr>
          <w:p>
            <w:pPr>
              <w:pStyle w:val="TableParagraph"/>
              <w:spacing w:line="316" w:lineRule="auto" w:before="157"/>
              <w:ind w:left="23" w:right="96"/>
              <w:jc w:val="both"/>
              <w:rPr>
                <w:rFonts w:ascii="宋体" w:hAnsi="宋体" w:cs="宋体" w:eastAsia="宋体" w:hint="default"/>
                <w:sz w:val="18"/>
                <w:szCs w:val="18"/>
              </w:rPr>
            </w:pPr>
            <w:r>
              <w:rPr>
                <w:rFonts w:ascii="宋体" w:hAnsi="宋体" w:cs="宋体" w:eastAsia="宋体" w:hint="default"/>
                <w:sz w:val="18"/>
                <w:szCs w:val="18"/>
              </w:rPr>
              <w:t>承诺人取得 光环新网股 份后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个月</w:t>
            </w:r>
          </w:p>
        </w:tc>
        <w:tc>
          <w:tcPr>
            <w:tcW w:w="1106" w:type="dxa"/>
            <w:tcBorders>
              <w:top w:val="nil" w:sz="6" w:space="0" w:color="auto"/>
              <w:left w:val="single" w:sz="13" w:space="0" w:color="FFFFFF"/>
              <w:bottom w:val="nil" w:sz="6" w:space="0" w:color="auto"/>
              <w:right w:val="single" w:sz="4" w:space="0" w:color="000000"/>
            </w:tcBorders>
          </w:tcPr>
          <w:p>
            <w:pPr>
              <w:pStyle w:val="TableParagraph"/>
              <w:spacing w:line="314" w:lineRule="auto" w:before="1"/>
              <w:ind w:left="11" w:right="170"/>
              <w:jc w:val="left"/>
              <w:rPr>
                <w:rFonts w:ascii="宋体" w:hAnsi="宋体" w:cs="宋体" w:eastAsia="宋体" w:hint="default"/>
                <w:sz w:val="18"/>
                <w:szCs w:val="18"/>
              </w:rPr>
            </w:pPr>
            <w:r>
              <w:rPr>
                <w:rFonts w:ascii="宋体" w:hAnsi="宋体" w:cs="宋体" w:eastAsia="宋体" w:hint="default"/>
                <w:sz w:val="18"/>
                <w:szCs w:val="18"/>
              </w:rPr>
              <w:t>报告期内承 诺人尚未开</w:t>
            </w:r>
          </w:p>
          <w:p>
            <w:pPr>
              <w:pStyle w:val="TableParagraph"/>
              <w:spacing w:line="196" w:lineRule="exact" w:before="20"/>
              <w:ind w:left="11" w:right="0"/>
              <w:jc w:val="left"/>
              <w:rPr>
                <w:rFonts w:ascii="宋体" w:hAnsi="宋体" w:cs="宋体" w:eastAsia="宋体" w:hint="default"/>
                <w:sz w:val="18"/>
                <w:szCs w:val="18"/>
              </w:rPr>
            </w:pPr>
            <w:r>
              <w:rPr>
                <w:rFonts w:ascii="宋体" w:hAnsi="宋体" w:cs="宋体" w:eastAsia="宋体" w:hint="default"/>
                <w:sz w:val="18"/>
                <w:szCs w:val="18"/>
              </w:rPr>
              <w:t>始履行上述</w:t>
            </w:r>
          </w:p>
          <w:p>
            <w:pPr>
              <w:pStyle w:val="TableParagraph"/>
              <w:spacing w:line="156" w:lineRule="exact"/>
              <w:ind w:left="-13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1" w:right="0"/>
              <w:jc w:val="left"/>
              <w:rPr>
                <w:rFonts w:ascii="宋体" w:hAnsi="宋体" w:cs="宋体" w:eastAsia="宋体" w:hint="default"/>
                <w:sz w:val="18"/>
                <w:szCs w:val="18"/>
              </w:rPr>
            </w:pPr>
            <w:r>
              <w:rPr>
                <w:rFonts w:ascii="宋体" w:hAnsi="宋体" w:cs="宋体" w:eastAsia="宋体" w:hint="default"/>
                <w:sz w:val="18"/>
                <w:szCs w:val="18"/>
              </w:rPr>
              <w:t>承诺。</w:t>
            </w: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以下节奏解</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除限售</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6"/>
              <w:jc w:val="center"/>
              <w:rPr>
                <w:rFonts w:ascii="宋体" w:hAnsi="宋体" w:cs="宋体" w:eastAsia="宋体" w:hint="default"/>
                <w:sz w:val="18"/>
                <w:szCs w:val="18"/>
              </w:rPr>
            </w:pPr>
            <w:r>
              <w:rPr>
                <w:rFonts w:ascii="宋体" w:hAnsi="宋体" w:cs="宋体" w:eastAsia="宋体" w:hint="default"/>
                <w:sz w:val="18"/>
                <w:szCs w:val="18"/>
              </w:rPr>
              <w:t>第一期股份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应于本次发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行的股份上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2"/>
              <w:jc w:val="center"/>
              <w:rPr>
                <w:rFonts w:ascii="宋体" w:hAnsi="宋体" w:cs="宋体" w:eastAsia="宋体" w:hint="default"/>
                <w:sz w:val="18"/>
                <w:szCs w:val="18"/>
              </w:rPr>
            </w:pPr>
            <w:r>
              <w:rPr>
                <w:rFonts w:ascii="宋体" w:hAnsi="宋体" w:cs="宋体" w:eastAsia="宋体" w:hint="default"/>
                <w:sz w:val="18"/>
                <w:szCs w:val="18"/>
              </w:rPr>
              <w:t>市满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且根据标的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2"/>
              <w:jc w:val="center"/>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度盈利专项</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审核报告确</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19"/>
              <w:jc w:val="center"/>
              <w:rPr>
                <w:rFonts w:ascii="Times New Roman" w:hAnsi="Times New Roman" w:cs="Times New Roman" w:eastAsia="Times New Roman" w:hint="default"/>
                <w:sz w:val="18"/>
                <w:szCs w:val="18"/>
              </w:rPr>
            </w:pPr>
            <w:r>
              <w:rPr>
                <w:rFonts w:ascii="宋体" w:hAnsi="宋体" w:cs="宋体" w:eastAsia="宋体" w:hint="default"/>
                <w:sz w:val="18"/>
                <w:szCs w:val="18"/>
              </w:rPr>
              <w:t>认实现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年度承诺净</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利润数或完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成利润补偿</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后解除限售，</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解除限售的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过本次发行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获得的股份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总数</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偿股份数量；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）第二期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股份应于本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次发行的股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份上市满</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24</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个月且根据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标的公司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利专项审核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报告确认标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的公司实现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诺净利润数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或完成利润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补偿后解除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限售，解除限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售的股份数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量</w:t>
            </w:r>
            <w:r>
              <w:rPr>
                <w:rFonts w:ascii="Times New Roman" w:hAnsi="Times New Roman" w:cs="Times New Roman" w:eastAsia="Times New Roman" w:hint="default"/>
                <w:sz w:val="18"/>
                <w:szCs w:val="18"/>
              </w:rPr>
              <w:t>=</w:t>
            </w:r>
            <w:r>
              <w:rPr>
                <w:rFonts w:ascii="宋体" w:hAnsi="宋体" w:cs="宋体" w:eastAsia="宋体" w:hint="default"/>
                <w:sz w:val="18"/>
                <w:szCs w:val="18"/>
              </w:rPr>
              <w:t>通过本次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发行获得的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年度补偿股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份数量</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第三期股份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应于本次发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行的股份上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且根据标的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度盈利专项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审核报告确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认标的公司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实现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度承诺净利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润数且标的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公司《减值测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试报告》确认</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481.179993pt;margin-top:528.429993pt;width:52.6pt;height:33.25pt;mso-position-horizontal-relative:page;mso-position-vertical-relative:page;z-index:-1593160" coordorigin="9624,10569" coordsize="1052,665">
            <v:group style="position:absolute;left:9624;top:10569;width:1052;height:312" coordorigin="9624,10569" coordsize="1052,312">
              <v:shape style="position:absolute;left:9624;top:10569;width:1052;height:312" coordorigin="9624,10569" coordsize="1052,312" path="m9624,10881l10675,10881,10675,10569,9624,10569,9624,10881xe" filled="true" fillcolor="#ffffff" stroked="false">
                <v:path arrowok="t"/>
                <v:fill type="solid"/>
              </v:shape>
            </v:group>
            <v:group style="position:absolute;left:9624;top:10881;width:1052;height:353" coordorigin="9624,10881" coordsize="1052,353">
              <v:shape style="position:absolute;left:9624;top:10881;width:1052;height:353" coordorigin="9624,10881" coordsize="1052,353" path="m9624,11233l10675,11233,10675,10881,9624,10881,9624,11233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没有减值或</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完成利润及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减值补偿后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解除限售，解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除限售的股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通过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本次发行获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得的股份总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数</w:t>
            </w:r>
            <w:r>
              <w:rPr>
                <w:rFonts w:ascii="Times New Roman" w:hAnsi="Times New Roman" w:cs="Times New Roman" w:eastAsia="Times New Roman" w:hint="default"/>
                <w:sz w:val="18"/>
                <w:szCs w:val="18"/>
              </w:rPr>
              <w:t>×38%</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偿股份数量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－减值测试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补偿股份数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60"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量。</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r>
        <w:trPr>
          <w:trHeight w:val="355"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因本次重大</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资产重组取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得的上市公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司股份自上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市之日起</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个月内将不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以任何方式</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转让，包括但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不限于通过</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证券市场公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开转让或通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过协议方式</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pacing w:val="-3"/>
                <w:sz w:val="18"/>
                <w:szCs w:val="18"/>
              </w:rPr>
              <w:t>杨雨、利源顶</w:t>
            </w: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转让。在此基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3" w:right="7"/>
              <w:jc w:val="left"/>
              <w:rPr>
                <w:rFonts w:ascii="宋体" w:hAnsi="宋体" w:cs="宋体" w:eastAsia="宋体" w:hint="default"/>
                <w:sz w:val="18"/>
                <w:szCs w:val="18"/>
              </w:rPr>
            </w:pPr>
            <w:r>
              <w:rPr>
                <w:rFonts w:ascii="宋体" w:hAnsi="宋体" w:cs="宋体" w:eastAsia="宋体" w:hint="default"/>
                <w:sz w:val="18"/>
                <w:szCs w:val="18"/>
              </w:rPr>
              <w:t>盛、宇扬锦 达、陈静、郑 善伟、唐征 卫、申海山、</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7"/>
              <w:ind w:left="26" w:right="191"/>
              <w:jc w:val="left"/>
              <w:rPr>
                <w:rFonts w:ascii="宋体" w:hAnsi="宋体" w:cs="宋体" w:eastAsia="宋体" w:hint="default"/>
                <w:sz w:val="18"/>
                <w:szCs w:val="18"/>
              </w:rPr>
            </w:pPr>
            <w:r>
              <w:rPr>
                <w:rFonts w:ascii="宋体" w:hAnsi="宋体" w:cs="宋体" w:eastAsia="宋体" w:hint="default"/>
                <w:sz w:val="18"/>
                <w:szCs w:val="18"/>
              </w:rPr>
              <w:t>股份锁定承 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21"/>
              <w:ind w:left="23" w:right="19"/>
              <w:jc w:val="left"/>
              <w:rPr>
                <w:rFonts w:ascii="宋体" w:hAnsi="宋体" w:cs="宋体" w:eastAsia="宋体" w:hint="default"/>
                <w:sz w:val="18"/>
                <w:szCs w:val="18"/>
              </w:rPr>
            </w:pPr>
            <w:r>
              <w:rPr>
                <w:rFonts w:ascii="宋体" w:hAnsi="宋体" w:cs="宋体" w:eastAsia="宋体" w:hint="default"/>
                <w:spacing w:val="-2"/>
                <w:sz w:val="18"/>
                <w:szCs w:val="18"/>
              </w:rPr>
              <w:t>础上，为增强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利润预测补 偿的可操作 性和可实现</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13" w:space="0" w:color="FFFFFF"/>
            </w:tcBorders>
          </w:tcPr>
          <w:p>
            <w:pPr>
              <w:pStyle w:val="TableParagraph"/>
              <w:spacing w:line="316" w:lineRule="auto" w:before="158"/>
              <w:ind w:left="23" w:right="96"/>
              <w:jc w:val="both"/>
              <w:rPr>
                <w:rFonts w:ascii="宋体" w:hAnsi="宋体" w:cs="宋体" w:eastAsia="宋体" w:hint="default"/>
                <w:sz w:val="18"/>
                <w:szCs w:val="18"/>
              </w:rPr>
            </w:pPr>
            <w:r>
              <w:rPr>
                <w:rFonts w:ascii="宋体" w:hAnsi="宋体" w:cs="宋体" w:eastAsia="宋体" w:hint="default"/>
                <w:sz w:val="18"/>
                <w:szCs w:val="18"/>
              </w:rPr>
              <w:t>承诺人取得 光环新网股 份后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个月</w:t>
            </w:r>
          </w:p>
        </w:tc>
        <w:tc>
          <w:tcPr>
            <w:tcW w:w="1106" w:type="dxa"/>
            <w:tcBorders>
              <w:top w:val="nil" w:sz="6" w:space="0" w:color="auto"/>
              <w:left w:val="single" w:sz="13" w:space="0" w:color="FFFFFF"/>
              <w:bottom w:val="nil" w:sz="6" w:space="0" w:color="auto"/>
              <w:right w:val="single" w:sz="4" w:space="0" w:color="000000"/>
            </w:tcBorders>
          </w:tcPr>
          <w:p>
            <w:pPr>
              <w:pStyle w:val="TableParagraph"/>
              <w:spacing w:line="314" w:lineRule="auto" w:before="2"/>
              <w:ind w:left="11" w:right="170"/>
              <w:jc w:val="left"/>
              <w:rPr>
                <w:rFonts w:ascii="宋体" w:hAnsi="宋体" w:cs="宋体" w:eastAsia="宋体" w:hint="default"/>
                <w:sz w:val="18"/>
                <w:szCs w:val="18"/>
              </w:rPr>
            </w:pPr>
            <w:r>
              <w:rPr>
                <w:rFonts w:ascii="宋体" w:hAnsi="宋体" w:cs="宋体" w:eastAsia="宋体" w:hint="default"/>
                <w:sz w:val="18"/>
                <w:szCs w:val="18"/>
              </w:rPr>
              <w:t>报告期内承 诺人尚未开</w:t>
            </w:r>
          </w:p>
          <w:p>
            <w:pPr>
              <w:pStyle w:val="TableParagraph"/>
              <w:spacing w:line="196" w:lineRule="exact" w:before="20"/>
              <w:ind w:left="11" w:right="0"/>
              <w:jc w:val="left"/>
              <w:rPr>
                <w:rFonts w:ascii="宋体" w:hAnsi="宋体" w:cs="宋体" w:eastAsia="宋体" w:hint="default"/>
                <w:sz w:val="18"/>
                <w:szCs w:val="18"/>
              </w:rPr>
            </w:pPr>
            <w:r>
              <w:rPr>
                <w:rFonts w:ascii="宋体" w:hAnsi="宋体" w:cs="宋体" w:eastAsia="宋体" w:hint="default"/>
                <w:sz w:val="18"/>
                <w:szCs w:val="18"/>
              </w:rPr>
              <w:t>始履行上述</w:t>
            </w:r>
          </w:p>
          <w:p>
            <w:pPr>
              <w:pStyle w:val="TableParagraph"/>
              <w:spacing w:line="156" w:lineRule="exact"/>
              <w:ind w:left="-13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1" w:right="0"/>
              <w:jc w:val="left"/>
              <w:rPr>
                <w:rFonts w:ascii="宋体" w:hAnsi="宋体" w:cs="宋体" w:eastAsia="宋体" w:hint="default"/>
                <w:sz w:val="18"/>
                <w:szCs w:val="18"/>
              </w:rPr>
            </w:pPr>
            <w:r>
              <w:rPr>
                <w:rFonts w:ascii="宋体" w:hAnsi="宋体" w:cs="宋体" w:eastAsia="宋体" w:hint="default"/>
                <w:sz w:val="18"/>
                <w:szCs w:val="18"/>
              </w:rPr>
              <w:t>承诺。</w:t>
            </w:r>
          </w:p>
        </w:tc>
      </w:tr>
      <w:tr>
        <w:trPr>
          <w:trHeight w:val="323"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许小平</w:t>
            </w: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性，上述各方</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所持股份按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以下节奏解</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除限售</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第一期股份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应于本次发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行的股份上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且根据标的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度盈利专项</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审核报告确</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认标的公司</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20"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实现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度承诺净利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润数或完成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利润补偿后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解除限售，解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除限售的股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通过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本次发行获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得的股份总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数</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偿股份数量；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）第二期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股份应于本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次发行的股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份上市满</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24</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个月且根据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标的公司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利专项审核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报告确认标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的公司实现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诺净利润数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或完成利润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补偿后解除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限售，解除限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售的股份数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量</w:t>
            </w:r>
            <w:r>
              <w:rPr>
                <w:rFonts w:ascii="Times New Roman" w:hAnsi="Times New Roman" w:cs="Times New Roman" w:eastAsia="Times New Roman" w:hint="default"/>
                <w:sz w:val="18"/>
                <w:szCs w:val="18"/>
              </w:rPr>
              <w:t>=</w:t>
            </w:r>
            <w:r>
              <w:rPr>
                <w:rFonts w:ascii="宋体" w:hAnsi="宋体" w:cs="宋体" w:eastAsia="宋体" w:hint="default"/>
                <w:sz w:val="18"/>
                <w:szCs w:val="18"/>
              </w:rPr>
              <w:t>通过本次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发行获得的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年度补偿股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份数量</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第三期股份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应于本次发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行的股份上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且根据标的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度盈利专项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审核报告确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认标的公司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实现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481.179993pt;margin-top:559.635986pt;width:52.6pt;height:33.3pt;mso-position-horizontal-relative:page;mso-position-vertical-relative:page;z-index:-1593136" coordorigin="9624,11193" coordsize="1052,666">
            <v:group style="position:absolute;left:9624;top:11193;width:1052;height:313" coordorigin="9624,11193" coordsize="1052,313">
              <v:shape style="position:absolute;left:9624;top:11193;width:1052;height:313" coordorigin="9624,11193" coordsize="1052,313" path="m9624,11505l10675,11505,10675,11193,9624,11193,9624,11505xe" filled="true" fillcolor="#ffffff" stroked="false">
                <v:path arrowok="t"/>
                <v:fill type="solid"/>
              </v:shape>
            </v:group>
            <v:group style="position:absolute;left:9624;top:11505;width:1052;height:353" coordorigin="9624,11505" coordsize="1052,353">
              <v:shape style="position:absolute;left:9624;top:11505;width:1052;height:353" coordorigin="9624,11505" coordsize="1052,353" path="m9624,11858l10675,11858,10675,11505,9624,11505,9624,11858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度承诺净利</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润数且标的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公司《减值测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试报告》确认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没有减值或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完成利润及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减值补偿后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解除限售，解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除限售的股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通过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本次发行获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得的股份总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数</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偿股份数量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－减值测试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补偿股份数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60"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量。</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r>
        <w:trPr>
          <w:trHeight w:val="355"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因本次重大</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资产重组取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得的股份自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上市之日起</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个月内将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不以任何方</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式转让。在此</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基础上，为增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强盈利预测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补偿的可操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作性和可实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1258"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施侃、冯天放</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6"/>
              <w:ind w:left="26" w:right="191"/>
              <w:jc w:val="left"/>
              <w:rPr>
                <w:rFonts w:ascii="宋体" w:hAnsi="宋体" w:cs="宋体" w:eastAsia="宋体" w:hint="default"/>
                <w:sz w:val="18"/>
                <w:szCs w:val="18"/>
              </w:rPr>
            </w:pPr>
            <w:r>
              <w:rPr>
                <w:rFonts w:ascii="宋体" w:hAnsi="宋体" w:cs="宋体" w:eastAsia="宋体" w:hint="default"/>
                <w:sz w:val="18"/>
                <w:szCs w:val="18"/>
              </w:rPr>
              <w:t>股份锁定承 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9" w:lineRule="auto" w:before="20"/>
              <w:ind w:left="23" w:right="19"/>
              <w:jc w:val="both"/>
              <w:rPr>
                <w:rFonts w:ascii="宋体" w:hAnsi="宋体" w:cs="宋体" w:eastAsia="宋体" w:hint="default"/>
                <w:sz w:val="18"/>
                <w:szCs w:val="18"/>
              </w:rPr>
            </w:pPr>
            <w:r>
              <w:rPr>
                <w:rFonts w:ascii="宋体" w:hAnsi="宋体" w:cs="宋体" w:eastAsia="宋体" w:hint="default"/>
                <w:spacing w:val="-2"/>
                <w:sz w:val="18"/>
                <w:szCs w:val="18"/>
              </w:rPr>
              <w:t>现性，本次交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易完成后，施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侃、冯天放通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过本次交易</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13" w:space="0" w:color="FFFFFF"/>
            </w:tcBorders>
          </w:tcPr>
          <w:p>
            <w:pPr>
              <w:pStyle w:val="TableParagraph"/>
              <w:spacing w:line="316" w:lineRule="auto" w:before="157"/>
              <w:ind w:left="23" w:right="96"/>
              <w:jc w:val="both"/>
              <w:rPr>
                <w:rFonts w:ascii="宋体" w:hAnsi="宋体" w:cs="宋体" w:eastAsia="宋体" w:hint="default"/>
                <w:sz w:val="18"/>
                <w:szCs w:val="18"/>
              </w:rPr>
            </w:pPr>
            <w:r>
              <w:rPr>
                <w:rFonts w:ascii="宋体" w:hAnsi="宋体" w:cs="宋体" w:eastAsia="宋体" w:hint="default"/>
                <w:sz w:val="18"/>
                <w:szCs w:val="18"/>
              </w:rPr>
              <w:t>承诺人取得 光环新网股 份后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个月</w:t>
            </w:r>
          </w:p>
        </w:tc>
        <w:tc>
          <w:tcPr>
            <w:tcW w:w="1106" w:type="dxa"/>
            <w:tcBorders>
              <w:top w:val="nil" w:sz="6" w:space="0" w:color="auto"/>
              <w:left w:val="single" w:sz="13" w:space="0" w:color="FFFFFF"/>
              <w:bottom w:val="nil" w:sz="6" w:space="0" w:color="auto"/>
              <w:right w:val="single" w:sz="4" w:space="0" w:color="000000"/>
            </w:tcBorders>
          </w:tcPr>
          <w:p>
            <w:pPr>
              <w:pStyle w:val="TableParagraph"/>
              <w:spacing w:line="314" w:lineRule="auto" w:before="1"/>
              <w:ind w:left="11" w:right="170"/>
              <w:jc w:val="left"/>
              <w:rPr>
                <w:rFonts w:ascii="宋体" w:hAnsi="宋体" w:cs="宋体" w:eastAsia="宋体" w:hint="default"/>
                <w:sz w:val="18"/>
                <w:szCs w:val="18"/>
              </w:rPr>
            </w:pPr>
            <w:r>
              <w:rPr>
                <w:rFonts w:ascii="宋体" w:hAnsi="宋体" w:cs="宋体" w:eastAsia="宋体" w:hint="default"/>
                <w:sz w:val="18"/>
                <w:szCs w:val="18"/>
              </w:rPr>
              <w:t>报告期内承 诺人尚未开</w:t>
            </w:r>
          </w:p>
          <w:p>
            <w:pPr>
              <w:pStyle w:val="TableParagraph"/>
              <w:spacing w:line="196" w:lineRule="exact" w:before="20"/>
              <w:ind w:left="11" w:right="0"/>
              <w:jc w:val="left"/>
              <w:rPr>
                <w:rFonts w:ascii="宋体" w:hAnsi="宋体" w:cs="宋体" w:eastAsia="宋体" w:hint="default"/>
                <w:sz w:val="18"/>
                <w:szCs w:val="18"/>
              </w:rPr>
            </w:pPr>
            <w:r>
              <w:rPr>
                <w:rFonts w:ascii="宋体" w:hAnsi="宋体" w:cs="宋体" w:eastAsia="宋体" w:hint="default"/>
                <w:sz w:val="18"/>
                <w:szCs w:val="18"/>
              </w:rPr>
              <w:t>始履行上述</w:t>
            </w:r>
          </w:p>
          <w:p>
            <w:pPr>
              <w:pStyle w:val="TableParagraph"/>
              <w:spacing w:line="156" w:lineRule="exact"/>
              <w:ind w:left="-13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1" w:right="0"/>
              <w:jc w:val="left"/>
              <w:rPr>
                <w:rFonts w:ascii="宋体" w:hAnsi="宋体" w:cs="宋体" w:eastAsia="宋体" w:hint="default"/>
                <w:sz w:val="18"/>
                <w:szCs w:val="18"/>
              </w:rPr>
            </w:pPr>
            <w:r>
              <w:rPr>
                <w:rFonts w:ascii="宋体" w:hAnsi="宋体" w:cs="宋体" w:eastAsia="宋体" w:hint="default"/>
                <w:sz w:val="18"/>
                <w:szCs w:val="18"/>
              </w:rPr>
              <w:t>承诺。</w:t>
            </w: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取得的上市</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公司股份按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以下节奏解</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除限售</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第一期股份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应于本次发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行的股份上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且根据标的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度盈利专项</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630005pt;margin-top:72.47998pt;width:61.8pt;height:686.55pt;mso-position-horizontal-relative:page;mso-position-vertical-relative:page;z-index:-15930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5"/>
                      <w:szCs w:val="15"/>
                    </w:rPr>
                  </w:pPr>
                </w:p>
                <w:p>
                  <w:pPr>
                    <w:pStyle w:val="BodyText"/>
                    <w:spacing w:line="240" w:lineRule="auto"/>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审核报告确</w:t>
            </w:r>
          </w:p>
        </w:tc>
        <w:tc>
          <w:tcPr>
            <w:tcW w:w="1126" w:type="dxa"/>
            <w:vMerge w:val="restart"/>
            <w:tcBorders>
              <w:top w:val="single" w:sz="4" w:space="0" w:color="000000"/>
              <w:left w:val="single" w:sz="4" w:space="0" w:color="000000"/>
              <w:right w:val="single" w:sz="4" w:space="0" w:color="000000"/>
            </w:tcBorders>
          </w:tcPr>
          <w:p>
            <w:pPr>
              <w:pStyle w:val="TableParagraph"/>
              <w:spacing w:line="1373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pt;height:686.55pt;mso-position-horizontal-relative:char;mso-position-vertical-relative:line" coordorigin="0,0" coordsize="1116,13731">
                  <v:group style="position:absolute;left:0;top:0;width:1116;height:13731" coordorigin="0,0" coordsize="1116,13731">
                    <v:shape style="position:absolute;left:0;top:0;width:1116;height:13731" coordorigin="0,0" coordsize="1116,13731" path="m0,13730l1116,13730,1116,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认实现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年度承诺净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利润的</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90%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以上或完成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利润补偿后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解除限售，解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除限售的股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通过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本次发行获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得的股份总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数</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偿股份数量；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）第二期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股份应于本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次发行的股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份上市满</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个月且根据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标的公司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利专项审核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报告确认实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承诺净利润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90%</w:t>
            </w:r>
            <w:r>
              <w:rPr>
                <w:rFonts w:ascii="宋体" w:hAnsi="宋体" w:cs="宋体" w:eastAsia="宋体" w:hint="default"/>
                <w:sz w:val="18"/>
                <w:szCs w:val="18"/>
              </w:rPr>
              <w:t>以上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或完成利润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补偿后解除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限售，解除限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售的股份数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量</w:t>
            </w:r>
            <w:r>
              <w:rPr>
                <w:rFonts w:ascii="Times New Roman" w:hAnsi="Times New Roman" w:cs="Times New Roman" w:eastAsia="Times New Roman" w:hint="default"/>
                <w:sz w:val="18"/>
                <w:szCs w:val="18"/>
              </w:rPr>
              <w:t>=</w:t>
            </w:r>
            <w:r>
              <w:rPr>
                <w:rFonts w:ascii="宋体" w:hAnsi="宋体" w:cs="宋体" w:eastAsia="宋体" w:hint="default"/>
                <w:sz w:val="18"/>
                <w:szCs w:val="18"/>
              </w:rPr>
              <w:t>通过本次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发行获得的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年度补偿股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份数量</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第三期股份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应于盈利专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项审核报告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确认</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pacing w:val="-10"/>
                <w:sz w:val="18"/>
                <w:szCs w:val="18"/>
              </w:rPr>
              <w:t>年、</w:t>
            </w:r>
            <w:r>
              <w:rPr>
                <w:rFonts w:ascii="Times New Roman" w:hAnsi="Times New Roman" w:cs="Times New Roman" w:eastAsia="Times New Roman" w:hint="default"/>
                <w:spacing w:val="-10"/>
                <w:sz w:val="18"/>
                <w:szCs w:val="18"/>
              </w:rPr>
              <w:t>2017</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年累计实现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净利润数不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低于三年累</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5667"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Times New Roman" w:hAnsi="Times New Roman" w:cs="Times New Roman" w:eastAsia="Times New Roman" w:hint="default"/>
                <w:sz w:val="18"/>
                <w:szCs w:val="18"/>
              </w:rPr>
            </w:pPr>
            <w:r>
              <w:rPr>
                <w:rFonts w:ascii="宋体" w:hAnsi="宋体" w:cs="宋体" w:eastAsia="宋体" w:hint="default"/>
                <w:sz w:val="18"/>
                <w:szCs w:val="18"/>
              </w:rPr>
              <w:t>计承诺净利 润数且根据 标的公司《减 值测试报告》 确认没有减 值或完成利 润及减值补 偿后解除限 售，解除限售 的股份数量</w:t>
            </w:r>
            <w:r>
              <w:rPr>
                <w:rFonts w:ascii="Times New Roman" w:hAnsi="Times New Roman" w:cs="Times New Roman" w:eastAsia="Times New Roman" w:hint="default"/>
                <w:sz w:val="18"/>
                <w:szCs w:val="18"/>
              </w:rPr>
              <w:t>= </w:t>
            </w:r>
            <w:r>
              <w:rPr>
                <w:rFonts w:ascii="宋体" w:hAnsi="宋体" w:cs="宋体" w:eastAsia="宋体" w:hint="default"/>
                <w:sz w:val="18"/>
                <w:szCs w:val="18"/>
              </w:rPr>
              <w:t>通过本次发 行获得的股 份总数</w:t>
            </w:r>
            <w:r>
              <w:rPr>
                <w:rFonts w:ascii="Times New Roman" w:hAnsi="Times New Roman" w:cs="Times New Roman" w:eastAsia="Times New Roman" w:hint="default"/>
                <w:sz w:val="18"/>
                <w:szCs w:val="18"/>
              </w:rPr>
              <w:t>×40%</w:t>
            </w:r>
          </w:p>
          <w:p>
            <w:pPr>
              <w:pStyle w:val="TableParagraph"/>
              <w:spacing w:line="314" w:lineRule="auto"/>
              <w:ind w:left="23" w:right="143"/>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 补偿股份数 量－减值测 试补偿股份 数量。</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8164"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0"/>
              <w:ind w:left="23" w:right="19"/>
              <w:jc w:val="left"/>
              <w:rPr>
                <w:rFonts w:ascii="宋体" w:hAnsi="宋体" w:cs="宋体" w:eastAsia="宋体" w:hint="default"/>
                <w:sz w:val="18"/>
                <w:szCs w:val="18"/>
              </w:rPr>
            </w:pPr>
            <w:r>
              <w:rPr>
                <w:rFonts w:ascii="宋体" w:hAnsi="宋体" w:cs="宋体" w:eastAsia="宋体" w:hint="default"/>
                <w:sz w:val="18"/>
                <w:szCs w:val="18"/>
              </w:rPr>
              <w:t>中金云网全 </w:t>
            </w:r>
            <w:r>
              <w:rPr>
                <w:rFonts w:ascii="宋体" w:hAnsi="宋体" w:cs="宋体" w:eastAsia="宋体" w:hint="default"/>
                <w:spacing w:val="-3"/>
                <w:sz w:val="18"/>
                <w:szCs w:val="18"/>
              </w:rPr>
              <w:t>体股东、无双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科技全体股 东</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sz w:val="18"/>
                <w:szCs w:val="18"/>
              </w:rPr>
              <w:t>关于提供资 </w:t>
            </w:r>
            <w:r>
              <w:rPr>
                <w:rFonts w:ascii="宋体" w:hAnsi="宋体" w:cs="宋体" w:eastAsia="宋体" w:hint="default"/>
                <w:spacing w:val="-2"/>
                <w:sz w:val="18"/>
                <w:szCs w:val="18"/>
              </w:rPr>
              <w:t>料真实、准确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和完整的承 </w:t>
            </w:r>
            <w:r>
              <w:rPr>
                <w:rFonts w:ascii="宋体" w:hAnsi="宋体" w:cs="宋体" w:eastAsia="宋体" w:hint="default"/>
                <w:spacing w:val="-2"/>
                <w:sz w:val="18"/>
                <w:szCs w:val="18"/>
              </w:rPr>
              <w:t>诺；关于目标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资产权属的 </w:t>
            </w:r>
            <w:r>
              <w:rPr>
                <w:rFonts w:ascii="宋体" w:hAnsi="宋体" w:cs="宋体" w:eastAsia="宋体" w:hint="default"/>
                <w:spacing w:val="-2"/>
                <w:sz w:val="18"/>
                <w:szCs w:val="18"/>
              </w:rPr>
              <w:t>承诺；关于最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近五年无违 法行为的承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、关于提供 资料真实、准 确和完整的 承诺：本人</w:t>
            </w:r>
            <w:r>
              <w:rPr>
                <w:rFonts w:ascii="Times New Roman" w:hAnsi="Times New Roman" w:cs="Times New Roman" w:eastAsia="Times New Roman" w:hint="default"/>
                <w:sz w:val="18"/>
                <w:szCs w:val="18"/>
              </w:rPr>
              <w:t>/ </w:t>
            </w:r>
            <w:r>
              <w:rPr>
                <w:rFonts w:ascii="宋体" w:hAnsi="宋体" w:cs="宋体" w:eastAsia="宋体" w:hint="default"/>
                <w:sz w:val="18"/>
                <w:szCs w:val="18"/>
              </w:rPr>
              <w:t>本企业保证 为北京光环 新网科技股 份有限公司 本次发行股 份及支付现 金购买资产 并募集配套 资金所提供 的有关文件、 资料等信息 真实、准确和 完整，不存在 虚假记载、误 导性陈述或 者重大遗漏， 并声明承担 个别和连带 的法律责任。 </w:t>
            </w:r>
            <w:r>
              <w:rPr>
                <w:rFonts w:ascii="Times New Roman" w:hAnsi="Times New Roman" w:cs="Times New Roman" w:eastAsia="Times New Roman" w:hint="default"/>
                <w:sz w:val="18"/>
                <w:szCs w:val="18"/>
              </w:rPr>
              <w:t>2</w:t>
            </w:r>
            <w:r>
              <w:rPr>
                <w:rFonts w:ascii="宋体" w:hAnsi="宋体" w:cs="宋体" w:eastAsia="宋体" w:hint="default"/>
                <w:sz w:val="18"/>
                <w:szCs w:val="18"/>
              </w:rPr>
              <w:t>、关于目标 资产权属的 承诺：本人</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316" w:lineRule="auto"/>
              <w:ind w:left="23" w:right="185"/>
              <w:jc w:val="both"/>
              <w:rPr>
                <w:rFonts w:ascii="宋体" w:hAnsi="宋体" w:cs="宋体" w:eastAsia="宋体" w:hint="default"/>
                <w:sz w:val="18"/>
                <w:szCs w:val="18"/>
              </w:rPr>
            </w:pPr>
            <w:r>
              <w:rPr>
                <w:rFonts w:ascii="宋体" w:hAnsi="宋体" w:cs="宋体" w:eastAsia="宋体" w:hint="default"/>
                <w:sz w:val="18"/>
                <w:szCs w:val="18"/>
              </w:rPr>
              <w:t>作出承诺开 始至承诺履 行完毕。</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316" w:lineRule="auto"/>
              <w:ind w:left="23" w:right="170"/>
              <w:jc w:val="both"/>
              <w:rPr>
                <w:rFonts w:ascii="宋体" w:hAnsi="宋体" w:cs="宋体" w:eastAsia="宋体" w:hint="default"/>
                <w:sz w:val="18"/>
                <w:szCs w:val="18"/>
              </w:rPr>
            </w:pPr>
            <w:r>
              <w:rPr>
                <w:rFonts w:ascii="宋体" w:hAnsi="宋体" w:cs="宋体" w:eastAsia="宋体" w:hint="default"/>
                <w:sz w:val="18"/>
                <w:szCs w:val="18"/>
              </w:rPr>
              <w:t>报告期内承 诺人遵守了 所做承诺。</w:t>
            </w:r>
          </w:p>
        </w:tc>
      </w:tr>
    </w:tbl>
    <w:p>
      <w:pPr>
        <w:spacing w:after="0" w:line="316" w:lineRule="auto"/>
        <w:jc w:val="both"/>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166"/>
              <w:jc w:val="center"/>
              <w:rPr>
                <w:rFonts w:ascii="宋体" w:hAnsi="宋体" w:cs="宋体" w:eastAsia="宋体" w:hint="default"/>
                <w:sz w:val="18"/>
                <w:szCs w:val="18"/>
              </w:rPr>
            </w:pPr>
            <w:r>
              <w:rPr>
                <w:rFonts w:ascii="宋体" w:hAnsi="宋体" w:cs="宋体" w:eastAsia="宋体" w:hint="default"/>
                <w:sz w:val="18"/>
                <w:szCs w:val="18"/>
              </w:rPr>
              <w:t>本企业承诺</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合法持有交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易标的的股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pacing w:val="-9"/>
                <w:sz w:val="18"/>
                <w:szCs w:val="18"/>
              </w:rPr>
              <w:t>权。本人</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本企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业所持股份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的资产权属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清晰，不存在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信托持股、委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托持股等任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何权属纠纷，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亦不存在其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他任何潜在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法律权属纠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纷；该等股份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不存在质押、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抵押、其他担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保或第三方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权益限制情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形，也不存在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法院或其他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有权机关冻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结、查封、拍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卖该等股份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之情形；承诺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人依法拥有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该等股份的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占有、使用、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收益及处分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权，该等股份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的股权过户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或者转移不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存在法律障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碍。</w:t>
            </w:r>
            <w:r>
              <w:rPr>
                <w:rFonts w:ascii="Times New Roman" w:hAnsi="Times New Roman" w:cs="Times New Roman" w:eastAsia="Times New Roman" w:hint="default"/>
                <w:sz w:val="18"/>
                <w:szCs w:val="18"/>
              </w:rPr>
              <w:t>3</w:t>
            </w:r>
            <w:r>
              <w:rPr>
                <w:rFonts w:ascii="宋体" w:hAnsi="宋体" w:cs="宋体" w:eastAsia="宋体" w:hint="default"/>
                <w:sz w:val="18"/>
                <w:szCs w:val="18"/>
              </w:rPr>
              <w:t>、关于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最近五年无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违法行为的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17"/>
              <w:jc w:val="center"/>
              <w:rPr>
                <w:rFonts w:ascii="Times New Roman" w:hAnsi="Times New Roman" w:cs="Times New Roman" w:eastAsia="Times New Roman" w:hint="default"/>
                <w:sz w:val="18"/>
                <w:szCs w:val="18"/>
              </w:rPr>
            </w:pPr>
            <w:r>
              <w:rPr>
                <w:rFonts w:ascii="宋体" w:hAnsi="宋体" w:cs="宋体" w:eastAsia="宋体" w:hint="default"/>
                <w:sz w:val="18"/>
                <w:szCs w:val="18"/>
              </w:rPr>
              <w:t>承诺：本人</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本企业承诺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在最近五年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未受过任何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刑事处罚、证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券市场相关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的行政处罚，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不存在与经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济纠纷有关</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2859"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的重大民事 诉讼或仲裁 </w:t>
            </w:r>
            <w:r>
              <w:rPr>
                <w:rFonts w:ascii="宋体" w:hAnsi="宋体" w:cs="宋体" w:eastAsia="宋体" w:hint="default"/>
                <w:spacing w:val="-2"/>
                <w:sz w:val="18"/>
                <w:szCs w:val="18"/>
              </w:rPr>
              <w:t>的情况，具有</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《公司法</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316" w:lineRule="auto" w:before="76"/>
              <w:ind w:left="23" w:right="10"/>
              <w:jc w:val="left"/>
              <w:rPr>
                <w:rFonts w:ascii="宋体" w:hAnsi="宋体" w:cs="宋体" w:eastAsia="宋体" w:hint="default"/>
                <w:sz w:val="18"/>
                <w:szCs w:val="18"/>
              </w:rPr>
            </w:pPr>
            <w:r>
              <w:rPr>
                <w:rFonts w:ascii="宋体" w:hAnsi="宋体" w:cs="宋体" w:eastAsia="宋体" w:hint="default"/>
                <w:sz w:val="18"/>
                <w:szCs w:val="18"/>
              </w:rPr>
              <w:t>《证券法》等 相关法律、法 规规定的担 任上市公司 股东的资格。</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0972"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3" w:right="19"/>
              <w:jc w:val="both"/>
              <w:rPr>
                <w:rFonts w:ascii="宋体" w:hAnsi="宋体" w:cs="宋体" w:eastAsia="宋体" w:hint="default"/>
                <w:sz w:val="18"/>
                <w:szCs w:val="18"/>
              </w:rPr>
            </w:pPr>
            <w:r>
              <w:rPr>
                <w:rFonts w:ascii="宋体" w:hAnsi="宋体" w:cs="宋体" w:eastAsia="宋体" w:hint="default"/>
                <w:spacing w:val="-3"/>
                <w:sz w:val="18"/>
                <w:szCs w:val="18"/>
              </w:rPr>
              <w:t>中金盛世、利</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源顶盛、卓程</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达、利扬盛达</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6" w:right="19"/>
              <w:jc w:val="left"/>
              <w:rPr>
                <w:rFonts w:ascii="宋体" w:hAnsi="宋体" w:cs="宋体" w:eastAsia="宋体" w:hint="default"/>
                <w:sz w:val="18"/>
                <w:szCs w:val="18"/>
              </w:rPr>
            </w:pPr>
            <w:r>
              <w:rPr>
                <w:rFonts w:ascii="宋体" w:hAnsi="宋体" w:cs="宋体" w:eastAsia="宋体" w:hint="default"/>
                <w:sz w:val="18"/>
                <w:szCs w:val="18"/>
              </w:rPr>
              <w:t>关于避免同 业竞争的承 </w:t>
            </w:r>
            <w:r>
              <w:rPr>
                <w:rFonts w:ascii="宋体" w:hAnsi="宋体" w:cs="宋体" w:eastAsia="宋体" w:hint="default"/>
                <w:spacing w:val="-2"/>
                <w:sz w:val="18"/>
                <w:szCs w:val="18"/>
              </w:rPr>
              <w:t>诺函；关于规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范关联交易 的承诺函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、关于避免 同业竞争的 承诺函：本企 业及本企业 的关联方与 中金云网业 务相关的资 产已全部转 让给光环新 网，本企业剩 余资产与业 务与中金云 网不存在同 业竞争；自本 企业持有光 环新网股份 期间以及转 让光环新网 全部股份后 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年内，未</w:t>
            </w:r>
            <w:r>
              <w:rPr>
                <w:rFonts w:ascii="宋体" w:hAnsi="宋体" w:cs="宋体" w:eastAsia="宋体" w:hint="default"/>
                <w:sz w:val="18"/>
                <w:szCs w:val="18"/>
              </w:rPr>
              <w:t> 经光环新网 同意，本企业 及本企业的 关联方将不 直接或间接 从事任何可 能与光环新 网或和中金 云网业务相 同、相似或相</w:t>
            </w:r>
          </w:p>
          <w:p>
            <w:pPr>
              <w:pStyle w:val="TableParagraph"/>
              <w:spacing w:line="319" w:lineRule="auto" w:before="19"/>
              <w:ind w:left="23" w:right="10"/>
              <w:jc w:val="left"/>
              <w:rPr>
                <w:rFonts w:ascii="宋体" w:hAnsi="宋体" w:cs="宋体" w:eastAsia="宋体" w:hint="default"/>
                <w:sz w:val="18"/>
                <w:szCs w:val="18"/>
              </w:rPr>
            </w:pPr>
            <w:r>
              <w:rPr>
                <w:rFonts w:ascii="宋体" w:hAnsi="宋体" w:cs="宋体" w:eastAsia="宋体" w:hint="default"/>
                <w:sz w:val="18"/>
                <w:szCs w:val="18"/>
              </w:rPr>
              <w:t>竞争的活动， 也不直接或 间接地在与 光环新网或 中金云网业</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185"/>
              <w:jc w:val="both"/>
              <w:rPr>
                <w:rFonts w:ascii="宋体" w:hAnsi="宋体" w:cs="宋体" w:eastAsia="宋体" w:hint="default"/>
                <w:sz w:val="18"/>
                <w:szCs w:val="18"/>
              </w:rPr>
            </w:pPr>
            <w:r>
              <w:rPr>
                <w:rFonts w:ascii="宋体" w:hAnsi="宋体" w:cs="宋体" w:eastAsia="宋体" w:hint="default"/>
                <w:sz w:val="18"/>
                <w:szCs w:val="18"/>
              </w:rPr>
              <w:t>承诺人成为 光环新网股 东期间以及 减持全部光 环新网股份 后两年内</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173"/>
              <w:jc w:val="both"/>
              <w:rPr>
                <w:rFonts w:ascii="宋体" w:hAnsi="宋体" w:cs="宋体" w:eastAsia="宋体" w:hint="default"/>
                <w:sz w:val="18"/>
                <w:szCs w:val="18"/>
              </w:rPr>
            </w:pPr>
            <w:r>
              <w:rPr>
                <w:rFonts w:ascii="宋体" w:hAnsi="宋体" w:cs="宋体" w:eastAsia="宋体" w:hint="default"/>
                <w:sz w:val="18"/>
                <w:szCs w:val="18"/>
              </w:rPr>
              <w:t>报告期内承 诺人尚未开 始履行上述 承诺。</w:t>
            </w:r>
          </w:p>
        </w:tc>
      </w:tr>
    </w:tbl>
    <w:p>
      <w:pPr>
        <w:spacing w:after="0" w:line="316" w:lineRule="auto"/>
        <w:jc w:val="both"/>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务相同、相似</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或相竞争的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单位拥有权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益（包括但不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限于投资、合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作、承包、租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赁、委托经营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7"/>
              <w:jc w:val="center"/>
              <w:rPr>
                <w:rFonts w:ascii="宋体" w:hAnsi="宋体" w:cs="宋体" w:eastAsia="宋体" w:hint="default"/>
                <w:sz w:val="18"/>
                <w:szCs w:val="18"/>
              </w:rPr>
            </w:pPr>
            <w:r>
              <w:rPr>
                <w:rFonts w:ascii="宋体" w:hAnsi="宋体" w:cs="宋体" w:eastAsia="宋体" w:hint="default"/>
                <w:sz w:val="18"/>
                <w:szCs w:val="18"/>
              </w:rPr>
              <w:t>等方式</w:t>
            </w:r>
            <w:r>
              <w:rPr>
                <w:rFonts w:ascii="宋体" w:hAnsi="宋体" w:cs="宋体" w:eastAsia="宋体" w:hint="default"/>
                <w:spacing w:val="-92"/>
                <w:sz w:val="18"/>
                <w:szCs w:val="18"/>
              </w:rPr>
              <w:t>）</w:t>
            </w:r>
            <w:r>
              <w:rPr>
                <w:rFonts w:ascii="宋体" w:hAnsi="宋体" w:cs="宋体" w:eastAsia="宋体" w:hint="default"/>
                <w:sz w:val="18"/>
                <w:szCs w:val="18"/>
              </w:rPr>
              <w:t>，如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获得的商业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机会将与光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环新网或和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中金云网的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主营业务发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生同业竞争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或可能发生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同业竞争的，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本企业将立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即通知光环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新网，并尽力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将该商业机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会给予光环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新网，以确保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光环新网利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益不受损害。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、关于规范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关联交易的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承诺函：本次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交易前本企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业不存在与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中金云网未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披露的、不公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允的、不合理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的关联交易；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本次交易后，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本企业将采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取有效措施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尽量避免与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光环新网、中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金云网之间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发生关联交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易，在进行确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有必要且无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法避免的关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联交易时，保</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4107"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证按市场化 原则和公允 价格进行公 平操作，并按 相关法律法 规、规范性文 件及光环新 网公司章程、 中金云网公 司章程的规 定签署协议、 履行决策程 序等。</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9724"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7"/>
              <w:jc w:val="left"/>
              <w:rPr>
                <w:rFonts w:ascii="宋体" w:hAnsi="宋体" w:cs="宋体" w:eastAsia="宋体" w:hint="default"/>
                <w:sz w:val="18"/>
                <w:szCs w:val="18"/>
              </w:rPr>
            </w:pPr>
            <w:r>
              <w:rPr>
                <w:rFonts w:ascii="宋体" w:hAnsi="宋体" w:cs="宋体" w:eastAsia="宋体" w:hint="default"/>
                <w:sz w:val="18"/>
                <w:szCs w:val="18"/>
              </w:rPr>
              <w:t>杨雨、王薇 薇、王绪生、 余红军</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6" w:right="191"/>
              <w:jc w:val="both"/>
              <w:rPr>
                <w:rFonts w:ascii="宋体" w:hAnsi="宋体" w:cs="宋体" w:eastAsia="宋体" w:hint="default"/>
                <w:sz w:val="18"/>
                <w:szCs w:val="18"/>
              </w:rPr>
            </w:pPr>
            <w:r>
              <w:rPr>
                <w:rFonts w:ascii="宋体" w:hAnsi="宋体" w:cs="宋体" w:eastAsia="宋体" w:hint="default"/>
                <w:sz w:val="18"/>
                <w:szCs w:val="18"/>
              </w:rPr>
              <w:t>关于避免同 业竞争的承 诺函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
              <w:jc w:val="left"/>
              <w:rPr>
                <w:rFonts w:ascii="宋体" w:hAnsi="宋体" w:cs="宋体" w:eastAsia="宋体" w:hint="default"/>
                <w:sz w:val="18"/>
                <w:szCs w:val="18"/>
              </w:rPr>
            </w:pPr>
            <w:r>
              <w:rPr>
                <w:rFonts w:ascii="宋体" w:hAnsi="宋体" w:cs="宋体" w:eastAsia="宋体" w:hint="default"/>
                <w:sz w:val="18"/>
                <w:szCs w:val="18"/>
              </w:rPr>
              <w:t>本人在标的 公司任职期 间及离职后 两年内，不会 自己经营或 以他人名义 直接或间接 经营与标的 公司及光环 新网相同或 相类似的业 务，不会在同 标的公司及 光环新网存 在相同或者 相类似业务 的实体担任 任何职务或 为其提供任 何服务。如本 人违反前述 不竞争承诺， 本人同意将 因违反承诺 所获得经营 利润、工资、 报酬等全部 收益上缴光 环新网，前述 赔偿仍不能 弥补光环新</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85"/>
              <w:jc w:val="both"/>
              <w:rPr>
                <w:rFonts w:ascii="宋体" w:hAnsi="宋体" w:cs="宋体" w:eastAsia="宋体" w:hint="default"/>
                <w:sz w:val="18"/>
                <w:szCs w:val="18"/>
              </w:rPr>
            </w:pPr>
            <w:r>
              <w:rPr>
                <w:rFonts w:ascii="宋体" w:hAnsi="宋体" w:cs="宋体" w:eastAsia="宋体" w:hint="default"/>
                <w:sz w:val="18"/>
                <w:szCs w:val="18"/>
              </w:rPr>
              <w:t>承诺人在中 金云网任职 期间及离职 后两年内</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73"/>
              <w:jc w:val="both"/>
              <w:rPr>
                <w:rFonts w:ascii="宋体" w:hAnsi="宋体" w:cs="宋体" w:eastAsia="宋体" w:hint="default"/>
                <w:sz w:val="18"/>
                <w:szCs w:val="18"/>
              </w:rPr>
            </w:pPr>
            <w:r>
              <w:rPr>
                <w:rFonts w:ascii="宋体" w:hAnsi="宋体" w:cs="宋体" w:eastAsia="宋体" w:hint="default"/>
                <w:sz w:val="18"/>
                <w:szCs w:val="18"/>
              </w:rPr>
              <w:t>报告期内承 诺人遵守了 所做承诺。</w:t>
            </w:r>
          </w:p>
        </w:tc>
      </w:tr>
    </w:tbl>
    <w:p>
      <w:pPr>
        <w:spacing w:after="0" w:line="316" w:lineRule="auto"/>
        <w:jc w:val="both"/>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1611"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网因此遭受 </w:t>
            </w:r>
            <w:r>
              <w:rPr>
                <w:rFonts w:ascii="宋体" w:hAnsi="宋体" w:cs="宋体" w:eastAsia="宋体" w:hint="default"/>
                <w:spacing w:val="-2"/>
                <w:sz w:val="18"/>
                <w:szCs w:val="18"/>
              </w:rPr>
              <w:t>的损失的，本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人将另行赔 偿光环新网 的损失。</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2220"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施侃、冯天放</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6" w:right="19"/>
              <w:jc w:val="left"/>
              <w:rPr>
                <w:rFonts w:ascii="宋体" w:hAnsi="宋体" w:cs="宋体" w:eastAsia="宋体" w:hint="default"/>
                <w:sz w:val="18"/>
                <w:szCs w:val="18"/>
              </w:rPr>
            </w:pPr>
            <w:r>
              <w:rPr>
                <w:rFonts w:ascii="宋体" w:hAnsi="宋体" w:cs="宋体" w:eastAsia="宋体" w:hint="default"/>
                <w:sz w:val="18"/>
                <w:szCs w:val="18"/>
              </w:rPr>
              <w:t>关于避免同 业竞争的承 </w:t>
            </w:r>
            <w:r>
              <w:rPr>
                <w:rFonts w:ascii="宋体" w:hAnsi="宋体" w:cs="宋体" w:eastAsia="宋体" w:hint="default"/>
                <w:spacing w:val="-2"/>
                <w:sz w:val="18"/>
                <w:szCs w:val="18"/>
              </w:rPr>
              <w:t>诺函；关于规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范关联交易 的承诺函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、关于避免 同业竞争的 承诺函：本人 与无双科技 业务相关的 资产已全部 转让给光环 新网，本人剩 余资产与业 务与无双科 技不存在同 业竞争；自本 人在无双科 技任职期间 及离职后两 年内，不会自 己经营或以 他人名义直 接或间接经 营与无双科 技及光环新 网相同或相 类似的业务， 不会在同无 双科技及光 环新网存在 相同或者相 类似业务的 实体担任任 何职务或为 其提供任何 服务；如违反 前述不竞争 承诺的，应当 将其因违反 承诺所获得 经营利润、工 资、报酬等全 部收益上缴</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3" w:right="185"/>
              <w:jc w:val="both"/>
              <w:rPr>
                <w:rFonts w:ascii="宋体" w:hAnsi="宋体" w:cs="宋体" w:eastAsia="宋体" w:hint="default"/>
                <w:sz w:val="18"/>
                <w:szCs w:val="18"/>
              </w:rPr>
            </w:pPr>
            <w:r>
              <w:rPr>
                <w:rFonts w:ascii="宋体" w:hAnsi="宋体" w:cs="宋体" w:eastAsia="宋体" w:hint="default"/>
                <w:sz w:val="18"/>
                <w:szCs w:val="18"/>
              </w:rPr>
              <w:t>承诺人在无 双科技任职 期间及离职 后两年内</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3" w:right="173"/>
              <w:jc w:val="both"/>
              <w:rPr>
                <w:rFonts w:ascii="宋体" w:hAnsi="宋体" w:cs="宋体" w:eastAsia="宋体" w:hint="default"/>
                <w:sz w:val="18"/>
                <w:szCs w:val="18"/>
              </w:rPr>
            </w:pPr>
            <w:r>
              <w:rPr>
                <w:rFonts w:ascii="宋体" w:hAnsi="宋体" w:cs="宋体" w:eastAsia="宋体" w:hint="default"/>
                <w:sz w:val="18"/>
                <w:szCs w:val="18"/>
              </w:rPr>
              <w:t>报告期内承 诺人遵守了 所做承诺。</w:t>
            </w:r>
          </w:p>
        </w:tc>
      </w:tr>
    </w:tbl>
    <w:p>
      <w:pPr>
        <w:spacing w:after="0" w:line="316" w:lineRule="auto"/>
        <w:jc w:val="both"/>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13156"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1"/>
              <w:jc w:val="left"/>
              <w:rPr>
                <w:rFonts w:ascii="宋体" w:hAnsi="宋体" w:cs="宋体" w:eastAsia="宋体" w:hint="default"/>
                <w:sz w:val="18"/>
                <w:szCs w:val="18"/>
              </w:rPr>
            </w:pPr>
            <w:r>
              <w:rPr>
                <w:rFonts w:ascii="宋体" w:hAnsi="宋体" w:cs="宋体" w:eastAsia="宋体" w:hint="default"/>
                <w:sz w:val="18"/>
                <w:szCs w:val="18"/>
              </w:rPr>
              <w:t>光环新网，前 述赔偿仍不 能弥补光环 新网因此遭 受的损失的， 光环新网有 权要求违约 主体就其遭 受的损失承 担赔偿责任。 </w:t>
            </w:r>
            <w:r>
              <w:rPr>
                <w:rFonts w:ascii="Times New Roman" w:hAnsi="Times New Roman" w:cs="Times New Roman" w:eastAsia="Times New Roman" w:hint="default"/>
                <w:sz w:val="18"/>
                <w:szCs w:val="18"/>
              </w:rPr>
              <w:t>2</w:t>
            </w:r>
            <w:r>
              <w:rPr>
                <w:rFonts w:ascii="宋体" w:hAnsi="宋体" w:cs="宋体" w:eastAsia="宋体" w:hint="default"/>
                <w:sz w:val="18"/>
                <w:szCs w:val="18"/>
              </w:rPr>
              <w:t>、关于规范 关联交易的 承诺函：本次 交易前本人 不存在与无 双科技未披 露的、不公允 的、不合理的 关联交易；本 次交易后，本 人将采取有 效措施尽量 避免与光环 新网、无双科 技之间发生 关联交易，在 进行确有必 要且无法避 免的关联交 易时，保证按 市场化原则 和公允价格 进行公平操 作，并按相关 法律法规、规 范性文件及 光环新网公 司章程、无双 科技公司章 程的规定签 署协议、履行 决策程序等。</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施侃</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6" w:right="191"/>
              <w:jc w:val="left"/>
              <w:rPr>
                <w:rFonts w:ascii="宋体" w:hAnsi="宋体" w:cs="宋体" w:eastAsia="宋体" w:hint="default"/>
                <w:sz w:val="18"/>
                <w:szCs w:val="18"/>
              </w:rPr>
            </w:pPr>
            <w:r>
              <w:rPr>
                <w:rFonts w:ascii="宋体" w:hAnsi="宋体" w:cs="宋体" w:eastAsia="宋体" w:hint="default"/>
                <w:sz w:val="18"/>
                <w:szCs w:val="18"/>
              </w:rPr>
              <w:t>关于北京安 与极信息技</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190"/>
              <w:jc w:val="left"/>
              <w:rPr>
                <w:rFonts w:ascii="宋体" w:hAnsi="宋体" w:cs="宋体" w:eastAsia="宋体" w:hint="default"/>
                <w:sz w:val="18"/>
                <w:szCs w:val="18"/>
              </w:rPr>
            </w:pPr>
            <w:r>
              <w:rPr>
                <w:rFonts w:ascii="宋体" w:hAnsi="宋体" w:cs="宋体" w:eastAsia="宋体" w:hint="default"/>
                <w:sz w:val="18"/>
                <w:szCs w:val="18"/>
              </w:rPr>
              <w:t>在本人成为 光环新网股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185"/>
              <w:jc w:val="left"/>
              <w:rPr>
                <w:rFonts w:ascii="宋体" w:hAnsi="宋体" w:cs="宋体" w:eastAsia="宋体" w:hint="default"/>
                <w:sz w:val="18"/>
                <w:szCs w:val="18"/>
              </w:rPr>
            </w:pPr>
            <w:r>
              <w:rPr>
                <w:rFonts w:ascii="宋体" w:hAnsi="宋体" w:cs="宋体" w:eastAsia="宋体" w:hint="default"/>
                <w:sz w:val="18"/>
                <w:szCs w:val="18"/>
              </w:rPr>
              <w:t>承诺人成为 光环新网股</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173"/>
              <w:jc w:val="left"/>
              <w:rPr>
                <w:rFonts w:ascii="宋体" w:hAnsi="宋体" w:cs="宋体" w:eastAsia="宋体" w:hint="default"/>
                <w:sz w:val="18"/>
                <w:szCs w:val="18"/>
              </w:rPr>
            </w:pPr>
            <w:r>
              <w:rPr>
                <w:rFonts w:ascii="宋体" w:hAnsi="宋体" w:cs="宋体" w:eastAsia="宋体" w:hint="default"/>
                <w:sz w:val="18"/>
                <w:szCs w:val="18"/>
              </w:rPr>
              <w:t>报告期内承 诺人尚未开</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10660"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91"/>
              <w:jc w:val="both"/>
              <w:rPr>
                <w:rFonts w:ascii="宋体" w:hAnsi="宋体" w:cs="宋体" w:eastAsia="宋体" w:hint="default"/>
                <w:sz w:val="18"/>
                <w:szCs w:val="18"/>
              </w:rPr>
            </w:pPr>
            <w:r>
              <w:rPr>
                <w:rFonts w:ascii="宋体" w:hAnsi="宋体" w:cs="宋体" w:eastAsia="宋体" w:hint="default"/>
                <w:sz w:val="18"/>
                <w:szCs w:val="18"/>
              </w:rPr>
              <w:t>术有限公司 避免同业竞 争的承诺函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东期间以及 减持光环新 网全部股份 后两年内：本 人将促使北 京安与极避 免与无双科 技及光环新 网发生商业 上的直接竞 争；在北京安 与极盈利的 情况下，光环 新网有权要 求按照双方 认可的公允 价格收购本 人持有的北 京安与极的 全部或部分 股权；如本人 对外转让所 持有的北京 安与极的股 权，光环新网 在同等条件 下有优先购 买权；如本人 违反上述承 诺给光环新 网造成损失 的，本人将赔 偿光环新网 的全部损失。</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85"/>
              <w:jc w:val="both"/>
              <w:rPr>
                <w:rFonts w:ascii="宋体" w:hAnsi="宋体" w:cs="宋体" w:eastAsia="宋体" w:hint="default"/>
                <w:sz w:val="18"/>
                <w:szCs w:val="18"/>
              </w:rPr>
            </w:pPr>
            <w:r>
              <w:rPr>
                <w:rFonts w:ascii="宋体" w:hAnsi="宋体" w:cs="宋体" w:eastAsia="宋体" w:hint="default"/>
                <w:sz w:val="18"/>
                <w:szCs w:val="18"/>
              </w:rPr>
              <w:t>东期间以及 减持全部光 环新网股份 后两年内</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73"/>
              <w:jc w:val="left"/>
              <w:rPr>
                <w:rFonts w:ascii="宋体" w:hAnsi="宋体" w:cs="宋体" w:eastAsia="宋体" w:hint="default"/>
                <w:sz w:val="18"/>
                <w:szCs w:val="18"/>
              </w:rPr>
            </w:pPr>
            <w:r>
              <w:rPr>
                <w:rFonts w:ascii="宋体" w:hAnsi="宋体" w:cs="宋体" w:eastAsia="宋体" w:hint="default"/>
                <w:sz w:val="18"/>
                <w:szCs w:val="18"/>
              </w:rPr>
              <w:t>始履行上述 承诺。</w:t>
            </w:r>
          </w:p>
        </w:tc>
      </w:tr>
      <w:tr>
        <w:trPr>
          <w:trHeight w:val="3171"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16" w:lineRule="auto"/>
              <w:ind w:left="23" w:right="187"/>
              <w:jc w:val="both"/>
              <w:rPr>
                <w:rFonts w:ascii="宋体" w:hAnsi="宋体" w:cs="宋体" w:eastAsia="宋体" w:hint="default"/>
                <w:sz w:val="18"/>
                <w:szCs w:val="18"/>
              </w:rPr>
            </w:pPr>
            <w:r>
              <w:rPr>
                <w:rFonts w:ascii="宋体" w:hAnsi="宋体" w:cs="宋体" w:eastAsia="宋体" w:hint="default"/>
                <w:sz w:val="18"/>
                <w:szCs w:val="18"/>
              </w:rPr>
              <w:t>北京安与极 信息技术有 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16" w:lineRule="auto"/>
              <w:ind w:left="26" w:right="191"/>
              <w:jc w:val="both"/>
              <w:rPr>
                <w:rFonts w:ascii="宋体" w:hAnsi="宋体" w:cs="宋体" w:eastAsia="宋体" w:hint="default"/>
                <w:sz w:val="18"/>
                <w:szCs w:val="18"/>
              </w:rPr>
            </w:pPr>
            <w:r>
              <w:rPr>
                <w:rFonts w:ascii="宋体" w:hAnsi="宋体" w:cs="宋体" w:eastAsia="宋体" w:hint="default"/>
                <w:sz w:val="18"/>
                <w:szCs w:val="18"/>
              </w:rPr>
              <w:t>关于避免同 业竞争的承 诺函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在本公司股 东施侃成为 光环新网股 东期间以及 减持光环新 网全部股份 </w:t>
            </w:r>
            <w:r>
              <w:rPr>
                <w:rFonts w:ascii="宋体" w:hAnsi="宋体" w:cs="宋体" w:eastAsia="宋体" w:hint="default"/>
                <w:spacing w:val="-2"/>
                <w:sz w:val="18"/>
                <w:szCs w:val="18"/>
              </w:rPr>
              <w:t>后两年内，本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公司、本公司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下属全资、控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股子企业将</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6" w:lineRule="auto"/>
              <w:ind w:left="23" w:right="185"/>
              <w:jc w:val="both"/>
              <w:rPr>
                <w:rFonts w:ascii="宋体" w:hAnsi="宋体" w:cs="宋体" w:eastAsia="宋体" w:hint="default"/>
                <w:sz w:val="18"/>
                <w:szCs w:val="18"/>
              </w:rPr>
            </w:pPr>
            <w:r>
              <w:rPr>
                <w:rFonts w:ascii="宋体" w:hAnsi="宋体" w:cs="宋体" w:eastAsia="宋体" w:hint="default"/>
                <w:sz w:val="18"/>
                <w:szCs w:val="18"/>
              </w:rPr>
              <w:t>施侃成为光 环新网股东 期间以及减 持全部光环 新网股份后 两年内</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8"/>
              <w:ind w:left="23" w:right="173"/>
              <w:jc w:val="both"/>
              <w:rPr>
                <w:rFonts w:ascii="宋体" w:hAnsi="宋体" w:cs="宋体" w:eastAsia="宋体" w:hint="default"/>
                <w:sz w:val="18"/>
                <w:szCs w:val="18"/>
              </w:rPr>
            </w:pPr>
            <w:r>
              <w:rPr>
                <w:rFonts w:ascii="宋体" w:hAnsi="宋体" w:cs="宋体" w:eastAsia="宋体" w:hint="default"/>
                <w:sz w:val="18"/>
                <w:szCs w:val="18"/>
              </w:rPr>
              <w:t>报告期内承 诺人尚未开 始履行上述 承诺。</w:t>
            </w:r>
          </w:p>
        </w:tc>
      </w:tr>
    </w:tbl>
    <w:p>
      <w:pPr>
        <w:spacing w:after="0" w:line="316" w:lineRule="auto"/>
        <w:jc w:val="both"/>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6603"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来均不从事 任何与无双 科技及光环 新网相同或 类似的业务； 如本公司对 外转让</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DSP</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业务及相关 资产，光环新 网在同等条 件下有优先 购买权；如本 公司违反上 述承诺给光 环新网或无 双科技造成 损失的，本公 司将赔偿光 环新网和无 双科技的全 部损失。</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7228"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7"/>
              <w:ind w:left="23" w:right="7"/>
              <w:jc w:val="left"/>
              <w:rPr>
                <w:rFonts w:ascii="宋体" w:hAnsi="宋体" w:cs="宋体" w:eastAsia="宋体" w:hint="default"/>
                <w:sz w:val="18"/>
                <w:szCs w:val="18"/>
              </w:rPr>
            </w:pPr>
            <w:r>
              <w:rPr>
                <w:rFonts w:ascii="宋体" w:hAnsi="宋体" w:cs="宋体" w:eastAsia="宋体" w:hint="default"/>
                <w:spacing w:val="-3"/>
                <w:sz w:val="18"/>
                <w:szCs w:val="18"/>
              </w:rPr>
              <w:t>中金数据、中</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金盛世及中 金盛世实际 控制人杨洁、 张利</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26" w:right="191"/>
              <w:jc w:val="both"/>
              <w:rPr>
                <w:rFonts w:ascii="宋体" w:hAnsi="宋体" w:cs="宋体" w:eastAsia="宋体" w:hint="default"/>
                <w:sz w:val="18"/>
                <w:szCs w:val="18"/>
              </w:rPr>
            </w:pPr>
            <w:r>
              <w:rPr>
                <w:rFonts w:ascii="宋体" w:hAnsi="宋体" w:cs="宋体" w:eastAsia="宋体" w:hint="default"/>
                <w:sz w:val="18"/>
                <w:szCs w:val="18"/>
              </w:rPr>
              <w:t>关于避免同 业竞争的承 诺函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在中金盛世 成为光环新 网股东期间 以及减持光 环新网全部 股份后两年 </w:t>
            </w:r>
            <w:r>
              <w:rPr>
                <w:rFonts w:ascii="宋体" w:hAnsi="宋体" w:cs="宋体" w:eastAsia="宋体" w:hint="default"/>
                <w:spacing w:val="-2"/>
                <w:sz w:val="18"/>
                <w:szCs w:val="18"/>
              </w:rPr>
              <w:t>内，除中金盛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世已投资的 中金数据系 统有限责任 公司控股的 烟台中金数 据系统有限 公司和中金 花桥数据系 统有限公司 </w:t>
            </w:r>
            <w:r>
              <w:rPr>
                <w:rFonts w:ascii="宋体" w:hAnsi="宋体" w:cs="宋体" w:eastAsia="宋体" w:hint="default"/>
                <w:spacing w:val="-9"/>
                <w:sz w:val="18"/>
                <w:szCs w:val="18"/>
              </w:rPr>
              <w:t>外，本人</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本公</w:t>
            </w:r>
            <w:r>
              <w:rPr>
                <w:rFonts w:ascii="宋体" w:hAnsi="宋体" w:cs="宋体" w:eastAsia="宋体" w:hint="default"/>
                <w:spacing w:val="-87"/>
                <w:sz w:val="18"/>
                <w:szCs w:val="18"/>
              </w:rPr>
              <w:t> </w:t>
            </w:r>
            <w:r>
              <w:rPr>
                <w:rFonts w:ascii="宋体" w:hAnsi="宋体" w:cs="宋体" w:eastAsia="宋体" w:hint="default"/>
                <w:sz w:val="18"/>
                <w:szCs w:val="18"/>
              </w:rPr>
              <w:t>司及其下属 </w:t>
            </w:r>
            <w:r>
              <w:rPr>
                <w:rFonts w:ascii="宋体" w:hAnsi="宋体" w:cs="宋体" w:eastAsia="宋体" w:hint="default"/>
                <w:spacing w:val="-2"/>
                <w:sz w:val="18"/>
                <w:szCs w:val="18"/>
              </w:rPr>
              <w:t>全资、控股子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企业将来均 不从事任何 与中金云网 及光环新网</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316" w:lineRule="auto"/>
              <w:ind w:left="23" w:right="185"/>
              <w:jc w:val="both"/>
              <w:rPr>
                <w:rFonts w:ascii="宋体" w:hAnsi="宋体" w:cs="宋体" w:eastAsia="宋体" w:hint="default"/>
                <w:sz w:val="18"/>
                <w:szCs w:val="18"/>
              </w:rPr>
            </w:pPr>
            <w:r>
              <w:rPr>
                <w:rFonts w:ascii="宋体" w:hAnsi="宋体" w:cs="宋体" w:eastAsia="宋体" w:hint="default"/>
                <w:sz w:val="18"/>
                <w:szCs w:val="18"/>
              </w:rPr>
              <w:t>中金盛世成 为光环新网 股东期间以 及减持光环 新网全部股 份后两年内</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6" w:lineRule="auto"/>
              <w:ind w:left="23" w:right="173"/>
              <w:jc w:val="both"/>
              <w:rPr>
                <w:rFonts w:ascii="宋体" w:hAnsi="宋体" w:cs="宋体" w:eastAsia="宋体" w:hint="default"/>
                <w:sz w:val="18"/>
                <w:szCs w:val="18"/>
              </w:rPr>
            </w:pPr>
            <w:r>
              <w:rPr>
                <w:rFonts w:ascii="宋体" w:hAnsi="宋体" w:cs="宋体" w:eastAsia="宋体" w:hint="default"/>
                <w:sz w:val="18"/>
                <w:szCs w:val="18"/>
              </w:rPr>
              <w:t>报告期内承 诺人尚未开 始履行上述 承诺。</w:t>
            </w:r>
          </w:p>
        </w:tc>
      </w:tr>
    </w:tbl>
    <w:p>
      <w:pPr>
        <w:spacing w:after="0" w:line="316" w:lineRule="auto"/>
        <w:jc w:val="both"/>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166"/>
              <w:jc w:val="center"/>
              <w:rPr>
                <w:rFonts w:ascii="宋体" w:hAnsi="宋体" w:cs="宋体" w:eastAsia="宋体" w:hint="default"/>
                <w:sz w:val="18"/>
                <w:szCs w:val="18"/>
              </w:rPr>
            </w:pPr>
            <w:r>
              <w:rPr>
                <w:rFonts w:ascii="宋体" w:hAnsi="宋体" w:cs="宋体" w:eastAsia="宋体" w:hint="default"/>
                <w:sz w:val="18"/>
                <w:szCs w:val="18"/>
              </w:rPr>
              <w:t>相同或类似</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的业务；本人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16"/>
              <w:jc w:val="center"/>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本公司将促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使烟台中金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数据系统有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限公司和中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金花桥数据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系统有限公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司避免与中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金云网及光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环新网发生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商业上的直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接竞争；在烟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台中金数据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系统有限公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司、中金花桥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数据系统有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限公司盈利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的情况下，光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环新网有权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要求按照公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允价格收购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中金数据系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统有限责任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公司持有的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该等公司的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全部或部分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股权；如中金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数据系统有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限公司对外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转让其所持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有的烟台中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金数据系统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有限公司、中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金花桥数据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系统有限公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司的股权，光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环新网在同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等条件下有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优先购买权；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15"/>
              <w:jc w:val="center"/>
              <w:rPr>
                <w:rFonts w:ascii="宋体" w:hAnsi="宋体" w:cs="宋体" w:eastAsia="宋体" w:hint="default"/>
                <w:sz w:val="18"/>
                <w:szCs w:val="18"/>
              </w:rPr>
            </w:pPr>
            <w:r>
              <w:rPr>
                <w:rFonts w:ascii="宋体" w:hAnsi="宋体" w:cs="宋体" w:eastAsia="宋体" w:hint="default"/>
                <w:sz w:val="18"/>
                <w:szCs w:val="18"/>
              </w:rPr>
              <w:t>如本人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司违反上述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承诺给光环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新网造成损</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1299"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失的，本人</w:t>
            </w:r>
            <w:r>
              <w:rPr>
                <w:rFonts w:ascii="Times New Roman" w:hAnsi="Times New Roman" w:cs="Times New Roman" w:eastAsia="Times New Roman" w:hint="default"/>
                <w:sz w:val="18"/>
                <w:szCs w:val="18"/>
              </w:rPr>
              <w:t>/ </w:t>
            </w:r>
            <w:r>
              <w:rPr>
                <w:rFonts w:ascii="宋体" w:hAnsi="宋体" w:cs="宋体" w:eastAsia="宋体" w:hint="default"/>
                <w:sz w:val="18"/>
                <w:szCs w:val="18"/>
              </w:rPr>
              <w:t>本公司将赔 偿光环新网 的全部损失。</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1010"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319" w:lineRule="auto"/>
              <w:ind w:left="23" w:right="19"/>
              <w:jc w:val="both"/>
              <w:rPr>
                <w:rFonts w:ascii="宋体" w:hAnsi="宋体" w:cs="宋体" w:eastAsia="宋体" w:hint="default"/>
                <w:sz w:val="18"/>
                <w:szCs w:val="18"/>
              </w:rPr>
            </w:pPr>
            <w:r>
              <w:rPr>
                <w:rFonts w:ascii="宋体" w:hAnsi="宋体" w:cs="宋体" w:eastAsia="宋体" w:hint="default"/>
                <w:spacing w:val="-3"/>
                <w:sz w:val="18"/>
                <w:szCs w:val="18"/>
              </w:rPr>
              <w:t>利源顶盛、宇</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扬锦达、卓程</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达、利扬盛达</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25"/>
              <w:ind w:left="26" w:right="191"/>
              <w:jc w:val="both"/>
              <w:rPr>
                <w:rFonts w:ascii="宋体" w:hAnsi="宋体" w:cs="宋体" w:eastAsia="宋体" w:hint="default"/>
                <w:sz w:val="18"/>
                <w:szCs w:val="18"/>
              </w:rPr>
            </w:pPr>
            <w:r>
              <w:rPr>
                <w:rFonts w:ascii="宋体" w:hAnsi="宋体" w:cs="宋体" w:eastAsia="宋体" w:hint="default"/>
                <w:sz w:val="18"/>
                <w:szCs w:val="18"/>
              </w:rPr>
              <w:t>关于不存在 一致行动安 排的声明与 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
              <w:jc w:val="left"/>
              <w:rPr>
                <w:rFonts w:ascii="宋体" w:hAnsi="宋体" w:cs="宋体" w:eastAsia="宋体" w:hint="default"/>
                <w:sz w:val="18"/>
                <w:szCs w:val="18"/>
              </w:rPr>
            </w:pPr>
            <w:r>
              <w:rPr>
                <w:rFonts w:ascii="宋体" w:hAnsi="宋体" w:cs="宋体" w:eastAsia="宋体" w:hint="default"/>
                <w:sz w:val="18"/>
                <w:szCs w:val="18"/>
              </w:rPr>
              <w:t>本企业与中 金盛世之间 目前不存在 口头或书面 的一致行动 协议或者其 他一致行动 安排以谋求 共同扩大上 市公司表决 权数量；本次 交易完成后 也不会互相 达成一致行 动的合意或 签署一致行 动协议或类 似安排的协 议；本企业与 中金盛世之 间不采取一 致行动，不通 过协议、其他 安排共同扩 大所能够支 配的上市公 司表决权数 量；本企业将 放弃所持上 市公司股份 的表决权。综 上，本企业与 中金盛世之 间不存在一 致行动安排。</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319" w:lineRule="auto"/>
              <w:ind w:left="23" w:right="185"/>
              <w:jc w:val="both"/>
              <w:rPr>
                <w:rFonts w:ascii="宋体" w:hAnsi="宋体" w:cs="宋体" w:eastAsia="宋体" w:hint="default"/>
                <w:sz w:val="18"/>
                <w:szCs w:val="18"/>
              </w:rPr>
            </w:pPr>
            <w:r>
              <w:rPr>
                <w:rFonts w:ascii="宋体" w:hAnsi="宋体" w:cs="宋体" w:eastAsia="宋体" w:hint="default"/>
                <w:sz w:val="18"/>
                <w:szCs w:val="18"/>
              </w:rPr>
              <w:t>作出承诺开 始至承诺履 行完毕。</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319" w:lineRule="auto"/>
              <w:ind w:left="23" w:right="173"/>
              <w:jc w:val="both"/>
              <w:rPr>
                <w:rFonts w:ascii="宋体" w:hAnsi="宋体" w:cs="宋体" w:eastAsia="宋体" w:hint="default"/>
                <w:sz w:val="18"/>
                <w:szCs w:val="18"/>
              </w:rPr>
            </w:pPr>
            <w:r>
              <w:rPr>
                <w:rFonts w:ascii="宋体" w:hAnsi="宋体" w:cs="宋体" w:eastAsia="宋体" w:hint="default"/>
                <w:sz w:val="18"/>
                <w:szCs w:val="18"/>
              </w:rPr>
              <w:t>报告期内承 诺人遵守了 所做承诺</w:t>
            </w:r>
          </w:p>
        </w:tc>
      </w:tr>
      <w:tr>
        <w:trPr>
          <w:trHeight w:val="1611"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施侃</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9" w:lineRule="auto"/>
              <w:ind w:left="26" w:right="191"/>
              <w:jc w:val="both"/>
              <w:rPr>
                <w:rFonts w:ascii="宋体" w:hAnsi="宋体" w:cs="宋体" w:eastAsia="宋体" w:hint="default"/>
                <w:sz w:val="18"/>
                <w:szCs w:val="18"/>
              </w:rPr>
            </w:pPr>
            <w:r>
              <w:rPr>
                <w:rFonts w:ascii="宋体" w:hAnsi="宋体" w:cs="宋体" w:eastAsia="宋体" w:hint="default"/>
                <w:sz w:val="18"/>
                <w:szCs w:val="18"/>
              </w:rPr>
              <w:t>关于不存在 一致行动安 排的声明与 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本人与天津 红杉不存在 共同投资其 他公司的情 </w:t>
            </w:r>
            <w:r>
              <w:rPr>
                <w:rFonts w:ascii="宋体" w:hAnsi="宋体" w:cs="宋体" w:eastAsia="宋体" w:hint="default"/>
                <w:spacing w:val="-2"/>
                <w:sz w:val="18"/>
                <w:szCs w:val="18"/>
              </w:rPr>
              <w:t>况；本人与天</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4"/>
              <w:ind w:left="23" w:right="185"/>
              <w:jc w:val="both"/>
              <w:rPr>
                <w:rFonts w:ascii="宋体" w:hAnsi="宋体" w:cs="宋体" w:eastAsia="宋体" w:hint="default"/>
                <w:sz w:val="18"/>
                <w:szCs w:val="18"/>
              </w:rPr>
            </w:pPr>
            <w:r>
              <w:rPr>
                <w:rFonts w:ascii="宋体" w:hAnsi="宋体" w:cs="宋体" w:eastAsia="宋体" w:hint="default"/>
                <w:sz w:val="18"/>
                <w:szCs w:val="18"/>
              </w:rPr>
              <w:t>作出承诺开 始至承诺履 行完毕。</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4"/>
              <w:ind w:left="23" w:right="173"/>
              <w:jc w:val="both"/>
              <w:rPr>
                <w:rFonts w:ascii="宋体" w:hAnsi="宋体" w:cs="宋体" w:eastAsia="宋体" w:hint="default"/>
                <w:sz w:val="18"/>
                <w:szCs w:val="18"/>
              </w:rPr>
            </w:pPr>
            <w:r>
              <w:rPr>
                <w:rFonts w:ascii="宋体" w:hAnsi="宋体" w:cs="宋体" w:eastAsia="宋体" w:hint="default"/>
                <w:sz w:val="18"/>
                <w:szCs w:val="18"/>
              </w:rPr>
              <w:t>报告期内承 诺人遵守了 所做承诺</w:t>
            </w:r>
          </w:p>
        </w:tc>
      </w:tr>
    </w:tbl>
    <w:p>
      <w:pPr>
        <w:spacing w:after="0" w:line="319" w:lineRule="auto"/>
        <w:jc w:val="both"/>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9412"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津红杉之间 目前不存在 口头或书面 的一致行动 协议或者其 他一致行动 安排以谋求 共同扩大上 市公司表决 权数量；本次 交易完成后 也不会互相 达成一致行 动的合意或 签署一致行 动协议或类 似安排的协 议；本人与天 津红杉之间 不采取一致 行动，不通过 协议、其他安 排共同扩大 所能够支配 的上市公司 表决权数量。 综上，本人与 天津红杉之 间不存在一 致行动安排。</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419"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光环新网</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6" w:lineRule="auto"/>
              <w:ind w:left="26" w:right="19"/>
              <w:jc w:val="both"/>
              <w:rPr>
                <w:rFonts w:ascii="宋体" w:hAnsi="宋体" w:cs="宋体" w:eastAsia="宋体" w:hint="default"/>
                <w:sz w:val="18"/>
                <w:szCs w:val="18"/>
              </w:rPr>
            </w:pPr>
            <w:r>
              <w:rPr>
                <w:rFonts w:ascii="宋体" w:hAnsi="宋体" w:cs="宋体" w:eastAsia="宋体" w:hint="default"/>
                <w:spacing w:val="-2"/>
                <w:sz w:val="18"/>
                <w:szCs w:val="18"/>
              </w:rPr>
              <w:t>根据《新股发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行意见》作出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的相关承诺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、本次发行 的招股书若 有虚假记载、 误导性陈述 或者重大遗 漏，对判断公 司是否符合 法律规定的 发行条件构 成重大、实质 影响的，公司 及公司控股 股东百汇达 将依法回购</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6" w:lineRule="auto"/>
              <w:ind w:left="23" w:right="185"/>
              <w:jc w:val="both"/>
              <w:rPr>
                <w:rFonts w:ascii="宋体" w:hAnsi="宋体" w:cs="宋体" w:eastAsia="宋体" w:hint="default"/>
                <w:sz w:val="18"/>
                <w:szCs w:val="18"/>
              </w:rPr>
            </w:pPr>
            <w:r>
              <w:rPr>
                <w:rFonts w:ascii="宋体" w:hAnsi="宋体" w:cs="宋体" w:eastAsia="宋体" w:hint="default"/>
                <w:sz w:val="18"/>
                <w:szCs w:val="18"/>
              </w:rPr>
              <w:t>作出承诺开 始至承诺履 行完毕。</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6" w:lineRule="auto"/>
              <w:ind w:left="23" w:right="170"/>
              <w:jc w:val="both"/>
              <w:rPr>
                <w:rFonts w:ascii="宋体" w:hAnsi="宋体" w:cs="宋体" w:eastAsia="宋体" w:hint="default"/>
                <w:sz w:val="18"/>
                <w:szCs w:val="18"/>
              </w:rPr>
            </w:pPr>
            <w:r>
              <w:rPr>
                <w:rFonts w:ascii="宋体" w:hAnsi="宋体" w:cs="宋体" w:eastAsia="宋体" w:hint="default"/>
                <w:sz w:val="18"/>
                <w:szCs w:val="18"/>
              </w:rPr>
              <w:t>报告期内承 诺人遵守了 所做承诺</w:t>
            </w:r>
          </w:p>
        </w:tc>
      </w:tr>
    </w:tbl>
    <w:p>
      <w:pPr>
        <w:spacing w:after="0" w:line="316" w:lineRule="auto"/>
        <w:jc w:val="both"/>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166"/>
              <w:jc w:val="center"/>
              <w:rPr>
                <w:rFonts w:ascii="宋体" w:hAnsi="宋体" w:cs="宋体" w:eastAsia="宋体" w:hint="default"/>
                <w:sz w:val="18"/>
                <w:szCs w:val="18"/>
              </w:rPr>
            </w:pPr>
            <w:r>
              <w:rPr>
                <w:rFonts w:ascii="宋体" w:hAnsi="宋体" w:cs="宋体" w:eastAsia="宋体" w:hint="default"/>
                <w:sz w:val="18"/>
                <w:szCs w:val="18"/>
              </w:rPr>
              <w:t>首次公开发</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行的全部新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股。出现上述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情形，公司应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公告回购新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股的回购计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划，包括回购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股份数量、价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格区间、完成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时间等信息，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股份回购计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划还应经公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司股东大会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批准。在股份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回购义务触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发之日起</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89"/>
                <w:sz w:val="18"/>
                <w:szCs w:val="18"/>
              </w:rPr>
              <w:t>内</w:t>
            </w:r>
            <w:r>
              <w:rPr>
                <w:rFonts w:ascii="宋体" w:hAnsi="宋体" w:cs="宋体" w:eastAsia="宋体" w:hint="default"/>
                <w:sz w:val="18"/>
                <w:szCs w:val="18"/>
              </w:rPr>
              <w:t>（简称</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 w:right="0"/>
              <w:jc w:val="center"/>
              <w:rPr>
                <w:rFonts w:ascii="宋体" w:hAnsi="宋体" w:cs="宋体" w:eastAsia="宋体" w:hint="default"/>
                <w:sz w:val="18"/>
                <w:szCs w:val="18"/>
              </w:rPr>
            </w:pPr>
            <w:r>
              <w:rPr>
                <w:rFonts w:ascii="宋体" w:hAnsi="宋体" w:cs="宋体" w:eastAsia="宋体" w:hint="default"/>
                <w:sz w:val="18"/>
                <w:szCs w:val="18"/>
              </w:rPr>
              <w:t>购期</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以市场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价格完成回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购；期间公司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如有派息、送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股、资本公积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金转增股本、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配股等除权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除息事项，回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购底价相应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进行调整。如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公司未能履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行上述股份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回购义务，则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由公司控股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股东百汇达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履行上述义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务。</w:t>
            </w:r>
            <w:r>
              <w:rPr>
                <w:rFonts w:ascii="Times New Roman" w:hAnsi="Times New Roman" w:cs="Times New Roman" w:eastAsia="Times New Roman" w:hint="default"/>
                <w:sz w:val="18"/>
                <w:szCs w:val="18"/>
              </w:rPr>
              <w:t>2</w:t>
            </w:r>
            <w:r>
              <w:rPr>
                <w:rFonts w:ascii="宋体" w:hAnsi="宋体" w:cs="宋体" w:eastAsia="宋体" w:hint="default"/>
                <w:sz w:val="18"/>
                <w:szCs w:val="18"/>
              </w:rPr>
              <w:t>、本次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发行的招股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书若有虚假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记载、误导性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陈述或者重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大遗漏，致使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投资者在证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券交易中遭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受损失的，公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司将依法赔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偿投资者损</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10348"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失。</w:t>
            </w:r>
            <w:r>
              <w:rPr>
                <w:rFonts w:ascii="Times New Roman" w:hAnsi="Times New Roman" w:cs="Times New Roman" w:eastAsia="Times New Roman" w:hint="default"/>
                <w:sz w:val="18"/>
                <w:szCs w:val="18"/>
              </w:rPr>
              <w:t>3</w:t>
            </w:r>
            <w:r>
              <w:rPr>
                <w:rFonts w:ascii="宋体" w:hAnsi="宋体" w:cs="宋体" w:eastAsia="宋体" w:hint="default"/>
                <w:sz w:val="18"/>
                <w:szCs w:val="18"/>
              </w:rPr>
              <w:t>、公司 将确保以后 新担任的董 </w:t>
            </w:r>
            <w:r>
              <w:rPr>
                <w:rFonts w:ascii="宋体" w:hAnsi="宋体" w:cs="宋体" w:eastAsia="宋体" w:hint="default"/>
                <w:spacing w:val="-2"/>
                <w:sz w:val="18"/>
                <w:szCs w:val="18"/>
              </w:rPr>
              <w:t>事、监事和高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级管理人员 按照公司和 </w:t>
            </w:r>
            <w:r>
              <w:rPr>
                <w:rFonts w:ascii="宋体" w:hAnsi="宋体" w:cs="宋体" w:eastAsia="宋体" w:hint="default"/>
                <w:spacing w:val="-2"/>
                <w:sz w:val="18"/>
                <w:szCs w:val="18"/>
              </w:rPr>
              <w:t>现有董事、监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事和高级管 理人员作出 的公开承诺 履行相关义 务。</w:t>
            </w:r>
            <w:r>
              <w:rPr>
                <w:rFonts w:ascii="Times New Roman" w:hAnsi="Times New Roman" w:cs="Times New Roman" w:eastAsia="Times New Roman" w:hint="default"/>
                <w:sz w:val="18"/>
                <w:szCs w:val="18"/>
              </w:rPr>
              <w:t>4</w:t>
            </w:r>
            <w:r>
              <w:rPr>
                <w:rFonts w:ascii="宋体" w:hAnsi="宋体" w:cs="宋体" w:eastAsia="宋体" w:hint="default"/>
                <w:sz w:val="18"/>
                <w:szCs w:val="18"/>
              </w:rPr>
              <w:t>、公司 若未能履行 </w:t>
            </w:r>
            <w:r>
              <w:rPr>
                <w:rFonts w:ascii="宋体" w:hAnsi="宋体" w:cs="宋体" w:eastAsia="宋体" w:hint="default"/>
                <w:spacing w:val="-2"/>
                <w:sz w:val="18"/>
                <w:szCs w:val="18"/>
              </w:rPr>
              <w:t>上述承诺，则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公司将按有 </w:t>
            </w:r>
            <w:r>
              <w:rPr>
                <w:rFonts w:ascii="宋体" w:hAnsi="宋体" w:cs="宋体" w:eastAsia="宋体" w:hint="default"/>
                <w:spacing w:val="-2"/>
                <w:sz w:val="18"/>
                <w:szCs w:val="18"/>
              </w:rPr>
              <w:t>关法律、法规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的规定及监 管部门的要 求承担相应 的责任；同 </w:t>
            </w:r>
            <w:r>
              <w:rPr>
                <w:rFonts w:ascii="宋体" w:hAnsi="宋体" w:cs="宋体" w:eastAsia="宋体" w:hint="default"/>
                <w:spacing w:val="-2"/>
                <w:sz w:val="18"/>
                <w:szCs w:val="18"/>
              </w:rPr>
              <w:t>时，若致使投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资者在证券 交易中遭受 </w:t>
            </w:r>
            <w:r>
              <w:rPr>
                <w:rFonts w:ascii="宋体" w:hAnsi="宋体" w:cs="宋体" w:eastAsia="宋体" w:hint="default"/>
                <w:spacing w:val="-2"/>
                <w:sz w:val="18"/>
                <w:szCs w:val="18"/>
              </w:rPr>
              <w:t>损失，公司将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自愿按相应 的赔偿金额 冻结自有资 </w:t>
            </w:r>
            <w:r>
              <w:rPr>
                <w:rFonts w:ascii="宋体" w:hAnsi="宋体" w:cs="宋体" w:eastAsia="宋体" w:hint="default"/>
                <w:spacing w:val="-2"/>
                <w:sz w:val="18"/>
                <w:szCs w:val="18"/>
              </w:rPr>
              <w:t>金，以为公司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根据法律法 规和监管要 求赔偿投资 者损失提供 保障。</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3483"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3" w:right="0"/>
              <w:jc w:val="left"/>
              <w:rPr>
                <w:rFonts w:ascii="宋体" w:hAnsi="宋体" w:cs="宋体" w:eastAsia="宋体" w:hint="default"/>
                <w:sz w:val="18"/>
                <w:szCs w:val="18"/>
              </w:rPr>
            </w:pPr>
            <w:r>
              <w:rPr>
                <w:rFonts w:ascii="宋体" w:hAnsi="宋体" w:cs="宋体" w:eastAsia="宋体" w:hint="default"/>
                <w:sz w:val="18"/>
                <w:szCs w:val="18"/>
              </w:rPr>
              <w:t>百汇达</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1"/>
              <w:jc w:val="left"/>
              <w:rPr>
                <w:rFonts w:ascii="宋体" w:hAnsi="宋体" w:cs="宋体" w:eastAsia="宋体" w:hint="default"/>
                <w:sz w:val="18"/>
                <w:szCs w:val="18"/>
              </w:rPr>
            </w:pPr>
            <w:r>
              <w:rPr>
                <w:rFonts w:ascii="宋体" w:hAnsi="宋体" w:cs="宋体" w:eastAsia="宋体" w:hint="default"/>
                <w:sz w:val="18"/>
                <w:szCs w:val="18"/>
              </w:rPr>
              <w:t>独立性承诺、 不竞争承诺、 股份锁定承 诺、关于公平 关联交易的 承诺、关于承 担社会保险 和住房公积 金补缴义务 的承诺、根据</w:t>
            </w:r>
          </w:p>
          <w:p>
            <w:pPr>
              <w:pStyle w:val="TableParagraph"/>
              <w:spacing w:line="240" w:lineRule="auto" w:before="19"/>
              <w:ind w:left="26" w:right="0"/>
              <w:jc w:val="left"/>
              <w:rPr>
                <w:rFonts w:ascii="宋体" w:hAnsi="宋体" w:cs="宋体" w:eastAsia="宋体" w:hint="default"/>
                <w:sz w:val="18"/>
                <w:szCs w:val="18"/>
              </w:rPr>
            </w:pPr>
            <w:r>
              <w:rPr>
                <w:rFonts w:ascii="宋体" w:hAnsi="宋体" w:cs="宋体" w:eastAsia="宋体" w:hint="default"/>
                <w:sz w:val="18"/>
                <w:szCs w:val="18"/>
              </w:rPr>
              <w:t>《新股发行</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、关于在人 </w:t>
            </w:r>
            <w:r>
              <w:rPr>
                <w:rFonts w:ascii="宋体" w:hAnsi="宋体" w:cs="宋体" w:eastAsia="宋体" w:hint="default"/>
                <w:spacing w:val="-2"/>
                <w:sz w:val="18"/>
                <w:szCs w:val="18"/>
              </w:rPr>
              <w:t>员、资产、财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务、机构和业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务方面独立 </w:t>
            </w:r>
            <w:r>
              <w:rPr>
                <w:rFonts w:ascii="宋体" w:hAnsi="宋体" w:cs="宋体" w:eastAsia="宋体" w:hint="default"/>
                <w:spacing w:val="-2"/>
                <w:sz w:val="18"/>
                <w:szCs w:val="18"/>
              </w:rPr>
              <w:t>的承诺函：发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行人控股股 东百汇达已 作出书面承 </w:t>
            </w:r>
            <w:r>
              <w:rPr>
                <w:rFonts w:ascii="宋体" w:hAnsi="宋体" w:cs="宋体" w:eastAsia="宋体" w:hint="default"/>
                <w:spacing w:val="-2"/>
                <w:sz w:val="18"/>
                <w:szCs w:val="18"/>
              </w:rPr>
              <w:t>诺：其将按照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法律、法规及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公司章程依</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316" w:lineRule="auto"/>
              <w:ind w:left="23" w:right="185"/>
              <w:jc w:val="both"/>
              <w:rPr>
                <w:rFonts w:ascii="宋体" w:hAnsi="宋体" w:cs="宋体" w:eastAsia="宋体" w:hint="default"/>
                <w:sz w:val="18"/>
                <w:szCs w:val="18"/>
              </w:rPr>
            </w:pPr>
            <w:r>
              <w:rPr>
                <w:rFonts w:ascii="宋体" w:hAnsi="宋体" w:cs="宋体" w:eastAsia="宋体" w:hint="default"/>
                <w:sz w:val="18"/>
                <w:szCs w:val="18"/>
              </w:rPr>
              <w:t>作出承诺开 始至承诺履 行完毕。</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316" w:lineRule="auto"/>
              <w:ind w:left="23" w:right="173"/>
              <w:jc w:val="both"/>
              <w:rPr>
                <w:rFonts w:ascii="宋体" w:hAnsi="宋体" w:cs="宋体" w:eastAsia="宋体" w:hint="default"/>
                <w:sz w:val="18"/>
                <w:szCs w:val="18"/>
              </w:rPr>
            </w:pPr>
            <w:r>
              <w:rPr>
                <w:rFonts w:ascii="宋体" w:hAnsi="宋体" w:cs="宋体" w:eastAsia="宋体" w:hint="default"/>
                <w:sz w:val="18"/>
                <w:szCs w:val="18"/>
              </w:rPr>
              <w:t>报告期内承 诺人遵守了 所做承诺</w:t>
            </w:r>
          </w:p>
        </w:tc>
      </w:tr>
    </w:tbl>
    <w:p>
      <w:pPr>
        <w:spacing w:after="0" w:line="316" w:lineRule="auto"/>
        <w:jc w:val="both"/>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13740"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9"/>
              <w:jc w:val="left"/>
              <w:rPr>
                <w:rFonts w:ascii="宋体" w:hAnsi="宋体" w:cs="宋体" w:eastAsia="宋体" w:hint="default"/>
                <w:sz w:val="18"/>
                <w:szCs w:val="18"/>
              </w:rPr>
            </w:pPr>
            <w:r>
              <w:rPr>
                <w:rFonts w:ascii="宋体" w:hAnsi="宋体" w:cs="宋体" w:eastAsia="宋体" w:hint="default"/>
                <w:spacing w:val="-2"/>
                <w:sz w:val="18"/>
                <w:szCs w:val="18"/>
              </w:rPr>
              <w:t>意见》作出的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相关承诺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法行使股东 </w:t>
            </w:r>
            <w:r>
              <w:rPr>
                <w:rFonts w:ascii="宋体" w:hAnsi="宋体" w:cs="宋体" w:eastAsia="宋体" w:hint="default"/>
                <w:spacing w:val="-2"/>
                <w:sz w:val="18"/>
                <w:szCs w:val="18"/>
              </w:rPr>
              <w:t>权利，不利用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股东身份影 响公司的独 </w:t>
            </w:r>
            <w:r>
              <w:rPr>
                <w:rFonts w:ascii="宋体" w:hAnsi="宋体" w:cs="宋体" w:eastAsia="宋体" w:hint="default"/>
                <w:spacing w:val="-2"/>
                <w:sz w:val="18"/>
                <w:szCs w:val="18"/>
              </w:rPr>
              <w:t>立性，保持公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司在资产、人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员、财务、业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务和机构等 方面的独立 性。</w:t>
            </w:r>
            <w:r>
              <w:rPr>
                <w:rFonts w:ascii="Times New Roman" w:hAnsi="Times New Roman" w:cs="Times New Roman" w:eastAsia="Times New Roman" w:hint="default"/>
                <w:sz w:val="18"/>
                <w:szCs w:val="18"/>
              </w:rPr>
              <w:t>2</w:t>
            </w:r>
            <w:r>
              <w:rPr>
                <w:rFonts w:ascii="宋体" w:hAnsi="宋体" w:cs="宋体" w:eastAsia="宋体" w:hint="default"/>
                <w:sz w:val="18"/>
                <w:szCs w:val="18"/>
              </w:rPr>
              <w:t>、不竞 </w:t>
            </w:r>
            <w:r>
              <w:rPr>
                <w:rFonts w:ascii="宋体" w:hAnsi="宋体" w:cs="宋体" w:eastAsia="宋体" w:hint="default"/>
                <w:spacing w:val="-2"/>
                <w:sz w:val="18"/>
                <w:szCs w:val="18"/>
              </w:rPr>
              <w:t>争承诺函：发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行人控股股 东百汇达已 作出书面承 </w:t>
            </w:r>
            <w:r>
              <w:rPr>
                <w:rFonts w:ascii="宋体" w:hAnsi="宋体" w:cs="宋体" w:eastAsia="宋体" w:hint="default"/>
                <w:spacing w:val="-2"/>
                <w:sz w:val="18"/>
                <w:szCs w:val="18"/>
              </w:rPr>
              <w:t>诺：其本身及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其投资的全 </w:t>
            </w:r>
            <w:r>
              <w:rPr>
                <w:rFonts w:ascii="宋体" w:hAnsi="宋体" w:cs="宋体" w:eastAsia="宋体" w:hint="default"/>
                <w:spacing w:val="-2"/>
                <w:sz w:val="18"/>
                <w:szCs w:val="18"/>
              </w:rPr>
              <w:t>资、控股子企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业（若有）目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前不拥有及 经营任何在 商业上与公 司正在经营 的业务有直 接竞争的业 </w:t>
            </w:r>
            <w:r>
              <w:rPr>
                <w:rFonts w:ascii="宋体" w:hAnsi="宋体" w:cs="宋体" w:eastAsia="宋体" w:hint="default"/>
                <w:spacing w:val="-2"/>
                <w:sz w:val="18"/>
                <w:szCs w:val="18"/>
              </w:rPr>
              <w:t>务；其本身并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且必将通过 法律程序使 </w:t>
            </w:r>
            <w:r>
              <w:rPr>
                <w:rFonts w:ascii="宋体" w:hAnsi="宋体" w:cs="宋体" w:eastAsia="宋体" w:hint="default"/>
                <w:spacing w:val="-2"/>
                <w:sz w:val="18"/>
                <w:szCs w:val="18"/>
              </w:rPr>
              <w:t>其全资、控股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子企业将来 均不从事任 何在商业上 与公司正在 经营的业务 有直接竞争 </w:t>
            </w:r>
            <w:r>
              <w:rPr>
                <w:rFonts w:ascii="宋体" w:hAnsi="宋体" w:cs="宋体" w:eastAsia="宋体" w:hint="default"/>
                <w:spacing w:val="-2"/>
                <w:sz w:val="18"/>
                <w:szCs w:val="18"/>
              </w:rPr>
              <w:t>的业务；如其</w:t>
            </w:r>
          </w:p>
          <w:p>
            <w:pPr>
              <w:pStyle w:val="TableParagraph"/>
              <w:spacing w:line="316" w:lineRule="auto" w:before="19"/>
              <w:ind w:left="23" w:right="19"/>
              <w:jc w:val="left"/>
              <w:rPr>
                <w:rFonts w:ascii="宋体" w:hAnsi="宋体" w:cs="宋体" w:eastAsia="宋体" w:hint="default"/>
                <w:sz w:val="18"/>
                <w:szCs w:val="18"/>
              </w:rPr>
            </w:pPr>
            <w:r>
              <w:rPr>
                <w:rFonts w:ascii="宋体" w:hAnsi="宋体" w:cs="宋体" w:eastAsia="宋体" w:hint="default"/>
                <w:sz w:val="18"/>
                <w:szCs w:val="18"/>
              </w:rPr>
              <w:t>（包括受其 控制的子企 业或其他关 </w:t>
            </w:r>
            <w:r>
              <w:rPr>
                <w:rFonts w:ascii="宋体" w:hAnsi="宋体" w:cs="宋体" w:eastAsia="宋体" w:hint="default"/>
                <w:spacing w:val="-2"/>
                <w:sz w:val="18"/>
                <w:szCs w:val="18"/>
              </w:rPr>
              <w:t>联企业）将来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经营的产品 或服务与公 司的主营产 品或服务有 可能形成竞</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争，其同意公</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司有权优先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收购其与该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等产品或服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务有关的资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产或其在子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企业中的全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部股权；如因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其未履行在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承诺函中所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作的承诺给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公司造成损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失的，其将赔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偿公司的实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际损失。</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股份锁定承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诺函：发行人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控股股东百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汇达已作出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书面承诺：除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参与公开发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售的股份外，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在公司股票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上市前以及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自公司股票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上市之日起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7"/>
                <w:sz w:val="18"/>
                <w:szCs w:val="18"/>
              </w:rPr>
              <w:t> </w:t>
            </w:r>
            <w:r>
              <w:rPr>
                <w:rFonts w:ascii="宋体" w:hAnsi="宋体" w:cs="宋体" w:eastAsia="宋体" w:hint="default"/>
                <w:spacing w:val="-12"/>
                <w:sz w:val="18"/>
                <w:szCs w:val="18"/>
              </w:rPr>
              <w:t>个月内，不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转让或者委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托他人管理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其直接或间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接持有的公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司公开发行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股票前已发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行的股份</w:t>
            </w:r>
            <w:r>
              <w:rPr>
                <w:rFonts w:ascii="Times New Roman" w:hAnsi="Times New Roman" w:cs="Times New Roman" w:eastAsia="Times New Roman" w:hint="default"/>
                <w:sz w:val="18"/>
                <w:szCs w:val="18"/>
              </w:rPr>
              <w:t>,</w:t>
            </w:r>
            <w:r>
              <w:rPr>
                <w:rFonts w:ascii="宋体" w:hAnsi="宋体" w:cs="宋体" w:eastAsia="宋体" w:hint="default"/>
                <w:sz w:val="18"/>
                <w:szCs w:val="18"/>
              </w:rPr>
              <w:t>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由公司回购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该等股份。在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耿殿根任职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期间每年转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让的股份不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得超过其所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持有公司股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份总数的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；耿殿根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4"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离职后六个</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630005pt;margin-top:72.47998pt;width:61.8pt;height:686.55pt;mso-position-horizontal-relative:page;mso-position-vertical-relative:page;z-index:-159304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48"/>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月内，不得转</w:t>
            </w:r>
          </w:p>
        </w:tc>
        <w:tc>
          <w:tcPr>
            <w:tcW w:w="1126" w:type="dxa"/>
            <w:vMerge w:val="restart"/>
            <w:tcBorders>
              <w:top w:val="single" w:sz="4" w:space="0" w:color="000000"/>
              <w:left w:val="single" w:sz="4" w:space="0" w:color="000000"/>
              <w:right w:val="single" w:sz="4" w:space="0" w:color="000000"/>
            </w:tcBorders>
          </w:tcPr>
          <w:p>
            <w:pPr>
              <w:pStyle w:val="TableParagraph"/>
              <w:spacing w:line="1373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pt;height:686.55pt;mso-position-horizontal-relative:char;mso-position-vertical-relative:line" coordorigin="0,0" coordsize="1116,13731">
                  <v:group style="position:absolute;left:0;top:0;width:1116;height:13731" coordorigin="0,0" coordsize="1116,13731">
                    <v:shape style="position:absolute;left:0;top:0;width:1116;height:13731" coordorigin="0,0" coordsize="1116,13731" path="m0,13730l1116,13730,1116,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让其所持有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的公司股份。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若耿殿根在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公司股票上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市之日起六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个月内申报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离职，则自申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报离职之日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起十八个月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内不转让其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所持有的公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司股份；若耿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殿根在公司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股票上市之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日起第七个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月至第十二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个月之间申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报离职，则自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申报离职之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日起十二个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月内不转让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其所持有的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5"/>
              <w:jc w:val="center"/>
              <w:rPr>
                <w:rFonts w:ascii="Times New Roman" w:hAnsi="Times New Roman" w:cs="Times New Roman" w:eastAsia="Times New Roman" w:hint="default"/>
                <w:sz w:val="18"/>
                <w:szCs w:val="18"/>
              </w:rPr>
            </w:pPr>
            <w:r>
              <w:rPr>
                <w:rFonts w:ascii="宋体" w:hAnsi="宋体" w:cs="宋体" w:eastAsia="宋体" w:hint="default"/>
                <w:sz w:val="18"/>
                <w:szCs w:val="18"/>
              </w:rPr>
              <w:t>公司股份。</w:t>
            </w:r>
            <w:r>
              <w:rPr>
                <w:rFonts w:ascii="Times New Roman" w:hAnsi="Times New Roman" w:cs="Times New Roman" w:eastAsia="Times New Roman" w:hint="default"/>
                <w:sz w:val="18"/>
                <w:szCs w:val="18"/>
              </w:rPr>
              <w:t>4</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关于公平关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联交易的承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诺函：发行人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控股股东百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汇达已作出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书面承诺：在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不与法律、法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规相抵触的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前提下，在权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利所及范围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内，其将确保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其本身及其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全资、控股下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属企业在与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公司进行关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联交易时将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按公平、公开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的市场原则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进行，并履行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法律、法规、</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630005pt;margin-top:72.47998pt;width:61.8pt;height:686.55pt;mso-position-horizontal-relative:page;mso-position-vertical-relative:page;z-index:-15929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23"/>
                      <w:szCs w:val="23"/>
                    </w:rPr>
                  </w:pPr>
                </w:p>
                <w:p>
                  <w:pPr>
                    <w:pStyle w:val="BodyText"/>
                    <w:spacing w:line="240" w:lineRule="auto"/>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166"/>
              <w:jc w:val="center"/>
              <w:rPr>
                <w:rFonts w:ascii="宋体" w:hAnsi="宋体" w:cs="宋体" w:eastAsia="宋体" w:hint="default"/>
                <w:sz w:val="18"/>
                <w:szCs w:val="18"/>
              </w:rPr>
            </w:pPr>
            <w:r>
              <w:rPr>
                <w:rFonts w:ascii="宋体" w:hAnsi="宋体" w:cs="宋体" w:eastAsia="宋体" w:hint="default"/>
                <w:sz w:val="18"/>
                <w:szCs w:val="18"/>
              </w:rPr>
              <w:t>规范性文件</w:t>
            </w:r>
          </w:p>
        </w:tc>
        <w:tc>
          <w:tcPr>
            <w:tcW w:w="1126" w:type="dxa"/>
            <w:vMerge w:val="restart"/>
            <w:tcBorders>
              <w:top w:val="single" w:sz="4" w:space="0" w:color="000000"/>
              <w:left w:val="single" w:sz="4" w:space="0" w:color="000000"/>
              <w:right w:val="single" w:sz="4" w:space="0" w:color="000000"/>
            </w:tcBorders>
          </w:tcPr>
          <w:p>
            <w:pPr>
              <w:pStyle w:val="TableParagraph"/>
              <w:spacing w:line="1373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pt;height:686.55pt;mso-position-horizontal-relative:char;mso-position-vertical-relative:line" coordorigin="0,0" coordsize="1116,13731">
                  <v:group style="position:absolute;left:0;top:0;width:1116;height:13731" coordorigin="0,0" coordsize="1116,13731">
                    <v:shape style="position:absolute;left:0;top:0;width:1116;height:13731" coordorigin="0,0" coordsize="1116,13731" path="m0,13730l1116,13730,1116,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和公司章程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规定的程序。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其承诺并确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保其本身及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其全资、控股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下属企业不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通过与公司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之间的关联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交易谋求特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殊的利益，不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会进行有损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公司及其中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小股东利益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的关联交易。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、关于承担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社会保险和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住房公积金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补缴义务的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承诺函：发行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人控股股东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百汇达已作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出书面承诺：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若发行人历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史上需要补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缴任何社会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保险和住房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公积金，或因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历史上欠缴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社会保险和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住房公积金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受到任何处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罚，一切费用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和经济损失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5"/>
              <w:jc w:val="center"/>
              <w:rPr>
                <w:rFonts w:ascii="Times New Roman" w:hAnsi="Times New Roman" w:cs="Times New Roman" w:eastAsia="Times New Roman" w:hint="default"/>
                <w:sz w:val="18"/>
                <w:szCs w:val="18"/>
              </w:rPr>
            </w:pPr>
            <w:r>
              <w:rPr>
                <w:rFonts w:ascii="宋体" w:hAnsi="宋体" w:cs="宋体" w:eastAsia="宋体" w:hint="default"/>
                <w:sz w:val="18"/>
                <w:szCs w:val="18"/>
              </w:rPr>
              <w:t>由其承担。</w:t>
            </w:r>
            <w:r>
              <w:rPr>
                <w:rFonts w:ascii="Times New Roman" w:hAnsi="Times New Roman" w:cs="Times New Roman" w:eastAsia="Times New Roman" w:hint="default"/>
                <w:sz w:val="18"/>
                <w:szCs w:val="18"/>
              </w:rPr>
              <w:t>6</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 w:right="0"/>
              <w:jc w:val="center"/>
              <w:rPr>
                <w:rFonts w:ascii="宋体" w:hAnsi="宋体" w:cs="宋体" w:eastAsia="宋体" w:hint="default"/>
                <w:sz w:val="18"/>
                <w:szCs w:val="18"/>
              </w:rPr>
            </w:pPr>
            <w:r>
              <w:rPr>
                <w:rFonts w:ascii="宋体" w:hAnsi="宋体" w:cs="宋体" w:eastAsia="宋体" w:hint="default"/>
                <w:sz w:val="18"/>
                <w:szCs w:val="18"/>
              </w:rPr>
              <w:t>其他承诺：根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据《意见》的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规定及发行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监管问答的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要求，发行人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控股股东百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19"/>
              <w:jc w:val="center"/>
              <w:rPr>
                <w:rFonts w:ascii="Times New Roman" w:hAnsi="Times New Roman" w:cs="Times New Roman" w:eastAsia="Times New Roman" w:hint="default"/>
                <w:sz w:val="18"/>
                <w:szCs w:val="18"/>
              </w:rPr>
            </w:pPr>
            <w:r>
              <w:rPr>
                <w:rFonts w:ascii="宋体" w:hAnsi="宋体" w:cs="宋体" w:eastAsia="宋体" w:hint="default"/>
                <w:sz w:val="18"/>
                <w:szCs w:val="18"/>
              </w:rPr>
              <w:t>汇达于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72"/>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月出具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4"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77"/>
              <w:jc w:val="center"/>
              <w:rPr>
                <w:rFonts w:ascii="宋体" w:hAnsi="宋体" w:cs="宋体" w:eastAsia="宋体" w:hint="default"/>
                <w:sz w:val="18"/>
                <w:szCs w:val="18"/>
              </w:rPr>
            </w:pPr>
            <w:r>
              <w:rPr>
                <w:rFonts w:ascii="宋体" w:hAnsi="宋体" w:cs="宋体" w:eastAsia="宋体" w:hint="default"/>
                <w:sz w:val="18"/>
                <w:szCs w:val="18"/>
              </w:rPr>
              <w:t>《承诺函</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承诺如下：</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）对于光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环新网首次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公开发行股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票前本公司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所持的光环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新网股票，在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股票锁定期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满后的两年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内，本公司通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过证券交易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所减持已解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除限售的股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份的价格不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低于本次发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行价格。上述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减持计划应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在减持前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交易日予以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公告</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5"/>
                <w:sz w:val="18"/>
                <w:szCs w:val="18"/>
              </w:rPr>
              <w:t>）自</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光环新网上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市至本公司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减持期间，光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环新网如有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派息、送股、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资本公积金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转增股本、配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股等除权除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息事项，减持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底价下限将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相应进行调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整</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5"/>
                <w:sz w:val="18"/>
                <w:szCs w:val="18"/>
              </w:rPr>
              <w:t>）</w:t>
            </w:r>
            <w:r>
              <w:rPr>
                <w:rFonts w:ascii="宋体" w:hAnsi="宋体" w:cs="宋体" w:eastAsia="宋体" w:hint="default"/>
                <w:sz w:val="18"/>
                <w:szCs w:val="18"/>
              </w:rPr>
              <w:t>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司作为光环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新网的控股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股东，希望通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过光环新网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业绩的增长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获得股权增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值和分红回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报。截至本承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诺函出具之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日，本公司未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有减持所持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光环新网股</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份的计划或</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安排</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pacing w:val="-5"/>
                <w:sz w:val="18"/>
                <w:szCs w:val="18"/>
              </w:rPr>
              <w:t>）本</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公司将严格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遵守我国法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律法规关于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控股股东持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股及股份变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动的有关规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定以及本公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司作出的股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份锁定承诺，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规范诚信履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行控股股东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的义务。如本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公司违反本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承诺进行减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持的，自愿将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减持所得收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益上缴光环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新网</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5</w:t>
            </w:r>
            <w:r>
              <w:rPr>
                <w:rFonts w:ascii="宋体" w:hAnsi="宋体" w:cs="宋体" w:eastAsia="宋体" w:hint="default"/>
                <w:spacing w:val="-5"/>
                <w:sz w:val="18"/>
                <w:szCs w:val="18"/>
              </w:rPr>
              <w:t>）光</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环新网本次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发行的招股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书若有虚假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记载、误导性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陈述或者重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大遗漏，对判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断光环新网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是否符合法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律规定的发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行条件构成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重大、实质影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响的，光环新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网及本公司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将依法回购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首次公开发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行的全部新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股，且本公司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将购回已转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让的原限售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股份。出现上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述情形，光环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新网将公告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回购新股的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股份回购计</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划，包括回购</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股份数量、价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格区间、完成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时间等信息。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如光环新网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未能履行回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购新股的股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份回购义务，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则由本公司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履行上述义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务。本公司应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在前述违法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违规情形之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日起</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86"/>
              <w:jc w:val="center"/>
              <w:rPr>
                <w:rFonts w:ascii="宋体" w:hAnsi="宋体" w:cs="宋体" w:eastAsia="宋体" w:hint="default"/>
                <w:sz w:val="18"/>
                <w:szCs w:val="18"/>
              </w:rPr>
            </w:pP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购回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 w:right="0"/>
              <w:jc w:val="center"/>
              <w:rPr>
                <w:rFonts w:ascii="宋体" w:hAnsi="宋体" w:cs="宋体" w:eastAsia="宋体" w:hint="default"/>
                <w:sz w:val="18"/>
                <w:szCs w:val="18"/>
              </w:rPr>
            </w:pPr>
            <w:r>
              <w:rPr>
                <w:rFonts w:ascii="宋体" w:hAnsi="宋体" w:cs="宋体" w:eastAsia="宋体" w:hint="default"/>
                <w:sz w:val="18"/>
                <w:szCs w:val="18"/>
              </w:rPr>
              <w:t>期</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以市场价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1" w:right="0"/>
              <w:jc w:val="center"/>
              <w:rPr>
                <w:rFonts w:ascii="宋体" w:hAnsi="宋体" w:cs="宋体" w:eastAsia="宋体" w:hint="default"/>
                <w:sz w:val="18"/>
                <w:szCs w:val="18"/>
              </w:rPr>
            </w:pPr>
            <w:r>
              <w:rPr>
                <w:rFonts w:ascii="宋体" w:hAnsi="宋体" w:cs="宋体" w:eastAsia="宋体" w:hint="default"/>
                <w:sz w:val="18"/>
                <w:szCs w:val="18"/>
              </w:rPr>
              <w:t>格完成回购；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期间公司如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有派息、送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股、资本公积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金转增股本、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配股等除权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除息事项，购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回底价相应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进行调整。除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非交易对方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在购回期内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不接受要约，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否则本公司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将购回已转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让的全部限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售股份</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6</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6"/>
              <w:jc w:val="center"/>
              <w:rPr>
                <w:rFonts w:ascii="宋体" w:hAnsi="宋体" w:cs="宋体" w:eastAsia="宋体" w:hint="default"/>
                <w:sz w:val="18"/>
                <w:szCs w:val="18"/>
              </w:rPr>
            </w:pPr>
            <w:r>
              <w:rPr>
                <w:rFonts w:ascii="宋体" w:hAnsi="宋体" w:cs="宋体" w:eastAsia="宋体" w:hint="default"/>
                <w:sz w:val="18"/>
                <w:szCs w:val="18"/>
              </w:rPr>
              <w:t>本次发行的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招股书若有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虚假记载、误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导性陈述或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者重大遗漏，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致使投资者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在证券交易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中遭受损失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的，本公司将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依法赔偿投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资者损失。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）本公司</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9412"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若未能履行 上述承诺及 其他在光环 新网招股书 中披露的其 他公开承诺， 则本公司将 按有关法律、 法规的规定 及监管部门 的要求承担 相应的责任； 同时，若本公 司未履行相 关承诺致使 投资者在证 券交易中遭 受损失，本公 司将自愿按 相应的赔偿 金额申请冻 结所持有的 光环新网相 应市值的股 票，以为本公 司根据法律 法规和监管 要求赔偿投 资者损失提 供保障。</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4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红杉资本</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sz w:val="18"/>
                <w:szCs w:val="18"/>
              </w:rPr>
              <w:t>股份锁定承 </w:t>
            </w:r>
            <w:r>
              <w:rPr>
                <w:rFonts w:ascii="宋体" w:hAnsi="宋体" w:cs="宋体" w:eastAsia="宋体" w:hint="default"/>
                <w:spacing w:val="-2"/>
                <w:sz w:val="18"/>
                <w:szCs w:val="18"/>
              </w:rPr>
              <w:t>诺、关于公平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关联交易的 承诺、根据</w:t>
            </w:r>
          </w:p>
          <w:p>
            <w:pPr>
              <w:pStyle w:val="TableParagraph"/>
              <w:spacing w:line="316" w:lineRule="auto" w:before="19"/>
              <w:ind w:left="26" w:right="19"/>
              <w:jc w:val="left"/>
              <w:rPr>
                <w:rFonts w:ascii="宋体" w:hAnsi="宋体" w:cs="宋体" w:eastAsia="宋体" w:hint="default"/>
                <w:sz w:val="18"/>
                <w:szCs w:val="18"/>
              </w:rPr>
            </w:pPr>
            <w:r>
              <w:rPr>
                <w:rFonts w:ascii="宋体" w:hAnsi="宋体" w:cs="宋体" w:eastAsia="宋体" w:hint="default"/>
                <w:sz w:val="18"/>
                <w:szCs w:val="18"/>
              </w:rPr>
              <w:t>《新股发行 </w:t>
            </w:r>
            <w:r>
              <w:rPr>
                <w:rFonts w:ascii="宋体" w:hAnsi="宋体" w:cs="宋体" w:eastAsia="宋体" w:hint="default"/>
                <w:spacing w:val="-2"/>
                <w:sz w:val="18"/>
                <w:szCs w:val="18"/>
              </w:rPr>
              <w:t>意见》作出的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相关承诺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、股份锁定 承诺：除参与 公开发售的 股份外，对于 受让耿桂芳 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万股股 份，其自公司 股票上市之 日起三十六 个月内不转 让或者委托 他人管理所 持有的公司 股份，不由公</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6" w:lineRule="auto"/>
              <w:ind w:left="23" w:right="185"/>
              <w:jc w:val="both"/>
              <w:rPr>
                <w:rFonts w:ascii="宋体" w:hAnsi="宋体" w:cs="宋体" w:eastAsia="宋体" w:hint="default"/>
                <w:sz w:val="18"/>
                <w:szCs w:val="18"/>
              </w:rPr>
            </w:pPr>
            <w:r>
              <w:rPr>
                <w:rFonts w:ascii="宋体" w:hAnsi="宋体" w:cs="宋体" w:eastAsia="宋体" w:hint="default"/>
                <w:sz w:val="18"/>
                <w:szCs w:val="18"/>
              </w:rPr>
              <w:t>作出承诺开 始至承诺履 行完毕。</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6" w:lineRule="auto"/>
              <w:ind w:left="23" w:right="173"/>
              <w:jc w:val="both"/>
              <w:rPr>
                <w:rFonts w:ascii="宋体" w:hAnsi="宋体" w:cs="宋体" w:eastAsia="宋体" w:hint="default"/>
                <w:sz w:val="18"/>
                <w:szCs w:val="18"/>
              </w:rPr>
            </w:pPr>
            <w:r>
              <w:rPr>
                <w:rFonts w:ascii="宋体" w:hAnsi="宋体" w:cs="宋体" w:eastAsia="宋体" w:hint="default"/>
                <w:sz w:val="18"/>
                <w:szCs w:val="18"/>
              </w:rPr>
              <w:t>报告期内承 诺人遵守了 所做承诺</w:t>
            </w:r>
          </w:p>
        </w:tc>
      </w:tr>
    </w:tbl>
    <w:p>
      <w:pPr>
        <w:spacing w:after="0" w:line="316" w:lineRule="auto"/>
        <w:jc w:val="both"/>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司回购该等</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股份。对于通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过增资方式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取得的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480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股股份，其在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增资完成工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商变更登记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之日起三十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六个月内不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转让；自公司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股票上市之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日起十二个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月内不转让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或者委托他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人管理所持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有的公司股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份，不由公司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回购该等股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份；并且自公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司股票上市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之日起二十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四个月内，其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转让的上述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股份不超过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所持有该等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股份总额的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50%</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、公平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关联交易承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诺：在不与法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律、法规相抵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触的前提下，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在权利所及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范围内，其将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确保其本身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及其全资、控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股下属企业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在与公司进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行关联交易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时将按公平、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公开的市场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原则进行，并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履行法律、法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规、规范性文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件和公司章</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166"/>
              <w:jc w:val="center"/>
              <w:rPr>
                <w:rFonts w:ascii="宋体" w:hAnsi="宋体" w:cs="宋体" w:eastAsia="宋体" w:hint="default"/>
                <w:sz w:val="18"/>
                <w:szCs w:val="18"/>
              </w:rPr>
            </w:pPr>
            <w:r>
              <w:rPr>
                <w:rFonts w:ascii="宋体" w:hAnsi="宋体" w:cs="宋体" w:eastAsia="宋体" w:hint="default"/>
                <w:sz w:val="18"/>
                <w:szCs w:val="18"/>
              </w:rPr>
              <w:t>程规定的程</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序。其承诺并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确保其本本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身及其全资、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控股下属企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业不通过与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公司之间的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关联交易谋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求特殊的利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益，不会进行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有损公司及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其中小股东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利益的关联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交易。</w:t>
            </w:r>
            <w:r>
              <w:rPr>
                <w:rFonts w:ascii="Times New Roman" w:hAnsi="Times New Roman" w:cs="Times New Roman" w:eastAsia="Times New Roman" w:hint="default"/>
                <w:sz w:val="18"/>
                <w:szCs w:val="18"/>
              </w:rPr>
              <w:t>3</w:t>
            </w:r>
            <w:r>
              <w:rPr>
                <w:rFonts w:ascii="宋体" w:hAnsi="宋体" w:cs="宋体" w:eastAsia="宋体" w:hint="default"/>
                <w:sz w:val="18"/>
                <w:szCs w:val="18"/>
              </w:rPr>
              <w:t>、根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据发行监管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要求承诺如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下</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5"/>
                <w:sz w:val="18"/>
                <w:szCs w:val="18"/>
              </w:rPr>
              <w:t>）</w:t>
            </w:r>
            <w:r>
              <w:rPr>
                <w:rFonts w:ascii="宋体" w:hAnsi="宋体" w:cs="宋体" w:eastAsia="宋体" w:hint="default"/>
                <w:sz w:val="18"/>
                <w:szCs w:val="18"/>
              </w:rPr>
              <w:t>对于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公司首次公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开发行股票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前本企业所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持的公司股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票，除参与公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开发售的股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份外，在股票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锁定期满后，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本企业将通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过证券交易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所集中竞价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交易、大宗交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易等法律法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规允许的方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式按照届时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的市场价格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或大宗交易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确定的价格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进行减持。在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股票锁定期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2"/>
              <w:jc w:val="center"/>
              <w:rPr>
                <w:rFonts w:ascii="宋体" w:hAnsi="宋体" w:cs="宋体" w:eastAsia="宋体" w:hint="default"/>
                <w:sz w:val="18"/>
                <w:szCs w:val="18"/>
              </w:rPr>
            </w:pPr>
            <w:r>
              <w:rPr>
                <w:rFonts w:ascii="宋体" w:hAnsi="宋体" w:cs="宋体" w:eastAsia="宋体" w:hint="default"/>
                <w:sz w:val="18"/>
                <w:szCs w:val="18"/>
              </w:rPr>
              <w:t>满后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 w:right="0"/>
              <w:jc w:val="center"/>
              <w:rPr>
                <w:rFonts w:ascii="宋体" w:hAnsi="宋体" w:cs="宋体" w:eastAsia="宋体" w:hint="default"/>
                <w:sz w:val="18"/>
                <w:szCs w:val="18"/>
              </w:rPr>
            </w:pPr>
            <w:r>
              <w:rPr>
                <w:rFonts w:ascii="宋体" w:hAnsi="宋体" w:cs="宋体" w:eastAsia="宋体" w:hint="default"/>
                <w:sz w:val="18"/>
                <w:szCs w:val="18"/>
              </w:rPr>
              <w:t>内，本企业计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划减持该解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除锁定部分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8"/>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33%</w:t>
            </w:r>
            <w:r>
              <w:rPr>
                <w:rFonts w:ascii="宋体" w:hAnsi="宋体" w:cs="宋体" w:eastAsia="宋体" w:hint="default"/>
                <w:sz w:val="18"/>
                <w:szCs w:val="18"/>
              </w:rPr>
              <w:t>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1" w:right="0"/>
              <w:jc w:val="center"/>
              <w:rPr>
                <w:rFonts w:ascii="宋体" w:hAnsi="宋体" w:cs="宋体" w:eastAsia="宋体" w:hint="default"/>
                <w:sz w:val="18"/>
                <w:szCs w:val="18"/>
              </w:rPr>
            </w:pPr>
            <w:r>
              <w:rPr>
                <w:rFonts w:ascii="宋体" w:hAnsi="宋体" w:cs="宋体" w:eastAsia="宋体" w:hint="default"/>
                <w:sz w:val="18"/>
                <w:szCs w:val="18"/>
              </w:rPr>
              <w:t>的公司股票。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上述减持计</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6291"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3" w:right="17"/>
              <w:jc w:val="left"/>
              <w:rPr>
                <w:rFonts w:ascii="宋体" w:hAnsi="宋体" w:cs="宋体" w:eastAsia="宋体" w:hint="default"/>
                <w:sz w:val="18"/>
                <w:szCs w:val="18"/>
              </w:rPr>
            </w:pPr>
            <w:r>
              <w:rPr>
                <w:rFonts w:ascii="宋体" w:hAnsi="宋体" w:cs="宋体" w:eastAsia="宋体" w:hint="default"/>
                <w:sz w:val="18"/>
                <w:szCs w:val="18"/>
              </w:rPr>
              <w:t>划应在减持 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个交易日 予以公告。</w:t>
            </w:r>
          </w:p>
          <w:p>
            <w:pPr>
              <w:pStyle w:val="TableParagraph"/>
              <w:spacing w:line="316" w:lineRule="auto" w:before="24"/>
              <w:ind w:left="23" w:right="1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）本企业 将严格遵守 我国法律法 规关于股东 持股及股份 变动的有关 规定以及本 企业作出的 股份锁定承 </w:t>
            </w:r>
            <w:r>
              <w:rPr>
                <w:rFonts w:ascii="宋体" w:hAnsi="宋体" w:cs="宋体" w:eastAsia="宋体" w:hint="default"/>
                <w:spacing w:val="-2"/>
                <w:sz w:val="18"/>
                <w:szCs w:val="18"/>
              </w:rPr>
              <w:t>诺，规范诚信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履行股东的 </w:t>
            </w:r>
            <w:r>
              <w:rPr>
                <w:rFonts w:ascii="宋体" w:hAnsi="宋体" w:cs="宋体" w:eastAsia="宋体" w:hint="default"/>
                <w:spacing w:val="-2"/>
                <w:sz w:val="18"/>
                <w:szCs w:val="18"/>
              </w:rPr>
              <w:t>义务。如本企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业违反本承 诺进行减持 </w:t>
            </w:r>
            <w:r>
              <w:rPr>
                <w:rFonts w:ascii="宋体" w:hAnsi="宋体" w:cs="宋体" w:eastAsia="宋体" w:hint="default"/>
                <w:spacing w:val="-2"/>
                <w:sz w:val="18"/>
                <w:szCs w:val="18"/>
              </w:rPr>
              <w:t>的，将承担相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应的法定责 任。</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7540"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耿桂芳</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sz w:val="18"/>
                <w:szCs w:val="18"/>
              </w:rPr>
              <w:t>股份锁定承 </w:t>
            </w:r>
            <w:r>
              <w:rPr>
                <w:rFonts w:ascii="宋体" w:hAnsi="宋体" w:cs="宋体" w:eastAsia="宋体" w:hint="default"/>
                <w:spacing w:val="-2"/>
                <w:sz w:val="18"/>
                <w:szCs w:val="18"/>
              </w:rPr>
              <w:t>诺、关于公平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关联交易的 </w:t>
            </w:r>
            <w:r>
              <w:rPr>
                <w:rFonts w:ascii="宋体" w:hAnsi="宋体" w:cs="宋体" w:eastAsia="宋体" w:hint="default"/>
                <w:spacing w:val="-2"/>
                <w:sz w:val="18"/>
                <w:szCs w:val="18"/>
              </w:rPr>
              <w:t>承诺、不竞争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承诺、根据</w:t>
            </w:r>
          </w:p>
          <w:p>
            <w:pPr>
              <w:pStyle w:val="TableParagraph"/>
              <w:spacing w:line="316" w:lineRule="auto" w:before="19"/>
              <w:ind w:left="26" w:right="19"/>
              <w:jc w:val="left"/>
              <w:rPr>
                <w:rFonts w:ascii="宋体" w:hAnsi="宋体" w:cs="宋体" w:eastAsia="宋体" w:hint="default"/>
                <w:sz w:val="18"/>
                <w:szCs w:val="18"/>
              </w:rPr>
            </w:pPr>
            <w:r>
              <w:rPr>
                <w:rFonts w:ascii="宋体" w:hAnsi="宋体" w:cs="宋体" w:eastAsia="宋体" w:hint="default"/>
                <w:sz w:val="18"/>
                <w:szCs w:val="18"/>
              </w:rPr>
              <w:t>《新股发现 </w:t>
            </w:r>
            <w:r>
              <w:rPr>
                <w:rFonts w:ascii="宋体" w:hAnsi="宋体" w:cs="宋体" w:eastAsia="宋体" w:hint="default"/>
                <w:spacing w:val="-2"/>
                <w:sz w:val="18"/>
                <w:szCs w:val="18"/>
              </w:rPr>
              <w:t>意见》作出的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、股份锁定 承诺：除参与 公开发售的 股份外，其在 公司股票上 市前以及自 公司股票上 市之日起三 十六个月内， 不转让或者 委托他人管 理其直接或 间接持有的 公司公开发 行股票前已 发行的股份， 也不由公司 回购该等股 份；在耿殿根 在公司任职 期间每年转 让的股份不 超过所持有 公司股份总</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316" w:lineRule="auto"/>
              <w:ind w:left="23" w:right="185"/>
              <w:jc w:val="both"/>
              <w:rPr>
                <w:rFonts w:ascii="宋体" w:hAnsi="宋体" w:cs="宋体" w:eastAsia="宋体" w:hint="default"/>
                <w:sz w:val="18"/>
                <w:szCs w:val="18"/>
              </w:rPr>
            </w:pPr>
            <w:r>
              <w:rPr>
                <w:rFonts w:ascii="宋体" w:hAnsi="宋体" w:cs="宋体" w:eastAsia="宋体" w:hint="default"/>
                <w:sz w:val="18"/>
                <w:szCs w:val="18"/>
              </w:rPr>
              <w:t>作出承诺开 始至承诺履 行完毕。</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316" w:lineRule="auto"/>
              <w:ind w:left="23" w:right="173"/>
              <w:jc w:val="both"/>
              <w:rPr>
                <w:rFonts w:ascii="宋体" w:hAnsi="宋体" w:cs="宋体" w:eastAsia="宋体" w:hint="default"/>
                <w:sz w:val="18"/>
                <w:szCs w:val="18"/>
              </w:rPr>
            </w:pPr>
            <w:r>
              <w:rPr>
                <w:rFonts w:ascii="宋体" w:hAnsi="宋体" w:cs="宋体" w:eastAsia="宋体" w:hint="default"/>
                <w:sz w:val="18"/>
                <w:szCs w:val="18"/>
              </w:rPr>
              <w:t>报告期内承 诺人遵守了 所做承诺</w:t>
            </w:r>
          </w:p>
        </w:tc>
      </w:tr>
    </w:tbl>
    <w:p>
      <w:pPr>
        <w:spacing w:after="0" w:line="316" w:lineRule="auto"/>
        <w:jc w:val="both"/>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20"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数的</w:t>
            </w:r>
            <w:r>
              <w:rPr>
                <w:rFonts w:ascii="宋体" w:hAnsi="宋体" w:cs="宋体" w:eastAsia="宋体" w:hint="default"/>
                <w:spacing w:val="-42"/>
                <w:sz w:val="18"/>
                <w:szCs w:val="18"/>
              </w:rPr>
              <w:t> </w:t>
            </w:r>
            <w:r>
              <w:rPr>
                <w:rFonts w:ascii="Times New Roman" w:hAnsi="Times New Roman" w:cs="Times New Roman" w:eastAsia="Times New Roman" w:hint="default"/>
                <w:spacing w:val="-10"/>
                <w:sz w:val="18"/>
                <w:szCs w:val="18"/>
              </w:rPr>
              <w:t>25%</w:t>
            </w:r>
            <w:r>
              <w:rPr>
                <w:rFonts w:ascii="宋体" w:hAnsi="宋体" w:cs="宋体" w:eastAsia="宋体" w:hint="default"/>
                <w:spacing w:val="-10"/>
                <w:sz w:val="18"/>
                <w:szCs w:val="18"/>
              </w:rPr>
              <w:t>；在</w:t>
            </w:r>
            <w:r>
              <w:rPr>
                <w:rFonts w:ascii="宋体" w:hAnsi="宋体" w:cs="宋体" w:eastAsia="宋体" w:hint="default"/>
                <w:sz w:val="18"/>
                <w:szCs w:val="18"/>
              </w:rPr>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耿殿根离职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后六个月内，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不转让所持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有的公司股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份。若耿殿根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在公司股票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上市之日起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六个月内申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报离职，则其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自耿殿根申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报离职之日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起十八个月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内不转让所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持有的公司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股份；若耿殿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根在公司股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票上市之日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起第七个月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至第十二个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月之间申报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离职，则其自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耿殿根申报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离职之日起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十二个月内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不转让所持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有的公司股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w:t>
            </w:r>
            <w:r>
              <w:rPr>
                <w:rFonts w:ascii="Times New Roman" w:hAnsi="Times New Roman" w:cs="Times New Roman" w:eastAsia="Times New Roman" w:hint="default"/>
                <w:sz w:val="18"/>
                <w:szCs w:val="18"/>
              </w:rPr>
              <w:t>2</w:t>
            </w:r>
            <w:r>
              <w:rPr>
                <w:rFonts w:ascii="宋体" w:hAnsi="宋体" w:cs="宋体" w:eastAsia="宋体" w:hint="default"/>
                <w:sz w:val="18"/>
                <w:szCs w:val="18"/>
              </w:rPr>
              <w:t>、公平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关联交易承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诺：其均将促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使其本人所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控制的企业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（若有）与公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司之间的任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何交易按公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平的市场原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则和正常的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商业条件进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行，并履行必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经的法律程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序；其本人并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将促使其本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人所控制的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企业（若有）</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630005pt;margin-top:72.47998pt;width:61.8pt;height:686.55pt;mso-position-horizontal-relative:page;mso-position-vertical-relative:page;z-index:-15929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45"/>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166"/>
              <w:jc w:val="center"/>
              <w:rPr>
                <w:rFonts w:ascii="宋体" w:hAnsi="宋体" w:cs="宋体" w:eastAsia="宋体" w:hint="default"/>
                <w:sz w:val="18"/>
                <w:szCs w:val="18"/>
              </w:rPr>
            </w:pPr>
            <w:r>
              <w:rPr>
                <w:rFonts w:ascii="宋体" w:hAnsi="宋体" w:cs="宋体" w:eastAsia="宋体" w:hint="default"/>
                <w:sz w:val="18"/>
                <w:szCs w:val="18"/>
              </w:rPr>
              <w:t>不要求或接</w:t>
            </w:r>
          </w:p>
        </w:tc>
        <w:tc>
          <w:tcPr>
            <w:tcW w:w="1126" w:type="dxa"/>
            <w:vMerge w:val="restart"/>
            <w:tcBorders>
              <w:top w:val="single" w:sz="4" w:space="0" w:color="000000"/>
              <w:left w:val="single" w:sz="4" w:space="0" w:color="000000"/>
              <w:right w:val="single" w:sz="4" w:space="0" w:color="000000"/>
            </w:tcBorders>
          </w:tcPr>
          <w:p>
            <w:pPr>
              <w:pStyle w:val="TableParagraph"/>
              <w:spacing w:line="1373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pt;height:686.55pt;mso-position-horizontal-relative:char;mso-position-vertical-relative:line" coordorigin="0,0" coordsize="1116,13731">
                  <v:group style="position:absolute;left:0;top:0;width:1116;height:13731" coordorigin="0,0" coordsize="1116,13731">
                    <v:shape style="position:absolute;left:0;top:0;width:1116;height:13731" coordorigin="0,0" coordsize="1116,13731" path="m0,13730l1116,13730,1116,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受公司给予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任何优于在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一项市场公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平交易中的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第三者所能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给予的条件，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不产生有损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公司及其股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东利益的交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易。其本人并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将促使其本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人所控制的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企业（若有）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在经营业务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中不利用其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在公司的地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位转移利润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或从事其他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行为来损害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公司及其股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5"/>
              <w:jc w:val="center"/>
              <w:rPr>
                <w:rFonts w:ascii="Times New Roman" w:hAnsi="Times New Roman" w:cs="Times New Roman" w:eastAsia="Times New Roman" w:hint="default"/>
                <w:sz w:val="18"/>
                <w:szCs w:val="18"/>
              </w:rPr>
            </w:pPr>
            <w:r>
              <w:rPr>
                <w:rFonts w:ascii="宋体" w:hAnsi="宋体" w:cs="宋体" w:eastAsia="宋体" w:hint="default"/>
                <w:sz w:val="18"/>
                <w:szCs w:val="18"/>
              </w:rPr>
              <w:t>东的利益。</w:t>
            </w:r>
            <w:r>
              <w:rPr>
                <w:rFonts w:ascii="Times New Roman" w:hAnsi="Times New Roman" w:cs="Times New Roman" w:eastAsia="Times New Roman" w:hint="default"/>
                <w:sz w:val="18"/>
                <w:szCs w:val="18"/>
              </w:rPr>
              <w:t>3</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1" w:right="0"/>
              <w:jc w:val="center"/>
              <w:rPr>
                <w:rFonts w:ascii="宋体" w:hAnsi="宋体" w:cs="宋体" w:eastAsia="宋体" w:hint="default"/>
                <w:sz w:val="18"/>
                <w:szCs w:val="18"/>
              </w:rPr>
            </w:pPr>
            <w:r>
              <w:rPr>
                <w:rFonts w:ascii="宋体" w:hAnsi="宋体" w:cs="宋体" w:eastAsia="宋体" w:hint="default"/>
                <w:sz w:val="18"/>
                <w:szCs w:val="18"/>
              </w:rPr>
              <w:t>不竞争承诺：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其本身及其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投资的全资、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控股子企业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（若有）目前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不拥有及经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营任何在商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业上与公司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正在经营的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业务有直接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竞争的业务；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其本身并且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必将通过法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律程序使其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全资、控股子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企业将来均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不从事任何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在商业上与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公司正在经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营的业务有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直接竞争的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业务；如其本</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身（包括受其</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控制的子企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业或其他关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联企业）将来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经营的产品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或服务与公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司的主营产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品或服务有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可能形成竞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争，其同意公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司有权优先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收购其与该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等产品或服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务有关的资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产或其在子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企业中的全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部股权；如因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其未履行在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承诺函中所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作的承诺给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公司造成损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失的，其将赔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偿公司的实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际损失。</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1" w:right="0"/>
              <w:jc w:val="center"/>
              <w:rPr>
                <w:rFonts w:ascii="宋体" w:hAnsi="宋体" w:cs="宋体" w:eastAsia="宋体" w:hint="default"/>
                <w:sz w:val="18"/>
                <w:szCs w:val="18"/>
              </w:rPr>
            </w:pPr>
            <w:r>
              <w:rPr>
                <w:rFonts w:ascii="宋体" w:hAnsi="宋体" w:cs="宋体" w:eastAsia="宋体" w:hint="default"/>
                <w:sz w:val="18"/>
                <w:szCs w:val="18"/>
              </w:rPr>
              <w:t>根据《意见》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和发行监管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要求提出承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诺</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5"/>
                <w:sz w:val="18"/>
                <w:szCs w:val="18"/>
              </w:rPr>
              <w:t>）</w:t>
            </w:r>
            <w:r>
              <w:rPr>
                <w:rFonts w:ascii="宋体" w:hAnsi="宋体" w:cs="宋体" w:eastAsia="宋体" w:hint="default"/>
                <w:sz w:val="18"/>
                <w:szCs w:val="18"/>
              </w:rPr>
              <w:t>对于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公司首次公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开发行股票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前本人所持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的公司股票，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在股票锁定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期满后的两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年内，本人通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过证券交易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所减持已解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除限售的股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份的价格不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低于本次发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行价格。上述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减持计划应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在减持前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4"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交易日予以</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12220"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pacing w:val="-15"/>
                <w:sz w:val="18"/>
                <w:szCs w:val="18"/>
              </w:rPr>
              <w:t>公告。（</w:t>
            </w: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）自</w:t>
            </w:r>
            <w:r>
              <w:rPr>
                <w:rFonts w:ascii="宋体" w:hAnsi="宋体" w:cs="宋体" w:eastAsia="宋体" w:hint="default"/>
                <w:spacing w:val="-5"/>
                <w:sz w:val="18"/>
                <w:szCs w:val="18"/>
              </w:rPr>
              <w:t> </w:t>
            </w:r>
            <w:r>
              <w:rPr>
                <w:rFonts w:ascii="宋体" w:hAnsi="宋体" w:cs="宋体" w:eastAsia="宋体" w:hint="default"/>
                <w:sz w:val="18"/>
                <w:szCs w:val="18"/>
              </w:rPr>
              <w:t>公司上市至</w:t>
            </w:r>
            <w:r>
              <w:rPr>
                <w:rFonts w:ascii="宋体" w:hAnsi="宋体" w:cs="宋体" w:eastAsia="宋体" w:hint="default"/>
                <w:sz w:val="18"/>
                <w:szCs w:val="18"/>
              </w:rPr>
              <w:t> 本人减持期 间，公司如有 派息、送股、 资本公积金 转增股本、配 股等除权除 息事项，减持 底价下限将 相应进行调 </w:t>
            </w:r>
            <w:r>
              <w:rPr>
                <w:rFonts w:ascii="宋体" w:hAnsi="宋体" w:cs="宋体" w:eastAsia="宋体" w:hint="default"/>
                <w:spacing w:val="-15"/>
                <w:sz w:val="18"/>
                <w:szCs w:val="18"/>
              </w:rPr>
              <w:t>整。（</w:t>
            </w:r>
            <w:r>
              <w:rPr>
                <w:rFonts w:ascii="Times New Roman" w:hAnsi="Times New Roman" w:cs="Times New Roman" w:eastAsia="Times New Roman" w:hint="default"/>
                <w:spacing w:val="-15"/>
                <w:sz w:val="18"/>
                <w:szCs w:val="18"/>
              </w:rPr>
              <w:t>3</w:t>
            </w:r>
            <w:r>
              <w:rPr>
                <w:rFonts w:ascii="宋体" w:hAnsi="宋体" w:cs="宋体" w:eastAsia="宋体" w:hint="default"/>
                <w:spacing w:val="-15"/>
                <w:sz w:val="18"/>
                <w:szCs w:val="18"/>
              </w:rPr>
              <w:t>）本人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希望通过公 司业绩的增 长获得股权 增值和分红 回报。截至本</w:t>
            </w:r>
            <w:r>
              <w:rPr>
                <w:rFonts w:ascii="宋体" w:hAnsi="宋体" w:cs="宋体" w:eastAsia="宋体" w:hint="default"/>
                <w:sz w:val="18"/>
                <w:szCs w:val="18"/>
              </w:rPr>
              <w:t> 说明函出具 之日，本人未 有减持所持 公司股份的 计划或安排。</w:t>
            </w:r>
          </w:p>
          <w:p>
            <w:pPr>
              <w:pStyle w:val="TableParagraph"/>
              <w:spacing w:line="316" w:lineRule="auto" w:before="19"/>
              <w:ind w:left="23" w:right="1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）本人将 严格遵守我 国法律法规 关于股东持 股及股份变 动的有关规 定以及本人 作出的股份 锁定承诺，规 范诚信履行 股东的义务。 如本人违反 本承诺进行 减持的，自愿 将减持所得 收益上缴公 司。</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1299"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百汇达</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4"/>
              <w:ind w:left="26" w:right="191"/>
              <w:jc w:val="left"/>
              <w:rPr>
                <w:rFonts w:ascii="宋体" w:hAnsi="宋体" w:cs="宋体" w:eastAsia="宋体" w:hint="default"/>
                <w:sz w:val="18"/>
                <w:szCs w:val="18"/>
              </w:rPr>
            </w:pPr>
            <w:r>
              <w:rPr>
                <w:rFonts w:ascii="宋体" w:hAnsi="宋体" w:cs="宋体" w:eastAsia="宋体" w:hint="default"/>
                <w:sz w:val="18"/>
                <w:szCs w:val="18"/>
              </w:rPr>
              <w:t>避免同业竞 争的承诺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0"/>
              <w:jc w:val="both"/>
              <w:rPr>
                <w:rFonts w:ascii="宋体" w:hAnsi="宋体" w:cs="宋体" w:eastAsia="宋体" w:hint="default"/>
                <w:sz w:val="18"/>
                <w:szCs w:val="18"/>
              </w:rPr>
            </w:pPr>
            <w:r>
              <w:rPr>
                <w:rFonts w:ascii="宋体" w:hAnsi="宋体" w:cs="宋体" w:eastAsia="宋体" w:hint="default"/>
                <w:sz w:val="18"/>
                <w:szCs w:val="18"/>
              </w:rPr>
              <w:t>百汇达拟与 光环新网共 同投资北京 科信盛彩置</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9" w:lineRule="auto"/>
              <w:ind w:left="23" w:right="185"/>
              <w:jc w:val="both"/>
              <w:rPr>
                <w:rFonts w:ascii="宋体" w:hAnsi="宋体" w:cs="宋体" w:eastAsia="宋体" w:hint="default"/>
                <w:sz w:val="18"/>
                <w:szCs w:val="18"/>
              </w:rPr>
            </w:pPr>
            <w:r>
              <w:rPr>
                <w:rFonts w:ascii="宋体" w:hAnsi="宋体" w:cs="宋体" w:eastAsia="宋体" w:hint="default"/>
                <w:sz w:val="18"/>
                <w:szCs w:val="18"/>
              </w:rPr>
              <w:t>作出承诺开 始至承诺履 行完毕。</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9" w:lineRule="auto"/>
              <w:ind w:left="23" w:right="170"/>
              <w:jc w:val="both"/>
              <w:rPr>
                <w:rFonts w:ascii="宋体" w:hAnsi="宋体" w:cs="宋体" w:eastAsia="宋体" w:hint="default"/>
                <w:sz w:val="18"/>
                <w:szCs w:val="18"/>
              </w:rPr>
            </w:pPr>
            <w:r>
              <w:rPr>
                <w:rFonts w:ascii="宋体" w:hAnsi="宋体" w:cs="宋体" w:eastAsia="宋体" w:hint="default"/>
                <w:sz w:val="18"/>
                <w:szCs w:val="18"/>
              </w:rPr>
              <w:t>报告期内承 诺人遵守了 所做承诺。</w:t>
            </w:r>
          </w:p>
        </w:tc>
      </w:tr>
    </w:tbl>
    <w:p>
      <w:pPr>
        <w:spacing w:after="0" w:line="319" w:lineRule="auto"/>
        <w:jc w:val="both"/>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业有限公司</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（以下简称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标的公司</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其中光环新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网投资人民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6,870 </w:t>
            </w:r>
            <w:r>
              <w:rPr>
                <w:rFonts w:ascii="宋体" w:hAnsi="宋体" w:cs="宋体" w:eastAsia="宋体" w:hint="default"/>
                <w:sz w:val="18"/>
                <w:szCs w:val="18"/>
              </w:rPr>
              <w:t>万元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持有其</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15%</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的股权，本公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司投资人民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16,488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元持有其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宋体" w:hAnsi="宋体" w:cs="宋体" w:eastAsia="宋体" w:hint="default"/>
                <w:sz w:val="18"/>
                <w:szCs w:val="18"/>
              </w:rPr>
              <w:t>的股权。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本公司作为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光环新网的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控股股东，为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避免与光环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新网产生同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业竞争，本公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司承诺如下：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、在标的公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司投资建设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的亦庄绿色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云计算基地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项目建设完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成后（建设期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内，本公司将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书面通知光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环新网按照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市场公允价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格转让本公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司持有的标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的公司全部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股权，光环新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网享有在同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等条件下的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优先购买权；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光环新网也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可根据实际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情况提前向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本公司提出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收购请求，如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光环新网提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前提出收购</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2859"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7"/>
              <w:jc w:val="left"/>
              <w:rPr>
                <w:rFonts w:ascii="宋体" w:hAnsi="宋体" w:cs="宋体" w:eastAsia="宋体" w:hint="default"/>
                <w:sz w:val="18"/>
                <w:szCs w:val="18"/>
              </w:rPr>
            </w:pPr>
            <w:r>
              <w:rPr>
                <w:rFonts w:ascii="宋体" w:hAnsi="宋体" w:cs="宋体" w:eastAsia="宋体" w:hint="default"/>
                <w:sz w:val="18"/>
                <w:szCs w:val="18"/>
              </w:rPr>
              <w:t>请求，则百汇 达将在公司 提出收购请 求后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个月内 启动转让程 序，按照市场 公允价格转 让给光环新 网。</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10972"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17"/>
              <w:jc w:val="left"/>
              <w:rPr>
                <w:rFonts w:ascii="宋体" w:hAnsi="宋体" w:cs="宋体" w:eastAsia="宋体" w:hint="default"/>
                <w:sz w:val="18"/>
                <w:szCs w:val="18"/>
              </w:rPr>
            </w:pPr>
            <w:r>
              <w:rPr>
                <w:rFonts w:ascii="宋体" w:hAnsi="宋体" w:cs="宋体" w:eastAsia="宋体" w:hint="default"/>
                <w:sz w:val="18"/>
                <w:szCs w:val="18"/>
              </w:rPr>
              <w:t>耿殿根、侯 </w:t>
            </w:r>
            <w:r>
              <w:rPr>
                <w:rFonts w:ascii="宋体" w:hAnsi="宋体" w:cs="宋体" w:eastAsia="宋体" w:hint="default"/>
                <w:spacing w:val="-2"/>
                <w:sz w:val="18"/>
                <w:szCs w:val="18"/>
              </w:rPr>
              <w:t>焰、袁丁、高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宏、陈浩、齐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顺杰、庞宝 </w:t>
            </w:r>
            <w:r>
              <w:rPr>
                <w:rFonts w:ascii="宋体" w:hAnsi="宋体" w:cs="宋体" w:eastAsia="宋体" w:hint="default"/>
                <w:spacing w:val="-2"/>
                <w:sz w:val="18"/>
                <w:szCs w:val="18"/>
              </w:rPr>
              <w:t>光、李超、汝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书伟</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6" w:right="0"/>
              <w:jc w:val="left"/>
              <w:rPr>
                <w:rFonts w:ascii="宋体" w:hAnsi="宋体" w:cs="宋体" w:eastAsia="宋体" w:hint="default"/>
                <w:sz w:val="18"/>
                <w:szCs w:val="18"/>
              </w:rPr>
            </w:pPr>
            <w:r>
              <w:rPr>
                <w:rFonts w:ascii="宋体" w:hAnsi="宋体" w:cs="宋体" w:eastAsia="宋体" w:hint="default"/>
                <w:sz w:val="18"/>
                <w:szCs w:val="18"/>
              </w:rPr>
              <w:t>增持承诺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鉴于目前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股市场出现 非理性下跌 </w:t>
            </w:r>
            <w:r>
              <w:rPr>
                <w:rFonts w:ascii="宋体" w:hAnsi="宋体" w:cs="宋体" w:eastAsia="宋体" w:hint="default"/>
                <w:spacing w:val="-2"/>
                <w:sz w:val="18"/>
                <w:szCs w:val="18"/>
              </w:rPr>
              <w:t>的情况，为维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护资本市场 </w:t>
            </w:r>
            <w:r>
              <w:rPr>
                <w:rFonts w:ascii="宋体" w:hAnsi="宋体" w:cs="宋体" w:eastAsia="宋体" w:hint="default"/>
                <w:spacing w:val="-2"/>
                <w:sz w:val="18"/>
                <w:szCs w:val="18"/>
              </w:rPr>
              <w:t>稳定，促进公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司持续、稳 定、健康发 </w:t>
            </w:r>
            <w:r>
              <w:rPr>
                <w:rFonts w:ascii="宋体" w:hAnsi="宋体" w:cs="宋体" w:eastAsia="宋体" w:hint="default"/>
                <w:spacing w:val="-2"/>
                <w:sz w:val="18"/>
                <w:szCs w:val="18"/>
              </w:rPr>
              <w:t>展，切实维护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广大投资者 </w:t>
            </w:r>
            <w:r>
              <w:rPr>
                <w:rFonts w:ascii="宋体" w:hAnsi="宋体" w:cs="宋体" w:eastAsia="宋体" w:hint="default"/>
                <w:spacing w:val="-2"/>
                <w:sz w:val="18"/>
                <w:szCs w:val="18"/>
              </w:rPr>
              <w:t>权益，同时基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于对公司未 来发展前景 的信心以及 对公司价值 </w:t>
            </w:r>
            <w:r>
              <w:rPr>
                <w:rFonts w:ascii="宋体" w:hAnsi="宋体" w:cs="宋体" w:eastAsia="宋体" w:hint="default"/>
                <w:spacing w:val="-2"/>
                <w:sz w:val="18"/>
                <w:szCs w:val="18"/>
              </w:rPr>
              <w:t>的认可，公司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实际控制人 及董事、监 </w:t>
            </w:r>
            <w:r>
              <w:rPr>
                <w:rFonts w:ascii="宋体" w:hAnsi="宋体" w:cs="宋体" w:eastAsia="宋体" w:hint="default"/>
                <w:spacing w:val="-2"/>
                <w:sz w:val="18"/>
                <w:szCs w:val="18"/>
              </w:rPr>
              <w:t>事、高级管理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人员计划自 公司股票复 牌之日起六 </w:t>
            </w:r>
            <w:r>
              <w:rPr>
                <w:rFonts w:ascii="宋体" w:hAnsi="宋体" w:cs="宋体" w:eastAsia="宋体" w:hint="default"/>
                <w:spacing w:val="-2"/>
                <w:sz w:val="18"/>
                <w:szCs w:val="18"/>
              </w:rPr>
              <w:t>个月内，通过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深圳证券交 </w:t>
            </w:r>
            <w:r>
              <w:rPr>
                <w:rFonts w:ascii="宋体" w:hAnsi="宋体" w:cs="宋体" w:eastAsia="宋体" w:hint="default"/>
                <w:spacing w:val="-2"/>
                <w:sz w:val="18"/>
                <w:szCs w:val="18"/>
              </w:rPr>
              <w:t>易系统、证券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公司或基金 管理公司定 向资产管理 等方式增持 </w:t>
            </w:r>
            <w:r>
              <w:rPr>
                <w:rFonts w:ascii="宋体" w:hAnsi="宋体" w:cs="宋体" w:eastAsia="宋体" w:hint="default"/>
                <w:spacing w:val="-2"/>
                <w:sz w:val="18"/>
                <w:szCs w:val="18"/>
              </w:rPr>
              <w:t>公司股票，其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中公司董事 长耿殿根先 生计划增持 金额不低于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万元，董</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日至</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2" w:lineRule="auto" w:before="60"/>
              <w:ind w:left="23" w:right="122"/>
              <w:jc w:val="both"/>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日承 诺人已全部 履行上述承 诺。</w:t>
            </w:r>
          </w:p>
        </w:tc>
      </w:tr>
    </w:tbl>
    <w:p>
      <w:pPr>
        <w:spacing w:after="0" w:line="312" w:lineRule="auto"/>
        <w:jc w:val="both"/>
        <w:rPr>
          <w:rFonts w:ascii="宋体" w:hAnsi="宋体" w:cs="宋体" w:eastAsia="宋体" w:hint="default"/>
          <w:sz w:val="18"/>
          <w:szCs w:val="18"/>
        </w:rPr>
        <w:sectPr>
          <w:footerReference w:type="default" r:id="rId19"/>
          <w:pgSz w:w="11910" w:h="16840"/>
          <w:pgMar w:footer="979" w:header="745"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630005pt;margin-top:72.47998pt;width:61.8pt;height:594.950pt;mso-position-horizontal-relative:page;mso-position-vertical-relative:page;z-index:-15928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19"/>
                      <w:szCs w:val="19"/>
                    </w:rPr>
                  </w:pPr>
                </w:p>
                <w:p>
                  <w:pPr>
                    <w:pStyle w:val="BodyText"/>
                    <w:spacing w:line="240" w:lineRule="auto"/>
                    <w:ind w:left="0" w:right="0"/>
                    <w:jc w:val="left"/>
                  </w:pPr>
                  <w:r>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17"/>
                      <w:szCs w:val="17"/>
                    </w:rPr>
                  </w:pPr>
                </w:p>
                <w:p>
                  <w:pPr>
                    <w:pStyle w:val="BodyText"/>
                    <w:spacing w:line="240" w:lineRule="auto"/>
                    <w:ind w:left="0" w:right="0"/>
                    <w:jc w:val="left"/>
                  </w:pPr>
                  <w:r>
                    <w:rPr/>
                    <w:t>，</w:t>
                  </w:r>
                </w:p>
              </w:txbxContent>
            </v:textbox>
            <w10:wrap type="none"/>
          </v:shape>
        </w:pict>
      </w:r>
    </w:p>
    <w:p>
      <w:pPr>
        <w:spacing w:line="240" w:lineRule="auto" w:before="10"/>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11908"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3" w:right="7"/>
              <w:jc w:val="left"/>
              <w:rPr>
                <w:rFonts w:ascii="宋体" w:hAnsi="宋体" w:cs="宋体" w:eastAsia="宋体" w:hint="default"/>
                <w:sz w:val="18"/>
                <w:szCs w:val="18"/>
              </w:rPr>
            </w:pPr>
            <w:r>
              <w:rPr>
                <w:rFonts w:ascii="宋体" w:hAnsi="宋体" w:cs="宋体" w:eastAsia="宋体" w:hint="default"/>
                <w:sz w:val="18"/>
                <w:szCs w:val="18"/>
              </w:rPr>
              <w:t>事侯焰女士 计划增持金 额不低于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万元，董事袁 丁女士计划 增持金额不 低于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 董事会秘书 高宏女士计 划增持金额 不低于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元，副总裁陈 浩先生计划 增持金额不 低于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副总裁齐顺 杰先生计划 增持金额不 低于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 监事庞宝光 女士计划增 持金额不低</w:t>
            </w:r>
          </w:p>
          <w:p>
            <w:pPr>
              <w:pStyle w:val="TableParagraph"/>
              <w:spacing w:line="314" w:lineRule="auto" w:before="20"/>
              <w:ind w:left="23" w:right="1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万元，监</w:t>
            </w:r>
            <w:r>
              <w:rPr>
                <w:rFonts w:ascii="宋体" w:hAnsi="宋体" w:cs="宋体" w:eastAsia="宋体" w:hint="default"/>
                <w:sz w:val="18"/>
                <w:szCs w:val="18"/>
              </w:rPr>
              <w:t> 事李超女士 计划增持金 额不低于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万元，监事汝 书伟先生计 划增持金额 不低于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元，且参与增 持计划的相 关人员承诺： 在增持期间 及在增持完 成后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个月内 不转让所持 公司股份。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1898"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37"/>
                <w:sz w:val="20"/>
                <w:szCs w:val="20"/>
              </w:rPr>
              <w:pict>
                <v:group style="width:55.8pt;height:594.950pt;mso-position-horizontal-relative:char;mso-position-vertical-relative:line" coordorigin="0,0" coordsize="1116,11899">
                  <v:group style="position:absolute;left:0;top:0;width:1116;height:11899" coordorigin="0,0" coordsize="1116,11899">
                    <v:shape style="position:absolute;left:0;top:0;width:1116;height:11899" coordorigin="0,0" coordsize="1116,11899" path="m0,11899l1116,11899,1116,0,0,0,0,11899xe" filled="true" fillcolor="#ffffff" stroked="false">
                      <v:path arrowok="t"/>
                      <v:fill type="solid"/>
                    </v:shape>
                  </v:group>
                </v:group>
              </w:pict>
            </w:r>
            <w:r>
              <w:rPr>
                <w:rFonts w:ascii="Times New Roman" w:hAnsi="Times New Roman" w:cs="Times New Roman" w:eastAsia="Times New Roman" w:hint="default"/>
                <w:position w:val="-237"/>
                <w:sz w:val="20"/>
                <w:szCs w:val="20"/>
              </w:rPr>
            </w: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923"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红杉资本</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增持承诺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基于对公司 未来发展前 景的信心以 及对公司价 </w:t>
            </w:r>
            <w:r>
              <w:rPr>
                <w:rFonts w:ascii="宋体" w:hAnsi="宋体" w:cs="宋体" w:eastAsia="宋体" w:hint="default"/>
                <w:spacing w:val="-2"/>
                <w:sz w:val="18"/>
                <w:szCs w:val="18"/>
              </w:rPr>
              <w:t>值的认可，承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诺自公司股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日至</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3" w:right="0"/>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09" w:lineRule="auto" w:before="60"/>
              <w:ind w:left="23" w:right="125"/>
              <w:jc w:val="both"/>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日承 诺人已履行 上述承诺。</w:t>
            </w:r>
          </w:p>
        </w:tc>
      </w:tr>
    </w:tbl>
    <w:p>
      <w:pPr>
        <w:spacing w:after="0" w:line="309" w:lineRule="auto"/>
        <w:jc w:val="both"/>
        <w:rPr>
          <w:rFonts w:ascii="宋体" w:hAnsi="宋体" w:cs="宋体" w:eastAsia="宋体" w:hint="default"/>
          <w:sz w:val="18"/>
          <w:szCs w:val="18"/>
        </w:rPr>
        <w:sectPr>
          <w:footerReference w:type="default" r:id="rId20"/>
          <w:pgSz w:w="11910" w:h="16840"/>
          <w:pgMar w:footer="979" w:header="745" w:top="1060" w:bottom="1160" w:left="980" w:right="98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5667"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314" w:lineRule="auto" w:before="63"/>
              <w:ind w:left="23" w:right="1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日复牌之 日起六个月 内通过深圳 证券交易系 统、证券公司 或基金管理 公司定向资 产管理等方 式增持公司 股票不低于 人民币</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12,900 </w:t>
            </w:r>
            <w:r>
              <w:rPr>
                <w:rFonts w:ascii="宋体" w:hAnsi="宋体" w:cs="宋体" w:eastAsia="宋体" w:hint="default"/>
                <w:sz w:val="18"/>
                <w:szCs w:val="18"/>
              </w:rPr>
              <w:t>万元，并承诺 在增持期间 及在增持完 成后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个月内 不转让增持 股份。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8"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02"/>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6"/>
        <w:ind w:right="153"/>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1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06"/>
        <w:gridCol w:w="1178"/>
        <w:gridCol w:w="1181"/>
        <w:gridCol w:w="1181"/>
        <w:gridCol w:w="1179"/>
        <w:gridCol w:w="1181"/>
        <w:gridCol w:w="1184"/>
        <w:gridCol w:w="1176"/>
      </w:tblGrid>
      <w:tr>
        <w:trPr>
          <w:trHeight w:val="71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7" w:right="106"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1"/>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96" w:right="46" w:hanging="452"/>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94" w:right="38" w:hanging="449"/>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716"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0"/>
              <w:jc w:val="left"/>
              <w:rPr>
                <w:rFonts w:ascii="宋体" w:hAnsi="宋体" w:cs="宋体" w:eastAsia="宋体" w:hint="default"/>
                <w:sz w:val="18"/>
                <w:szCs w:val="18"/>
              </w:rPr>
            </w:pPr>
            <w:r>
              <w:rPr>
                <w:rFonts w:ascii="宋体" w:hAnsi="宋体" w:cs="宋体" w:eastAsia="宋体" w:hint="default"/>
                <w:sz w:val="18"/>
                <w:szCs w:val="18"/>
              </w:rPr>
              <w:t>北京无双科技 有限公司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1" w:right="0"/>
              <w:jc w:val="left"/>
              <w:rPr>
                <w:rFonts w:ascii="Times New Roman" w:hAnsi="Times New Roman" w:cs="Times New Roman" w:eastAsia="Times New Roman" w:hint="default"/>
                <w:sz w:val="18"/>
                <w:szCs w:val="18"/>
              </w:rPr>
            </w:pPr>
            <w:r>
              <w:rPr>
                <w:rFonts w:ascii="Times New Roman"/>
                <w:sz w:val="18"/>
              </w:rPr>
              <w:t>3,500</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6" w:right="0"/>
              <w:jc w:val="left"/>
              <w:rPr>
                <w:rFonts w:ascii="Times New Roman" w:hAnsi="Times New Roman" w:cs="Times New Roman" w:eastAsia="Times New Roman" w:hint="default"/>
                <w:sz w:val="18"/>
                <w:szCs w:val="18"/>
              </w:rPr>
            </w:pPr>
            <w:r>
              <w:rPr>
                <w:rFonts w:ascii="Times New Roman"/>
                <w:sz w:val="18"/>
              </w:rPr>
              <w:t>3,607.91</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43"/>
              <w:jc w:val="left"/>
              <w:rPr>
                <w:rFonts w:ascii="Times New Roman" w:hAnsi="Times New Roman" w:cs="Times New Roman" w:eastAsia="Times New Roman" w:hint="default"/>
                <w:sz w:val="18"/>
                <w:szCs w:val="18"/>
              </w:rPr>
            </w:pPr>
            <w:hyperlink r:id="rId21">
              <w:r>
                <w:rPr>
                  <w:rFonts w:ascii="Times New Roman"/>
                  <w:spacing w:val="-2"/>
                  <w:sz w:val="18"/>
                </w:rPr>
                <w:t>www.cninfo.co</w:t>
              </w:r>
            </w:hyperlink>
            <w:r>
              <w:rPr>
                <w:rFonts w:ascii="Times New Roman"/>
                <w:spacing w:val="-36"/>
                <w:sz w:val="18"/>
              </w:rPr>
              <w:t> </w:t>
            </w:r>
            <w:r>
              <w:rPr>
                <w:rFonts w:ascii="Times New Roman"/>
                <w:spacing w:val="-36"/>
                <w:sz w:val="18"/>
              </w:rPr>
            </w:r>
            <w:r>
              <w:rPr>
                <w:rFonts w:ascii="Times New Roman"/>
                <w:sz w:val="18"/>
              </w:rPr>
              <w:t>m.cn</w:t>
            </w:r>
          </w:p>
        </w:tc>
      </w:tr>
    </w:tbl>
    <w:p>
      <w:pPr>
        <w:pStyle w:val="BodyText"/>
        <w:spacing w:line="240" w:lineRule="auto" w:before="49"/>
        <w:ind w:right="1134"/>
        <w:jc w:val="left"/>
      </w:pPr>
      <w:r>
        <w:rPr/>
        <w:t>公司股东、交易对手方对公司或相关资产年度经营业绩作出的承诺情况</w:t>
      </w:r>
    </w:p>
    <w:p>
      <w:pPr>
        <w:pStyle w:val="BodyText"/>
        <w:spacing w:line="240" w:lineRule="auto" w:before="115"/>
        <w:ind w:right="1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2"/>
        <w:rPr>
          <w:rFonts w:ascii="宋体" w:hAnsi="宋体" w:cs="宋体" w:eastAsia="宋体" w:hint="default"/>
          <w:sz w:val="16"/>
          <w:szCs w:val="16"/>
        </w:rPr>
      </w:pPr>
    </w:p>
    <w:p>
      <w:pPr>
        <w:pStyle w:val="BodyText"/>
        <w:spacing w:line="312" w:lineRule="auto"/>
        <w:ind w:right="153" w:firstLine="360"/>
        <w:jc w:val="both"/>
      </w:pPr>
      <w:r>
        <w:rPr>
          <w:rFonts w:ascii="宋体" w:hAnsi="宋体" w:cs="宋体" w:eastAsia="宋体" w:hint="default"/>
        </w:rPr>
        <w:t>1</w:t>
      </w:r>
      <w:r>
        <w:rPr/>
        <w:t>、根据公司与无双科技签订的《发行股份及支付现金购买资产协议》，施侃、冯天放承诺无双科技</w:t>
      </w:r>
      <w:r>
        <w:rPr>
          <w:rFonts w:ascii="宋体" w:hAnsi="宋体" w:cs="宋体" w:eastAsia="宋体" w:hint="default"/>
        </w:rPr>
        <w:t>2015</w:t>
      </w:r>
      <w:r>
        <w:rPr/>
        <w:t>年度、</w:t>
      </w:r>
      <w:r>
        <w:rPr>
          <w:rFonts w:ascii="宋体" w:hAnsi="宋体" w:cs="宋体" w:eastAsia="宋体" w:hint="default"/>
        </w:rPr>
        <w:t>2016</w:t>
      </w:r>
      <w:r>
        <w:rPr/>
        <w:t>年 </w:t>
      </w:r>
      <w:r>
        <w:rPr>
          <w:spacing w:val="-2"/>
        </w:rPr>
        <w:t>度和</w:t>
      </w:r>
      <w:r>
        <w:rPr>
          <w:rFonts w:ascii="宋体" w:hAnsi="宋体" w:cs="宋体" w:eastAsia="宋体" w:hint="default"/>
          <w:spacing w:val="-2"/>
        </w:rPr>
        <w:t>2017</w:t>
      </w:r>
      <w:r>
        <w:rPr>
          <w:spacing w:val="-2"/>
        </w:rPr>
        <w:t>年度扣除非经常性损益后归属于母公司的净利润分别不低于</w:t>
      </w:r>
      <w:r>
        <w:rPr>
          <w:rFonts w:ascii="宋体" w:hAnsi="宋体" w:cs="宋体" w:eastAsia="宋体" w:hint="default"/>
          <w:spacing w:val="-2"/>
        </w:rPr>
        <w:t>3,500.00</w:t>
      </w:r>
      <w:r>
        <w:rPr>
          <w:spacing w:val="-2"/>
        </w:rPr>
        <w:t>万元、</w:t>
      </w:r>
      <w:r>
        <w:rPr>
          <w:rFonts w:ascii="宋体" w:hAnsi="宋体" w:cs="宋体" w:eastAsia="宋体" w:hint="default"/>
          <w:spacing w:val="-2"/>
        </w:rPr>
        <w:t>4,550.00</w:t>
      </w:r>
      <w:r>
        <w:rPr>
          <w:spacing w:val="-2"/>
        </w:rPr>
        <w:t>万元和</w:t>
      </w:r>
      <w:r>
        <w:rPr>
          <w:rFonts w:ascii="宋体" w:hAnsi="宋体" w:cs="宋体" w:eastAsia="宋体" w:hint="default"/>
          <w:spacing w:val="-2"/>
        </w:rPr>
        <w:t>5,915.00</w:t>
      </w:r>
      <w:r>
        <w:rPr>
          <w:spacing w:val="-2"/>
        </w:rPr>
        <w:t>万元。无双科</w:t>
      </w:r>
      <w:r>
        <w:rPr>
          <w:spacing w:val="-52"/>
        </w:rPr>
        <w:t> </w:t>
      </w:r>
      <w:r>
        <w:rPr>
          <w:spacing w:val="-52"/>
        </w:rPr>
      </w:r>
      <w:r>
        <w:rPr/>
        <w:t>技</w:t>
      </w:r>
      <w:r>
        <w:rPr>
          <w:rFonts w:ascii="Times New Roman" w:hAnsi="Times New Roman" w:cs="Times New Roman" w:eastAsia="Times New Roman" w:hint="default"/>
        </w:rPr>
        <w:t>2015</w:t>
      </w:r>
      <w:r>
        <w:rPr/>
        <w:t>年度盈利预测实现情况已经中兴华会计师事务所（特殊普通合伙）审核并出具中兴华专字（</w:t>
      </w:r>
      <w:r>
        <w:rPr>
          <w:rFonts w:ascii="宋体" w:hAnsi="宋体" w:cs="宋体" w:eastAsia="宋体" w:hint="default"/>
        </w:rPr>
        <w:t>2016</w:t>
      </w:r>
      <w:r>
        <w:rPr/>
        <w:t>）第</w:t>
      </w:r>
      <w:r>
        <w:rPr>
          <w:rFonts w:ascii="宋体" w:hAnsi="宋体" w:cs="宋体" w:eastAsia="宋体" w:hint="default"/>
        </w:rPr>
        <w:t>BJ06-0003</w:t>
      </w:r>
      <w:r>
        <w:rPr/>
        <w:t>号审</w:t>
      </w:r>
      <w:r>
        <w:rPr>
          <w:spacing w:val="-3"/>
        </w:rPr>
        <w:t> </w:t>
      </w:r>
      <w:r>
        <w:rPr/>
        <w:t>核报告。</w:t>
      </w:r>
    </w:p>
    <w:p>
      <w:pPr>
        <w:spacing w:line="240" w:lineRule="auto" w:before="8"/>
        <w:rPr>
          <w:rFonts w:ascii="宋体" w:hAnsi="宋体" w:cs="宋体" w:eastAsia="宋体" w:hint="default"/>
          <w:sz w:val="13"/>
          <w:szCs w:val="13"/>
        </w:rPr>
      </w:pPr>
    </w:p>
    <w:p>
      <w:pPr>
        <w:pStyle w:val="BodyText"/>
        <w:spacing w:line="319" w:lineRule="auto"/>
        <w:ind w:right="148" w:firstLine="360"/>
        <w:jc w:val="both"/>
      </w:pPr>
      <w:r>
        <w:rPr>
          <w:rFonts w:ascii="宋体" w:hAnsi="宋体" w:cs="宋体" w:eastAsia="宋体" w:hint="default"/>
        </w:rPr>
        <w:t>2</w:t>
      </w:r>
      <w:r>
        <w:rPr/>
        <w:t>、根据公司与中金云网签订的《发行股份及支付现金购买资产协议》，中金盛世、利源顶盛、宇扬锦达、卓程达、利 </w:t>
      </w:r>
      <w:r>
        <w:rPr>
          <w:spacing w:val="-2"/>
        </w:rPr>
        <w:t>扬盛达、杨雨、陈静、郑善伟、唐征卫、申海山、许小平共同承诺中金云网净利润（以扣除非经常性损益后的归属于母公司</w:t>
      </w:r>
      <w:r>
        <w:rPr>
          <w:spacing w:val="-73"/>
        </w:rPr>
        <w:t> </w:t>
      </w:r>
      <w:r>
        <w:rPr>
          <w:spacing w:val="-73"/>
        </w:rPr>
      </w:r>
      <w:r>
        <w:rPr>
          <w:spacing w:val="-2"/>
        </w:rPr>
        <w:t>所有者的净利润为计算依据，下同）</w:t>
      </w:r>
      <w:r>
        <w:rPr>
          <w:rFonts w:ascii="宋体" w:hAnsi="宋体" w:cs="宋体" w:eastAsia="宋体" w:hint="default"/>
          <w:spacing w:val="-2"/>
        </w:rPr>
        <w:t>2016</w:t>
      </w:r>
      <w:r>
        <w:rPr>
          <w:spacing w:val="-2"/>
        </w:rPr>
        <w:t>年度、</w:t>
      </w:r>
      <w:r>
        <w:rPr>
          <w:rFonts w:ascii="宋体" w:hAnsi="宋体" w:cs="宋体" w:eastAsia="宋体" w:hint="default"/>
          <w:spacing w:val="-2"/>
        </w:rPr>
        <w:t>2017</w:t>
      </w:r>
      <w:r>
        <w:rPr>
          <w:spacing w:val="-2"/>
        </w:rPr>
        <w:t>年度及</w:t>
      </w:r>
      <w:r>
        <w:rPr>
          <w:rFonts w:ascii="宋体" w:hAnsi="宋体" w:cs="宋体" w:eastAsia="宋体" w:hint="default"/>
          <w:spacing w:val="-2"/>
        </w:rPr>
        <w:t>2018</w:t>
      </w:r>
      <w:r>
        <w:rPr>
          <w:spacing w:val="-2"/>
        </w:rPr>
        <w:t>年度实现的净利润分别为</w:t>
      </w:r>
      <w:r>
        <w:rPr>
          <w:rFonts w:ascii="宋体" w:hAnsi="宋体" w:cs="宋体" w:eastAsia="宋体" w:hint="default"/>
          <w:spacing w:val="-2"/>
        </w:rPr>
        <w:t>13,000.00</w:t>
      </w:r>
      <w:r>
        <w:rPr>
          <w:spacing w:val="-2"/>
        </w:rPr>
        <w:t>万元、</w:t>
      </w:r>
      <w:r>
        <w:rPr>
          <w:rFonts w:ascii="宋体" w:hAnsi="宋体" w:cs="宋体" w:eastAsia="宋体" w:hint="default"/>
          <w:spacing w:val="-2"/>
        </w:rPr>
        <w:t>21,000.00</w:t>
      </w:r>
      <w:r>
        <w:rPr>
          <w:spacing w:val="-2"/>
        </w:rPr>
        <w:t>万元和</w:t>
      </w:r>
      <w:r>
        <w:rPr>
          <w:spacing w:val="-43"/>
        </w:rPr>
        <w:t> </w:t>
      </w:r>
      <w:r>
        <w:rPr>
          <w:spacing w:val="-43"/>
        </w:rPr>
      </w:r>
      <w:r>
        <w:rPr>
          <w:rFonts w:ascii="宋体" w:hAnsi="宋体" w:cs="宋体" w:eastAsia="宋体" w:hint="default"/>
        </w:rPr>
        <w:t>29,000.00</w:t>
      </w:r>
      <w:r>
        <w:rPr/>
        <w:t>万元。</w:t>
      </w:r>
    </w:p>
    <w:p>
      <w:pPr>
        <w:spacing w:after="0" w:line="319" w:lineRule="auto"/>
        <w:jc w:val="both"/>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1134"/>
        <w:jc w:val="left"/>
        <w:rPr>
          <w:b w:val="0"/>
          <w:bCs w:val="0"/>
        </w:rPr>
      </w:pPr>
      <w:r>
        <w:rPr/>
        <w:t>三、控股股东及其关联方对上市公司的非经营性占用资金情况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5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3"/>
        <w:gridCol w:w="955"/>
        <w:gridCol w:w="956"/>
        <w:gridCol w:w="958"/>
        <w:gridCol w:w="958"/>
        <w:gridCol w:w="958"/>
        <w:gridCol w:w="960"/>
        <w:gridCol w:w="958"/>
        <w:gridCol w:w="958"/>
        <w:gridCol w:w="960"/>
      </w:tblGrid>
      <w:tr>
        <w:trPr>
          <w:trHeight w:val="713" w:hRule="exact"/>
        </w:trPr>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 w:right="111"/>
              <w:jc w:val="left"/>
              <w:rPr>
                <w:rFonts w:ascii="宋体" w:hAnsi="宋体" w:cs="宋体" w:eastAsia="宋体" w:hint="default"/>
                <w:sz w:val="18"/>
                <w:szCs w:val="18"/>
              </w:rPr>
            </w:pPr>
            <w:r>
              <w:rPr>
                <w:rFonts w:ascii="宋体" w:hAnsi="宋体" w:cs="宋体" w:eastAsia="宋体" w:hint="default"/>
                <w:sz w:val="18"/>
                <w:szCs w:val="18"/>
              </w:rPr>
              <w:t>股东或关 联人名称</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占用时间</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发生原因</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5" w:right="23" w:hanging="92"/>
              <w:jc w:val="left"/>
              <w:rPr>
                <w:rFonts w:ascii="宋体" w:hAnsi="宋体" w:cs="宋体" w:eastAsia="宋体" w:hint="default"/>
                <w:sz w:val="18"/>
                <w:szCs w:val="18"/>
              </w:rPr>
            </w:pPr>
            <w:r>
              <w:rPr>
                <w:rFonts w:ascii="宋体" w:hAnsi="宋体" w:cs="宋体" w:eastAsia="宋体" w:hint="default"/>
                <w:sz w:val="18"/>
                <w:szCs w:val="18"/>
              </w:rPr>
              <w:t>报告期新增 占用金额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4" w:right="22" w:hanging="180"/>
              <w:jc w:val="left"/>
              <w:rPr>
                <w:rFonts w:ascii="宋体" w:hAnsi="宋体" w:cs="宋体" w:eastAsia="宋体" w:hint="default"/>
                <w:sz w:val="18"/>
                <w:szCs w:val="18"/>
              </w:rPr>
            </w:pPr>
            <w:r>
              <w:rPr>
                <w:rFonts w:ascii="宋体" w:hAnsi="宋体" w:cs="宋体" w:eastAsia="宋体" w:hint="default"/>
                <w:sz w:val="18"/>
                <w:szCs w:val="18"/>
              </w:rPr>
              <w:t>报告期偿还 总金额</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预计偿还方 式</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4" w:right="22" w:hanging="361"/>
              <w:jc w:val="left"/>
              <w:rPr>
                <w:rFonts w:ascii="宋体" w:hAnsi="宋体" w:cs="宋体" w:eastAsia="宋体" w:hint="default"/>
                <w:sz w:val="18"/>
                <w:szCs w:val="18"/>
              </w:rPr>
            </w:pPr>
            <w:r>
              <w:rPr>
                <w:rFonts w:ascii="宋体" w:hAnsi="宋体" w:cs="宋体" w:eastAsia="宋体" w:hint="default"/>
                <w:sz w:val="18"/>
                <w:szCs w:val="18"/>
              </w:rPr>
              <w:t>预计偿还金 额</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预计偿还时 间（月份）</w:t>
            </w:r>
          </w:p>
        </w:tc>
      </w:tr>
      <w:tr>
        <w:trPr>
          <w:trHeight w:val="1027"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7"/>
              <w:jc w:val="both"/>
              <w:rPr>
                <w:rFonts w:ascii="宋体" w:hAnsi="宋体" w:cs="宋体" w:eastAsia="宋体" w:hint="default"/>
                <w:sz w:val="18"/>
                <w:szCs w:val="18"/>
              </w:rPr>
            </w:pPr>
            <w:r>
              <w:rPr>
                <w:rFonts w:ascii="宋体" w:hAnsi="宋体" w:cs="宋体" w:eastAsia="宋体" w:hint="default"/>
                <w:sz w:val="18"/>
                <w:szCs w:val="18"/>
              </w:rPr>
              <w:t>光环云谷 科技有限 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20"/>
              <w:jc w:val="left"/>
              <w:rPr>
                <w:rFonts w:ascii="宋体" w:hAnsi="宋体" w:cs="宋体" w:eastAsia="宋体" w:hint="default"/>
                <w:sz w:val="18"/>
                <w:szCs w:val="18"/>
              </w:rPr>
            </w:pPr>
            <w:r>
              <w:rPr>
                <w:rFonts w:ascii="宋体" w:hAnsi="宋体" w:cs="宋体" w:eastAsia="宋体" w:hint="default"/>
                <w:sz w:val="18"/>
                <w:szCs w:val="18"/>
              </w:rPr>
              <w:t>费用垫付及 资金拆借</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13,543.49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520.03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1,004.66</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13,058.86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现金清偿</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13,058.86</w:t>
            </w: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97"/>
              <w:jc w:val="both"/>
              <w:rPr>
                <w:rFonts w:ascii="宋体" w:hAnsi="宋体" w:cs="宋体" w:eastAsia="宋体" w:hint="default"/>
                <w:sz w:val="18"/>
                <w:szCs w:val="18"/>
              </w:rPr>
            </w:pPr>
            <w:r>
              <w:rPr>
                <w:rFonts w:ascii="宋体" w:hAnsi="宋体" w:cs="宋体" w:eastAsia="宋体" w:hint="default"/>
                <w:sz w:val="18"/>
                <w:szCs w:val="18"/>
              </w:rPr>
              <w:t>北京德信 致远科技 有限公司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费用垫付及 资金拆借</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222.86</w:t>
            </w:r>
          </w:p>
        </w:tc>
        <w:tc>
          <w:tcPr>
            <w:tcW w:w="958"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222.86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现金清偿</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222.86</w:t>
            </w: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光环新网</w:t>
            </w:r>
          </w:p>
          <w:p>
            <w:pPr>
              <w:pStyle w:val="TableParagraph"/>
              <w:spacing w:line="316" w:lineRule="auto" w:before="74"/>
              <w:ind w:left="24" w:right="22"/>
              <w:jc w:val="left"/>
              <w:rPr>
                <w:rFonts w:ascii="宋体" w:hAnsi="宋体" w:cs="宋体" w:eastAsia="宋体" w:hint="default"/>
                <w:sz w:val="18"/>
                <w:szCs w:val="18"/>
              </w:rPr>
            </w:pPr>
            <w:r>
              <w:rPr>
                <w:rFonts w:ascii="宋体" w:hAnsi="宋体" w:cs="宋体" w:eastAsia="宋体" w:hint="default"/>
                <w:sz w:val="18"/>
                <w:szCs w:val="18"/>
              </w:rPr>
              <w:t>（上海）信 息服务有 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3" w:right="20"/>
              <w:jc w:val="left"/>
              <w:rPr>
                <w:rFonts w:ascii="宋体" w:hAnsi="宋体" w:cs="宋体" w:eastAsia="宋体" w:hint="default"/>
                <w:sz w:val="18"/>
                <w:szCs w:val="18"/>
              </w:rPr>
            </w:pPr>
            <w:r>
              <w:rPr>
                <w:rFonts w:ascii="宋体" w:hAnsi="宋体" w:cs="宋体" w:eastAsia="宋体" w:hint="default"/>
                <w:sz w:val="18"/>
                <w:szCs w:val="18"/>
              </w:rPr>
              <w:t>费用垫付及 资金拆借</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1,730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2.55</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1,788.35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现金清偿</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1,788.35</w:t>
            </w: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6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13,604.39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2,472.89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1,007.21</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15,070.07</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15,070.07</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286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28"/>
              <w:jc w:val="left"/>
              <w:rPr>
                <w:rFonts w:ascii="宋体" w:hAnsi="宋体" w:cs="宋体" w:eastAsia="宋体" w:hint="default"/>
                <w:sz w:val="18"/>
                <w:szCs w:val="18"/>
              </w:rPr>
            </w:pPr>
            <w:r>
              <w:rPr>
                <w:rFonts w:ascii="宋体" w:hAnsi="宋体" w:cs="宋体" w:eastAsia="宋体" w:hint="default"/>
                <w:sz w:val="18"/>
                <w:szCs w:val="18"/>
              </w:rPr>
              <w:t>期末合计值占最近一期经审计净资 产的比例</w:t>
            </w:r>
          </w:p>
        </w:tc>
        <w:tc>
          <w:tcPr>
            <w:tcW w:w="670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13.08%</w:t>
            </w:r>
          </w:p>
        </w:tc>
      </w:tr>
      <w:tr>
        <w:trPr>
          <w:trHeight w:val="401" w:hRule="exact"/>
        </w:trPr>
        <w:tc>
          <w:tcPr>
            <w:tcW w:w="286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相关决策程序</w:t>
            </w:r>
          </w:p>
        </w:tc>
        <w:tc>
          <w:tcPr>
            <w:tcW w:w="670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管理层审批</w:t>
            </w:r>
          </w:p>
        </w:tc>
      </w:tr>
      <w:tr>
        <w:trPr>
          <w:trHeight w:val="1339" w:hRule="exact"/>
        </w:trPr>
        <w:tc>
          <w:tcPr>
            <w:tcW w:w="286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当期新增大股东及其附属企业非经 </w:t>
            </w:r>
            <w:r>
              <w:rPr>
                <w:rFonts w:ascii="宋体" w:hAnsi="宋体" w:cs="宋体" w:eastAsia="宋体" w:hint="default"/>
                <w:spacing w:val="-5"/>
                <w:sz w:val="18"/>
                <w:szCs w:val="18"/>
              </w:rPr>
              <w:t>营性资金占用情况的原因、责任人追</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究及董事会拟定采取措施的情况说 明</w:t>
            </w:r>
          </w:p>
        </w:tc>
        <w:tc>
          <w:tcPr>
            <w:tcW w:w="670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5" w:hRule="exact"/>
        </w:trPr>
        <w:tc>
          <w:tcPr>
            <w:tcW w:w="286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未能按计划清偿非经营性资金占用 </w:t>
            </w:r>
            <w:r>
              <w:rPr>
                <w:rFonts w:ascii="宋体" w:hAnsi="宋体" w:cs="宋体" w:eastAsia="宋体" w:hint="default"/>
                <w:spacing w:val="-5"/>
                <w:sz w:val="18"/>
                <w:szCs w:val="18"/>
              </w:rPr>
              <w:t>的原因、责任追究情况及董事会拟定</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采取的措施说明</w:t>
            </w:r>
          </w:p>
        </w:tc>
        <w:tc>
          <w:tcPr>
            <w:tcW w:w="670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6" w:hRule="exact"/>
        </w:trPr>
        <w:tc>
          <w:tcPr>
            <w:tcW w:w="286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28"/>
              <w:jc w:val="left"/>
              <w:rPr>
                <w:rFonts w:ascii="宋体" w:hAnsi="宋体" w:cs="宋体" w:eastAsia="宋体" w:hint="default"/>
                <w:sz w:val="18"/>
                <w:szCs w:val="18"/>
              </w:rPr>
            </w:pPr>
            <w:r>
              <w:rPr>
                <w:rFonts w:ascii="宋体" w:hAnsi="宋体" w:cs="宋体" w:eastAsia="宋体" w:hint="default"/>
                <w:sz w:val="18"/>
                <w:szCs w:val="18"/>
              </w:rPr>
              <w:t>注册会计师对资金占用的专项审核 意见的披露日期</w:t>
            </w:r>
          </w:p>
        </w:tc>
        <w:tc>
          <w:tcPr>
            <w:tcW w:w="670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r>
      <w:tr>
        <w:trPr>
          <w:trHeight w:val="715" w:hRule="exact"/>
        </w:trPr>
        <w:tc>
          <w:tcPr>
            <w:tcW w:w="286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28"/>
              <w:jc w:val="left"/>
              <w:rPr>
                <w:rFonts w:ascii="宋体" w:hAnsi="宋体" w:cs="宋体" w:eastAsia="宋体" w:hint="default"/>
                <w:sz w:val="18"/>
                <w:szCs w:val="18"/>
              </w:rPr>
            </w:pPr>
            <w:r>
              <w:rPr>
                <w:rFonts w:ascii="宋体" w:hAnsi="宋体" w:cs="宋体" w:eastAsia="宋体" w:hint="default"/>
                <w:sz w:val="18"/>
                <w:szCs w:val="18"/>
              </w:rPr>
              <w:t>注册会计师对资金占用的专项审核 意见的披露索引</w:t>
            </w:r>
          </w:p>
        </w:tc>
        <w:tc>
          <w:tcPr>
            <w:tcW w:w="670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中兴华专字（</w:t>
            </w:r>
            <w:r>
              <w:rPr>
                <w:rFonts w:ascii="Times New Roman" w:hAnsi="Times New Roman" w:cs="Times New Roman" w:eastAsia="Times New Roman" w:hint="default"/>
                <w:sz w:val="18"/>
                <w:szCs w:val="18"/>
              </w:rPr>
              <w:t>2016</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BJ06-0005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bl>
    <w:p>
      <w:pPr>
        <w:spacing w:line="240" w:lineRule="auto" w:before="1"/>
        <w:rPr>
          <w:rFonts w:ascii="宋体" w:hAnsi="宋体" w:cs="宋体" w:eastAsia="宋体" w:hint="default"/>
          <w:sz w:val="18"/>
          <w:szCs w:val="18"/>
        </w:rPr>
      </w:pPr>
    </w:p>
    <w:p>
      <w:pPr>
        <w:pStyle w:val="Heading2"/>
        <w:spacing w:line="240" w:lineRule="auto" w:before="26"/>
        <w:ind w:right="1134"/>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1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1134"/>
        <w:jc w:val="left"/>
        <w:rPr>
          <w:b w:val="0"/>
          <w:bCs w:val="0"/>
        </w:rPr>
      </w:pPr>
      <w:r>
        <w:rPr/>
        <w:t>六、董事会关于报告期会计政策、会计估计变更或重大会计差错更正的说明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4"/>
        <w:jc w:val="left"/>
        <w:rPr>
          <w:b w:val="0"/>
          <w:bCs w:val="0"/>
        </w:rPr>
      </w:pPr>
      <w:r>
        <w:rPr/>
        <w:t>七、与上年度财务报告相比，合并报表范围发生变化的情况说明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15"/>
          <w:szCs w:val="15"/>
        </w:rPr>
      </w:pPr>
    </w:p>
    <w:p>
      <w:pPr>
        <w:pStyle w:val="BodyText"/>
        <w:spacing w:line="288" w:lineRule="auto"/>
        <w:ind w:right="151" w:firstLine="420"/>
        <w:jc w:val="both"/>
      </w:pPr>
      <w:r>
        <w:rPr>
          <w:spacing w:val="-2"/>
          <w:sz w:val="21"/>
          <w:szCs w:val="21"/>
        </w:rPr>
        <w:t>（</w:t>
      </w:r>
      <w:r>
        <w:rPr>
          <w:rFonts w:ascii="宋体" w:hAnsi="宋体" w:cs="宋体" w:eastAsia="宋体" w:hint="default"/>
          <w:spacing w:val="-2"/>
        </w:rPr>
        <w:t>1</w:t>
      </w:r>
      <w:r>
        <w:rPr>
          <w:spacing w:val="-2"/>
        </w:rPr>
        <w:t>）本公司于</w:t>
      </w:r>
      <w:r>
        <w:rPr>
          <w:rFonts w:ascii="宋体" w:hAnsi="宋体" w:cs="宋体" w:eastAsia="宋体" w:hint="default"/>
          <w:spacing w:val="-2"/>
        </w:rPr>
        <w:t>2015</w:t>
      </w:r>
      <w:r>
        <w:rPr>
          <w:spacing w:val="-2"/>
        </w:rPr>
        <w:t>年</w:t>
      </w:r>
      <w:r>
        <w:rPr>
          <w:rFonts w:ascii="宋体" w:hAnsi="宋体" w:cs="宋体" w:eastAsia="宋体" w:hint="default"/>
          <w:spacing w:val="-2"/>
        </w:rPr>
        <w:t>10</w:t>
      </w:r>
      <w:r>
        <w:rPr>
          <w:spacing w:val="-2"/>
        </w:rPr>
        <w:t>月以</w:t>
      </w:r>
      <w:r>
        <w:rPr>
          <w:rFonts w:ascii="宋体" w:hAnsi="宋体" w:cs="宋体" w:eastAsia="宋体" w:hint="default"/>
          <w:spacing w:val="-2"/>
        </w:rPr>
        <w:t>136,426,475</w:t>
      </w:r>
      <w:r>
        <w:rPr>
          <w:spacing w:val="-2"/>
        </w:rPr>
        <w:t>元购买北京德信致远科技有限公司</w:t>
      </w:r>
      <w:r>
        <w:rPr>
          <w:rFonts w:ascii="宋体" w:hAnsi="宋体" w:cs="宋体" w:eastAsia="宋体" w:hint="default"/>
          <w:spacing w:val="-2"/>
        </w:rPr>
        <w:t>100.00%</w:t>
      </w:r>
      <w:r>
        <w:rPr>
          <w:spacing w:val="-2"/>
        </w:rPr>
        <w:t>股权，由于北京德信致远科技有限</w:t>
      </w:r>
      <w:r>
        <w:rPr/>
        <w:t> 公司不构成业务，不属于非同一控制下企业合并。从购买日起北京德信致远科技有限公司成为本公司的子公司。</w:t>
      </w:r>
    </w:p>
    <w:p>
      <w:pPr>
        <w:spacing w:line="240" w:lineRule="auto" w:before="0"/>
        <w:rPr>
          <w:rFonts w:ascii="宋体" w:hAnsi="宋体" w:cs="宋体" w:eastAsia="宋体" w:hint="default"/>
          <w:sz w:val="15"/>
          <w:szCs w:val="15"/>
        </w:rPr>
      </w:pPr>
    </w:p>
    <w:p>
      <w:pPr>
        <w:pStyle w:val="BodyText"/>
        <w:spacing w:line="319" w:lineRule="auto"/>
        <w:ind w:right="148" w:firstLine="360"/>
        <w:jc w:val="both"/>
      </w:pPr>
      <w:r>
        <w:rPr/>
        <w:t>（</w:t>
      </w:r>
      <w:r>
        <w:rPr>
          <w:rFonts w:ascii="宋体" w:hAnsi="宋体" w:cs="宋体" w:eastAsia="宋体" w:hint="default"/>
        </w:rPr>
        <w:t>2</w:t>
      </w:r>
      <w:r>
        <w:rPr/>
        <w:t>）本公司于</w:t>
      </w:r>
      <w:r>
        <w:rPr>
          <w:rFonts w:ascii="宋体" w:hAnsi="宋体" w:cs="宋体" w:eastAsia="宋体" w:hint="default"/>
        </w:rPr>
        <w:t>2015</w:t>
      </w:r>
      <w:r>
        <w:rPr/>
        <w:t>年</w:t>
      </w:r>
      <w:r>
        <w:rPr>
          <w:rFonts w:ascii="宋体" w:hAnsi="宋体" w:cs="宋体" w:eastAsia="宋体" w:hint="default"/>
        </w:rPr>
        <w:t>12</w:t>
      </w:r>
      <w:r>
        <w:rPr/>
        <w:t>月以</w:t>
      </w:r>
      <w:r>
        <w:rPr>
          <w:rFonts w:ascii="宋体" w:hAnsi="宋体" w:cs="宋体" w:eastAsia="宋体" w:hint="default"/>
        </w:rPr>
        <w:t>68,700,000</w:t>
      </w:r>
      <w:r>
        <w:rPr/>
        <w:t>元增资取得北京科信盛彩置业有限公司</w:t>
      </w:r>
      <w:r>
        <w:rPr>
          <w:rFonts w:ascii="宋体" w:hAnsi="宋体" w:cs="宋体" w:eastAsia="宋体" w:hint="default"/>
        </w:rPr>
        <w:t>15.00%</w:t>
      </w:r>
      <w:r>
        <w:rPr/>
        <w:t>股权，本公司的母公司北京百汇 </w:t>
      </w:r>
      <w:r>
        <w:rPr>
          <w:spacing w:val="-2"/>
        </w:rPr>
        <w:t>达投资管理有限公司增资取得北京科信盛彩置业有限公司</w:t>
      </w:r>
      <w:r>
        <w:rPr>
          <w:rFonts w:ascii="宋体" w:hAnsi="宋体" w:cs="宋体" w:eastAsia="宋体" w:hint="default"/>
          <w:spacing w:val="-2"/>
        </w:rPr>
        <w:t>36.00%</w:t>
      </w:r>
      <w:r>
        <w:rPr>
          <w:spacing w:val="-2"/>
        </w:rPr>
        <w:t>股权，同时本公司与母公司北京百汇达投资管理有限公司签</w:t>
      </w:r>
      <w:r>
        <w:rPr>
          <w:spacing w:val="-60"/>
        </w:rPr>
        <w:t> </w:t>
      </w:r>
      <w:r>
        <w:rPr>
          <w:spacing w:val="-60"/>
        </w:rPr>
      </w:r>
      <w:r>
        <w:rPr>
          <w:spacing w:val="-2"/>
        </w:rPr>
        <w:t>订一致行动协议，约定自投资完成之日起，在决定北京科信盛彩置业有限公司有关经营发展、且须北京科信盛彩置业有限公</w:t>
      </w:r>
      <w:r>
        <w:rPr>
          <w:spacing w:val="-61"/>
        </w:rPr>
        <w:t> </w:t>
      </w:r>
      <w:r>
        <w:rPr>
          <w:spacing w:val="-61"/>
        </w:rPr>
      </w:r>
      <w:r>
        <w:rPr>
          <w:spacing w:val="-2"/>
        </w:rPr>
        <w:t>司股东会批准的重大事项时，北京百汇达投资管理有限公司将跟随本公司行使股东权利，与本公司保持一致，特别是行使股</w:t>
      </w:r>
      <w:r>
        <w:rPr>
          <w:spacing w:val="-63"/>
        </w:rPr>
        <w:t> </w:t>
      </w:r>
      <w:r>
        <w:rPr>
          <w:spacing w:val="-63"/>
        </w:rPr>
      </w:r>
      <w:r>
        <w:rPr>
          <w:spacing w:val="-2"/>
        </w:rPr>
        <w:t>东会召集权、提案权、表决权时采取一致行动。北京科信盛彩置业有限公司不构成业务，不属于非同一控制下企业合并。从</w:t>
      </w:r>
      <w:r>
        <w:rPr>
          <w:spacing w:val="-67"/>
        </w:rPr>
        <w:t> </w:t>
      </w:r>
      <w:r>
        <w:rPr>
          <w:spacing w:val="-67"/>
        </w:rPr>
      </w:r>
      <w:r>
        <w:rPr/>
        <w:t>购买日起北京科信盛彩置业有限公司成为本公司的子公司。</w:t>
      </w:r>
    </w:p>
    <w:p>
      <w:pPr>
        <w:spacing w:line="240" w:lineRule="auto" w:before="3"/>
        <w:rPr>
          <w:rFonts w:ascii="宋体" w:hAnsi="宋体" w:cs="宋体" w:eastAsia="宋体" w:hint="default"/>
          <w:sz w:val="13"/>
          <w:szCs w:val="13"/>
        </w:rPr>
      </w:pPr>
    </w:p>
    <w:p>
      <w:pPr>
        <w:pStyle w:val="BodyText"/>
        <w:spacing w:line="240" w:lineRule="auto"/>
        <w:ind w:left="513" w:right="1134"/>
        <w:jc w:val="left"/>
      </w:pPr>
      <w:r>
        <w:rPr/>
        <w:t>（</w:t>
      </w:r>
      <w:r>
        <w:rPr>
          <w:rFonts w:ascii="宋体" w:hAnsi="宋体" w:cs="宋体" w:eastAsia="宋体" w:hint="default"/>
        </w:rPr>
        <w:t>3</w:t>
      </w:r>
      <w:r>
        <w:rPr/>
        <w:t>）公司于</w:t>
      </w: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4</w:t>
      </w:r>
      <w:r>
        <w:rPr/>
        <w:t>日在香港成立光环新网国际有限公司。</w:t>
      </w:r>
    </w:p>
    <w:p>
      <w:pPr>
        <w:spacing w:line="240" w:lineRule="auto" w:before="3"/>
        <w:rPr>
          <w:rFonts w:ascii="宋体" w:hAnsi="宋体" w:cs="宋体" w:eastAsia="宋体" w:hint="default"/>
          <w:sz w:val="25"/>
          <w:szCs w:val="25"/>
        </w:rPr>
      </w:pPr>
    </w:p>
    <w:p>
      <w:pPr>
        <w:pStyle w:val="Heading2"/>
        <w:spacing w:line="240" w:lineRule="auto"/>
        <w:ind w:right="1134"/>
        <w:jc w:val="left"/>
        <w:rPr>
          <w:b w:val="0"/>
          <w:bCs w:val="0"/>
        </w:rPr>
      </w:pPr>
      <w:r>
        <w:rPr/>
        <w:t>八、聘任、解聘会计师事务所情况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4"/>
        <w:jc w:val="left"/>
      </w:pPr>
      <w:r>
        <w:rPr/>
        <w:t>现聘任的会计师事务所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75"/>
        <w:gridCol w:w="5695"/>
      </w:tblGrid>
      <w:tr>
        <w:trPr>
          <w:trHeight w:val="404"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中兴华会计师事务所（特殊普通合伙）</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40</w:t>
            </w:r>
          </w:p>
        </w:tc>
      </w:tr>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谢维、袁冬梅</w:t>
            </w:r>
          </w:p>
        </w:tc>
      </w:tr>
    </w:tbl>
    <w:p>
      <w:pPr>
        <w:pStyle w:val="BodyText"/>
        <w:spacing w:line="240" w:lineRule="auto" w:before="49"/>
        <w:ind w:right="1134"/>
        <w:jc w:val="left"/>
      </w:pPr>
      <w:r>
        <w:rPr/>
        <w:t>是否改聘会计师事务所</w:t>
      </w:r>
    </w:p>
    <w:p>
      <w:pPr>
        <w:pStyle w:val="BodyText"/>
        <w:spacing w:line="338" w:lineRule="auto" w:before="117"/>
        <w:ind w:right="52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340" w:lineRule="auto" w:before="43"/>
        <w:ind w:right="18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本年度，公司因重大资产重组事项，聘请西南证券股份有限公司为财务顾问，尚未支付财务顾问费。</w:t>
      </w:r>
    </w:p>
    <w:p>
      <w:pPr>
        <w:spacing w:line="240" w:lineRule="auto" w:before="7"/>
        <w:rPr>
          <w:rFonts w:ascii="宋体" w:hAnsi="宋体" w:cs="宋体" w:eastAsia="宋体" w:hint="default"/>
          <w:sz w:val="19"/>
          <w:szCs w:val="19"/>
        </w:rPr>
      </w:pPr>
    </w:p>
    <w:p>
      <w:pPr>
        <w:pStyle w:val="Heading2"/>
        <w:spacing w:line="240" w:lineRule="auto"/>
        <w:ind w:right="1134"/>
        <w:jc w:val="left"/>
        <w:rPr>
          <w:b w:val="0"/>
          <w:bCs w:val="0"/>
        </w:rPr>
      </w:pPr>
      <w:r>
        <w:rPr/>
        <w:t>九、年度报告披露后面临暂停上市和终止上市情况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4"/>
        <w:jc w:val="left"/>
        <w:rPr>
          <w:b w:val="0"/>
          <w:bCs w:val="0"/>
        </w:rPr>
      </w:pPr>
      <w:r>
        <w:rPr/>
        <w:t>十、破产重整相关事项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6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after="0" w:line="340" w:lineRule="auto"/>
        <w:jc w:val="left"/>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1134"/>
        <w:jc w:val="left"/>
        <w:rPr>
          <w:b w:val="0"/>
          <w:bCs w:val="0"/>
        </w:rPr>
      </w:pPr>
      <w:r>
        <w:rPr/>
        <w:t>十一、重大诉讼、仲裁事项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6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本报告期公司无重大诉讼、仲裁事项。</w:t>
      </w:r>
    </w:p>
    <w:p>
      <w:pPr>
        <w:spacing w:line="240" w:lineRule="auto" w:before="8"/>
        <w:rPr>
          <w:rFonts w:ascii="宋体" w:hAnsi="宋体" w:cs="宋体" w:eastAsia="宋体" w:hint="default"/>
          <w:sz w:val="19"/>
          <w:szCs w:val="19"/>
        </w:rPr>
      </w:pPr>
    </w:p>
    <w:p>
      <w:pPr>
        <w:pStyle w:val="Heading2"/>
        <w:spacing w:line="240" w:lineRule="auto"/>
        <w:ind w:right="1134"/>
        <w:jc w:val="left"/>
        <w:rPr>
          <w:b w:val="0"/>
          <w:bCs w:val="0"/>
        </w:rPr>
      </w:pPr>
      <w:r>
        <w:rPr/>
        <w:t>十二、处罚及整改情况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68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8"/>
        <w:rPr>
          <w:rFonts w:ascii="宋体" w:hAnsi="宋体" w:cs="宋体" w:eastAsia="宋体" w:hint="default"/>
          <w:sz w:val="19"/>
          <w:szCs w:val="19"/>
        </w:rPr>
      </w:pPr>
    </w:p>
    <w:p>
      <w:pPr>
        <w:pStyle w:val="Heading2"/>
        <w:spacing w:line="240" w:lineRule="auto"/>
        <w:ind w:right="1134"/>
        <w:jc w:val="left"/>
        <w:rPr>
          <w:b w:val="0"/>
          <w:bCs w:val="0"/>
        </w:rPr>
      </w:pPr>
      <w:r>
        <w:rPr/>
        <w:t>十三、公司及其控股股东、实际控制人的诚信状况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328"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报告期内，公司及其控股股东、实际控制人诚信状况良好，不存在未履行法院生效判决、所负数额较大的债务到期未清偿等</w:t>
      </w:r>
      <w:r>
        <w:rPr>
          <w:spacing w:val="-64"/>
        </w:rPr>
        <w:t> </w:t>
      </w:r>
      <w:r>
        <w:rPr>
          <w:spacing w:val="-64"/>
        </w:rPr>
      </w:r>
      <w:r>
        <w:rPr/>
        <w:t>情况。</w:t>
      </w:r>
    </w:p>
    <w:p>
      <w:pPr>
        <w:spacing w:line="240" w:lineRule="auto" w:before="13"/>
        <w:rPr>
          <w:rFonts w:ascii="宋体" w:hAnsi="宋体" w:cs="宋体" w:eastAsia="宋体" w:hint="default"/>
          <w:sz w:val="19"/>
          <w:szCs w:val="19"/>
        </w:rPr>
      </w:pPr>
    </w:p>
    <w:p>
      <w:pPr>
        <w:pStyle w:val="Heading2"/>
        <w:spacing w:line="240" w:lineRule="auto"/>
        <w:ind w:right="1134"/>
        <w:jc w:val="left"/>
        <w:rPr>
          <w:b w:val="0"/>
          <w:bCs w:val="0"/>
        </w:rPr>
      </w:pPr>
      <w:r>
        <w:rPr/>
        <w:t>十四、公司股权激励计划、员工持股计划或其他员工激励措施的实施情况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34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公司报告期无股权激励计划、员工持股计划或其他员工激励措施及其实施情况。</w:t>
      </w:r>
    </w:p>
    <w:p>
      <w:pPr>
        <w:spacing w:line="240" w:lineRule="auto" w:before="4"/>
        <w:rPr>
          <w:rFonts w:ascii="宋体" w:hAnsi="宋体" w:cs="宋体" w:eastAsia="宋体" w:hint="default"/>
          <w:sz w:val="19"/>
          <w:szCs w:val="19"/>
        </w:rPr>
      </w:pPr>
    </w:p>
    <w:p>
      <w:pPr>
        <w:pStyle w:val="Heading2"/>
        <w:spacing w:line="240" w:lineRule="auto"/>
        <w:ind w:right="1134"/>
        <w:jc w:val="left"/>
        <w:rPr>
          <w:b w:val="0"/>
          <w:bCs w:val="0"/>
        </w:rPr>
      </w:pPr>
      <w:r>
        <w:rPr/>
        <w:t>十五、重大关联交易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4"/>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56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公司报告期未发生与日常经营相关的关联交易。</w:t>
      </w:r>
    </w:p>
    <w:p>
      <w:pPr>
        <w:spacing w:line="240" w:lineRule="auto" w:before="3"/>
        <w:rPr>
          <w:rFonts w:ascii="宋体" w:hAnsi="宋体" w:cs="宋体" w:eastAsia="宋体" w:hint="default"/>
          <w:sz w:val="21"/>
          <w:szCs w:val="21"/>
        </w:rPr>
      </w:pPr>
    </w:p>
    <w:p>
      <w:pPr>
        <w:pStyle w:val="Heading3"/>
        <w:spacing w:line="240" w:lineRule="auto"/>
        <w:ind w:right="1134"/>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54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3"/>
        <w:rPr>
          <w:rFonts w:ascii="宋体" w:hAnsi="宋体" w:cs="宋体" w:eastAsia="宋体" w:hint="default"/>
          <w:sz w:val="21"/>
          <w:szCs w:val="21"/>
        </w:rPr>
      </w:pPr>
    </w:p>
    <w:p>
      <w:pPr>
        <w:pStyle w:val="Heading3"/>
        <w:spacing w:line="240" w:lineRule="auto"/>
        <w:ind w:right="1134"/>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76"/>
        <w:gridCol w:w="1073"/>
        <w:gridCol w:w="1078"/>
        <w:gridCol w:w="1224"/>
        <w:gridCol w:w="1080"/>
        <w:gridCol w:w="1349"/>
        <w:gridCol w:w="1349"/>
        <w:gridCol w:w="1342"/>
      </w:tblGrid>
      <w:tr>
        <w:trPr>
          <w:trHeight w:val="713" w:hRule="exact"/>
        </w:trPr>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sz w:val="18"/>
                <w:szCs w:val="18"/>
              </w:rPr>
              <w:t>共同投资方</w:t>
            </w:r>
          </w:p>
        </w:tc>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6" w:right="80" w:hanging="180"/>
              <w:jc w:val="left"/>
              <w:rPr>
                <w:rFonts w:ascii="宋体" w:hAnsi="宋体" w:cs="宋体" w:eastAsia="宋体" w:hint="default"/>
                <w:sz w:val="18"/>
                <w:szCs w:val="18"/>
              </w:rPr>
            </w:pPr>
            <w:r>
              <w:rPr>
                <w:rFonts w:ascii="宋体" w:hAnsi="宋体" w:cs="宋体" w:eastAsia="宋体" w:hint="default"/>
                <w:sz w:val="18"/>
                <w:szCs w:val="18"/>
              </w:rPr>
              <w:t>被投资企业 的名称</w:t>
            </w:r>
          </w:p>
        </w:tc>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7" w:right="65" w:hanging="180"/>
              <w:jc w:val="left"/>
              <w:rPr>
                <w:rFonts w:ascii="宋体" w:hAnsi="宋体" w:cs="宋体" w:eastAsia="宋体" w:hint="default"/>
                <w:sz w:val="18"/>
                <w:szCs w:val="18"/>
              </w:rPr>
            </w:pPr>
            <w:r>
              <w:rPr>
                <w:rFonts w:ascii="宋体" w:hAnsi="宋体" w:cs="宋体" w:eastAsia="宋体" w:hint="default"/>
                <w:sz w:val="18"/>
                <w:szCs w:val="18"/>
              </w:rPr>
              <w:t>被投资企业的 主营业务</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82"/>
              <w:jc w:val="left"/>
              <w:rPr>
                <w:rFonts w:ascii="宋体" w:hAnsi="宋体" w:cs="宋体" w:eastAsia="宋体" w:hint="default"/>
                <w:sz w:val="18"/>
                <w:szCs w:val="18"/>
              </w:rPr>
            </w:pPr>
            <w:r>
              <w:rPr>
                <w:rFonts w:ascii="宋体" w:hAnsi="宋体" w:cs="宋体" w:eastAsia="宋体" w:hint="default"/>
                <w:sz w:val="18"/>
                <w:szCs w:val="18"/>
              </w:rPr>
              <w:t>被投资企业 的注册资本</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9" w:right="36" w:hanging="89"/>
              <w:jc w:val="left"/>
              <w:rPr>
                <w:rFonts w:ascii="宋体" w:hAnsi="宋体" w:cs="宋体" w:eastAsia="宋体" w:hint="default"/>
                <w:sz w:val="18"/>
                <w:szCs w:val="18"/>
              </w:rPr>
            </w:pPr>
            <w:r>
              <w:rPr>
                <w:rFonts w:ascii="宋体" w:hAnsi="宋体" w:cs="宋体" w:eastAsia="宋体" w:hint="default"/>
                <w:sz w:val="18"/>
                <w:szCs w:val="18"/>
              </w:rPr>
              <w:t>被投资企业的总 资产（万元）</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9" w:right="39" w:hanging="92"/>
              <w:jc w:val="left"/>
              <w:rPr>
                <w:rFonts w:ascii="宋体" w:hAnsi="宋体" w:cs="宋体" w:eastAsia="宋体" w:hint="default"/>
                <w:sz w:val="18"/>
                <w:szCs w:val="18"/>
              </w:rPr>
            </w:pPr>
            <w:r>
              <w:rPr>
                <w:rFonts w:ascii="宋体" w:hAnsi="宋体" w:cs="宋体" w:eastAsia="宋体" w:hint="default"/>
                <w:sz w:val="18"/>
                <w:szCs w:val="18"/>
              </w:rPr>
              <w:t>被投资企业的净 资产（万元）</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7" w:right="35" w:hanging="92"/>
              <w:jc w:val="left"/>
              <w:rPr>
                <w:rFonts w:ascii="宋体" w:hAnsi="宋体" w:cs="宋体" w:eastAsia="宋体" w:hint="default"/>
                <w:sz w:val="18"/>
                <w:szCs w:val="18"/>
              </w:rPr>
            </w:pPr>
            <w:r>
              <w:rPr>
                <w:rFonts w:ascii="宋体" w:hAnsi="宋体" w:cs="宋体" w:eastAsia="宋体" w:hint="default"/>
                <w:sz w:val="18"/>
                <w:szCs w:val="18"/>
              </w:rPr>
              <w:t>被投资企业的净 利润（万元）</w:t>
            </w:r>
          </w:p>
        </w:tc>
      </w:tr>
      <w:tr>
        <w:trPr>
          <w:trHeight w:val="1027"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41"/>
              <w:jc w:val="both"/>
              <w:rPr>
                <w:rFonts w:ascii="宋体" w:hAnsi="宋体" w:cs="宋体" w:eastAsia="宋体" w:hint="default"/>
                <w:sz w:val="18"/>
                <w:szCs w:val="18"/>
              </w:rPr>
            </w:pPr>
            <w:r>
              <w:rPr>
                <w:rFonts w:ascii="宋体" w:hAnsi="宋体" w:cs="宋体" w:eastAsia="宋体" w:hint="default"/>
                <w:sz w:val="18"/>
                <w:szCs w:val="18"/>
              </w:rPr>
              <w:t>北京百汇达 投资管理有 限公司</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140"/>
              <w:jc w:val="both"/>
              <w:rPr>
                <w:rFonts w:ascii="宋体" w:hAnsi="宋体" w:cs="宋体" w:eastAsia="宋体" w:hint="default"/>
                <w:sz w:val="18"/>
                <w:szCs w:val="18"/>
              </w:rPr>
            </w:pPr>
            <w:r>
              <w:rPr>
                <w:rFonts w:ascii="宋体" w:hAnsi="宋体" w:cs="宋体" w:eastAsia="宋体" w:hint="default"/>
                <w:sz w:val="18"/>
                <w:szCs w:val="18"/>
              </w:rPr>
              <w:t>北京科信盛 彩置业有限 公司</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108"/>
              <w:jc w:val="left"/>
              <w:rPr>
                <w:rFonts w:ascii="宋体" w:hAnsi="宋体" w:cs="宋体" w:eastAsia="宋体" w:hint="default"/>
                <w:sz w:val="18"/>
                <w:szCs w:val="18"/>
              </w:rPr>
            </w:pPr>
            <w:r>
              <w:rPr>
                <w:rFonts w:ascii="宋体" w:hAnsi="宋体" w:cs="宋体" w:eastAsia="宋体" w:hint="default"/>
                <w:sz w:val="18"/>
                <w:szCs w:val="18"/>
              </w:rPr>
              <w:t>房地产开发、 物业管理</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2041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97" w:right="0"/>
              <w:jc w:val="left"/>
              <w:rPr>
                <w:rFonts w:ascii="Times New Roman" w:hAnsi="Times New Roman" w:cs="Times New Roman" w:eastAsia="Times New Roman" w:hint="default"/>
                <w:sz w:val="18"/>
                <w:szCs w:val="18"/>
              </w:rPr>
            </w:pPr>
            <w:r>
              <w:rPr>
                <w:rFonts w:ascii="Times New Roman"/>
                <w:sz w:val="18"/>
              </w:rPr>
              <w:t>47,033.35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95" w:right="0"/>
              <w:jc w:val="left"/>
              <w:rPr>
                <w:rFonts w:ascii="Times New Roman" w:hAnsi="Times New Roman" w:cs="Times New Roman" w:eastAsia="Times New Roman" w:hint="default"/>
                <w:sz w:val="18"/>
                <w:szCs w:val="18"/>
              </w:rPr>
            </w:pPr>
            <w:r>
              <w:rPr>
                <w:rFonts w:ascii="Times New Roman"/>
                <w:sz w:val="18"/>
              </w:rPr>
              <w:t>45,869.36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69.36</w:t>
            </w:r>
          </w:p>
        </w:tc>
      </w:tr>
      <w:tr>
        <w:trPr>
          <w:trHeight w:val="716" w:hRule="exact"/>
        </w:trPr>
        <w:tc>
          <w:tcPr>
            <w:tcW w:w="21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32"/>
              <w:jc w:val="left"/>
              <w:rPr>
                <w:rFonts w:ascii="宋体" w:hAnsi="宋体" w:cs="宋体" w:eastAsia="宋体" w:hint="default"/>
                <w:sz w:val="18"/>
                <w:szCs w:val="18"/>
              </w:rPr>
            </w:pPr>
            <w:r>
              <w:rPr>
                <w:rFonts w:ascii="宋体" w:hAnsi="宋体" w:cs="宋体" w:eastAsia="宋体" w:hint="default"/>
                <w:sz w:val="18"/>
                <w:szCs w:val="18"/>
              </w:rPr>
              <w:t>被投资企业的重大在建项 目的进展情况（如有）</w:t>
            </w:r>
          </w:p>
        </w:tc>
        <w:tc>
          <w:tcPr>
            <w:tcW w:w="742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6" w:right="0"/>
              <w:jc w:val="left"/>
              <w:rPr>
                <w:rFonts w:ascii="宋体" w:hAnsi="宋体" w:cs="宋体" w:eastAsia="宋体" w:hint="default"/>
                <w:sz w:val="18"/>
                <w:szCs w:val="18"/>
              </w:rPr>
            </w:pPr>
            <w:r>
              <w:rPr>
                <w:rFonts w:ascii="宋体" w:hAnsi="宋体" w:cs="宋体" w:eastAsia="宋体" w:hint="default"/>
                <w:sz w:val="18"/>
                <w:szCs w:val="18"/>
              </w:rPr>
              <w:t>被投资企业承建亦庄绿色云计算基地项目（相关信息已于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日在巨潮资讯网</w:t>
            </w:r>
          </w:p>
          <w:p>
            <w:pPr>
              <w:pStyle w:val="TableParagraph"/>
              <w:spacing w:line="240" w:lineRule="auto" w:before="63"/>
              <w:ind w:left="26" w:right="0"/>
              <w:jc w:val="left"/>
              <w:rPr>
                <w:rFonts w:ascii="宋体" w:hAnsi="宋体" w:cs="宋体" w:eastAsia="宋体" w:hint="default"/>
                <w:sz w:val="18"/>
                <w:szCs w:val="18"/>
              </w:rPr>
            </w:pPr>
            <w:hyperlink r:id="rId11">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5"/>
                  <w:w w:val="99"/>
                  <w:sz w:val="18"/>
                  <w:szCs w:val="18"/>
                </w:rPr>
                <w:t>w</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3"/>
                  <w:sz w:val="18"/>
                  <w:szCs w:val="18"/>
                </w:rPr>
                <w:t>f</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z w:val="18"/>
                  <w:szCs w:val="18"/>
                </w:rPr>
                <w:t>n</w:t>
              </w:r>
              <w:r>
                <w:rPr>
                  <w:rFonts w:ascii="Times New Roman" w:hAnsi="Times New Roman" w:cs="Times New Roman" w:eastAsia="Times New Roman" w:hint="default"/>
                  <w:spacing w:val="3"/>
                  <w:sz w:val="18"/>
                  <w:szCs w:val="18"/>
                </w:rPr>
                <w:t> </w:t>
              </w:r>
            </w:hyperlink>
            <w:r>
              <w:rPr>
                <w:rFonts w:ascii="宋体" w:hAnsi="宋体" w:cs="宋体" w:eastAsia="宋体" w:hint="default"/>
                <w:sz w:val="18"/>
                <w:szCs w:val="18"/>
              </w:rPr>
              <w:t>披露</w:t>
            </w:r>
            <w:r>
              <w:rPr>
                <w:rFonts w:ascii="宋体" w:hAnsi="宋体" w:cs="宋体" w:eastAsia="宋体" w:hint="default"/>
                <w:spacing w:val="-92"/>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总投资</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r>
              <w:rPr>
                <w:rFonts w:ascii="宋体" w:hAnsi="宋体" w:cs="宋体" w:eastAsia="宋体" w:hint="default"/>
                <w:spacing w:val="-3"/>
                <w:sz w:val="18"/>
                <w:szCs w:val="18"/>
              </w:rPr>
              <w:t>元</w:t>
            </w:r>
            <w:r>
              <w:rPr>
                <w:rFonts w:ascii="宋体" w:hAnsi="宋体" w:cs="宋体" w:eastAsia="宋体" w:hint="default"/>
                <w:spacing w:val="-8"/>
                <w:sz w:val="18"/>
                <w:szCs w:val="18"/>
              </w:rPr>
              <w:t>，</w:t>
            </w:r>
            <w:r>
              <w:rPr>
                <w:rFonts w:ascii="宋体" w:hAnsi="宋体" w:cs="宋体" w:eastAsia="宋体" w:hint="default"/>
                <w:sz w:val="18"/>
                <w:szCs w:val="18"/>
              </w:rPr>
              <w:t>本期已</w:t>
            </w:r>
            <w:r>
              <w:rPr>
                <w:rFonts w:ascii="宋体" w:hAnsi="宋体" w:cs="宋体" w:eastAsia="宋体" w:hint="default"/>
                <w:spacing w:val="-3"/>
                <w:sz w:val="18"/>
                <w:szCs w:val="18"/>
              </w:rPr>
              <w:t>累</w:t>
            </w:r>
            <w:r>
              <w:rPr>
                <w:rFonts w:ascii="宋体" w:hAnsi="宋体" w:cs="宋体" w:eastAsia="宋体" w:hint="default"/>
                <w:sz w:val="18"/>
                <w:szCs w:val="18"/>
              </w:rPr>
              <w:t>计投资金额</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元</w:t>
            </w:r>
            <w:r>
              <w:rPr>
                <w:rFonts w:ascii="宋体" w:hAnsi="宋体" w:cs="宋体" w:eastAsia="宋体" w:hint="default"/>
                <w:spacing w:val="-8"/>
                <w:sz w:val="18"/>
                <w:szCs w:val="18"/>
              </w:rPr>
              <w:t>，</w:t>
            </w:r>
            <w:r>
              <w:rPr>
                <w:rFonts w:ascii="宋体" w:hAnsi="宋体" w:cs="宋体" w:eastAsia="宋体" w:hint="default"/>
                <w:spacing w:val="-3"/>
                <w:sz w:val="18"/>
                <w:szCs w:val="18"/>
              </w:rPr>
              <w:t>其</w:t>
            </w:r>
            <w:r>
              <w:rPr>
                <w:rFonts w:ascii="宋体" w:hAnsi="宋体" w:cs="宋体" w:eastAsia="宋体" w:hint="default"/>
                <w:sz w:val="18"/>
                <w:szCs w:val="18"/>
              </w:rPr>
              <w:t>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2"/>
        <w:rPr>
          <w:rFonts w:ascii="宋体" w:hAnsi="宋体" w:cs="宋体" w:eastAsia="宋体" w:hint="default"/>
          <w:sz w:val="28"/>
          <w:szCs w:val="28"/>
        </w:rPr>
      </w:pPr>
    </w:p>
    <w:p>
      <w:pPr>
        <w:spacing w:line="38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19.1pt;mso-position-horizontal-relative:char;mso-position-vertical-relative:line" coordorigin="0,0" coordsize="9581,382">
            <v:group style="position:absolute;left:12;top:14;width:2139;height:354" coordorigin="12,14" coordsize="2139,354">
              <v:shape style="position:absolute;left:12;top:14;width:2139;height:354" coordorigin="12,14" coordsize="2139,354" path="m12,368l2151,368,2151,14,12,14,12,368xe" filled="true" fillcolor="#d2d2d2" stroked="false">
                <v:path arrowok="t"/>
                <v:fill type="solid"/>
              </v:shape>
            </v:group>
            <v:group style="position:absolute;left:10;top:10;width:2139;height:2" coordorigin="10,10" coordsize="2139,2">
              <v:shape style="position:absolute;left:10;top:10;width:2139;height:2" coordorigin="10,10" coordsize="2139,0" path="m10,10l2148,10e" filled="false" stroked="true" strokeweight=".48pt" strokecolor="#000000">
                <v:path arrowok="t"/>
              </v:shape>
            </v:group>
            <v:group style="position:absolute;left:2158;top:10;width:7413;height:2" coordorigin="2158,10" coordsize="7413,2">
              <v:shape style="position:absolute;left:2158;top:10;width:7413;height:2" coordorigin="2158,10" coordsize="7413,0" path="m2158,10l9571,10e" filled="false" stroked="true" strokeweight=".48pt" strokecolor="#000000">
                <v:path arrowok="t"/>
              </v:shape>
            </v:group>
            <v:group style="position:absolute;left:5;top:5;width:2;height:373" coordorigin="5,5" coordsize="2,373">
              <v:shape style="position:absolute;left:5;top:5;width:2;height:373" coordorigin="5,5" coordsize="0,373" path="m5,5l5,377e" filled="false" stroked="true" strokeweight=".48pt" strokecolor="#000000">
                <v:path arrowok="t"/>
              </v:shape>
            </v:group>
            <v:group style="position:absolute;left:10;top:372;width:2139;height:2" coordorigin="10,372" coordsize="2139,2">
              <v:shape style="position:absolute;left:10;top:372;width:2139;height:2" coordorigin="10,372" coordsize="2139,0" path="m10,372l2148,372e" filled="false" stroked="true" strokeweight=".48pt" strokecolor="#000000">
                <v:path arrowok="t"/>
              </v:shape>
            </v:group>
            <v:group style="position:absolute;left:2153;top:5;width:2;height:373" coordorigin="2153,5" coordsize="2,373">
              <v:shape style="position:absolute;left:2153;top:5;width:2;height:373" coordorigin="2153,5" coordsize="0,373" path="m2153,5l2153,377e" filled="false" stroked="true" strokeweight=".48pt" strokecolor="#000000">
                <v:path arrowok="t"/>
              </v:shape>
            </v:group>
            <v:group style="position:absolute;left:2158;top:372;width:7413;height:2" coordorigin="2158,372" coordsize="7413,2">
              <v:shape style="position:absolute;left:2158;top:372;width:7413;height:2" coordorigin="2158,372" coordsize="7413,0" path="m2158,372l9571,372e" filled="false" stroked="true" strokeweight=".48pt" strokecolor="#000000">
                <v:path arrowok="t"/>
              </v:shape>
            </v:group>
            <v:group style="position:absolute;left:9576;top:5;width:2;height:373" coordorigin="9576,5" coordsize="2,373">
              <v:shape style="position:absolute;left:9576;top:5;width:2;height:373" coordorigin="9576,5" coordsize="0,373" path="m9576,5l9576,377e" filled="false" stroked="true" strokeweight=".47998pt" strokecolor="#000000">
                <v:path arrowok="t"/>
              </v:shape>
              <v:shape style="position:absolute;left:2153;top:10;width:7423;height:363" type="#_x0000_t202" filled="false" stroked="false">
                <v:textbox inset="0,0,0,0">
                  <w:txbxContent>
                    <w:p>
                      <w:pPr>
                        <w:spacing w:before="13"/>
                        <w:ind w:left="31" w:right="0" w:firstLine="0"/>
                        <w:jc w:val="left"/>
                        <w:rPr>
                          <w:rFonts w:ascii="宋体" w:hAnsi="宋体" w:cs="宋体" w:eastAsia="宋体" w:hint="default"/>
                          <w:sz w:val="18"/>
                          <w:szCs w:val="18"/>
                        </w:rPr>
                      </w:pPr>
                      <w:r>
                        <w:rPr>
                          <w:rFonts w:ascii="宋体" w:hAnsi="宋体" w:cs="宋体" w:eastAsia="宋体" w:hint="default"/>
                          <w:sz w:val="18"/>
                          <w:szCs w:val="18"/>
                        </w:rPr>
                        <w:t>云计算中心已基本完成建设。</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sz w:val="18"/>
          <w:szCs w:val="18"/>
        </w:rPr>
      </w:pPr>
    </w:p>
    <w:p>
      <w:pPr>
        <w:pStyle w:val="Heading3"/>
        <w:spacing w:line="240" w:lineRule="auto" w:before="36"/>
        <w:ind w:right="1134"/>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6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公司报告期不存在关联债权债务往来。</w:t>
      </w:r>
    </w:p>
    <w:p>
      <w:pPr>
        <w:spacing w:line="240" w:lineRule="auto" w:before="7"/>
        <w:rPr>
          <w:rFonts w:ascii="宋体" w:hAnsi="宋体" w:cs="宋体" w:eastAsia="宋体" w:hint="default"/>
          <w:sz w:val="21"/>
          <w:szCs w:val="21"/>
        </w:rPr>
      </w:pPr>
    </w:p>
    <w:p>
      <w:pPr>
        <w:pStyle w:val="Heading3"/>
        <w:spacing w:line="240" w:lineRule="auto"/>
        <w:ind w:right="1134"/>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0"/>
        <w:rPr>
          <w:rFonts w:ascii="宋体" w:hAnsi="宋体" w:cs="宋体" w:eastAsia="宋体" w:hint="default"/>
          <w:sz w:val="16"/>
          <w:szCs w:val="16"/>
        </w:rPr>
      </w:pPr>
    </w:p>
    <w:p>
      <w:pPr>
        <w:pStyle w:val="BodyText"/>
        <w:spacing w:line="316" w:lineRule="auto"/>
        <w:ind w:right="144" w:firstLine="360"/>
        <w:jc w:val="left"/>
      </w:pPr>
      <w:r>
        <w:rPr/>
        <w:t>（</w:t>
      </w:r>
      <w:r>
        <w:rPr>
          <w:rFonts w:ascii="宋体" w:hAnsi="宋体" w:cs="宋体" w:eastAsia="宋体" w:hint="default"/>
        </w:rPr>
        <w:t>1</w:t>
      </w:r>
      <w:r>
        <w:rPr/>
        <w:t>）公司以子公司北京瑞科新网科技有限公司房产为抵押，并由公司董事长耿殿根作为连带责任保证人，取得招商银 行股份有限公司北京建国路支行授信额度人民币叁仟万元整，授信期为</w:t>
      </w:r>
      <w:r>
        <w:rPr>
          <w:rFonts w:ascii="宋体" w:hAnsi="宋体" w:cs="宋体" w:eastAsia="宋体" w:hint="default"/>
        </w:rPr>
        <w:t>2014</w:t>
      </w:r>
      <w:r>
        <w:rPr/>
        <w:t>年</w:t>
      </w:r>
      <w:r>
        <w:rPr>
          <w:rFonts w:ascii="宋体" w:hAnsi="宋体" w:cs="宋体" w:eastAsia="宋体" w:hint="default"/>
        </w:rPr>
        <w:t>10</w:t>
      </w:r>
      <w:r>
        <w:rPr/>
        <w:t>月</w:t>
      </w:r>
      <w:r>
        <w:rPr>
          <w:rFonts w:ascii="宋体" w:hAnsi="宋体" w:cs="宋体" w:eastAsia="宋体" w:hint="default"/>
        </w:rPr>
        <w:t>28</w:t>
      </w:r>
      <w:r>
        <w:rPr/>
        <w:t>日起至</w:t>
      </w:r>
      <w:r>
        <w:rPr>
          <w:rFonts w:ascii="宋体" w:hAnsi="宋体" w:cs="宋体" w:eastAsia="宋体" w:hint="default"/>
        </w:rPr>
        <w:t>2016</w:t>
      </w:r>
      <w:r>
        <w:rPr/>
        <w:t>年</w:t>
      </w:r>
      <w:r>
        <w:rPr>
          <w:rFonts w:ascii="宋体" w:hAnsi="宋体" w:cs="宋体" w:eastAsia="宋体" w:hint="default"/>
        </w:rPr>
        <w:t>9</w:t>
      </w:r>
      <w:r>
        <w:rPr/>
        <w:t>月</w:t>
      </w:r>
      <w:r>
        <w:rPr>
          <w:rFonts w:ascii="宋体" w:hAnsi="宋体" w:cs="宋体" w:eastAsia="宋体" w:hint="default"/>
        </w:rPr>
        <w:t>16</w:t>
      </w:r>
      <w:r>
        <w:rPr/>
        <w:t>日止。</w:t>
      </w:r>
    </w:p>
    <w:p>
      <w:pPr>
        <w:spacing w:line="240" w:lineRule="auto" w:before="5"/>
        <w:rPr>
          <w:rFonts w:ascii="宋体" w:hAnsi="宋体" w:cs="宋体" w:eastAsia="宋体" w:hint="default"/>
          <w:sz w:val="13"/>
          <w:szCs w:val="13"/>
        </w:rPr>
      </w:pPr>
    </w:p>
    <w:p>
      <w:pPr>
        <w:pStyle w:val="BodyText"/>
        <w:spacing w:line="316" w:lineRule="auto"/>
        <w:ind w:right="151" w:firstLine="360"/>
        <w:jc w:val="both"/>
      </w:pPr>
      <w:r>
        <w:rPr/>
        <w:t>（</w:t>
      </w:r>
      <w:r>
        <w:rPr>
          <w:rFonts w:ascii="宋体" w:hAnsi="宋体" w:cs="宋体" w:eastAsia="宋体" w:hint="default"/>
        </w:rPr>
        <w:t>2</w:t>
      </w:r>
      <w:r>
        <w:rPr/>
        <w:t>）公司以货币资金、贷款余额为限额的应收账款作为质押，并由公司董事长耿殿根作为连带责任保证人，与花旗银 </w:t>
      </w:r>
      <w:r>
        <w:rPr>
          <w:spacing w:val="-5"/>
        </w:rPr>
        <w:t>行（中国）有限公司北京分行于</w:t>
      </w:r>
      <w:r>
        <w:rPr>
          <w:rFonts w:ascii="宋体" w:hAnsi="宋体" w:cs="宋体" w:eastAsia="宋体" w:hint="default"/>
          <w:spacing w:val="-5"/>
        </w:rPr>
        <w:t>2015</w:t>
      </w:r>
      <w:r>
        <w:rPr>
          <w:spacing w:val="-5"/>
        </w:rPr>
        <w:t>年</w:t>
      </w:r>
      <w:r>
        <w:rPr>
          <w:rFonts w:ascii="宋体" w:hAnsi="宋体" w:cs="宋体" w:eastAsia="宋体" w:hint="default"/>
          <w:spacing w:val="-5"/>
        </w:rPr>
        <w:t>7</w:t>
      </w:r>
      <w:r>
        <w:rPr>
          <w:spacing w:val="-5"/>
        </w:rPr>
        <w:t>月</w:t>
      </w:r>
      <w:r>
        <w:rPr>
          <w:rFonts w:ascii="宋体" w:hAnsi="宋体" w:cs="宋体" w:eastAsia="宋体" w:hint="default"/>
          <w:spacing w:val="-5"/>
        </w:rPr>
        <w:t>6</w:t>
      </w:r>
      <w:r>
        <w:rPr>
          <w:spacing w:val="-5"/>
        </w:rPr>
        <w:t>日签订非承诺性短期循环融资协议（编号：</w:t>
      </w:r>
      <w:r>
        <w:rPr>
          <w:rFonts w:ascii="宋体" w:hAnsi="宋体" w:cs="宋体" w:eastAsia="宋体" w:hint="default"/>
          <w:spacing w:val="-5"/>
        </w:rPr>
        <w:t>FA775626150706</w:t>
      </w:r>
      <w:r>
        <w:rPr>
          <w:spacing w:val="-5"/>
        </w:rPr>
        <w:t>），花旗银行（中国）</w:t>
      </w:r>
      <w:r>
        <w:rPr>
          <w:spacing w:val="-37"/>
        </w:rPr>
        <w:t> </w:t>
      </w:r>
      <w:r>
        <w:rPr>
          <w:spacing w:val="-37"/>
        </w:rPr>
      </w:r>
      <w:r>
        <w:rPr/>
        <w:t>有限公司北京分行向本公司提供授信额度为人民币叁仟壹佰万元整。</w:t>
      </w:r>
    </w:p>
    <w:p>
      <w:pPr>
        <w:spacing w:line="240" w:lineRule="auto" w:before="5"/>
        <w:rPr>
          <w:rFonts w:ascii="宋体" w:hAnsi="宋体" w:cs="宋体" w:eastAsia="宋体" w:hint="default"/>
          <w:sz w:val="13"/>
          <w:szCs w:val="13"/>
        </w:rPr>
      </w:pPr>
    </w:p>
    <w:p>
      <w:pPr>
        <w:pStyle w:val="BodyText"/>
        <w:spacing w:line="316" w:lineRule="auto"/>
        <w:ind w:right="144" w:firstLine="360"/>
        <w:jc w:val="left"/>
      </w:pPr>
      <w:r>
        <w:rPr/>
        <w:t>（</w:t>
      </w:r>
      <w:r>
        <w:rPr>
          <w:rFonts w:ascii="宋体" w:hAnsi="宋体" w:cs="宋体" w:eastAsia="宋体" w:hint="default"/>
        </w:rPr>
        <w:t>3</w:t>
      </w:r>
      <w:r>
        <w:rPr/>
        <w:t>）公司与远东宏信（天津）融资租赁有限公司签订相关售后回租合同，将公司拥有的部分生产设备以“售后回租” 租赁方式与远东宏信开展融资租赁交易，开展融资租赁售后回租的固定资产账面余额</w:t>
      </w:r>
      <w:r>
        <w:rPr>
          <w:rFonts w:ascii="宋体" w:hAnsi="宋体" w:cs="宋体" w:eastAsia="宋体" w:hint="default"/>
        </w:rPr>
        <w:t>100,037,402.99</w:t>
      </w:r>
      <w:r>
        <w:rPr/>
        <w:t>元，融资金额 </w:t>
      </w:r>
      <w:r>
        <w:rPr>
          <w:rFonts w:ascii="宋体" w:hAnsi="宋体" w:cs="宋体" w:eastAsia="宋体" w:hint="default"/>
          <w:spacing w:val="-2"/>
        </w:rPr>
        <w:t>100,000,000.00</w:t>
      </w:r>
      <w:r>
        <w:rPr>
          <w:spacing w:val="-2"/>
        </w:rPr>
        <w:t>元，融资期限为三年，租赁期满，公司以留购价格</w:t>
      </w:r>
      <w:r>
        <w:rPr>
          <w:rFonts w:ascii="宋体" w:hAnsi="宋体" w:cs="宋体" w:eastAsia="宋体" w:hint="default"/>
          <w:spacing w:val="-2"/>
        </w:rPr>
        <w:t>1,000.00</w:t>
      </w:r>
      <w:r>
        <w:rPr>
          <w:spacing w:val="-2"/>
        </w:rPr>
        <w:t>元回购该部分生产设备的所有权。公司董事长耿</w:t>
      </w:r>
      <w:r>
        <w:rPr>
          <w:spacing w:val="-50"/>
        </w:rPr>
        <w:t> </w:t>
      </w:r>
      <w:r>
        <w:rPr>
          <w:spacing w:val="-50"/>
        </w:rPr>
      </w:r>
      <w:r>
        <w:rPr/>
        <w:t>殿根为连带责任保证人。</w:t>
      </w:r>
    </w:p>
    <w:p>
      <w:pPr>
        <w:pStyle w:val="BodyText"/>
        <w:spacing w:line="240" w:lineRule="auto" w:before="59"/>
        <w:ind w:right="1134"/>
        <w:jc w:val="left"/>
      </w:pPr>
      <w:r>
        <w:rPr/>
        <w:t>重大关联交易临时报告披露网站相关查询</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59"/>
        <w:gridCol w:w="2650"/>
        <w:gridCol w:w="3461"/>
      </w:tblGrid>
      <w:tr>
        <w:trPr>
          <w:trHeight w:val="403"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9"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8"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401"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关于向银行申请授信额度的公告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关于向银行申请授信额度的公告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1"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关于开展融资租赁业务的公告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bl>
    <w:p>
      <w:pPr>
        <w:spacing w:line="240" w:lineRule="auto" w:before="1"/>
        <w:rPr>
          <w:rFonts w:ascii="宋体" w:hAnsi="宋体" w:cs="宋体" w:eastAsia="宋体" w:hint="default"/>
          <w:sz w:val="18"/>
          <w:szCs w:val="18"/>
        </w:rPr>
      </w:pPr>
    </w:p>
    <w:p>
      <w:pPr>
        <w:pStyle w:val="Heading2"/>
        <w:spacing w:line="240" w:lineRule="auto" w:before="26"/>
        <w:ind w:right="1134"/>
        <w:jc w:val="left"/>
        <w:rPr>
          <w:b w:val="0"/>
          <w:bCs w:val="0"/>
        </w:rPr>
      </w:pPr>
      <w:r>
        <w:rPr/>
        <w:t>十六、重大合同及其履行情况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4"/>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4"/>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3"/>
        <w:rPr>
          <w:rFonts w:ascii="宋体" w:hAnsi="宋体" w:cs="宋体" w:eastAsia="宋体" w:hint="default"/>
          <w:sz w:val="21"/>
          <w:szCs w:val="21"/>
        </w:rPr>
      </w:pPr>
    </w:p>
    <w:p>
      <w:pPr>
        <w:pStyle w:val="Heading3"/>
        <w:spacing w:line="240" w:lineRule="auto"/>
        <w:ind w:right="1134"/>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after="0" w:line="3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14"/>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5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租赁情况说明</w:t>
      </w:r>
    </w:p>
    <w:p>
      <w:pPr>
        <w:pStyle w:val="BodyText"/>
        <w:spacing w:line="240" w:lineRule="auto" w:before="161"/>
        <w:ind w:left="513" w:right="114"/>
        <w:jc w:val="left"/>
      </w:pPr>
      <w:r>
        <w:rPr>
          <w:rFonts w:ascii="宋体" w:hAnsi="宋体" w:cs="宋体" w:eastAsia="宋体" w:hint="default"/>
        </w:rPr>
        <w:t>1</w:t>
      </w:r>
      <w:r>
        <w:rPr/>
        <w:t>、截至报告期末，公司重大租赁房产情况如下：</w:t>
      </w:r>
    </w:p>
    <w:p>
      <w:pPr>
        <w:spacing w:line="240" w:lineRule="auto" w:before="0"/>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562"/>
        <w:gridCol w:w="708"/>
        <w:gridCol w:w="1135"/>
        <w:gridCol w:w="1693"/>
        <w:gridCol w:w="1102"/>
        <w:gridCol w:w="852"/>
        <w:gridCol w:w="1426"/>
        <w:gridCol w:w="509"/>
        <w:gridCol w:w="1073"/>
      </w:tblGrid>
      <w:tr>
        <w:trPr>
          <w:trHeight w:val="434" w:hRule="exact"/>
        </w:trPr>
        <w:tc>
          <w:tcPr>
            <w:tcW w:w="56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61"/>
              <w:ind w:left="11"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708"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61"/>
              <w:ind w:left="62" w:right="0"/>
              <w:jc w:val="left"/>
              <w:rPr>
                <w:rFonts w:ascii="宋体" w:hAnsi="宋体" w:cs="宋体" w:eastAsia="宋体" w:hint="default"/>
                <w:sz w:val="18"/>
                <w:szCs w:val="18"/>
              </w:rPr>
            </w:pPr>
            <w:r>
              <w:rPr>
                <w:rFonts w:ascii="宋体" w:hAnsi="宋体" w:cs="宋体" w:eastAsia="宋体" w:hint="default"/>
                <w:b/>
                <w:bCs/>
                <w:sz w:val="18"/>
                <w:szCs w:val="18"/>
              </w:rPr>
              <w:t>承租方</w:t>
            </w:r>
            <w:r>
              <w:rPr>
                <w:rFonts w:ascii="宋体" w:hAnsi="宋体" w:cs="宋体" w:eastAsia="宋体" w:hint="default"/>
                <w:sz w:val="18"/>
                <w:szCs w:val="18"/>
              </w:rPr>
            </w:r>
          </w:p>
        </w:tc>
        <w:tc>
          <w:tcPr>
            <w:tcW w:w="1135"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61"/>
              <w:ind w:left="278" w:right="0"/>
              <w:jc w:val="left"/>
              <w:rPr>
                <w:rFonts w:ascii="宋体" w:hAnsi="宋体" w:cs="宋体" w:eastAsia="宋体" w:hint="default"/>
                <w:sz w:val="18"/>
                <w:szCs w:val="18"/>
              </w:rPr>
            </w:pPr>
            <w:r>
              <w:rPr>
                <w:rFonts w:ascii="宋体" w:hAnsi="宋体" w:cs="宋体" w:eastAsia="宋体" w:hint="default"/>
                <w:b/>
                <w:bCs/>
                <w:sz w:val="18"/>
                <w:szCs w:val="18"/>
              </w:rPr>
              <w:t>出租方</w:t>
            </w:r>
            <w:r>
              <w:rPr>
                <w:rFonts w:ascii="宋体" w:hAnsi="宋体" w:cs="宋体" w:eastAsia="宋体" w:hint="default"/>
                <w:sz w:val="18"/>
                <w:szCs w:val="18"/>
              </w:rPr>
            </w:r>
          </w:p>
        </w:tc>
        <w:tc>
          <w:tcPr>
            <w:tcW w:w="1693"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61"/>
              <w:ind w:right="4"/>
              <w:jc w:val="center"/>
              <w:rPr>
                <w:rFonts w:ascii="宋体" w:hAnsi="宋体" w:cs="宋体" w:eastAsia="宋体" w:hint="default"/>
                <w:sz w:val="18"/>
                <w:szCs w:val="18"/>
              </w:rPr>
            </w:pPr>
            <w:r>
              <w:rPr>
                <w:rFonts w:ascii="宋体" w:hAnsi="宋体" w:cs="宋体" w:eastAsia="宋体" w:hint="default"/>
                <w:b/>
                <w:bCs/>
                <w:sz w:val="18"/>
                <w:szCs w:val="18"/>
              </w:rPr>
              <w:t>座落</w:t>
            </w:r>
            <w:r>
              <w:rPr>
                <w:rFonts w:ascii="宋体" w:hAnsi="宋体" w:cs="宋体" w:eastAsia="宋体" w:hint="default"/>
                <w:sz w:val="18"/>
                <w:szCs w:val="18"/>
              </w:rPr>
            </w:r>
          </w:p>
        </w:tc>
        <w:tc>
          <w:tcPr>
            <w:tcW w:w="1102"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61"/>
              <w:ind w:left="170" w:right="0"/>
              <w:jc w:val="left"/>
              <w:rPr>
                <w:rFonts w:ascii="宋体" w:hAnsi="宋体" w:cs="宋体" w:eastAsia="宋体" w:hint="default"/>
                <w:sz w:val="18"/>
                <w:szCs w:val="18"/>
              </w:rPr>
            </w:pPr>
            <w:r>
              <w:rPr>
                <w:rFonts w:ascii="宋体" w:hAnsi="宋体" w:cs="宋体" w:eastAsia="宋体" w:hint="default"/>
                <w:b/>
                <w:bCs/>
                <w:sz w:val="18"/>
                <w:szCs w:val="18"/>
              </w:rPr>
              <w:t>房产证号</w:t>
            </w:r>
            <w:r>
              <w:rPr>
                <w:rFonts w:ascii="宋体" w:hAnsi="宋体" w:cs="宋体" w:eastAsia="宋体" w:hint="default"/>
                <w:sz w:val="18"/>
                <w:szCs w:val="18"/>
              </w:rPr>
            </w:r>
          </w:p>
        </w:tc>
        <w:tc>
          <w:tcPr>
            <w:tcW w:w="852"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b/>
                <w:bCs/>
                <w:sz w:val="18"/>
                <w:szCs w:val="18"/>
              </w:rPr>
              <w:t>面积（㎡</w:t>
            </w:r>
            <w:r>
              <w:rPr>
                <w:rFonts w:ascii="宋体" w:hAnsi="宋体" w:cs="宋体" w:eastAsia="宋体" w:hint="default"/>
                <w:sz w:val="18"/>
                <w:szCs w:val="18"/>
              </w:rPr>
            </w:r>
          </w:p>
        </w:tc>
        <w:tc>
          <w:tcPr>
            <w:tcW w:w="1426"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61"/>
              <w:ind w:left="-133" w:right="0"/>
              <w:jc w:val="left"/>
              <w:rPr>
                <w:rFonts w:ascii="宋体" w:hAnsi="宋体" w:cs="宋体" w:eastAsia="宋体" w:hint="default"/>
                <w:sz w:val="18"/>
                <w:szCs w:val="18"/>
              </w:rPr>
            </w:pPr>
            <w:r>
              <w:rPr>
                <w:rFonts w:ascii="宋体" w:hAnsi="宋体" w:cs="宋体" w:eastAsia="宋体" w:hint="default"/>
                <w:b/>
                <w:bCs/>
                <w:sz w:val="18"/>
                <w:szCs w:val="18"/>
              </w:rPr>
              <w:t>） </w:t>
            </w:r>
            <w:r>
              <w:rPr>
                <w:rFonts w:ascii="宋体" w:hAnsi="宋体" w:cs="宋体" w:eastAsia="宋体" w:hint="default"/>
                <w:b/>
                <w:bCs/>
                <w:spacing w:val="10"/>
                <w:sz w:val="18"/>
                <w:szCs w:val="18"/>
              </w:rPr>
              <w:t> </w:t>
            </w:r>
            <w:r>
              <w:rPr>
                <w:rFonts w:ascii="宋体" w:hAnsi="宋体" w:cs="宋体" w:eastAsia="宋体" w:hint="default"/>
                <w:b/>
                <w:bCs/>
                <w:sz w:val="18"/>
                <w:szCs w:val="18"/>
              </w:rPr>
              <w:t>租金（元）</w:t>
            </w:r>
            <w:r>
              <w:rPr>
                <w:rFonts w:ascii="宋体" w:hAnsi="宋体" w:cs="宋体" w:eastAsia="宋体" w:hint="default"/>
                <w:sz w:val="18"/>
                <w:szCs w:val="18"/>
              </w:rPr>
            </w:r>
          </w:p>
        </w:tc>
        <w:tc>
          <w:tcPr>
            <w:tcW w:w="509"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61"/>
              <w:ind w:left="55" w:right="0"/>
              <w:jc w:val="left"/>
              <w:rPr>
                <w:rFonts w:ascii="宋体" w:hAnsi="宋体" w:cs="宋体" w:eastAsia="宋体" w:hint="default"/>
                <w:sz w:val="18"/>
                <w:szCs w:val="18"/>
              </w:rPr>
            </w:pPr>
            <w:r>
              <w:rPr>
                <w:rFonts w:ascii="宋体" w:hAnsi="宋体" w:cs="宋体" w:eastAsia="宋体" w:hint="default"/>
                <w:b/>
                <w:bCs/>
                <w:sz w:val="18"/>
                <w:szCs w:val="18"/>
              </w:rPr>
              <w:t>用途</w:t>
            </w:r>
            <w:r>
              <w:rPr>
                <w:rFonts w:ascii="宋体" w:hAnsi="宋体" w:cs="宋体" w:eastAsia="宋体" w:hint="default"/>
                <w:sz w:val="18"/>
                <w:szCs w:val="18"/>
              </w:rPr>
            </w:r>
          </w:p>
        </w:tc>
        <w:tc>
          <w:tcPr>
            <w:tcW w:w="1073"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61"/>
              <w:ind w:left="155" w:right="0"/>
              <w:jc w:val="left"/>
              <w:rPr>
                <w:rFonts w:ascii="宋体" w:hAnsi="宋体" w:cs="宋体" w:eastAsia="宋体" w:hint="default"/>
                <w:sz w:val="18"/>
                <w:szCs w:val="18"/>
              </w:rPr>
            </w:pPr>
            <w:r>
              <w:rPr>
                <w:rFonts w:ascii="宋体" w:hAnsi="宋体" w:cs="宋体" w:eastAsia="宋体" w:hint="default"/>
                <w:b/>
                <w:bCs/>
                <w:sz w:val="18"/>
                <w:szCs w:val="18"/>
              </w:rPr>
              <w:t>租赁期限</w:t>
            </w:r>
            <w:r>
              <w:rPr>
                <w:rFonts w:ascii="宋体" w:hAnsi="宋体" w:cs="宋体" w:eastAsia="宋体" w:hint="default"/>
                <w:sz w:val="18"/>
                <w:szCs w:val="18"/>
              </w:rPr>
            </w:r>
          </w:p>
        </w:tc>
      </w:tr>
      <w:tr>
        <w:trPr>
          <w:trHeight w:val="1450" w:hRule="exact"/>
        </w:trPr>
        <w:tc>
          <w:tcPr>
            <w:tcW w:w="562"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98"/>
              <w:ind w:left="6" w:right="0"/>
              <w:jc w:val="center"/>
              <w:rPr>
                <w:rFonts w:ascii="Times New Roman" w:hAnsi="Times New Roman" w:cs="Times New Roman" w:eastAsia="Times New Roman" w:hint="default"/>
                <w:sz w:val="18"/>
                <w:szCs w:val="18"/>
              </w:rPr>
            </w:pPr>
            <w:r>
              <w:rPr>
                <w:rFonts w:ascii="Times New Roman"/>
                <w:b/>
                <w:sz w:val="18"/>
              </w:rPr>
              <w:t>1</w:t>
            </w:r>
            <w:r>
              <w:rPr>
                <w:rFonts w:ascii="Times New Roman"/>
                <w:sz w:val="18"/>
              </w:rPr>
            </w:r>
          </w:p>
        </w:tc>
        <w:tc>
          <w:tcPr>
            <w:tcW w:w="708" w:type="dxa"/>
            <w:tcBorders>
              <w:top w:val="single" w:sz="12" w:space="0" w:color="000000"/>
              <w:left w:val="single" w:sz="12" w:space="0" w:color="000000"/>
              <w:bottom w:val="single" w:sz="12" w:space="0" w:color="000000"/>
              <w:right w:val="single" w:sz="12" w:space="0" w:color="000000"/>
            </w:tcBorders>
          </w:tcPr>
          <w:p>
            <w:pPr>
              <w:pStyle w:val="TableParagraph"/>
              <w:spacing w:line="357" w:lineRule="auto" w:before="51"/>
              <w:ind w:left="153" w:right="163"/>
              <w:jc w:val="left"/>
              <w:rPr>
                <w:rFonts w:ascii="宋体" w:hAnsi="宋体" w:cs="宋体" w:eastAsia="宋体" w:hint="default"/>
                <w:sz w:val="18"/>
                <w:szCs w:val="18"/>
              </w:rPr>
            </w:pPr>
            <w:r>
              <w:rPr>
                <w:rFonts w:ascii="宋体" w:hAnsi="宋体" w:cs="宋体" w:eastAsia="宋体" w:hint="default"/>
                <w:sz w:val="18"/>
                <w:szCs w:val="18"/>
              </w:rPr>
              <w:t>光环 云谷</w:t>
            </w:r>
          </w:p>
        </w:tc>
        <w:tc>
          <w:tcPr>
            <w:tcW w:w="1135"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51"/>
              <w:ind w:left="-3" w:right="-1"/>
              <w:jc w:val="both"/>
              <w:rPr>
                <w:rFonts w:ascii="宋体" w:hAnsi="宋体" w:cs="宋体" w:eastAsia="宋体" w:hint="default"/>
                <w:sz w:val="18"/>
                <w:szCs w:val="18"/>
              </w:rPr>
            </w:pPr>
            <w:r>
              <w:rPr>
                <w:rFonts w:ascii="宋体" w:hAnsi="宋体" w:cs="宋体" w:eastAsia="宋体" w:hint="default"/>
                <w:spacing w:val="4"/>
                <w:sz w:val="18"/>
                <w:szCs w:val="18"/>
              </w:rPr>
              <w:t>三河市岩峰市 政工程建筑安 </w:t>
            </w:r>
            <w:r>
              <w:rPr>
                <w:rFonts w:ascii="宋体" w:hAnsi="宋体" w:cs="宋体" w:eastAsia="宋体" w:hint="default"/>
                <w:sz w:val="18"/>
                <w:szCs w:val="18"/>
              </w:rPr>
              <w:t>装有限公司</w:t>
            </w:r>
          </w:p>
        </w:tc>
        <w:tc>
          <w:tcPr>
            <w:tcW w:w="1693" w:type="dxa"/>
            <w:tcBorders>
              <w:top w:val="single" w:sz="12" w:space="0" w:color="000000"/>
              <w:left w:val="single" w:sz="12" w:space="0" w:color="000000"/>
              <w:bottom w:val="single" w:sz="12" w:space="0" w:color="000000"/>
              <w:right w:val="single" w:sz="12" w:space="0" w:color="000000"/>
            </w:tcBorders>
          </w:tcPr>
          <w:p>
            <w:pPr>
              <w:pStyle w:val="TableParagraph"/>
              <w:spacing w:line="314" w:lineRule="auto" w:before="51"/>
              <w:ind w:left="-5" w:right="46"/>
              <w:jc w:val="left"/>
              <w:rPr>
                <w:rFonts w:ascii="宋体" w:hAnsi="宋体" w:cs="宋体" w:eastAsia="宋体" w:hint="default"/>
                <w:sz w:val="18"/>
                <w:szCs w:val="18"/>
              </w:rPr>
            </w:pPr>
            <w:r>
              <w:rPr>
                <w:rFonts w:ascii="宋体" w:hAnsi="宋体" w:cs="宋体" w:eastAsia="宋体" w:hint="default"/>
                <w:sz w:val="18"/>
                <w:szCs w:val="18"/>
              </w:rPr>
              <w:t>三河市燕郊开发区北 一路南侧</w:t>
            </w:r>
          </w:p>
        </w:tc>
        <w:tc>
          <w:tcPr>
            <w:tcW w:w="11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left="70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8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left="187" w:right="0"/>
              <w:jc w:val="left"/>
              <w:rPr>
                <w:rFonts w:ascii="Times New Roman" w:hAnsi="Times New Roman" w:cs="Times New Roman" w:eastAsia="Times New Roman" w:hint="default"/>
                <w:sz w:val="18"/>
                <w:szCs w:val="18"/>
              </w:rPr>
            </w:pPr>
            <w:r>
              <w:rPr>
                <w:rFonts w:ascii="Times New Roman"/>
                <w:sz w:val="18"/>
              </w:rPr>
              <w:t>11,089.3</w:t>
            </w:r>
          </w:p>
        </w:tc>
        <w:tc>
          <w:tcPr>
            <w:tcW w:w="14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2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6,071,391.75/</w:t>
            </w:r>
            <w:r>
              <w:rPr>
                <w:rFonts w:ascii="宋体" w:hAnsi="宋体" w:cs="宋体" w:eastAsia="宋体" w:hint="default"/>
                <w:sz w:val="18"/>
                <w:szCs w:val="18"/>
              </w:rPr>
              <w:t>年</w:t>
            </w:r>
          </w:p>
        </w:tc>
        <w:tc>
          <w:tcPr>
            <w:tcW w:w="5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55" w:right="0"/>
              <w:jc w:val="left"/>
              <w:rPr>
                <w:rFonts w:ascii="宋体" w:hAnsi="宋体" w:cs="宋体" w:eastAsia="宋体" w:hint="default"/>
                <w:sz w:val="18"/>
                <w:szCs w:val="18"/>
              </w:rPr>
            </w:pPr>
            <w:r>
              <w:rPr>
                <w:rFonts w:ascii="宋体" w:hAnsi="宋体" w:cs="宋体" w:eastAsia="宋体" w:hint="default"/>
                <w:sz w:val="18"/>
                <w:szCs w:val="18"/>
              </w:rPr>
              <w:t>机房</w:t>
            </w:r>
          </w:p>
        </w:tc>
        <w:tc>
          <w:tcPr>
            <w:tcW w:w="107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3" w:right="0"/>
              <w:jc w:val="left"/>
              <w:rPr>
                <w:rFonts w:ascii="宋体" w:hAnsi="宋体" w:cs="宋体" w:eastAsia="宋体" w:hint="default"/>
                <w:sz w:val="18"/>
                <w:szCs w:val="18"/>
              </w:rPr>
            </w:pPr>
            <w:r>
              <w:rPr>
                <w:rFonts w:ascii="宋体" w:hAnsi="宋体" w:cs="宋体" w:eastAsia="宋体" w:hint="default"/>
                <w:sz w:val="18"/>
                <w:szCs w:val="18"/>
              </w:rPr>
              <w:t>计 租 期</w:t>
            </w:r>
            <w:r>
              <w:rPr>
                <w:rFonts w:ascii="宋体" w:hAnsi="宋体" w:cs="宋体" w:eastAsia="宋体" w:hint="default"/>
                <w:spacing w:val="53"/>
                <w:sz w:val="18"/>
                <w:szCs w:val="18"/>
              </w:rPr>
              <w:t> </w:t>
            </w:r>
            <w:r>
              <w:rPr>
                <w:rFonts w:ascii="宋体" w:hAnsi="宋体" w:cs="宋体" w:eastAsia="宋体" w:hint="default"/>
                <w:sz w:val="18"/>
                <w:szCs w:val="18"/>
              </w:rPr>
              <w:t>为</w:t>
            </w:r>
          </w:p>
          <w:p>
            <w:pPr>
              <w:pStyle w:val="TableParagraph"/>
              <w:spacing w:line="240" w:lineRule="auto" w:before="116"/>
              <w:ind w:left="-3" w:right="0"/>
              <w:jc w:val="left"/>
              <w:rPr>
                <w:rFonts w:ascii="Times New Roman" w:hAnsi="Times New Roman" w:cs="Times New Roman" w:eastAsia="Times New Roman" w:hint="default"/>
                <w:sz w:val="18"/>
                <w:szCs w:val="18"/>
              </w:rPr>
            </w:pPr>
            <w:r>
              <w:rPr>
                <w:rFonts w:ascii="Times New Roman"/>
                <w:sz w:val="18"/>
              </w:rPr>
              <w:t>2014.01.01</w:t>
            </w:r>
          </w:p>
          <w:p>
            <w:pPr>
              <w:pStyle w:val="TableParagraph"/>
              <w:spacing w:line="410" w:lineRule="auto" w:before="146"/>
              <w:ind w:left="-3" w:right="23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r>
              <w:rPr>
                <w:rFonts w:ascii="Times New Roman" w:hAnsi="Times New Roman" w:cs="Times New Roman" w:eastAsia="Times New Roman" w:hint="default"/>
                <w:sz w:val="18"/>
                <w:szCs w:val="18"/>
              </w:rPr>
              <w:t>2023.12.31</w:t>
            </w:r>
          </w:p>
        </w:tc>
      </w:tr>
    </w:tbl>
    <w:p>
      <w:pPr>
        <w:spacing w:line="240" w:lineRule="auto" w:before="2"/>
        <w:rPr>
          <w:rFonts w:ascii="宋体" w:hAnsi="宋体" w:cs="宋体" w:eastAsia="宋体" w:hint="default"/>
          <w:sz w:val="9"/>
          <w:szCs w:val="9"/>
        </w:rPr>
      </w:pPr>
    </w:p>
    <w:p>
      <w:pPr>
        <w:pStyle w:val="BodyText"/>
        <w:spacing w:line="316" w:lineRule="auto" w:before="44"/>
        <w:ind w:right="114" w:firstLine="360"/>
        <w:jc w:val="left"/>
      </w:pPr>
      <w:r>
        <w:rPr>
          <w:spacing w:val="-2"/>
        </w:rPr>
        <w:t>本公司之子公司光环云谷科技有限公司经营用数据机房所用场地的租赁性质为经营租赁，合同总金额</w:t>
      </w:r>
      <w:r>
        <w:rPr>
          <w:rFonts w:ascii="宋体" w:hAnsi="宋体" w:cs="宋体" w:eastAsia="宋体" w:hint="default"/>
          <w:spacing w:val="-2"/>
        </w:rPr>
        <w:t>60,713,917.50</w:t>
      </w:r>
      <w:r>
        <w:rPr>
          <w:spacing w:val="-2"/>
        </w:rPr>
        <w:t>元，</w:t>
      </w:r>
      <w:r>
        <w:rPr/>
        <w:t> 租期</w:t>
      </w:r>
      <w:r>
        <w:rPr>
          <w:rFonts w:ascii="宋体" w:hAnsi="宋体" w:cs="宋体" w:eastAsia="宋体" w:hint="default"/>
        </w:rPr>
        <w:t>10</w:t>
      </w:r>
      <w:r>
        <w:rPr/>
        <w:t>年，年租金</w:t>
      </w:r>
      <w:r>
        <w:rPr>
          <w:rFonts w:ascii="宋体" w:hAnsi="宋体" w:cs="宋体" w:eastAsia="宋体" w:hint="default"/>
        </w:rPr>
        <w:t>6,071,391.75</w:t>
      </w:r>
      <w:r>
        <w:rPr/>
        <w:t>元，本公司已支付相应租金。</w:t>
      </w:r>
    </w:p>
    <w:p>
      <w:pPr>
        <w:spacing w:line="240" w:lineRule="auto" w:before="5"/>
        <w:rPr>
          <w:rFonts w:ascii="宋体" w:hAnsi="宋体" w:cs="宋体" w:eastAsia="宋体" w:hint="default"/>
          <w:sz w:val="13"/>
          <w:szCs w:val="13"/>
        </w:rPr>
      </w:pPr>
    </w:p>
    <w:p>
      <w:pPr>
        <w:pStyle w:val="BodyText"/>
        <w:spacing w:line="240" w:lineRule="auto"/>
        <w:ind w:left="513" w:right="0"/>
        <w:jc w:val="left"/>
      </w:pPr>
      <w:r>
        <w:rPr>
          <w:rFonts w:ascii="宋体" w:hAnsi="宋体" w:cs="宋体" w:eastAsia="宋体" w:hint="default"/>
        </w:rPr>
        <w:t>2</w:t>
      </w:r>
      <w:r>
        <w:rPr/>
        <w:t>、子公司北京科信盛彩置业有限公司固定资产中印刷车间、成品库、原料库已于</w:t>
      </w:r>
      <w:r>
        <w:rPr>
          <w:rFonts w:ascii="宋体" w:hAnsi="宋体" w:cs="宋体" w:eastAsia="宋体" w:hint="default"/>
        </w:rPr>
        <w:t>2014</w:t>
      </w:r>
      <w:r>
        <w:rPr/>
        <w:t>年</w:t>
      </w:r>
      <w:r>
        <w:rPr>
          <w:rFonts w:ascii="宋体" w:hAnsi="宋体" w:cs="宋体" w:eastAsia="宋体" w:hint="default"/>
        </w:rPr>
        <w:t>7</w:t>
      </w:r>
      <w:r>
        <w:rPr/>
        <w:t>月</w:t>
      </w:r>
      <w:r>
        <w:rPr>
          <w:rFonts w:ascii="宋体" w:hAnsi="宋体" w:cs="宋体" w:eastAsia="宋体" w:hint="default"/>
        </w:rPr>
        <w:t>1</w:t>
      </w:r>
      <w:r>
        <w:rPr/>
        <w:t>日出租，租期</w:t>
      </w:r>
      <w:r>
        <w:rPr>
          <w:rFonts w:ascii="宋体" w:hAnsi="宋体" w:cs="宋体" w:eastAsia="宋体" w:hint="default"/>
        </w:rPr>
        <w:t>9</w:t>
      </w:r>
      <w:r>
        <w:rPr/>
        <w:t>年，年租金</w:t>
      </w:r>
    </w:p>
    <w:p>
      <w:pPr>
        <w:pStyle w:val="BodyText"/>
        <w:spacing w:line="240" w:lineRule="auto" w:before="76"/>
        <w:ind w:right="114"/>
        <w:jc w:val="left"/>
      </w:pPr>
      <w:r>
        <w:rPr>
          <w:rFonts w:ascii="宋体" w:hAnsi="宋体" w:cs="宋体" w:eastAsia="宋体" w:hint="default"/>
        </w:rPr>
        <w:t>11,162,354.28</w:t>
      </w:r>
      <w:r>
        <w:rPr/>
        <w:t>元，租赁满后承租方可请求租约期限续展。截止</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日，印刷车间、成品库、原料库账面净值</w:t>
      </w:r>
    </w:p>
    <w:p>
      <w:pPr>
        <w:pStyle w:val="BodyText"/>
        <w:spacing w:line="240" w:lineRule="auto" w:before="76"/>
        <w:ind w:right="114"/>
        <w:jc w:val="left"/>
      </w:pPr>
      <w:r>
        <w:rPr>
          <w:rFonts w:ascii="宋体" w:hAnsi="宋体" w:cs="宋体" w:eastAsia="宋体" w:hint="default"/>
        </w:rPr>
        <w:t>114,573,649.71</w:t>
      </w:r>
      <w:r>
        <w:rPr/>
        <w:t>元。</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spacing w:line="240" w:lineRule="auto"/>
        <w:ind w:right="114"/>
        <w:jc w:val="left"/>
      </w:pPr>
      <w:r>
        <w:rPr/>
        <w:t>为公司带来的损益达到公司报告期利润总额</w:t>
      </w:r>
      <w:r>
        <w:rPr>
          <w:spacing w:val="-44"/>
        </w:rPr>
        <w:t> </w:t>
      </w:r>
      <w:r>
        <w:rPr>
          <w:rFonts w:ascii="Times New Roman" w:hAnsi="Times New Roman" w:cs="Times New Roman" w:eastAsia="Times New Roman" w:hint="default"/>
        </w:rPr>
        <w:t>10%</w:t>
      </w:r>
      <w:r>
        <w:rPr/>
        <w:t>以上的项目</w:t>
      </w:r>
    </w:p>
    <w:p>
      <w:pPr>
        <w:pStyle w:val="BodyText"/>
        <w:spacing w:line="240" w:lineRule="auto" w:before="103"/>
        <w:ind w:right="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72"/>
        <w:gridCol w:w="869"/>
        <w:gridCol w:w="871"/>
        <w:gridCol w:w="869"/>
        <w:gridCol w:w="871"/>
        <w:gridCol w:w="867"/>
        <w:gridCol w:w="869"/>
        <w:gridCol w:w="869"/>
        <w:gridCol w:w="869"/>
        <w:gridCol w:w="871"/>
        <w:gridCol w:w="869"/>
      </w:tblGrid>
      <w:tr>
        <w:trPr>
          <w:trHeight w:val="1025" w:hRule="exact"/>
        </w:trPr>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41" w:right="70" w:hanging="272"/>
              <w:jc w:val="left"/>
              <w:rPr>
                <w:rFonts w:ascii="宋体" w:hAnsi="宋体" w:cs="宋体" w:eastAsia="宋体" w:hint="default"/>
                <w:sz w:val="18"/>
                <w:szCs w:val="18"/>
              </w:rPr>
            </w:pPr>
            <w:r>
              <w:rPr>
                <w:rFonts w:ascii="宋体" w:hAnsi="宋体" w:cs="宋体" w:eastAsia="宋体" w:hint="default"/>
                <w:sz w:val="18"/>
                <w:szCs w:val="18"/>
              </w:rPr>
              <w:t>出租方名 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40" w:right="67" w:hanging="272"/>
              <w:jc w:val="left"/>
              <w:rPr>
                <w:rFonts w:ascii="宋体" w:hAnsi="宋体" w:cs="宋体" w:eastAsia="宋体" w:hint="default"/>
                <w:sz w:val="18"/>
                <w:szCs w:val="18"/>
              </w:rPr>
            </w:pPr>
            <w:r>
              <w:rPr>
                <w:rFonts w:ascii="宋体" w:hAnsi="宋体" w:cs="宋体" w:eastAsia="宋体" w:hint="default"/>
                <w:sz w:val="18"/>
                <w:szCs w:val="18"/>
              </w:rPr>
              <w:t>租赁方名 称</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9" w:right="71" w:hanging="180"/>
              <w:jc w:val="left"/>
              <w:rPr>
                <w:rFonts w:ascii="宋体" w:hAnsi="宋体" w:cs="宋体" w:eastAsia="宋体" w:hint="default"/>
                <w:sz w:val="18"/>
                <w:szCs w:val="18"/>
              </w:rPr>
            </w:pPr>
            <w:r>
              <w:rPr>
                <w:rFonts w:ascii="宋体" w:hAnsi="宋体" w:cs="宋体" w:eastAsia="宋体" w:hint="default"/>
                <w:sz w:val="18"/>
                <w:szCs w:val="18"/>
              </w:rPr>
              <w:t>租赁资产 情况</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0" w:right="67"/>
              <w:jc w:val="left"/>
              <w:rPr>
                <w:rFonts w:ascii="宋体" w:hAnsi="宋体" w:cs="宋体" w:eastAsia="宋体" w:hint="default"/>
                <w:sz w:val="18"/>
                <w:szCs w:val="18"/>
              </w:rPr>
            </w:pPr>
            <w:r>
              <w:rPr>
                <w:rFonts w:ascii="宋体" w:hAnsi="宋体" w:cs="宋体" w:eastAsia="宋体" w:hint="default"/>
                <w:sz w:val="18"/>
                <w:szCs w:val="18"/>
              </w:rPr>
              <w:t>租赁资产 涉及金额</w:t>
            </w:r>
          </w:p>
          <w:p>
            <w:pPr>
              <w:pStyle w:val="TableParagraph"/>
              <w:spacing w:line="240" w:lineRule="auto" w:before="20"/>
              <w:ind w:left="70"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40" w:right="71" w:hanging="272"/>
              <w:jc w:val="left"/>
              <w:rPr>
                <w:rFonts w:ascii="宋体" w:hAnsi="宋体" w:cs="宋体" w:eastAsia="宋体" w:hint="default"/>
                <w:sz w:val="18"/>
                <w:szCs w:val="18"/>
              </w:rPr>
            </w:pPr>
            <w:r>
              <w:rPr>
                <w:rFonts w:ascii="宋体" w:hAnsi="宋体" w:cs="宋体" w:eastAsia="宋体" w:hint="default"/>
                <w:sz w:val="18"/>
                <w:szCs w:val="18"/>
              </w:rPr>
              <w:t>租赁起始 日</w:t>
            </w:r>
          </w:p>
        </w:tc>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38" w:right="65" w:hanging="269"/>
              <w:jc w:val="left"/>
              <w:rPr>
                <w:rFonts w:ascii="宋体" w:hAnsi="宋体" w:cs="宋体" w:eastAsia="宋体" w:hint="default"/>
                <w:sz w:val="18"/>
                <w:szCs w:val="18"/>
              </w:rPr>
            </w:pPr>
            <w:r>
              <w:rPr>
                <w:rFonts w:ascii="宋体" w:hAnsi="宋体" w:cs="宋体" w:eastAsia="宋体" w:hint="default"/>
                <w:sz w:val="18"/>
                <w:szCs w:val="18"/>
              </w:rPr>
              <w:t>租赁终止 日</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租赁收益</w:t>
            </w:r>
          </w:p>
          <w:p>
            <w:pPr>
              <w:pStyle w:val="TableParagraph"/>
              <w:spacing w:line="240" w:lineRule="auto" w:before="74"/>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69" w:right="67"/>
              <w:jc w:val="left"/>
              <w:rPr>
                <w:rFonts w:ascii="宋体" w:hAnsi="宋体" w:cs="宋体" w:eastAsia="宋体" w:hint="default"/>
                <w:sz w:val="18"/>
                <w:szCs w:val="18"/>
              </w:rPr>
            </w:pPr>
            <w:r>
              <w:rPr>
                <w:rFonts w:ascii="宋体" w:hAnsi="宋体" w:cs="宋体" w:eastAsia="宋体" w:hint="default"/>
                <w:sz w:val="18"/>
                <w:szCs w:val="18"/>
              </w:rPr>
              <w:t>租赁收益 确定依据</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8"/>
              <w:jc w:val="center"/>
              <w:rPr>
                <w:rFonts w:ascii="宋体" w:hAnsi="宋体" w:cs="宋体" w:eastAsia="宋体" w:hint="default"/>
                <w:sz w:val="18"/>
                <w:szCs w:val="18"/>
              </w:rPr>
            </w:pPr>
            <w:r>
              <w:rPr>
                <w:rFonts w:ascii="宋体" w:hAnsi="宋体" w:cs="宋体" w:eastAsia="宋体" w:hint="default"/>
                <w:sz w:val="18"/>
                <w:szCs w:val="18"/>
              </w:rPr>
              <w:t>租赁收益 对公司影 响</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52" w:right="67"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69" w:right="0"/>
              <w:jc w:val="left"/>
              <w:rPr>
                <w:rFonts w:ascii="宋体" w:hAnsi="宋体" w:cs="宋体" w:eastAsia="宋体" w:hint="default"/>
                <w:sz w:val="18"/>
                <w:szCs w:val="18"/>
              </w:rPr>
            </w:pPr>
            <w:r>
              <w:rPr>
                <w:rFonts w:ascii="宋体" w:hAnsi="宋体" w:cs="宋体" w:eastAsia="宋体" w:hint="default"/>
                <w:sz w:val="18"/>
                <w:szCs w:val="18"/>
              </w:rPr>
              <w:t>关联关系</w:t>
            </w:r>
          </w:p>
        </w:tc>
      </w:tr>
      <w:tr>
        <w:trPr>
          <w:trHeight w:val="1651"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6"/>
              <w:jc w:val="both"/>
              <w:rPr>
                <w:rFonts w:ascii="宋体" w:hAnsi="宋体" w:cs="宋体" w:eastAsia="宋体" w:hint="default"/>
                <w:sz w:val="18"/>
                <w:szCs w:val="18"/>
              </w:rPr>
            </w:pPr>
            <w:r>
              <w:rPr>
                <w:rFonts w:ascii="宋体" w:hAnsi="宋体" w:cs="宋体" w:eastAsia="宋体" w:hint="default"/>
                <w:sz w:val="18"/>
                <w:szCs w:val="18"/>
              </w:rPr>
              <w:t>三河市岩 峰市政工 程建筑安 装有限公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13"/>
              <w:jc w:val="both"/>
              <w:rPr>
                <w:rFonts w:ascii="宋体" w:hAnsi="宋体" w:cs="宋体" w:eastAsia="宋体" w:hint="default"/>
                <w:sz w:val="18"/>
                <w:szCs w:val="18"/>
              </w:rPr>
            </w:pPr>
            <w:r>
              <w:rPr>
                <w:rFonts w:ascii="宋体" w:hAnsi="宋体" w:cs="宋体" w:eastAsia="宋体" w:hint="default"/>
                <w:sz w:val="18"/>
                <w:szCs w:val="18"/>
              </w:rPr>
              <w:t>光环云谷 科技有限 公司</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15"/>
              <w:jc w:val="left"/>
              <w:rPr>
                <w:rFonts w:ascii="宋体" w:hAnsi="宋体" w:cs="宋体" w:eastAsia="宋体" w:hint="default"/>
                <w:sz w:val="18"/>
                <w:szCs w:val="18"/>
              </w:rPr>
            </w:pPr>
            <w:r>
              <w:rPr>
                <w:rFonts w:ascii="宋体" w:hAnsi="宋体" w:cs="宋体" w:eastAsia="宋体" w:hint="default"/>
                <w:sz w:val="18"/>
                <w:szCs w:val="18"/>
              </w:rPr>
              <w:t>厂房及场 地</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07" w:right="0"/>
              <w:jc w:val="left"/>
              <w:rPr>
                <w:rFonts w:ascii="Times New Roman" w:hAnsi="Times New Roman" w:cs="Times New Roman" w:eastAsia="Times New Roman" w:hint="default"/>
                <w:sz w:val="18"/>
                <w:szCs w:val="18"/>
              </w:rPr>
            </w:pPr>
            <w:r>
              <w:rPr>
                <w:rFonts w:ascii="Times New Roman"/>
                <w:sz w:val="18"/>
              </w:rPr>
              <w:t>6,071.39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2,488.81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5"/>
              <w:ind w:left="23" w:right="65"/>
              <w:jc w:val="left"/>
              <w:rPr>
                <w:rFonts w:ascii="宋体" w:hAnsi="宋体" w:cs="宋体" w:eastAsia="宋体" w:hint="default"/>
                <w:sz w:val="18"/>
                <w:szCs w:val="18"/>
              </w:rPr>
            </w:pPr>
            <w:r>
              <w:rPr>
                <w:rFonts w:ascii="宋体" w:hAnsi="宋体" w:cs="宋体" w:eastAsia="宋体" w:hint="default"/>
                <w:sz w:val="18"/>
                <w:szCs w:val="18"/>
              </w:rPr>
              <w:t>租赁方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 净利润</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租赁收益 占公司报 告期净利 润的 </w:t>
            </w:r>
            <w:r>
              <w:rPr>
                <w:rFonts w:ascii="Times New Roman" w:hAnsi="Times New Roman" w:cs="Times New Roman" w:eastAsia="Times New Roman" w:hint="default"/>
                <w:sz w:val="18"/>
                <w:szCs w:val="18"/>
              </w:rPr>
              <w:t>21.91%</w:t>
            </w:r>
            <w:r>
              <w:rPr>
                <w:rFonts w:ascii="宋体" w:hAnsi="宋体" w:cs="宋体" w:eastAsia="宋体" w:hint="default"/>
                <w:sz w:val="18"/>
                <w:szCs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3"/>
        <w:spacing w:line="240" w:lineRule="auto" w:before="36"/>
        <w:ind w:right="114"/>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624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公司报告期不存在担保情况。</w:t>
      </w:r>
    </w:p>
    <w:p>
      <w:pPr>
        <w:spacing w:line="240" w:lineRule="auto" w:before="5"/>
        <w:rPr>
          <w:rFonts w:ascii="宋体" w:hAnsi="宋体" w:cs="宋体" w:eastAsia="宋体" w:hint="default"/>
          <w:sz w:val="21"/>
          <w:szCs w:val="21"/>
        </w:rPr>
      </w:pPr>
    </w:p>
    <w:p>
      <w:pPr>
        <w:pStyle w:val="Heading3"/>
        <w:spacing w:line="240" w:lineRule="auto"/>
        <w:ind w:right="114"/>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4"/>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211"/>
        <w:jc w:val="right"/>
      </w:pPr>
      <w:r>
        <w:rPr/>
        <w:t>单位：万元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833"/>
        <w:gridCol w:w="838"/>
        <w:gridCol w:w="877"/>
        <w:gridCol w:w="804"/>
        <w:gridCol w:w="804"/>
        <w:gridCol w:w="802"/>
        <w:gridCol w:w="804"/>
        <w:gridCol w:w="804"/>
        <w:gridCol w:w="805"/>
        <w:gridCol w:w="804"/>
        <w:gridCol w:w="587"/>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04" w:right="32" w:hanging="270"/>
              <w:jc w:val="left"/>
              <w:rPr>
                <w:rFonts w:ascii="宋体" w:hAnsi="宋体" w:cs="宋体" w:eastAsia="宋体" w:hint="default"/>
                <w:sz w:val="18"/>
                <w:szCs w:val="18"/>
              </w:rPr>
            </w:pPr>
            <w:r>
              <w:rPr>
                <w:rFonts w:ascii="宋体" w:hAnsi="宋体" w:cs="宋体" w:eastAsia="宋体" w:hint="default"/>
                <w:sz w:val="18"/>
                <w:szCs w:val="18"/>
              </w:rPr>
              <w:t>受托人名 称</w:t>
            </w:r>
          </w:p>
        </w:tc>
        <w:tc>
          <w:tcPr>
            <w:tcW w:w="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30" w:right="50"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52" w:right="74" w:hanging="181"/>
              <w:jc w:val="left"/>
              <w:rPr>
                <w:rFonts w:ascii="宋体" w:hAnsi="宋体" w:cs="宋体" w:eastAsia="宋体" w:hint="default"/>
                <w:sz w:val="18"/>
                <w:szCs w:val="18"/>
              </w:rPr>
            </w:pPr>
            <w:r>
              <w:rPr>
                <w:rFonts w:ascii="宋体" w:hAnsi="宋体" w:cs="宋体" w:eastAsia="宋体" w:hint="default"/>
                <w:sz w:val="18"/>
                <w:szCs w:val="18"/>
              </w:rPr>
              <w:t>委托理财 金额</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起始日期</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15" w:right="34"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38" w:right="35"/>
              <w:jc w:val="left"/>
              <w:rPr>
                <w:rFonts w:ascii="宋体" w:hAnsi="宋体" w:cs="宋体" w:eastAsia="宋体" w:hint="default"/>
                <w:sz w:val="18"/>
                <w:szCs w:val="18"/>
              </w:rPr>
            </w:pPr>
            <w:r>
              <w:rPr>
                <w:rFonts w:ascii="宋体" w:hAnsi="宋体" w:cs="宋体" w:eastAsia="宋体" w:hint="default"/>
                <w:sz w:val="18"/>
                <w:szCs w:val="18"/>
              </w:rPr>
              <w:t>本期实际 收回本金</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38" w:right="35"/>
              <w:jc w:val="left"/>
              <w:rPr>
                <w:rFonts w:ascii="宋体" w:hAnsi="宋体" w:cs="宋体" w:eastAsia="宋体" w:hint="default"/>
                <w:sz w:val="18"/>
                <w:szCs w:val="18"/>
              </w:rPr>
            </w:pPr>
            <w:r>
              <w:rPr>
                <w:rFonts w:ascii="宋体" w:hAnsi="宋体" w:cs="宋体" w:eastAsia="宋体" w:hint="default"/>
                <w:sz w:val="18"/>
                <w:szCs w:val="18"/>
              </w:rPr>
              <w:t>计提减值 准备金额</w:t>
            </w:r>
          </w:p>
        </w:tc>
        <w:tc>
          <w:tcPr>
            <w:tcW w:w="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预计收益</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38" w:right="35"/>
              <w:jc w:val="left"/>
              <w:rPr>
                <w:rFonts w:ascii="宋体" w:hAnsi="宋体" w:cs="宋体" w:eastAsia="宋体" w:hint="default"/>
                <w:sz w:val="18"/>
                <w:szCs w:val="18"/>
              </w:rPr>
            </w:pPr>
            <w:r>
              <w:rPr>
                <w:rFonts w:ascii="宋体" w:hAnsi="宋体" w:cs="宋体" w:eastAsia="宋体" w:hint="default"/>
                <w:sz w:val="18"/>
                <w:szCs w:val="18"/>
              </w:rPr>
              <w:t>报告期实 际损益金</w:t>
            </w:r>
          </w:p>
        </w:tc>
        <w:tc>
          <w:tcPr>
            <w:tcW w:w="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23" w:right="11"/>
              <w:jc w:val="left"/>
              <w:rPr>
                <w:rFonts w:ascii="宋体" w:hAnsi="宋体" w:cs="宋体" w:eastAsia="宋体" w:hint="default"/>
                <w:sz w:val="18"/>
                <w:szCs w:val="18"/>
              </w:rPr>
            </w:pPr>
            <w:r>
              <w:rPr>
                <w:rFonts w:ascii="宋体" w:hAnsi="宋体" w:cs="宋体" w:eastAsia="宋体" w:hint="default"/>
                <w:sz w:val="18"/>
                <w:szCs w:val="18"/>
              </w:rPr>
              <w:t>报告期 损益实</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9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00"/>
        <w:gridCol w:w="833"/>
        <w:gridCol w:w="838"/>
        <w:gridCol w:w="877"/>
        <w:gridCol w:w="804"/>
        <w:gridCol w:w="804"/>
        <w:gridCol w:w="802"/>
        <w:gridCol w:w="804"/>
        <w:gridCol w:w="804"/>
        <w:gridCol w:w="805"/>
        <w:gridCol w:w="804"/>
        <w:gridCol w:w="598"/>
      </w:tblGrid>
      <w:tr>
        <w:trPr>
          <w:trHeight w:val="675"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3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80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15" w:right="23" w:hanging="92"/>
              <w:jc w:val="left"/>
              <w:rPr>
                <w:rFonts w:ascii="宋体" w:hAnsi="宋体" w:cs="宋体" w:eastAsia="宋体" w:hint="default"/>
                <w:sz w:val="18"/>
                <w:szCs w:val="18"/>
              </w:rPr>
            </w:pPr>
            <w:r>
              <w:rPr>
                <w:rFonts w:ascii="宋体" w:hAnsi="宋体" w:cs="宋体" w:eastAsia="宋体" w:hint="default"/>
                <w:sz w:val="18"/>
                <w:szCs w:val="18"/>
              </w:rPr>
              <w:t>际收回 情况</w:t>
            </w:r>
          </w:p>
        </w:tc>
      </w:tr>
      <w:tr>
        <w:trPr>
          <w:trHeight w:val="1649"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4"/>
              <w:jc w:val="both"/>
              <w:rPr>
                <w:rFonts w:ascii="宋体" w:hAnsi="宋体" w:cs="宋体" w:eastAsia="宋体" w:hint="default"/>
                <w:sz w:val="18"/>
                <w:szCs w:val="18"/>
              </w:rPr>
            </w:pPr>
            <w:r>
              <w:rPr>
                <w:rFonts w:ascii="宋体" w:hAnsi="宋体" w:cs="宋体" w:eastAsia="宋体" w:hint="default"/>
                <w:sz w:val="18"/>
                <w:szCs w:val="18"/>
              </w:rPr>
              <w:t>招商银行 股份有限 公司北京 建国路支 行</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83"/>
              <w:jc w:val="left"/>
              <w:rPr>
                <w:rFonts w:ascii="宋体" w:hAnsi="宋体" w:cs="宋体" w:eastAsia="宋体" w:hint="default"/>
                <w:sz w:val="18"/>
                <w:szCs w:val="18"/>
              </w:rPr>
            </w:pPr>
            <w:r>
              <w:rPr>
                <w:rFonts w:ascii="宋体" w:hAnsi="宋体" w:cs="宋体" w:eastAsia="宋体" w:hint="default"/>
                <w:sz w:val="18"/>
                <w:szCs w:val="18"/>
              </w:rPr>
              <w:t>保本保息 型</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11.84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11.84</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3,000</w:t>
            </w:r>
          </w:p>
        </w:tc>
      </w:tr>
      <w:tr>
        <w:trPr>
          <w:trHeight w:val="1652"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4"/>
              <w:jc w:val="both"/>
              <w:rPr>
                <w:rFonts w:ascii="宋体" w:hAnsi="宋体" w:cs="宋体" w:eastAsia="宋体" w:hint="default"/>
                <w:sz w:val="18"/>
                <w:szCs w:val="18"/>
              </w:rPr>
            </w:pPr>
            <w:r>
              <w:rPr>
                <w:rFonts w:ascii="宋体" w:hAnsi="宋体" w:cs="宋体" w:eastAsia="宋体" w:hint="default"/>
                <w:sz w:val="18"/>
                <w:szCs w:val="18"/>
              </w:rPr>
              <w:t>中国建设 银行股份 有限公司 北京东直 门支行</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83"/>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22.52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22.52</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3,000</w:t>
            </w:r>
          </w:p>
        </w:tc>
      </w:tr>
      <w:tr>
        <w:trPr>
          <w:trHeight w:val="1649"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4"/>
              <w:jc w:val="both"/>
              <w:rPr>
                <w:rFonts w:ascii="宋体" w:hAnsi="宋体" w:cs="宋体" w:eastAsia="宋体" w:hint="default"/>
                <w:sz w:val="18"/>
                <w:szCs w:val="18"/>
              </w:rPr>
            </w:pPr>
            <w:r>
              <w:rPr>
                <w:rFonts w:ascii="宋体" w:hAnsi="宋体" w:cs="宋体" w:eastAsia="宋体" w:hint="default"/>
                <w:sz w:val="18"/>
                <w:szCs w:val="18"/>
              </w:rPr>
              <w:t>招商银行 股份有限 公司北京 建国路支 行</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83"/>
              <w:jc w:val="left"/>
              <w:rPr>
                <w:rFonts w:ascii="宋体" w:hAnsi="宋体" w:cs="宋体" w:eastAsia="宋体" w:hint="default"/>
                <w:sz w:val="18"/>
                <w:szCs w:val="18"/>
              </w:rPr>
            </w:pPr>
            <w:r>
              <w:rPr>
                <w:rFonts w:ascii="宋体" w:hAnsi="宋体" w:cs="宋体" w:eastAsia="宋体" w:hint="default"/>
                <w:sz w:val="18"/>
                <w:szCs w:val="18"/>
              </w:rPr>
              <w:t>非保本浮 动收益</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13.97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13.97</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w:t>
            </w:r>
          </w:p>
        </w:tc>
      </w:tr>
      <w:tr>
        <w:trPr>
          <w:trHeight w:val="1652"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4"/>
              <w:jc w:val="both"/>
              <w:rPr>
                <w:rFonts w:ascii="宋体" w:hAnsi="宋体" w:cs="宋体" w:eastAsia="宋体" w:hint="default"/>
                <w:sz w:val="18"/>
                <w:szCs w:val="18"/>
              </w:rPr>
            </w:pPr>
            <w:r>
              <w:rPr>
                <w:rFonts w:ascii="宋体" w:hAnsi="宋体" w:cs="宋体" w:eastAsia="宋体" w:hint="default"/>
                <w:sz w:val="18"/>
                <w:szCs w:val="18"/>
              </w:rPr>
              <w:t>招商银行 股份有限 公司北京 建国路支 行</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83"/>
              <w:jc w:val="left"/>
              <w:rPr>
                <w:rFonts w:ascii="宋体" w:hAnsi="宋体" w:cs="宋体" w:eastAsia="宋体" w:hint="default"/>
                <w:sz w:val="18"/>
                <w:szCs w:val="18"/>
              </w:rPr>
            </w:pPr>
            <w:r>
              <w:rPr>
                <w:rFonts w:ascii="宋体" w:hAnsi="宋体" w:cs="宋体" w:eastAsia="宋体" w:hint="default"/>
                <w:sz w:val="18"/>
                <w:szCs w:val="18"/>
              </w:rPr>
              <w:t>非保本浮 动收益</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2,806.33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2,806.33</w:t>
            </w:r>
          </w:p>
        </w:tc>
        <w:tc>
          <w:tcPr>
            <w:tcW w:w="804"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2.73</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2,806.3</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1649"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4"/>
              <w:jc w:val="both"/>
              <w:rPr>
                <w:rFonts w:ascii="宋体" w:hAnsi="宋体" w:cs="宋体" w:eastAsia="宋体" w:hint="default"/>
                <w:sz w:val="18"/>
                <w:szCs w:val="18"/>
              </w:rPr>
            </w:pPr>
            <w:r>
              <w:rPr>
                <w:rFonts w:ascii="宋体" w:hAnsi="宋体" w:cs="宋体" w:eastAsia="宋体" w:hint="default"/>
                <w:sz w:val="18"/>
                <w:szCs w:val="18"/>
              </w:rPr>
              <w:t>招商银行 股份有限 公司北京 建国路支 行</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83"/>
              <w:jc w:val="left"/>
              <w:rPr>
                <w:rFonts w:ascii="宋体" w:hAnsi="宋体" w:cs="宋体" w:eastAsia="宋体" w:hint="default"/>
                <w:sz w:val="18"/>
                <w:szCs w:val="18"/>
              </w:rPr>
            </w:pPr>
            <w:r>
              <w:rPr>
                <w:rFonts w:ascii="宋体" w:hAnsi="宋体" w:cs="宋体" w:eastAsia="宋体" w:hint="default"/>
                <w:sz w:val="18"/>
                <w:szCs w:val="18"/>
              </w:rPr>
              <w:t>非保本浮 动收益</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1,145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1,145</w:t>
            </w:r>
          </w:p>
        </w:tc>
        <w:tc>
          <w:tcPr>
            <w:tcW w:w="804"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1.75</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1,145</w:t>
            </w:r>
          </w:p>
        </w:tc>
      </w:tr>
      <w:tr>
        <w:trPr>
          <w:trHeight w:val="1652"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4"/>
              <w:jc w:val="both"/>
              <w:rPr>
                <w:rFonts w:ascii="宋体" w:hAnsi="宋体" w:cs="宋体" w:eastAsia="宋体" w:hint="default"/>
                <w:sz w:val="18"/>
                <w:szCs w:val="18"/>
              </w:rPr>
            </w:pPr>
            <w:r>
              <w:rPr>
                <w:rFonts w:ascii="宋体" w:hAnsi="宋体" w:cs="宋体" w:eastAsia="宋体" w:hint="default"/>
                <w:sz w:val="18"/>
                <w:szCs w:val="18"/>
              </w:rPr>
              <w:t>招商银行 股份有限 公司北京 建国路支 行</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83"/>
              <w:jc w:val="left"/>
              <w:rPr>
                <w:rFonts w:ascii="宋体" w:hAnsi="宋体" w:cs="宋体" w:eastAsia="宋体" w:hint="default"/>
                <w:sz w:val="18"/>
                <w:szCs w:val="18"/>
              </w:rPr>
            </w:pPr>
            <w:r>
              <w:rPr>
                <w:rFonts w:ascii="宋体" w:hAnsi="宋体" w:cs="宋体" w:eastAsia="宋体" w:hint="default"/>
                <w:sz w:val="18"/>
                <w:szCs w:val="18"/>
              </w:rPr>
              <w:t>非保本浮 动收益</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1,853.81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1,853.81</w:t>
            </w:r>
          </w:p>
        </w:tc>
        <w:tc>
          <w:tcPr>
            <w:tcW w:w="804"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7.82</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1,853.8</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w:t>
            </w:r>
          </w:p>
        </w:tc>
      </w:tr>
      <w:tr>
        <w:trPr>
          <w:trHeight w:val="1649"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4"/>
              <w:jc w:val="both"/>
              <w:rPr>
                <w:rFonts w:ascii="宋体" w:hAnsi="宋体" w:cs="宋体" w:eastAsia="宋体" w:hint="default"/>
                <w:sz w:val="18"/>
                <w:szCs w:val="18"/>
              </w:rPr>
            </w:pPr>
            <w:r>
              <w:rPr>
                <w:rFonts w:ascii="宋体" w:hAnsi="宋体" w:cs="宋体" w:eastAsia="宋体" w:hint="default"/>
                <w:sz w:val="18"/>
                <w:szCs w:val="18"/>
              </w:rPr>
              <w:t>招商银行 股份有限 公司北京 建国路支 行</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83"/>
              <w:jc w:val="left"/>
              <w:rPr>
                <w:rFonts w:ascii="宋体" w:hAnsi="宋体" w:cs="宋体" w:eastAsia="宋体" w:hint="default"/>
                <w:sz w:val="18"/>
                <w:szCs w:val="18"/>
              </w:rPr>
            </w:pPr>
            <w:r>
              <w:rPr>
                <w:rFonts w:ascii="宋体" w:hAnsi="宋体" w:cs="宋体" w:eastAsia="宋体" w:hint="default"/>
                <w:sz w:val="18"/>
                <w:szCs w:val="18"/>
              </w:rPr>
              <w:t>非保本浮 动收益</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1,140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1,140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1.74</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1,140</w:t>
            </w:r>
          </w:p>
        </w:tc>
      </w:tr>
      <w:tr>
        <w:trPr>
          <w:trHeight w:val="403"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14,945.14</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14,945.14</w:t>
            </w:r>
          </w:p>
        </w:tc>
        <w:tc>
          <w:tcPr>
            <w:tcW w:w="804"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62.37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62.37</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委托理财资金来源</w:t>
            </w:r>
          </w:p>
        </w:tc>
        <w:tc>
          <w:tcPr>
            <w:tcW w:w="7101"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716"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逾期未收回的本金和收益累计 金额</w:t>
            </w:r>
          </w:p>
        </w:tc>
        <w:tc>
          <w:tcPr>
            <w:tcW w:w="7101"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469"/>
        <w:gridCol w:w="7101"/>
      </w:tblGrid>
      <w:tr>
        <w:trPr>
          <w:trHeight w:val="401" w:hRule="exact"/>
        </w:trPr>
        <w:tc>
          <w:tcPr>
            <w:tcW w:w="2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涉诉情况（如适用）</w:t>
            </w:r>
          </w:p>
        </w:tc>
        <w:tc>
          <w:tcPr>
            <w:tcW w:w="7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2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94"/>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委托理财审批董事会公告披露 日期（如有</w:t>
            </w:r>
            <w:r>
              <w:rPr>
                <w:rFonts w:ascii="Times New Roman" w:hAnsi="Times New Roman" w:cs="Times New Roman" w:eastAsia="Times New Roman" w:hint="default"/>
                <w:sz w:val="18"/>
                <w:szCs w:val="18"/>
              </w:rPr>
              <w:t>)</w:t>
            </w:r>
          </w:p>
        </w:tc>
        <w:tc>
          <w:tcPr>
            <w:tcW w:w="7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r>
      <w:tr>
        <w:trPr>
          <w:trHeight w:val="713" w:hRule="exact"/>
        </w:trPr>
        <w:tc>
          <w:tcPr>
            <w:tcW w:w="2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4"/>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委托理财审批股东会公告披露 日期（如有</w:t>
            </w:r>
            <w:r>
              <w:rPr>
                <w:rFonts w:ascii="Times New Roman" w:hAnsi="Times New Roman" w:cs="Times New Roman" w:eastAsia="Times New Roman" w:hint="default"/>
                <w:sz w:val="18"/>
                <w:szCs w:val="18"/>
              </w:rPr>
              <w:t>)</w:t>
            </w:r>
          </w:p>
        </w:tc>
        <w:tc>
          <w:tcPr>
            <w:tcW w:w="710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未来是否还有委托理财计划</w:t>
            </w:r>
          </w:p>
        </w:tc>
        <w:tc>
          <w:tcPr>
            <w:tcW w:w="71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
              <w:jc w:val="both"/>
              <w:rPr>
                <w:rFonts w:ascii="宋体" w:hAnsi="宋体" w:cs="宋体" w:eastAsia="宋体" w:hint="default"/>
                <w:sz w:val="18"/>
                <w:szCs w:val="18"/>
              </w:rPr>
            </w:pPr>
            <w:r>
              <w:rPr>
                <w:rFonts w:ascii="宋体" w:hAnsi="宋体" w:cs="宋体" w:eastAsia="宋体" w:hint="default"/>
                <w:sz w:val="18"/>
                <w:szCs w:val="18"/>
              </w:rPr>
              <w:t>为进一步提高资金使用效率，合理利用闲置资金，在不影响公司日常经营、</w:t>
            </w:r>
            <w:r>
              <w:rPr>
                <w:rFonts w:ascii="宋体" w:hAnsi="宋体" w:cs="宋体" w:eastAsia="宋体" w:hint="default"/>
                <w:spacing w:val="-57"/>
                <w:sz w:val="18"/>
                <w:szCs w:val="18"/>
              </w:rPr>
              <w:t> </w:t>
            </w:r>
            <w:r>
              <w:rPr>
                <w:rFonts w:ascii="宋体" w:hAnsi="宋体" w:cs="宋体" w:eastAsia="宋体" w:hint="default"/>
                <w:sz w:val="18"/>
                <w:szCs w:val="18"/>
              </w:rPr>
              <w:t>保证公司资金</w:t>
            </w:r>
            <w:r>
              <w:rPr>
                <w:rFonts w:ascii="宋体" w:hAnsi="宋体" w:cs="宋体" w:eastAsia="宋体" w:hint="default"/>
                <w:sz w:val="18"/>
                <w:szCs w:val="18"/>
              </w:rPr>
              <w:t> 安全和股东利益的情况下，公司拟在董事会审批的范围内使用自有闲置资金择机购买短期 低风险型理财产品，以更好实现公司资金的保值增值。</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4"/>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7"/>
        <w:rPr>
          <w:rFonts w:ascii="宋体" w:hAnsi="宋体" w:cs="宋体" w:eastAsia="宋体" w:hint="default"/>
          <w:sz w:val="21"/>
          <w:szCs w:val="21"/>
        </w:rPr>
      </w:pPr>
    </w:p>
    <w:p>
      <w:pPr>
        <w:pStyle w:val="Heading3"/>
        <w:spacing w:line="240" w:lineRule="auto"/>
        <w:ind w:right="1134"/>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636"/>
        <w:gridCol w:w="638"/>
        <w:gridCol w:w="641"/>
        <w:gridCol w:w="638"/>
        <w:gridCol w:w="639"/>
        <w:gridCol w:w="641"/>
        <w:gridCol w:w="638"/>
        <w:gridCol w:w="638"/>
        <w:gridCol w:w="639"/>
        <w:gridCol w:w="636"/>
        <w:gridCol w:w="638"/>
        <w:gridCol w:w="638"/>
        <w:gridCol w:w="639"/>
        <w:gridCol w:w="638"/>
        <w:gridCol w:w="636"/>
      </w:tblGrid>
      <w:tr>
        <w:trPr>
          <w:trHeight w:val="2273" w:hRule="exact"/>
        </w:trPr>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43" w:right="41"/>
              <w:jc w:val="both"/>
              <w:rPr>
                <w:rFonts w:ascii="宋体" w:hAnsi="宋体" w:cs="宋体" w:eastAsia="宋体" w:hint="default"/>
                <w:sz w:val="18"/>
                <w:szCs w:val="18"/>
              </w:rPr>
            </w:pPr>
            <w:r>
              <w:rPr>
                <w:rFonts w:ascii="宋体" w:hAnsi="宋体" w:cs="宋体" w:eastAsia="宋体" w:hint="default"/>
                <w:sz w:val="18"/>
                <w:szCs w:val="18"/>
              </w:rPr>
              <w:t>合同订 立公司 方名称</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45" w:right="41"/>
              <w:jc w:val="both"/>
              <w:rPr>
                <w:rFonts w:ascii="宋体" w:hAnsi="宋体" w:cs="宋体" w:eastAsia="宋体" w:hint="default"/>
                <w:sz w:val="18"/>
                <w:szCs w:val="18"/>
              </w:rPr>
            </w:pPr>
            <w:r>
              <w:rPr>
                <w:rFonts w:ascii="宋体" w:hAnsi="宋体" w:cs="宋体" w:eastAsia="宋体" w:hint="default"/>
                <w:sz w:val="18"/>
                <w:szCs w:val="18"/>
              </w:rPr>
              <w:t>合同订 立对方 名称</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2"/>
              <w:ind w:left="225" w:right="43" w:hanging="180"/>
              <w:jc w:val="left"/>
              <w:rPr>
                <w:rFonts w:ascii="宋体" w:hAnsi="宋体" w:cs="宋体" w:eastAsia="宋体" w:hint="default"/>
                <w:sz w:val="18"/>
                <w:szCs w:val="18"/>
              </w:rPr>
            </w:pPr>
            <w:r>
              <w:rPr>
                <w:rFonts w:ascii="宋体" w:hAnsi="宋体" w:cs="宋体" w:eastAsia="宋体" w:hint="default"/>
                <w:sz w:val="18"/>
                <w:szCs w:val="18"/>
              </w:rPr>
              <w:t>合同标 的</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2"/>
              <w:ind w:left="45" w:right="41"/>
              <w:jc w:val="left"/>
              <w:rPr>
                <w:rFonts w:ascii="宋体" w:hAnsi="宋体" w:cs="宋体" w:eastAsia="宋体" w:hint="default"/>
                <w:sz w:val="18"/>
                <w:szCs w:val="18"/>
              </w:rPr>
            </w:pPr>
            <w:r>
              <w:rPr>
                <w:rFonts w:ascii="宋体" w:hAnsi="宋体" w:cs="宋体" w:eastAsia="宋体" w:hint="default"/>
                <w:sz w:val="18"/>
                <w:szCs w:val="18"/>
              </w:rPr>
              <w:t>合同签 订日期</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5" w:right="41"/>
              <w:jc w:val="both"/>
              <w:rPr>
                <w:rFonts w:ascii="宋体" w:hAnsi="宋体" w:cs="宋体" w:eastAsia="宋体" w:hint="default"/>
                <w:sz w:val="18"/>
                <w:szCs w:val="18"/>
              </w:rPr>
            </w:pPr>
            <w:r>
              <w:rPr>
                <w:rFonts w:ascii="宋体" w:hAnsi="宋体" w:cs="宋体" w:eastAsia="宋体" w:hint="default"/>
                <w:sz w:val="18"/>
                <w:szCs w:val="18"/>
              </w:rPr>
              <w:t>合同涉 及资产 的账面 价值</w:t>
            </w:r>
          </w:p>
          <w:p>
            <w:pPr>
              <w:pStyle w:val="TableParagraph"/>
              <w:spacing w:line="316" w:lineRule="auto" w:before="19"/>
              <w:ind w:left="24" w:right="22" w:firstLine="1"/>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r>
              <w:rPr>
                <w:rFonts w:ascii="宋体" w:hAnsi="宋体" w:cs="宋体" w:eastAsia="宋体" w:hint="default"/>
                <w:sz w:val="18"/>
                <w:szCs w:val="18"/>
              </w:rPr>
              <w:t> 有）</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1"/>
              <w:jc w:val="both"/>
              <w:rPr>
                <w:rFonts w:ascii="宋体" w:hAnsi="宋体" w:cs="宋体" w:eastAsia="宋体" w:hint="default"/>
                <w:sz w:val="18"/>
                <w:szCs w:val="18"/>
              </w:rPr>
            </w:pPr>
            <w:r>
              <w:rPr>
                <w:rFonts w:ascii="宋体" w:hAnsi="宋体" w:cs="宋体" w:eastAsia="宋体" w:hint="default"/>
                <w:sz w:val="18"/>
                <w:szCs w:val="18"/>
              </w:rPr>
              <w:t>合同涉 及资产 的评估 价值</w:t>
            </w:r>
          </w:p>
          <w:p>
            <w:pPr>
              <w:pStyle w:val="TableParagraph"/>
              <w:spacing w:line="316" w:lineRule="auto" w:before="19"/>
              <w:ind w:left="26" w:right="21" w:hanging="1"/>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r>
              <w:rPr>
                <w:rFonts w:ascii="宋体" w:hAnsi="宋体" w:cs="宋体" w:eastAsia="宋体" w:hint="default"/>
                <w:sz w:val="18"/>
                <w:szCs w:val="18"/>
              </w:rPr>
              <w:t> 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45" w:right="41"/>
              <w:jc w:val="left"/>
              <w:rPr>
                <w:rFonts w:ascii="宋体" w:hAnsi="宋体" w:cs="宋体" w:eastAsia="宋体" w:hint="default"/>
                <w:sz w:val="18"/>
                <w:szCs w:val="18"/>
              </w:rPr>
            </w:pPr>
            <w:r>
              <w:rPr>
                <w:rFonts w:ascii="宋体" w:hAnsi="宋体" w:cs="宋体" w:eastAsia="宋体" w:hint="default"/>
                <w:sz w:val="18"/>
                <w:szCs w:val="18"/>
              </w:rPr>
              <w:t>评估机 构名称</w:t>
            </w:r>
          </w:p>
          <w:p>
            <w:pPr>
              <w:pStyle w:val="TableParagraph"/>
              <w:spacing w:line="316" w:lineRule="auto" w:before="19"/>
              <w:ind w:left="134" w:right="132"/>
              <w:jc w:val="left"/>
              <w:rPr>
                <w:rFonts w:ascii="宋体" w:hAnsi="宋体" w:cs="宋体" w:eastAsia="宋体" w:hint="default"/>
                <w:sz w:val="18"/>
                <w:szCs w:val="18"/>
              </w:rPr>
            </w:pPr>
            <w:r>
              <w:rPr>
                <w:rFonts w:ascii="宋体" w:hAnsi="宋体" w:cs="宋体" w:eastAsia="宋体" w:hint="default"/>
                <w:sz w:val="18"/>
                <w:szCs w:val="18"/>
              </w:rPr>
              <w:t>（如 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34" w:right="41" w:hanging="89"/>
              <w:jc w:val="left"/>
              <w:rPr>
                <w:rFonts w:ascii="宋体" w:hAnsi="宋体" w:cs="宋体" w:eastAsia="宋体" w:hint="default"/>
                <w:sz w:val="18"/>
                <w:szCs w:val="18"/>
              </w:rPr>
            </w:pPr>
            <w:r>
              <w:rPr>
                <w:rFonts w:ascii="宋体" w:hAnsi="宋体" w:cs="宋体" w:eastAsia="宋体" w:hint="default"/>
                <w:sz w:val="18"/>
                <w:szCs w:val="18"/>
              </w:rPr>
              <w:t>评估基 准日</w:t>
            </w:r>
          </w:p>
          <w:p>
            <w:pPr>
              <w:pStyle w:val="TableParagraph"/>
              <w:spacing w:line="316" w:lineRule="auto" w:before="19"/>
              <w:ind w:left="134" w:right="132"/>
              <w:jc w:val="left"/>
              <w:rPr>
                <w:rFonts w:ascii="宋体" w:hAnsi="宋体" w:cs="宋体" w:eastAsia="宋体" w:hint="default"/>
                <w:sz w:val="18"/>
                <w:szCs w:val="18"/>
              </w:rPr>
            </w:pPr>
            <w:r>
              <w:rPr>
                <w:rFonts w:ascii="宋体" w:hAnsi="宋体" w:cs="宋体" w:eastAsia="宋体" w:hint="default"/>
                <w:sz w:val="18"/>
                <w:szCs w:val="18"/>
              </w:rPr>
              <w:t>（如 有）</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2"/>
              <w:ind w:left="226" w:right="41" w:hanging="181"/>
              <w:jc w:val="left"/>
              <w:rPr>
                <w:rFonts w:ascii="宋体" w:hAnsi="宋体" w:cs="宋体" w:eastAsia="宋体" w:hint="default"/>
                <w:sz w:val="18"/>
                <w:szCs w:val="18"/>
              </w:rPr>
            </w:pPr>
            <w:r>
              <w:rPr>
                <w:rFonts w:ascii="宋体" w:hAnsi="宋体" w:cs="宋体" w:eastAsia="宋体" w:hint="default"/>
                <w:sz w:val="18"/>
                <w:szCs w:val="18"/>
              </w:rPr>
              <w:t>定价原 则</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45" w:right="38"/>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2"/>
              <w:ind w:left="47" w:right="38"/>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2"/>
              <w:ind w:left="225" w:right="4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45" w:right="41"/>
              <w:jc w:val="both"/>
              <w:rPr>
                <w:rFonts w:ascii="宋体" w:hAnsi="宋体" w:cs="宋体" w:eastAsia="宋体" w:hint="default"/>
                <w:sz w:val="18"/>
                <w:szCs w:val="18"/>
              </w:rPr>
            </w:pPr>
            <w:r>
              <w:rPr>
                <w:rFonts w:ascii="宋体" w:hAnsi="宋体" w:cs="宋体" w:eastAsia="宋体" w:hint="default"/>
                <w:sz w:val="18"/>
                <w:szCs w:val="18"/>
              </w:rPr>
              <w:t>截至报 告期末 的执行 情况</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2"/>
              <w:ind w:left="225" w:right="41"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2"/>
              <w:ind w:left="223" w:right="41"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3212"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24" w:right="60"/>
              <w:jc w:val="both"/>
              <w:rPr>
                <w:rFonts w:ascii="宋体" w:hAnsi="宋体" w:cs="宋体" w:eastAsia="宋体" w:hint="default"/>
                <w:sz w:val="18"/>
                <w:szCs w:val="18"/>
              </w:rPr>
            </w:pPr>
            <w:r>
              <w:rPr>
                <w:rFonts w:ascii="宋体" w:hAnsi="宋体" w:cs="宋体" w:eastAsia="宋体" w:hint="default"/>
                <w:sz w:val="18"/>
                <w:szCs w:val="18"/>
              </w:rPr>
              <w:t>北京光 环新网 科技股 份有限 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23" w:right="62"/>
              <w:jc w:val="both"/>
              <w:rPr>
                <w:rFonts w:ascii="宋体" w:hAnsi="宋体" w:cs="宋体" w:eastAsia="宋体" w:hint="default"/>
                <w:sz w:val="18"/>
                <w:szCs w:val="18"/>
              </w:rPr>
            </w:pPr>
            <w:r>
              <w:rPr>
                <w:rFonts w:ascii="宋体" w:hAnsi="宋体" w:cs="宋体" w:eastAsia="宋体" w:hint="default"/>
                <w:sz w:val="18"/>
                <w:szCs w:val="18"/>
              </w:rPr>
              <w:t>中国联 合网络 通信有 限公司 北京市 分公司</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3" w:right="65"/>
              <w:jc w:val="both"/>
              <w:rPr>
                <w:rFonts w:ascii="宋体" w:hAnsi="宋体" w:cs="宋体" w:eastAsia="宋体" w:hint="default"/>
                <w:sz w:val="18"/>
                <w:szCs w:val="18"/>
              </w:rPr>
            </w:pPr>
            <w:r>
              <w:rPr>
                <w:rFonts w:ascii="宋体" w:hAnsi="宋体" w:cs="宋体" w:eastAsia="宋体" w:hint="default"/>
                <w:sz w:val="18"/>
                <w:szCs w:val="18"/>
              </w:rPr>
              <w:t>数据中 心租用 服务</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3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4" w:right="63"/>
              <w:jc w:val="left"/>
              <w:rPr>
                <w:rFonts w:ascii="宋体" w:hAnsi="宋体" w:cs="宋体" w:eastAsia="宋体" w:hint="default"/>
                <w:sz w:val="18"/>
                <w:szCs w:val="18"/>
              </w:rPr>
            </w:pPr>
            <w:r>
              <w:rPr>
                <w:rFonts w:ascii="宋体" w:hAnsi="宋体" w:cs="宋体" w:eastAsia="宋体" w:hint="default"/>
                <w:sz w:val="18"/>
                <w:szCs w:val="18"/>
              </w:rPr>
              <w:t>双方约 定</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40,561</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3" w:right="63"/>
              <w:jc w:val="both"/>
              <w:rPr>
                <w:rFonts w:ascii="Times New Roman" w:hAnsi="Times New Roman" w:cs="Times New Roman" w:eastAsia="Times New Roman" w:hint="default"/>
                <w:sz w:val="18"/>
                <w:szCs w:val="18"/>
              </w:rPr>
            </w:pPr>
            <w:r>
              <w:rPr>
                <w:rFonts w:ascii="宋体" w:hAnsi="宋体" w:cs="宋体" w:eastAsia="宋体" w:hint="default"/>
                <w:sz w:val="18"/>
                <w:szCs w:val="18"/>
              </w:rPr>
              <w:t>报告期 内履行 金额为 </w:t>
            </w:r>
            <w:r>
              <w:rPr>
                <w:rFonts w:ascii="Times New Roman" w:hAnsi="Times New Roman" w:cs="Times New Roman" w:eastAsia="Times New Roman" w:hint="default"/>
                <w:sz w:val="18"/>
                <w:szCs w:val="18"/>
              </w:rPr>
              <w:t>3,186</w:t>
            </w:r>
          </w:p>
          <w:p>
            <w:pPr>
              <w:pStyle w:val="TableParagraph"/>
              <w:spacing w:line="319" w:lineRule="auto" w:before="39"/>
              <w:ind w:left="23" w:right="63"/>
              <w:jc w:val="both"/>
              <w:rPr>
                <w:rFonts w:ascii="宋体" w:hAnsi="宋体" w:cs="宋体" w:eastAsia="宋体" w:hint="default"/>
                <w:sz w:val="18"/>
                <w:szCs w:val="18"/>
              </w:rPr>
            </w:pPr>
            <w:r>
              <w:rPr>
                <w:rFonts w:ascii="宋体" w:hAnsi="宋体" w:cs="宋体" w:eastAsia="宋体" w:hint="default"/>
                <w:sz w:val="18"/>
                <w:szCs w:val="18"/>
              </w:rPr>
              <w:t>万元， 尚未履 行金额 为</w:t>
            </w:r>
          </w:p>
          <w:p>
            <w:pPr>
              <w:pStyle w:val="TableParagraph"/>
              <w:spacing w:line="240" w:lineRule="auto" w:before="59"/>
              <w:ind w:left="23" w:right="0"/>
              <w:jc w:val="both"/>
              <w:rPr>
                <w:rFonts w:ascii="Times New Roman" w:hAnsi="Times New Roman" w:cs="Times New Roman" w:eastAsia="Times New Roman" w:hint="default"/>
                <w:sz w:val="18"/>
                <w:szCs w:val="18"/>
              </w:rPr>
            </w:pPr>
            <w:r>
              <w:rPr>
                <w:rFonts w:ascii="Times New Roman"/>
                <w:sz w:val="18"/>
              </w:rPr>
              <w:t>35,369</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62" w:lineRule="auto"/>
              <w:ind w:left="23" w:right="93"/>
              <w:jc w:val="both"/>
              <w:rPr>
                <w:rFonts w:ascii="Times New Roman" w:hAnsi="Times New Roman" w:cs="Times New Roman" w:eastAsia="Times New Roman" w:hint="default"/>
                <w:sz w:val="18"/>
                <w:szCs w:val="18"/>
              </w:rPr>
            </w:pPr>
            <w:r>
              <w:rPr>
                <w:rFonts w:ascii="Times New Roman"/>
                <w:spacing w:val="-3"/>
                <w:sz w:val="18"/>
              </w:rPr>
              <w:t>www.c</w:t>
            </w:r>
            <w:r>
              <w:rPr>
                <w:rFonts w:ascii="Times New Roman"/>
                <w:sz w:val="18"/>
              </w:rPr>
              <w:t> ninfo.c om.cn</w:t>
            </w:r>
          </w:p>
        </w:tc>
      </w:tr>
      <w:tr>
        <w:trPr>
          <w:trHeight w:val="1961"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60"/>
              <w:jc w:val="both"/>
              <w:rPr>
                <w:rFonts w:ascii="宋体" w:hAnsi="宋体" w:cs="宋体" w:eastAsia="宋体" w:hint="default"/>
                <w:sz w:val="18"/>
                <w:szCs w:val="18"/>
              </w:rPr>
            </w:pPr>
            <w:r>
              <w:rPr>
                <w:rFonts w:ascii="宋体" w:hAnsi="宋体" w:cs="宋体" w:eastAsia="宋体" w:hint="default"/>
                <w:sz w:val="18"/>
                <w:szCs w:val="18"/>
              </w:rPr>
              <w:t>光环云 谷有限 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2"/>
              <w:jc w:val="both"/>
              <w:rPr>
                <w:rFonts w:ascii="宋体" w:hAnsi="宋体" w:cs="宋体" w:eastAsia="宋体" w:hint="default"/>
                <w:sz w:val="18"/>
                <w:szCs w:val="18"/>
              </w:rPr>
            </w:pPr>
            <w:r>
              <w:rPr>
                <w:rFonts w:ascii="宋体" w:hAnsi="宋体" w:cs="宋体" w:eastAsia="宋体" w:hint="default"/>
                <w:sz w:val="18"/>
                <w:szCs w:val="18"/>
              </w:rPr>
              <w:t>亚马逊 通技术 服务</w:t>
            </w:r>
          </w:p>
          <w:p>
            <w:pPr>
              <w:pStyle w:val="TableParagraph"/>
              <w:spacing w:line="316" w:lineRule="auto" w:before="19"/>
              <w:ind w:left="23" w:right="62"/>
              <w:jc w:val="left"/>
              <w:rPr>
                <w:rFonts w:ascii="宋体" w:hAnsi="宋体" w:cs="宋体" w:eastAsia="宋体" w:hint="default"/>
                <w:sz w:val="18"/>
                <w:szCs w:val="18"/>
              </w:rPr>
            </w:pPr>
            <w:r>
              <w:rPr>
                <w:rFonts w:ascii="宋体" w:hAnsi="宋体" w:cs="宋体" w:eastAsia="宋体" w:hint="default"/>
                <w:sz w:val="18"/>
                <w:szCs w:val="18"/>
              </w:rPr>
              <w:t>（北 京）有 限公司</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65"/>
              <w:jc w:val="both"/>
              <w:rPr>
                <w:rFonts w:ascii="宋体" w:hAnsi="宋体" w:cs="宋体" w:eastAsia="宋体" w:hint="default"/>
                <w:sz w:val="18"/>
                <w:szCs w:val="18"/>
              </w:rPr>
            </w:pPr>
            <w:r>
              <w:rPr>
                <w:rFonts w:ascii="宋体" w:hAnsi="宋体" w:cs="宋体" w:eastAsia="宋体" w:hint="default"/>
                <w:sz w:val="18"/>
                <w:szCs w:val="18"/>
              </w:rPr>
              <w:t>数据中 心租用 服务</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4" w:lineRule="auto"/>
              <w:ind w:left="24" w:right="63"/>
              <w:jc w:val="left"/>
              <w:rPr>
                <w:rFonts w:ascii="宋体" w:hAnsi="宋体" w:cs="宋体" w:eastAsia="宋体" w:hint="default"/>
                <w:sz w:val="18"/>
                <w:szCs w:val="18"/>
              </w:rPr>
            </w:pPr>
            <w:r>
              <w:rPr>
                <w:rFonts w:ascii="宋体" w:hAnsi="宋体" w:cs="宋体" w:eastAsia="宋体" w:hint="default"/>
                <w:sz w:val="18"/>
                <w:szCs w:val="18"/>
              </w:rPr>
              <w:t>双方约 定</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40,139</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4" w:lineRule="auto"/>
              <w:ind w:left="23" w:right="63"/>
              <w:jc w:val="left"/>
              <w:rPr>
                <w:rFonts w:ascii="宋体" w:hAnsi="宋体" w:cs="宋体" w:eastAsia="宋体" w:hint="default"/>
                <w:sz w:val="18"/>
                <w:szCs w:val="18"/>
              </w:rPr>
            </w:pPr>
            <w:r>
              <w:rPr>
                <w:rFonts w:ascii="宋体" w:hAnsi="宋体" w:cs="宋体" w:eastAsia="宋体" w:hint="default"/>
                <w:sz w:val="18"/>
                <w:szCs w:val="18"/>
              </w:rPr>
              <w:t>尚未开 始履行</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77"/>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360" w:lineRule="auto"/>
              <w:ind w:left="23" w:right="93"/>
              <w:jc w:val="both"/>
              <w:rPr>
                <w:rFonts w:ascii="Times New Roman" w:hAnsi="Times New Roman" w:cs="Times New Roman" w:eastAsia="Times New Roman" w:hint="default"/>
                <w:sz w:val="18"/>
                <w:szCs w:val="18"/>
              </w:rPr>
            </w:pPr>
            <w:r>
              <w:rPr>
                <w:rFonts w:ascii="Times New Roman"/>
                <w:spacing w:val="-3"/>
                <w:sz w:val="18"/>
              </w:rPr>
              <w:t>www.c</w:t>
            </w:r>
            <w:r>
              <w:rPr>
                <w:rFonts w:ascii="Times New Roman"/>
                <w:sz w:val="18"/>
              </w:rPr>
              <w:t> ninfo.c om.cn</w:t>
            </w:r>
          </w:p>
        </w:tc>
      </w:tr>
    </w:tbl>
    <w:p>
      <w:pPr>
        <w:spacing w:after="0" w:line="360" w:lineRule="auto"/>
        <w:jc w:val="both"/>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1134"/>
        <w:jc w:val="left"/>
        <w:rPr>
          <w:b w:val="0"/>
          <w:bCs w:val="0"/>
        </w:rPr>
      </w:pPr>
      <w:r>
        <w:rPr/>
        <w:t>十七、其他重大事项的说明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4" w:lineRule="auto" w:before="101"/>
        <w:ind w:right="0" w:firstLine="360"/>
        <w:jc w:val="left"/>
      </w:pPr>
      <w:r>
        <w:rPr/>
        <w:t>报告期内，公司拟以发行股份及支付现金的方式购买北京中金云网科技有限公司</w:t>
      </w:r>
      <w:r>
        <w:rPr>
          <w:spacing w:val="-45"/>
        </w:rPr>
        <w:t> </w:t>
      </w:r>
      <w:r>
        <w:rPr>
          <w:rFonts w:ascii="Times New Roman" w:hAnsi="Times New Roman" w:cs="Times New Roman" w:eastAsia="Times New Roman" w:hint="default"/>
        </w:rPr>
        <w:t>100%</w:t>
      </w:r>
      <w:r>
        <w:rPr/>
        <w:t>股权和北京无双科技有限公司 </w:t>
      </w:r>
      <w:r>
        <w:rPr>
          <w:rFonts w:ascii="Times New Roman" w:hAnsi="Times New Roman" w:cs="Times New Roman" w:eastAsia="Times New Roman" w:hint="default"/>
        </w:rPr>
        <w:t>100%</w:t>
      </w:r>
      <w:r>
        <w:rPr/>
        <w:t>股权，购买资产交易作价为</w:t>
      </w:r>
      <w:r>
        <w:rPr>
          <w:spacing w:val="-47"/>
        </w:rPr>
        <w:t> </w:t>
      </w:r>
      <w:r>
        <w:rPr>
          <w:rFonts w:ascii="Times New Roman" w:hAnsi="Times New Roman" w:cs="Times New Roman" w:eastAsia="Times New Roman" w:hint="default"/>
        </w:rPr>
        <w:t>290,902.16</w:t>
      </w:r>
      <w:r>
        <w:rPr>
          <w:rFonts w:ascii="Times New Roman" w:hAnsi="Times New Roman" w:cs="Times New Roman" w:eastAsia="Times New Roman" w:hint="default"/>
          <w:spacing w:val="1"/>
        </w:rPr>
        <w:t> </w:t>
      </w:r>
      <w:r>
        <w:rPr/>
        <w:t>万元，募集配套资金总额不超过购买资产总额的</w:t>
      </w:r>
      <w:r>
        <w:rPr>
          <w:spacing w:val="-47"/>
        </w:rPr>
        <w:t> </w:t>
      </w:r>
      <w:r>
        <w:rPr>
          <w:rFonts w:ascii="Times New Roman" w:hAnsi="Times New Roman" w:cs="Times New Roman" w:eastAsia="Times New Roman" w:hint="default"/>
        </w:rPr>
        <w:t>100%</w:t>
      </w:r>
      <w:r>
        <w:rPr/>
        <w:t>。</w:t>
      </w: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日公司 </w:t>
      </w:r>
      <w:r>
        <w:rPr>
          <w:spacing w:val="-2"/>
        </w:rPr>
        <w:t>收到中国证监会出具的《关于核准北京光环新网科技股份有限公司向中金盛世投资有限公司等发行股份购买资产并募集配套</w:t>
      </w:r>
      <w:r>
        <w:rPr>
          <w:spacing w:val="-64"/>
        </w:rPr>
        <w:t> </w:t>
      </w:r>
      <w:r>
        <w:rPr>
          <w:spacing w:val="-64"/>
        </w:rPr>
      </w:r>
      <w:r>
        <w:rPr>
          <w:spacing w:val="-5"/>
          <w:w w:val="99"/>
        </w:rPr>
        <w:t>资金的批复》，具体内容请参见同日披露在中国证监会指定信息披露网站（</w:t>
      </w:r>
      <w:hyperlink r:id="rId11">
        <w:r>
          <w:rPr>
            <w:rFonts w:ascii="Times New Roman" w:hAnsi="Times New Roman" w:cs="Times New Roman" w:eastAsia="Times New Roman" w:hint="default"/>
            <w:spacing w:val="-5"/>
            <w:w w:val="99"/>
          </w:rPr>
          <w:t>www.cninfo.com.cn</w:t>
        </w:r>
      </w:hyperlink>
      <w:r>
        <w:rPr>
          <w:spacing w:val="-5"/>
          <w:w w:val="99"/>
        </w:rPr>
        <w:t>）的相关公告。截至本报告日，</w:t>
      </w:r>
      <w:r>
        <w:rPr>
          <w:spacing w:val="-63"/>
          <w:w w:val="99"/>
        </w:rPr>
        <w:t> </w:t>
      </w:r>
      <w:r>
        <w:rPr>
          <w:spacing w:val="-63"/>
          <w:w w:val="99"/>
        </w:rPr>
      </w:r>
      <w:r>
        <w:rPr/>
        <w:t>中金云网和无双科技已完成工商变更登记手续。</w:t>
      </w:r>
    </w:p>
    <w:p>
      <w:pPr>
        <w:spacing w:line="240" w:lineRule="auto" w:before="7"/>
        <w:rPr>
          <w:rFonts w:ascii="宋体" w:hAnsi="宋体" w:cs="宋体" w:eastAsia="宋体" w:hint="default"/>
          <w:sz w:val="21"/>
          <w:szCs w:val="21"/>
        </w:rPr>
      </w:pPr>
    </w:p>
    <w:p>
      <w:pPr>
        <w:pStyle w:val="Heading2"/>
        <w:spacing w:line="240" w:lineRule="auto"/>
        <w:ind w:right="1134"/>
        <w:jc w:val="left"/>
        <w:rPr>
          <w:b w:val="0"/>
          <w:bCs w:val="0"/>
        </w:rPr>
      </w:pPr>
      <w:r>
        <w:rPr/>
        <w:t>十八、公司子公司重大事项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4"/>
        <w:jc w:val="left"/>
        <w:rPr>
          <w:b w:val="0"/>
          <w:bCs w:val="0"/>
        </w:rPr>
      </w:pPr>
      <w:r>
        <w:rPr/>
        <w:t>十九、社会责任情况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4"/>
        <w:jc w:val="left"/>
        <w:rPr>
          <w:b w:val="0"/>
          <w:bCs w:val="0"/>
        </w:rPr>
      </w:pPr>
      <w:r>
        <w:rPr/>
        <w:t>二十、公司债券相关情况</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1134"/>
        <w:jc w:val="left"/>
      </w:pPr>
      <w:r>
        <w:rPr/>
        <w:t>公司是否存在公开发行并在证券交易所上市，且在年度报告批准报出日未到期或到期未能全额兑付的公司债券 否</w:t>
      </w:r>
    </w:p>
    <w:p>
      <w:pPr>
        <w:spacing w:after="0" w:line="357" w:lineRule="auto"/>
        <w:jc w:val="left"/>
        <w:sectPr>
          <w:footerReference w:type="default" r:id="rId22"/>
          <w:pgSz w:w="11910" w:h="16840"/>
          <w:pgMar w:footer="979" w:header="745" w:top="1060" w:bottom="1160" w:left="980" w:right="980"/>
          <w:pgNumType w:start="11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964" w:right="1134"/>
        <w:jc w:val="left"/>
        <w:rPr>
          <w:b w:val="0"/>
          <w:bCs w:val="0"/>
        </w:rPr>
      </w:pPr>
      <w:bookmarkStart w:name="_TOC_250005" w:id="6"/>
      <w:r>
        <w:rPr/>
        <w:t>第六节</w:t>
      </w:r>
      <w:r>
        <w:rPr>
          <w:spacing w:val="-6"/>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4"/>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4"/>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单位：股</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4"/>
        <w:gridCol w:w="823"/>
        <w:gridCol w:w="823"/>
        <w:gridCol w:w="821"/>
        <w:gridCol w:w="823"/>
        <w:gridCol w:w="821"/>
        <w:gridCol w:w="824"/>
        <w:gridCol w:w="794"/>
        <w:gridCol w:w="792"/>
      </w:tblGrid>
      <w:tr>
        <w:trPr>
          <w:trHeight w:val="403"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16" w:right="47"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vMerge/>
            <w:tcBorders>
              <w:left w:val="single" w:sz="4" w:space="0" w:color="000000"/>
              <w:right w:val="single" w:sz="4" w:space="0" w:color="000000"/>
            </w:tcBorders>
            <w:shd w:val="clear" w:color="auto" w:fill="D2D2D2"/>
          </w:tcPr>
          <w:p>
            <w:pP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99"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81,870,00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75.00%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77,988,28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171,574,2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16</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-19,458,6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01</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230,103,8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311,973,8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95</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57.16%</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81,870,00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75.00%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77,988,28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171,574,2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16</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-19,458,6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01</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230,103,8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311,973,8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95</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57.16%</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66,946,81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61.32%</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73,245,29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161,139,6</w:t>
            </w:r>
          </w:p>
          <w:p>
            <w:pPr>
              <w:pStyle w:val="TableParagraph"/>
              <w:spacing w:line="240" w:lineRule="auto" w:before="105"/>
              <w:ind w:left="475" w:right="0"/>
              <w:jc w:val="left"/>
              <w:rPr>
                <w:rFonts w:ascii="Times New Roman" w:hAnsi="Times New Roman" w:cs="Times New Roman" w:eastAsia="Times New Roman" w:hint="default"/>
                <w:sz w:val="18"/>
                <w:szCs w:val="18"/>
              </w:rPr>
            </w:pPr>
            <w:r>
              <w:rPr>
                <w:rFonts w:ascii="Times New Roman"/>
                <w:sz w:val="18"/>
              </w:rPr>
              <w:t>43.5</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-8,350,57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226,034,3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292,981,1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53.68%</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14,923,18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13.67%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4,742,987.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10,434,57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2.5</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-11,108,0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23</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4,069,537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18,992,72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3.48%</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27,290,00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25.00%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58,461,72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128,615,7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84</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19,458,60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206,536,1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233,826,1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05</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42.84%</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27,290,00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25.00%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58,461,72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128,615,7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84</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19,458,60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206,536,1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233,826,1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05</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42.84%</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109,160,0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136,450,0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300,190,0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436,640,0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545,800,0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1134"/>
        <w:jc w:val="left"/>
      </w:pPr>
      <w:r>
        <w:rPr/>
        <w:t>股份变动的原因</w:t>
      </w:r>
    </w:p>
    <w:p>
      <w:pPr>
        <w:pStyle w:val="BodyText"/>
        <w:spacing w:line="240" w:lineRule="auto" w:before="115"/>
        <w:ind w:right="1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2"/>
        <w:rPr>
          <w:rFonts w:ascii="宋体" w:hAnsi="宋体" w:cs="宋体" w:eastAsia="宋体" w:hint="default"/>
          <w:sz w:val="16"/>
          <w:szCs w:val="16"/>
        </w:rPr>
      </w:pPr>
    </w:p>
    <w:p>
      <w:pPr>
        <w:pStyle w:val="BodyText"/>
        <w:spacing w:line="314" w:lineRule="auto"/>
        <w:ind w:right="149" w:firstLine="360"/>
        <w:jc w:val="both"/>
      </w:pPr>
      <w:r>
        <w:rPr>
          <w:rFonts w:ascii="宋体" w:hAnsi="宋体" w:cs="宋体" w:eastAsia="宋体" w:hint="default"/>
          <w:spacing w:val="-2"/>
        </w:rPr>
        <w:t>1</w:t>
      </w:r>
      <w:r>
        <w:rPr>
          <w:spacing w:val="-2"/>
        </w:rPr>
        <w:t>、根据公司股票首发前股东作出的相关股份锁定承诺，</w:t>
      </w:r>
      <w:r>
        <w:rPr>
          <w:rFonts w:ascii="宋体" w:hAnsi="宋体" w:cs="宋体" w:eastAsia="宋体" w:hint="default"/>
          <w:spacing w:val="-2"/>
        </w:rPr>
        <w:t>2015</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29</w:t>
      </w:r>
      <w:r>
        <w:rPr>
          <w:spacing w:val="-2"/>
        </w:rPr>
        <w:t>日有</w:t>
      </w:r>
      <w:r>
        <w:rPr>
          <w:rFonts w:ascii="宋体" w:hAnsi="宋体" w:cs="宋体" w:eastAsia="宋体" w:hint="default"/>
          <w:spacing w:val="-2"/>
        </w:rPr>
        <w:t>20,799,376</w:t>
      </w:r>
      <w:r>
        <w:rPr>
          <w:spacing w:val="-2"/>
        </w:rPr>
        <w:t>股股份解除限售，其中实际可上市</w:t>
      </w:r>
      <w:r>
        <w:rPr/>
        <w:t> 流通股份的数量为</w:t>
      </w:r>
      <w:r>
        <w:rPr>
          <w:rFonts w:ascii="宋体" w:hAnsi="宋体" w:cs="宋体" w:eastAsia="宋体" w:hint="default"/>
        </w:rPr>
        <w:t>19,479,376</w:t>
      </w:r>
      <w:r>
        <w:rPr/>
        <w:t>股。</w:t>
      </w:r>
    </w:p>
    <w:p>
      <w:pPr>
        <w:spacing w:line="240" w:lineRule="auto" w:before="7"/>
        <w:rPr>
          <w:rFonts w:ascii="宋体" w:hAnsi="宋体" w:cs="宋体" w:eastAsia="宋体" w:hint="default"/>
          <w:sz w:val="13"/>
          <w:szCs w:val="13"/>
        </w:rPr>
      </w:pPr>
    </w:p>
    <w:p>
      <w:pPr>
        <w:pStyle w:val="BodyText"/>
        <w:spacing w:line="316" w:lineRule="auto"/>
        <w:ind w:right="146" w:firstLine="360"/>
        <w:jc w:val="both"/>
      </w:pPr>
      <w:r>
        <w:rPr>
          <w:rFonts w:ascii="宋体" w:hAnsi="宋体" w:cs="宋体" w:eastAsia="宋体" w:hint="default"/>
          <w:spacing w:val="-2"/>
        </w:rPr>
        <w:t>2</w:t>
      </w:r>
      <w:r>
        <w:rPr>
          <w:spacing w:val="-2"/>
        </w:rPr>
        <w:t>、公司于</w:t>
      </w:r>
      <w:r>
        <w:rPr>
          <w:rFonts w:ascii="宋体" w:hAnsi="宋体" w:cs="宋体" w:eastAsia="宋体" w:hint="default"/>
          <w:spacing w:val="-2"/>
        </w:rPr>
        <w:t>2015</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12</w:t>
      </w:r>
      <w:r>
        <w:rPr>
          <w:spacing w:val="-2"/>
        </w:rPr>
        <w:t>日召开</w:t>
      </w:r>
      <w:r>
        <w:rPr>
          <w:rFonts w:ascii="宋体" w:hAnsi="宋体" w:cs="宋体" w:eastAsia="宋体" w:hint="default"/>
          <w:spacing w:val="-2"/>
        </w:rPr>
        <w:t>2014</w:t>
      </w:r>
      <w:r>
        <w:rPr>
          <w:spacing w:val="-2"/>
        </w:rPr>
        <w:t>年度股东大会，审议通过《关于公司</w:t>
      </w:r>
      <w:r>
        <w:rPr>
          <w:rFonts w:ascii="宋体" w:hAnsi="宋体" w:cs="宋体" w:eastAsia="宋体" w:hint="default"/>
          <w:spacing w:val="-2"/>
        </w:rPr>
        <w:t>2014</w:t>
      </w:r>
      <w:r>
        <w:rPr>
          <w:spacing w:val="-2"/>
        </w:rPr>
        <w:t>年度利润分配及资本公积转增股本方案的议</w:t>
      </w:r>
      <w:r>
        <w:rPr/>
        <w:t> 案》，以截至</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日公司总股本</w:t>
      </w:r>
      <w:r>
        <w:rPr>
          <w:rFonts w:ascii="宋体" w:hAnsi="宋体" w:cs="宋体" w:eastAsia="宋体" w:hint="default"/>
        </w:rPr>
        <w:t>10,916</w:t>
      </w:r>
      <w:r>
        <w:rPr/>
        <w:t>万股为基数，向全体股东每</w:t>
      </w:r>
      <w:r>
        <w:rPr>
          <w:rFonts w:ascii="宋体" w:hAnsi="宋体" w:cs="宋体" w:eastAsia="宋体" w:hint="default"/>
        </w:rPr>
        <w:t>10</w:t>
      </w:r>
      <w:r>
        <w:rPr/>
        <w:t>股派发现金红利</w:t>
      </w:r>
      <w:r>
        <w:rPr>
          <w:rFonts w:ascii="宋体" w:hAnsi="宋体" w:cs="宋体" w:eastAsia="宋体" w:hint="default"/>
        </w:rPr>
        <w:t>3</w:t>
      </w:r>
      <w:r>
        <w:rPr/>
        <w:t>元人民币（含税）；同时进 </w:t>
      </w:r>
      <w:r>
        <w:rPr>
          <w:spacing w:val="-5"/>
        </w:rPr>
        <w:t>行资本公积转增股本，以公司总股本</w:t>
      </w:r>
      <w:r>
        <w:rPr>
          <w:rFonts w:ascii="宋体" w:hAnsi="宋体" w:cs="宋体" w:eastAsia="宋体" w:hint="default"/>
          <w:spacing w:val="-5"/>
        </w:rPr>
        <w:t>10,916</w:t>
      </w:r>
      <w:r>
        <w:rPr>
          <w:spacing w:val="-5"/>
        </w:rPr>
        <w:t>万股为基数，向全体股东每</w:t>
      </w:r>
      <w:r>
        <w:rPr>
          <w:rFonts w:ascii="宋体" w:hAnsi="宋体" w:cs="宋体" w:eastAsia="宋体" w:hint="default"/>
          <w:spacing w:val="-5"/>
        </w:rPr>
        <w:t>10</w:t>
      </w:r>
      <w:r>
        <w:rPr>
          <w:spacing w:val="-5"/>
        </w:rPr>
        <w:t>股转增</w:t>
      </w:r>
      <w:r>
        <w:rPr>
          <w:rFonts w:ascii="宋体" w:hAnsi="宋体" w:cs="宋体" w:eastAsia="宋体" w:hint="default"/>
          <w:spacing w:val="-5"/>
        </w:rPr>
        <w:t>15</w:t>
      </w:r>
      <w:r>
        <w:rPr>
          <w:spacing w:val="-5"/>
        </w:rPr>
        <w:t>股，转增后公司总股本增加至</w:t>
      </w:r>
      <w:r>
        <w:rPr>
          <w:rFonts w:ascii="宋体" w:hAnsi="宋体" w:cs="宋体" w:eastAsia="宋体" w:hint="default"/>
          <w:spacing w:val="-5"/>
        </w:rPr>
        <w:t>27,290</w:t>
      </w:r>
      <w:r>
        <w:rPr>
          <w:spacing w:val="-5"/>
        </w:rPr>
        <w:t>万股。</w:t>
      </w:r>
      <w:r>
        <w:rPr>
          <w:spacing w:val="-40"/>
        </w:rPr>
        <w:t> </w:t>
      </w:r>
      <w:r>
        <w:rPr/>
        <w:t>上述权益分派方案已于</w:t>
      </w:r>
      <w:r>
        <w:rPr>
          <w:rFonts w:ascii="宋体" w:hAnsi="宋体" w:cs="宋体" w:eastAsia="宋体" w:hint="default"/>
        </w:rPr>
        <w:t>2015</w:t>
      </w:r>
      <w:r>
        <w:rPr/>
        <w:t>年</w:t>
      </w:r>
      <w:r>
        <w:rPr>
          <w:rFonts w:ascii="宋体" w:hAnsi="宋体" w:cs="宋体" w:eastAsia="宋体" w:hint="default"/>
        </w:rPr>
        <w:t>5</w:t>
      </w:r>
      <w:r>
        <w:rPr/>
        <w:t>月</w:t>
      </w:r>
      <w:r>
        <w:rPr>
          <w:rFonts w:ascii="宋体" w:hAnsi="宋体" w:cs="宋体" w:eastAsia="宋体" w:hint="default"/>
        </w:rPr>
        <w:t>22</w:t>
      </w:r>
      <w:r>
        <w:rPr/>
        <w:t>日实施完毕。</w:t>
      </w:r>
    </w:p>
    <w:p>
      <w:pPr>
        <w:spacing w:line="240" w:lineRule="auto" w:before="5"/>
        <w:rPr>
          <w:rFonts w:ascii="宋体" w:hAnsi="宋体" w:cs="宋体" w:eastAsia="宋体" w:hint="default"/>
          <w:sz w:val="13"/>
          <w:szCs w:val="13"/>
        </w:rPr>
      </w:pPr>
    </w:p>
    <w:p>
      <w:pPr>
        <w:pStyle w:val="BodyText"/>
        <w:spacing w:line="319" w:lineRule="auto"/>
        <w:ind w:right="151" w:firstLine="360"/>
        <w:jc w:val="both"/>
      </w:pPr>
      <w:r>
        <w:rPr>
          <w:rFonts w:ascii="宋体" w:hAnsi="宋体" w:cs="宋体" w:eastAsia="宋体" w:hint="default"/>
          <w:spacing w:val="-2"/>
        </w:rPr>
        <w:t>3</w:t>
      </w:r>
      <w:r>
        <w:rPr>
          <w:spacing w:val="-2"/>
        </w:rPr>
        <w:t>、公司于</w:t>
      </w:r>
      <w:r>
        <w:rPr>
          <w:rFonts w:ascii="宋体" w:hAnsi="宋体" w:cs="宋体" w:eastAsia="宋体" w:hint="default"/>
          <w:spacing w:val="-2"/>
        </w:rPr>
        <w:t>2015</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23</w:t>
      </w:r>
      <w:r>
        <w:rPr>
          <w:spacing w:val="-2"/>
        </w:rPr>
        <w:t>日召开</w:t>
      </w:r>
      <w:r>
        <w:rPr>
          <w:rFonts w:ascii="宋体" w:hAnsi="宋体" w:cs="宋体" w:eastAsia="宋体" w:hint="default"/>
          <w:spacing w:val="-2"/>
        </w:rPr>
        <w:t>2015</w:t>
      </w:r>
      <w:r>
        <w:rPr>
          <w:spacing w:val="-2"/>
        </w:rPr>
        <w:t>年第三次临时股东大会，审议通过《关于调整</w:t>
      </w:r>
      <w:r>
        <w:rPr>
          <w:rFonts w:ascii="宋体" w:hAnsi="宋体" w:cs="宋体" w:eastAsia="宋体" w:hint="default"/>
          <w:spacing w:val="-2"/>
        </w:rPr>
        <w:t>2015</w:t>
      </w:r>
      <w:r>
        <w:rPr>
          <w:spacing w:val="-2"/>
        </w:rPr>
        <w:t>年半年度利润分配及资本公积转增</w:t>
      </w:r>
      <w:r>
        <w:rPr/>
        <w:t> </w:t>
      </w:r>
      <w:r>
        <w:rPr>
          <w:spacing w:val="-2"/>
        </w:rPr>
        <w:t>股本方案的议案》，以截至</w:t>
      </w:r>
      <w:r>
        <w:rPr>
          <w:rFonts w:ascii="宋体" w:hAnsi="宋体" w:cs="宋体" w:eastAsia="宋体" w:hint="default"/>
          <w:spacing w:val="-2"/>
        </w:rPr>
        <w:t>2015</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30</w:t>
      </w:r>
      <w:r>
        <w:rPr>
          <w:spacing w:val="-2"/>
        </w:rPr>
        <w:t>日公司总股本</w:t>
      </w:r>
      <w:r>
        <w:rPr>
          <w:rFonts w:ascii="宋体" w:hAnsi="宋体" w:cs="宋体" w:eastAsia="宋体" w:hint="default"/>
          <w:spacing w:val="-2"/>
        </w:rPr>
        <w:t>27,290</w:t>
      </w:r>
      <w:r>
        <w:rPr>
          <w:spacing w:val="-2"/>
        </w:rPr>
        <w:t>万股为基数，向全体股东每</w:t>
      </w:r>
      <w:r>
        <w:rPr>
          <w:rFonts w:ascii="宋体" w:hAnsi="宋体" w:cs="宋体" w:eastAsia="宋体" w:hint="default"/>
          <w:spacing w:val="-2"/>
        </w:rPr>
        <w:t>10</w:t>
      </w:r>
      <w:r>
        <w:rPr>
          <w:spacing w:val="-2"/>
        </w:rPr>
        <w:t>股派发现金红利</w:t>
      </w:r>
      <w:r>
        <w:rPr>
          <w:rFonts w:ascii="宋体" w:hAnsi="宋体" w:cs="宋体" w:eastAsia="宋体" w:hint="default"/>
          <w:spacing w:val="-2"/>
        </w:rPr>
        <w:t>0.6</w:t>
      </w:r>
      <w:r>
        <w:rPr>
          <w:spacing w:val="-2"/>
        </w:rPr>
        <w:t>元人民币（含</w:t>
      </w:r>
      <w:r>
        <w:rPr>
          <w:spacing w:val="-54"/>
        </w:rPr>
        <w:t> </w:t>
      </w:r>
      <w:r>
        <w:rPr>
          <w:spacing w:val="-54"/>
        </w:rPr>
      </w:r>
      <w:r>
        <w:rPr/>
        <w:t>税）；同时以公司总股本</w:t>
      </w:r>
      <w:r>
        <w:rPr>
          <w:rFonts w:ascii="宋体" w:hAnsi="宋体" w:cs="宋体" w:eastAsia="宋体" w:hint="default"/>
        </w:rPr>
        <w:t>27,290</w:t>
      </w:r>
      <w:r>
        <w:rPr/>
        <w:t>万股为基数，向全体股东每</w:t>
      </w:r>
      <w:r>
        <w:rPr>
          <w:rFonts w:ascii="宋体" w:hAnsi="宋体" w:cs="宋体" w:eastAsia="宋体" w:hint="default"/>
        </w:rPr>
        <w:t>10</w:t>
      </w:r>
      <w:r>
        <w:rPr/>
        <w:t>股送红股</w:t>
      </w:r>
      <w:r>
        <w:rPr>
          <w:rFonts w:ascii="宋体" w:hAnsi="宋体" w:cs="宋体" w:eastAsia="宋体" w:hint="default"/>
        </w:rPr>
        <w:t>5</w:t>
      </w:r>
      <w:r>
        <w:rPr/>
        <w:t>股（含税），并以资本公积金每</w:t>
      </w:r>
      <w:r>
        <w:rPr>
          <w:rFonts w:ascii="宋体" w:hAnsi="宋体" w:cs="宋体" w:eastAsia="宋体" w:hint="default"/>
        </w:rPr>
        <w:t>10</w:t>
      </w:r>
      <w:r>
        <w:rPr/>
        <w:t>股向全体股东转 增</w:t>
      </w:r>
      <w:r>
        <w:rPr>
          <w:rFonts w:ascii="宋体" w:hAnsi="宋体" w:cs="宋体" w:eastAsia="宋体" w:hint="default"/>
        </w:rPr>
        <w:t>5</w:t>
      </w:r>
      <w:r>
        <w:rPr/>
        <w:t>股，转增后公司总股本增加至</w:t>
      </w:r>
      <w:r>
        <w:rPr>
          <w:rFonts w:ascii="宋体" w:hAnsi="宋体" w:cs="宋体" w:eastAsia="宋体" w:hint="default"/>
        </w:rPr>
        <w:t>54,580</w:t>
      </w:r>
      <w:r>
        <w:rPr/>
        <w:t>万股。上述权益分派方案已于</w:t>
      </w:r>
      <w:r>
        <w:rPr>
          <w:rFonts w:ascii="宋体" w:hAnsi="宋体" w:cs="宋体" w:eastAsia="宋体" w:hint="default"/>
        </w:rPr>
        <w:t>2015</w:t>
      </w:r>
      <w:r>
        <w:rPr/>
        <w:t>年</w:t>
      </w:r>
      <w:r>
        <w:rPr>
          <w:rFonts w:ascii="宋体" w:hAnsi="宋体" w:cs="宋体" w:eastAsia="宋体" w:hint="default"/>
        </w:rPr>
        <w:t>10</w:t>
      </w:r>
      <w:r>
        <w:rPr/>
        <w:t>月</w:t>
      </w:r>
      <w:r>
        <w:rPr>
          <w:rFonts w:ascii="宋体" w:hAnsi="宋体" w:cs="宋体" w:eastAsia="宋体" w:hint="default"/>
        </w:rPr>
        <w:t>8</w:t>
      </w:r>
      <w:r>
        <w:rPr/>
        <w:t>日实施完毕。</w:t>
      </w:r>
    </w:p>
    <w:p>
      <w:pPr>
        <w:spacing w:line="240" w:lineRule="auto" w:before="3"/>
        <w:rPr>
          <w:rFonts w:ascii="宋体" w:hAnsi="宋体" w:cs="宋体" w:eastAsia="宋体" w:hint="default"/>
          <w:sz w:val="13"/>
          <w:szCs w:val="13"/>
        </w:rPr>
      </w:pPr>
    </w:p>
    <w:p>
      <w:pPr>
        <w:pStyle w:val="BodyText"/>
        <w:spacing w:line="240" w:lineRule="auto"/>
        <w:ind w:left="513" w:right="0"/>
        <w:jc w:val="left"/>
      </w:pPr>
      <w:r>
        <w:rPr>
          <w:rFonts w:ascii="宋体" w:hAnsi="宋体" w:cs="宋体" w:eastAsia="宋体" w:hint="default"/>
        </w:rPr>
        <w:t>4</w:t>
      </w:r>
      <w:r>
        <w:rPr/>
        <w:t>、公司于</w:t>
      </w:r>
      <w:r>
        <w:rPr>
          <w:rFonts w:ascii="宋体" w:hAnsi="宋体" w:cs="宋体" w:eastAsia="宋体" w:hint="default"/>
        </w:rPr>
        <w:t>2015</w:t>
      </w:r>
      <w:r>
        <w:rPr/>
        <w:t>年</w:t>
      </w:r>
      <w:r>
        <w:rPr>
          <w:rFonts w:ascii="宋体" w:hAnsi="宋体" w:cs="宋体" w:eastAsia="宋体" w:hint="default"/>
        </w:rPr>
        <w:t>7</w:t>
      </w:r>
      <w:r>
        <w:rPr/>
        <w:t>月</w:t>
      </w:r>
      <w:r>
        <w:rPr>
          <w:rFonts w:ascii="宋体" w:hAnsi="宋体" w:cs="宋体" w:eastAsia="宋体" w:hint="default"/>
        </w:rPr>
        <w:t>13</w:t>
      </w:r>
      <w:r>
        <w:rPr/>
        <w:t>日发布了《关于实际控制人及董事、监事、高级管理人员计划增持公司股份的公告》，为维护资</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316" w:lineRule="auto" w:before="44"/>
        <w:ind w:right="94"/>
        <w:jc w:val="left"/>
      </w:pPr>
      <w:r>
        <w:rPr>
          <w:spacing w:val="-2"/>
        </w:rPr>
        <w:t>本市场稳定，促进公司持续、稳定、健康发展，切实维护广大投资者权益，同时基于对公司未来发展前景的信心以及对公司</w:t>
      </w:r>
      <w:r>
        <w:rPr>
          <w:spacing w:val="-67"/>
        </w:rPr>
        <w:t> </w:t>
      </w:r>
      <w:r>
        <w:rPr>
          <w:spacing w:val="-67"/>
        </w:rPr>
      </w:r>
      <w:r>
        <w:rPr/>
        <w:t>价值的认可，公司实际控制人及董事、监事、高级管理人员计划自公司股票复牌之日起六个月内，通过深圳证券交易系统、</w:t>
      </w:r>
      <w:r>
        <w:rPr>
          <w:spacing w:val="-86"/>
        </w:rPr>
        <w:t> </w:t>
      </w:r>
      <w:r>
        <w:rPr>
          <w:spacing w:val="-86"/>
        </w:rPr>
      </w:r>
      <w:r>
        <w:rPr>
          <w:spacing w:val="-4"/>
        </w:rPr>
        <w:t>证券公司或基金管理公司定向资产管理等方式增持公司股票，合计增持股份的金额不低于</w:t>
      </w:r>
      <w:r>
        <w:rPr>
          <w:rFonts w:ascii="宋体" w:hAnsi="宋体" w:cs="宋体" w:eastAsia="宋体" w:hint="default"/>
          <w:spacing w:val="-4"/>
        </w:rPr>
        <w:t>653</w:t>
      </w:r>
      <w:r>
        <w:rPr>
          <w:spacing w:val="-4"/>
        </w:rPr>
        <w:t>万元人民币。截至本报告期末，</w:t>
      </w:r>
      <w:r>
        <w:rPr>
          <w:spacing w:val="-39"/>
        </w:rPr>
        <w:t> </w:t>
      </w:r>
      <w:r>
        <w:rPr>
          <w:spacing w:val="-39"/>
        </w:rPr>
      </w:r>
      <w:r>
        <w:rPr/>
        <w:t>部分董事、监事、高级管理人员履行了上述承诺事项，合计增持股份</w:t>
      </w:r>
      <w:r>
        <w:rPr>
          <w:rFonts w:ascii="宋体" w:hAnsi="宋体" w:cs="宋体" w:eastAsia="宋体" w:hint="default"/>
        </w:rPr>
        <w:t>27,700</w:t>
      </w:r>
      <w:r>
        <w:rPr/>
        <w:t>股，其中</w:t>
      </w:r>
      <w:r>
        <w:rPr>
          <w:rFonts w:ascii="宋体" w:hAnsi="宋体" w:cs="宋体" w:eastAsia="宋体" w:hint="default"/>
        </w:rPr>
        <w:t>75%</w:t>
      </w:r>
      <w:r>
        <w:rPr/>
        <w:t>按高管锁定股自动锁定，即</w:t>
      </w:r>
      <w:r>
        <w:rPr>
          <w:rFonts w:ascii="宋体" w:hAnsi="宋体" w:cs="宋体" w:eastAsia="宋体" w:hint="default"/>
        </w:rPr>
        <w:t>20,775 </w:t>
      </w:r>
      <w:r>
        <w:rPr/>
        <w:t>股为高管限售股，增持金额</w:t>
      </w:r>
      <w:r>
        <w:rPr>
          <w:rFonts w:ascii="宋体" w:hAnsi="宋体" w:cs="宋体" w:eastAsia="宋体" w:hint="default"/>
        </w:rPr>
        <w:t>1,312,078</w:t>
      </w:r>
      <w:r>
        <w:rPr/>
        <w:t>元。</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240" w:lineRule="auto"/>
        <w:ind w:right="106"/>
        <w:jc w:val="left"/>
      </w:pPr>
      <w:r>
        <w:rPr/>
        <w:t>股份变动的批准情况</w:t>
      </w:r>
    </w:p>
    <w:p>
      <w:pPr>
        <w:pStyle w:val="BodyText"/>
        <w:spacing w:line="240" w:lineRule="auto" w:before="117"/>
        <w:ind w:right="10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2"/>
        <w:rPr>
          <w:rFonts w:ascii="宋体" w:hAnsi="宋体" w:cs="宋体" w:eastAsia="宋体" w:hint="default"/>
          <w:sz w:val="16"/>
          <w:szCs w:val="16"/>
        </w:rPr>
      </w:pPr>
    </w:p>
    <w:p>
      <w:pPr>
        <w:pStyle w:val="BodyText"/>
        <w:spacing w:line="314" w:lineRule="auto"/>
        <w:ind w:right="191" w:firstLine="360"/>
        <w:jc w:val="both"/>
      </w:pPr>
      <w:r>
        <w:rPr>
          <w:rFonts w:ascii="宋体" w:hAnsi="宋体" w:cs="宋体" w:eastAsia="宋体" w:hint="default"/>
          <w:spacing w:val="-2"/>
        </w:rPr>
        <w:t>1</w:t>
      </w:r>
      <w:r>
        <w:rPr>
          <w:spacing w:val="-2"/>
        </w:rPr>
        <w:t>、公司于</w:t>
      </w:r>
      <w:r>
        <w:rPr>
          <w:rFonts w:ascii="宋体" w:hAnsi="宋体" w:cs="宋体" w:eastAsia="宋体" w:hint="default"/>
          <w:spacing w:val="-2"/>
        </w:rPr>
        <w:t>2015</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12</w:t>
      </w:r>
      <w:r>
        <w:rPr>
          <w:spacing w:val="-2"/>
        </w:rPr>
        <w:t>日召开</w:t>
      </w:r>
      <w:r>
        <w:rPr>
          <w:rFonts w:ascii="宋体" w:hAnsi="宋体" w:cs="宋体" w:eastAsia="宋体" w:hint="default"/>
          <w:spacing w:val="-2"/>
        </w:rPr>
        <w:t>2014</w:t>
      </w:r>
      <w:r>
        <w:rPr>
          <w:spacing w:val="-2"/>
        </w:rPr>
        <w:t>年度股东大会，审议通过《关于公司</w:t>
      </w:r>
      <w:r>
        <w:rPr>
          <w:rFonts w:ascii="宋体" w:hAnsi="宋体" w:cs="宋体" w:eastAsia="宋体" w:hint="default"/>
          <w:spacing w:val="-2"/>
        </w:rPr>
        <w:t>2014</w:t>
      </w:r>
      <w:r>
        <w:rPr>
          <w:spacing w:val="-2"/>
        </w:rPr>
        <w:t>年度利润分配及资本公积转增股本方案的议</w:t>
      </w:r>
      <w:r>
        <w:rPr/>
        <w:t> 案》。上述权益分派方案已于</w:t>
      </w:r>
      <w:r>
        <w:rPr>
          <w:rFonts w:ascii="宋体" w:hAnsi="宋体" w:cs="宋体" w:eastAsia="宋体" w:hint="default"/>
        </w:rPr>
        <w:t>2015</w:t>
      </w:r>
      <w:r>
        <w:rPr/>
        <w:t>年</w:t>
      </w:r>
      <w:r>
        <w:rPr>
          <w:rFonts w:ascii="宋体" w:hAnsi="宋体" w:cs="宋体" w:eastAsia="宋体" w:hint="default"/>
        </w:rPr>
        <w:t>5</w:t>
      </w:r>
      <w:r>
        <w:rPr/>
        <w:t>月</w:t>
      </w:r>
      <w:r>
        <w:rPr>
          <w:rFonts w:ascii="宋体" w:hAnsi="宋体" w:cs="宋体" w:eastAsia="宋体" w:hint="default"/>
        </w:rPr>
        <w:t>22</w:t>
      </w:r>
      <w:r>
        <w:rPr/>
        <w:t>日实施完毕。</w:t>
      </w:r>
    </w:p>
    <w:p>
      <w:pPr>
        <w:spacing w:line="240" w:lineRule="auto" w:before="7"/>
        <w:rPr>
          <w:rFonts w:ascii="宋体" w:hAnsi="宋体" w:cs="宋体" w:eastAsia="宋体" w:hint="default"/>
          <w:sz w:val="13"/>
          <w:szCs w:val="13"/>
        </w:rPr>
      </w:pPr>
    </w:p>
    <w:p>
      <w:pPr>
        <w:pStyle w:val="BodyText"/>
        <w:spacing w:line="316" w:lineRule="auto"/>
        <w:ind w:right="191" w:firstLine="360"/>
        <w:jc w:val="both"/>
      </w:pPr>
      <w:r>
        <w:rPr>
          <w:rFonts w:ascii="宋体" w:hAnsi="宋体" w:cs="宋体" w:eastAsia="宋体" w:hint="default"/>
          <w:spacing w:val="-2"/>
        </w:rPr>
        <w:t>2</w:t>
      </w:r>
      <w:r>
        <w:rPr>
          <w:spacing w:val="-2"/>
        </w:rPr>
        <w:t>、公司于</w:t>
      </w:r>
      <w:r>
        <w:rPr>
          <w:rFonts w:ascii="宋体" w:hAnsi="宋体" w:cs="宋体" w:eastAsia="宋体" w:hint="default"/>
          <w:spacing w:val="-2"/>
        </w:rPr>
        <w:t>2015</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23</w:t>
      </w:r>
      <w:r>
        <w:rPr>
          <w:spacing w:val="-2"/>
        </w:rPr>
        <w:t>日召开</w:t>
      </w:r>
      <w:r>
        <w:rPr>
          <w:rFonts w:ascii="宋体" w:hAnsi="宋体" w:cs="宋体" w:eastAsia="宋体" w:hint="default"/>
          <w:spacing w:val="-2"/>
        </w:rPr>
        <w:t>2015</w:t>
      </w:r>
      <w:r>
        <w:rPr>
          <w:spacing w:val="-2"/>
        </w:rPr>
        <w:t>年第三次临时股东大会，审议通过《关于调整</w:t>
      </w:r>
      <w:r>
        <w:rPr>
          <w:rFonts w:ascii="宋体" w:hAnsi="宋体" w:cs="宋体" w:eastAsia="宋体" w:hint="default"/>
          <w:spacing w:val="-2"/>
        </w:rPr>
        <w:t>2015</w:t>
      </w:r>
      <w:r>
        <w:rPr>
          <w:spacing w:val="-2"/>
        </w:rPr>
        <w:t>年半年度利润分配及资本公积转增</w:t>
      </w:r>
      <w:r>
        <w:rPr/>
        <w:t> 股本方案的议案》。上述权益分派方案已于</w:t>
      </w:r>
      <w:r>
        <w:rPr>
          <w:rFonts w:ascii="宋体" w:hAnsi="宋体" w:cs="宋体" w:eastAsia="宋体" w:hint="default"/>
        </w:rPr>
        <w:t>2015</w:t>
      </w:r>
      <w:r>
        <w:rPr/>
        <w:t>年</w:t>
      </w:r>
      <w:r>
        <w:rPr>
          <w:rFonts w:ascii="宋体" w:hAnsi="宋体" w:cs="宋体" w:eastAsia="宋体" w:hint="default"/>
        </w:rPr>
        <w:t>10</w:t>
      </w:r>
      <w:r>
        <w:rPr/>
        <w:t>月</w:t>
      </w:r>
      <w:r>
        <w:rPr>
          <w:rFonts w:ascii="宋体" w:hAnsi="宋体" w:cs="宋体" w:eastAsia="宋体" w:hint="default"/>
        </w:rPr>
        <w:t>8</w:t>
      </w:r>
      <w:r>
        <w:rPr/>
        <w:t>日实施完毕。</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240" w:lineRule="auto"/>
        <w:ind w:right="106"/>
        <w:jc w:val="left"/>
      </w:pPr>
      <w:r>
        <w:rPr/>
        <w:t>股份变动的过户情况</w:t>
      </w:r>
    </w:p>
    <w:p>
      <w:pPr>
        <w:pStyle w:val="BodyText"/>
        <w:spacing w:line="453" w:lineRule="auto" w:before="117"/>
        <w:ind w:left="513" w:right="234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rFonts w:ascii="宋体" w:hAnsi="宋体" w:cs="宋体" w:eastAsia="宋体" w:hint="default"/>
        </w:rPr>
        <w:t>1</w:t>
      </w:r>
      <w:r>
        <w:rPr/>
        <w:t>、</w:t>
      </w:r>
      <w:r>
        <w:rPr>
          <w:rFonts w:ascii="宋体" w:hAnsi="宋体" w:cs="宋体" w:eastAsia="宋体" w:hint="default"/>
        </w:rPr>
        <w:t>2014</w:t>
      </w:r>
      <w:r>
        <w:rPr/>
        <w:t>年度利润分配方案于</w:t>
      </w:r>
      <w:r>
        <w:rPr>
          <w:rFonts w:ascii="宋体" w:hAnsi="宋体" w:cs="宋体" w:eastAsia="宋体" w:hint="default"/>
        </w:rPr>
        <w:t>2015</w:t>
      </w:r>
      <w:r>
        <w:rPr/>
        <w:t>年</w:t>
      </w:r>
      <w:r>
        <w:rPr>
          <w:rFonts w:ascii="宋体" w:hAnsi="宋体" w:cs="宋体" w:eastAsia="宋体" w:hint="default"/>
        </w:rPr>
        <w:t>5</w:t>
      </w:r>
      <w:r>
        <w:rPr/>
        <w:t>月</w:t>
      </w:r>
      <w:r>
        <w:rPr>
          <w:rFonts w:ascii="宋体" w:hAnsi="宋体" w:cs="宋体" w:eastAsia="宋体" w:hint="default"/>
        </w:rPr>
        <w:t>22</w:t>
      </w:r>
      <w:r>
        <w:rPr/>
        <w:t>日实施完毕，</w:t>
      </w:r>
      <w:r>
        <w:rPr>
          <w:rFonts w:ascii="宋体" w:hAnsi="宋体" w:cs="宋体" w:eastAsia="宋体" w:hint="default"/>
        </w:rPr>
        <w:t>2015</w:t>
      </w:r>
      <w:r>
        <w:rPr/>
        <w:t>年</w:t>
      </w:r>
      <w:r>
        <w:rPr>
          <w:rFonts w:ascii="宋体" w:hAnsi="宋体" w:cs="宋体" w:eastAsia="宋体" w:hint="default"/>
        </w:rPr>
        <w:t>5</w:t>
      </w:r>
      <w:r>
        <w:rPr/>
        <w:t>月</w:t>
      </w:r>
      <w:r>
        <w:rPr>
          <w:rFonts w:ascii="宋体" w:hAnsi="宋体" w:cs="宋体" w:eastAsia="宋体" w:hint="default"/>
        </w:rPr>
        <w:t>26</w:t>
      </w:r>
      <w:r>
        <w:rPr/>
        <w:t>日完成工商变更手续。</w:t>
      </w:r>
    </w:p>
    <w:p>
      <w:pPr>
        <w:pStyle w:val="BodyText"/>
        <w:spacing w:line="240" w:lineRule="auto" w:before="70"/>
        <w:ind w:left="513" w:right="106"/>
        <w:jc w:val="left"/>
      </w:pPr>
      <w:r>
        <w:rPr>
          <w:rFonts w:ascii="宋体" w:hAnsi="宋体" w:cs="宋体" w:eastAsia="宋体" w:hint="default"/>
        </w:rPr>
        <w:t>2</w:t>
      </w:r>
      <w:r>
        <w:rPr/>
        <w:t>、</w:t>
      </w:r>
      <w:r>
        <w:rPr>
          <w:rFonts w:ascii="宋体" w:hAnsi="宋体" w:cs="宋体" w:eastAsia="宋体" w:hint="default"/>
        </w:rPr>
        <w:t>2015</w:t>
      </w:r>
      <w:r>
        <w:rPr/>
        <w:t>年半年度利润分配方案于</w:t>
      </w:r>
      <w:r>
        <w:rPr>
          <w:rFonts w:ascii="宋体" w:hAnsi="宋体" w:cs="宋体" w:eastAsia="宋体" w:hint="default"/>
        </w:rPr>
        <w:t>2015</w:t>
      </w:r>
      <w:r>
        <w:rPr/>
        <w:t>年</w:t>
      </w:r>
      <w:r>
        <w:rPr>
          <w:rFonts w:ascii="宋体" w:hAnsi="宋体" w:cs="宋体" w:eastAsia="宋体" w:hint="default"/>
        </w:rPr>
        <w:t>10</w:t>
      </w:r>
      <w:r>
        <w:rPr/>
        <w:t>月</w:t>
      </w:r>
      <w:r>
        <w:rPr>
          <w:rFonts w:ascii="宋体" w:hAnsi="宋体" w:cs="宋体" w:eastAsia="宋体" w:hint="default"/>
        </w:rPr>
        <w:t>8</w:t>
      </w:r>
      <w:r>
        <w:rPr/>
        <w:t>日实施完毕，</w:t>
      </w:r>
      <w:r>
        <w:rPr>
          <w:rFonts w:ascii="宋体" w:hAnsi="宋体" w:cs="宋体" w:eastAsia="宋体" w:hint="default"/>
        </w:rPr>
        <w:t>2015</w:t>
      </w:r>
      <w:r>
        <w:rPr/>
        <w:t>年</w:t>
      </w:r>
      <w:r>
        <w:rPr>
          <w:rFonts w:ascii="宋体" w:hAnsi="宋体" w:cs="宋体" w:eastAsia="宋体" w:hint="default"/>
        </w:rPr>
        <w:t>10</w:t>
      </w:r>
      <w:r>
        <w:rPr/>
        <w:t>月</w:t>
      </w:r>
      <w:r>
        <w:rPr>
          <w:rFonts w:ascii="宋体" w:hAnsi="宋体" w:cs="宋体" w:eastAsia="宋体" w:hint="default"/>
        </w:rPr>
        <w:t>13</w:t>
      </w:r>
      <w:r>
        <w:rPr/>
        <w:t>日完成工商变更手续。</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spacing w:line="240" w:lineRule="auto"/>
        <w:ind w:right="106"/>
        <w:jc w:val="left"/>
      </w:pPr>
      <w:r>
        <w:rPr/>
        <w:t>股份变动对最近一年和最近一期基本每股收益和稀释每股收益、归属于公司普通股股东的每股净资产等财务指标的影响</w:t>
      </w:r>
    </w:p>
    <w:p>
      <w:pPr>
        <w:pStyle w:val="BodyText"/>
        <w:spacing w:line="240" w:lineRule="auto" w:before="117"/>
        <w:ind w:right="10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2"/>
        <w:rPr>
          <w:rFonts w:ascii="宋体" w:hAnsi="宋体" w:cs="宋体" w:eastAsia="宋体" w:hint="default"/>
          <w:sz w:val="16"/>
          <w:szCs w:val="16"/>
        </w:rPr>
      </w:pPr>
    </w:p>
    <w:p>
      <w:pPr>
        <w:pStyle w:val="BodyText"/>
        <w:spacing w:line="314" w:lineRule="auto"/>
        <w:ind w:right="188" w:firstLine="360"/>
        <w:jc w:val="both"/>
      </w:pPr>
      <w:r>
        <w:rPr>
          <w:rFonts w:ascii="宋体" w:hAnsi="宋体" w:cs="宋体" w:eastAsia="宋体" w:hint="default"/>
          <w:spacing w:val="-5"/>
        </w:rPr>
        <w:t>1.</w:t>
      </w:r>
      <w:r>
        <w:rPr>
          <w:spacing w:val="-5"/>
        </w:rPr>
        <w:t>基本每股收益：按期初股本计算，本期基本每股收益</w:t>
      </w:r>
      <w:r>
        <w:rPr>
          <w:rFonts w:ascii="宋体" w:hAnsi="宋体" w:cs="宋体" w:eastAsia="宋体" w:hint="default"/>
          <w:spacing w:val="-5"/>
        </w:rPr>
        <w:t>1.04</w:t>
      </w:r>
      <w:r>
        <w:rPr>
          <w:spacing w:val="-5"/>
        </w:rPr>
        <w:t>元；本期股本变动后基本每股收益</w:t>
      </w:r>
      <w:r>
        <w:rPr>
          <w:rFonts w:ascii="宋体" w:hAnsi="宋体" w:cs="宋体" w:eastAsia="宋体" w:hint="default"/>
          <w:spacing w:val="-5"/>
        </w:rPr>
        <w:t>0.21</w:t>
      </w:r>
      <w:r>
        <w:rPr>
          <w:spacing w:val="-5"/>
        </w:rPr>
        <w:t>元；因本期股本增加，</w:t>
      </w:r>
      <w:r>
        <w:rPr/>
        <w:t> 导致每股收益减少</w:t>
      </w:r>
      <w:r>
        <w:rPr>
          <w:rFonts w:ascii="宋体" w:hAnsi="宋体" w:cs="宋体" w:eastAsia="宋体" w:hint="default"/>
        </w:rPr>
        <w:t>0.83</w:t>
      </w:r>
      <w:r>
        <w:rPr/>
        <w:t>元，对稀释每股收益的影响与基本每股收益相同。</w:t>
      </w:r>
    </w:p>
    <w:p>
      <w:pPr>
        <w:spacing w:line="240" w:lineRule="auto" w:before="7"/>
        <w:rPr>
          <w:rFonts w:ascii="宋体" w:hAnsi="宋体" w:cs="宋体" w:eastAsia="宋体" w:hint="default"/>
          <w:sz w:val="13"/>
          <w:szCs w:val="13"/>
        </w:rPr>
      </w:pPr>
    </w:p>
    <w:p>
      <w:pPr>
        <w:pStyle w:val="BodyText"/>
        <w:spacing w:line="309" w:lineRule="auto"/>
        <w:ind w:right="188" w:firstLine="360"/>
        <w:jc w:val="both"/>
      </w:pPr>
      <w:r>
        <w:rPr>
          <w:rFonts w:ascii="宋体" w:hAnsi="宋体" w:cs="宋体" w:eastAsia="宋体" w:hint="default"/>
          <w:spacing w:val="-2"/>
        </w:rPr>
        <w:t>2.</w:t>
      </w:r>
      <w:r>
        <w:rPr>
          <w:spacing w:val="-2"/>
        </w:rPr>
        <w:t>归属于公司普通股股东的每股净资产：按期初股本计算，期末归属于公司普通股股东的每股净资产</w:t>
      </w:r>
      <w:r>
        <w:rPr>
          <w:rFonts w:ascii="宋体" w:hAnsi="宋体" w:cs="宋体" w:eastAsia="宋体" w:hint="default"/>
          <w:spacing w:val="-2"/>
        </w:rPr>
        <w:t>6.98</w:t>
      </w:r>
      <w:r>
        <w:rPr>
          <w:spacing w:val="-2"/>
        </w:rPr>
        <w:t>元；股本增加</w:t>
      </w:r>
      <w:r>
        <w:rPr/>
        <w:t> </w:t>
      </w:r>
      <w:r>
        <w:rPr>
          <w:spacing w:val="-1"/>
        </w:rPr>
        <w:t>后，期末归属于公司普通股股东的每股净资产</w:t>
      </w:r>
      <w:r>
        <w:rPr>
          <w:rFonts w:ascii="宋体" w:hAnsi="宋体" w:cs="宋体" w:eastAsia="宋体" w:hint="default"/>
          <w:spacing w:val="-1"/>
        </w:rPr>
        <w:t>1.40</w:t>
      </w:r>
      <w:r>
        <w:rPr>
          <w:spacing w:val="-1"/>
        </w:rPr>
        <w:t>元；因本期股本增加，导致归属于公司普通股股东的每股净资产减少</w:t>
      </w:r>
      <w:r>
        <w:rPr>
          <w:rFonts w:ascii="Times New Roman" w:hAnsi="Times New Roman" w:cs="Times New Roman" w:eastAsia="Times New Roman" w:hint="default"/>
          <w:spacing w:val="-1"/>
        </w:rPr>
        <w:t>5.58</w:t>
      </w:r>
      <w:r>
        <w:rPr>
          <w:rFonts w:ascii="Times New Roman" w:hAnsi="Times New Roman" w:cs="Times New Roman" w:eastAsia="Times New Roman" w:hint="default"/>
          <w:spacing w:val="-25"/>
        </w:rPr>
        <w:t> </w:t>
      </w:r>
      <w:r>
        <w:rPr>
          <w:rFonts w:ascii="Times New Roman" w:hAnsi="Times New Roman" w:cs="Times New Roman" w:eastAsia="Times New Roman" w:hint="default"/>
          <w:spacing w:val="-25"/>
        </w:rPr>
      </w:r>
      <w:r>
        <w:rPr/>
        <w:t>元。</w:t>
      </w:r>
    </w:p>
    <w:p>
      <w:pPr>
        <w:spacing w:line="240" w:lineRule="auto" w:before="0"/>
        <w:rPr>
          <w:rFonts w:ascii="宋体" w:hAnsi="宋体" w:cs="宋体" w:eastAsia="宋体" w:hint="default"/>
          <w:sz w:val="18"/>
          <w:szCs w:val="18"/>
        </w:rPr>
      </w:pPr>
    </w:p>
    <w:p>
      <w:pPr>
        <w:pStyle w:val="BodyText"/>
        <w:spacing w:line="240" w:lineRule="auto" w:before="141"/>
        <w:ind w:right="106"/>
        <w:jc w:val="left"/>
      </w:pPr>
      <w:r>
        <w:rPr/>
        <w:t>公司认为必要或证券监管机构要求披露的其他内容</w:t>
      </w:r>
    </w:p>
    <w:p>
      <w:pPr>
        <w:pStyle w:val="BodyText"/>
        <w:spacing w:line="240" w:lineRule="auto" w:before="115"/>
        <w:ind w:right="10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06"/>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0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91"/>
        <w:jc w:val="right"/>
      </w:pPr>
      <w:r>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79"/>
        <w:gridCol w:w="1349"/>
        <w:gridCol w:w="1349"/>
        <w:gridCol w:w="1349"/>
        <w:gridCol w:w="1349"/>
        <w:gridCol w:w="1349"/>
        <w:gridCol w:w="1346"/>
      </w:tblGrid>
      <w:tr>
        <w:trPr>
          <w:trHeight w:val="715"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0" w:right="36"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0" w:right="36"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713"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3"/>
              <w:jc w:val="left"/>
              <w:rPr>
                <w:rFonts w:ascii="宋体" w:hAnsi="宋体" w:cs="宋体" w:eastAsia="宋体" w:hint="default"/>
                <w:sz w:val="18"/>
                <w:szCs w:val="18"/>
              </w:rPr>
            </w:pPr>
            <w:r>
              <w:rPr>
                <w:rFonts w:ascii="宋体" w:hAnsi="宋体" w:cs="宋体" w:eastAsia="宋体" w:hint="default"/>
                <w:sz w:val="18"/>
                <w:szCs w:val="18"/>
              </w:rPr>
              <w:t>北京百汇达投资 管理有限公司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51,200,000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204,800,000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256,000,000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首发前机构类限 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6"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1"/>
              <w:ind w:left="24" w:right="19"/>
              <w:jc w:val="left"/>
              <w:rPr>
                <w:rFonts w:ascii="宋体" w:hAnsi="宋体" w:cs="宋体" w:eastAsia="宋体" w:hint="default"/>
                <w:sz w:val="18"/>
                <w:szCs w:val="18"/>
              </w:rPr>
            </w:pPr>
            <w:r>
              <w:rPr>
                <w:rFonts w:ascii="宋体" w:hAnsi="宋体" w:cs="宋体" w:eastAsia="宋体" w:hint="default"/>
                <w:sz w:val="18"/>
                <w:szCs w:val="18"/>
              </w:rPr>
              <w:t>天津红杉资本投 </w:t>
            </w:r>
            <w:r>
              <w:rPr>
                <w:rFonts w:ascii="宋体" w:hAnsi="宋体" w:cs="宋体" w:eastAsia="宋体" w:hint="default"/>
                <w:spacing w:val="-3"/>
                <w:sz w:val="18"/>
                <w:szCs w:val="18"/>
              </w:rPr>
              <w:t>资基金中心（有限</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首发前机构类限 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日解禁</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79"/>
        <w:gridCol w:w="1349"/>
        <w:gridCol w:w="1349"/>
        <w:gridCol w:w="1349"/>
        <w:gridCol w:w="1349"/>
        <w:gridCol w:w="1349"/>
        <w:gridCol w:w="1346"/>
      </w:tblGrid>
      <w:tr>
        <w:trPr>
          <w:trHeight w:val="363"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合伙）</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天津红杉资本投 </w:t>
            </w:r>
            <w:r>
              <w:rPr>
                <w:rFonts w:ascii="宋体" w:hAnsi="宋体" w:cs="宋体" w:eastAsia="宋体" w:hint="default"/>
                <w:spacing w:val="-3"/>
                <w:sz w:val="18"/>
                <w:szCs w:val="18"/>
              </w:rPr>
              <w:t>资基金中心（有限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合伙）</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53"/>
              <w:jc w:val="left"/>
              <w:rPr>
                <w:rFonts w:ascii="宋体" w:hAnsi="宋体" w:cs="宋体" w:eastAsia="宋体" w:hint="default"/>
                <w:sz w:val="18"/>
                <w:szCs w:val="18"/>
              </w:rPr>
            </w:pPr>
            <w:r>
              <w:rPr>
                <w:rFonts w:ascii="宋体" w:hAnsi="宋体" w:cs="宋体" w:eastAsia="宋体" w:hint="default"/>
                <w:sz w:val="18"/>
                <w:szCs w:val="18"/>
              </w:rPr>
              <w:t>首发前机构类限 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日解禁</w:t>
            </w:r>
          </w:p>
        </w:tc>
      </w:tr>
      <w:tr>
        <w:trPr>
          <w:trHeight w:val="1027"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天津红杉资本投 </w:t>
            </w:r>
            <w:r>
              <w:rPr>
                <w:rFonts w:ascii="宋体" w:hAnsi="宋体" w:cs="宋体" w:eastAsia="宋体" w:hint="default"/>
                <w:spacing w:val="-3"/>
                <w:sz w:val="18"/>
                <w:szCs w:val="18"/>
              </w:rPr>
              <w:t>资基金中心（有限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合伙）</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2,596,234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10,384,936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12,981,170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53"/>
              <w:jc w:val="left"/>
              <w:rPr>
                <w:rFonts w:ascii="宋体" w:hAnsi="宋体" w:cs="宋体" w:eastAsia="宋体" w:hint="default"/>
                <w:sz w:val="18"/>
                <w:szCs w:val="18"/>
              </w:rPr>
            </w:pPr>
            <w:r>
              <w:rPr>
                <w:rFonts w:ascii="宋体" w:hAnsi="宋体" w:cs="宋体" w:eastAsia="宋体" w:hint="default"/>
                <w:sz w:val="18"/>
                <w:szCs w:val="18"/>
              </w:rPr>
              <w:t>首发前机构类限 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耿桂芳</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1,934,390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7,737,560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9,671,950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6"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张英星</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4,438,222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4,438,222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日解禁</w:t>
            </w:r>
          </w:p>
        </w:tc>
      </w:tr>
      <w:tr>
        <w:trPr>
          <w:trHeight w:val="713"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3"/>
              <w:jc w:val="left"/>
              <w:rPr>
                <w:rFonts w:ascii="宋体" w:hAnsi="宋体" w:cs="宋体" w:eastAsia="宋体" w:hint="default"/>
                <w:sz w:val="18"/>
                <w:szCs w:val="18"/>
              </w:rPr>
            </w:pPr>
            <w:r>
              <w:rPr>
                <w:rFonts w:ascii="宋体" w:hAnsi="宋体" w:cs="宋体" w:eastAsia="宋体" w:hint="default"/>
                <w:sz w:val="18"/>
                <w:szCs w:val="18"/>
              </w:rPr>
              <w:t>北京润鑫隆源商 贸有限公司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3,550,578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3,550,578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首发前机构类限 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日解禁</w:t>
            </w:r>
          </w:p>
        </w:tc>
      </w:tr>
      <w:tr>
        <w:trPr>
          <w:trHeight w:val="715"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王晓欣</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1,775,288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1,775,288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日解禁</w:t>
            </w:r>
          </w:p>
        </w:tc>
      </w:tr>
      <w:tr>
        <w:trPr>
          <w:trHeight w:val="713"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金飞鸿</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1,775,288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1,775,288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日解禁</w:t>
            </w:r>
          </w:p>
        </w:tc>
      </w:tr>
      <w:tr>
        <w:trPr>
          <w:trHeight w:val="715"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翁骏</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日解禁</w:t>
            </w:r>
          </w:p>
        </w:tc>
      </w:tr>
      <w:tr>
        <w:trPr>
          <w:trHeight w:val="713"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张春英</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日解禁</w:t>
            </w:r>
          </w:p>
        </w:tc>
      </w:tr>
      <w:tr>
        <w:trPr>
          <w:trHeight w:val="715"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朱丽娣</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日解禁</w:t>
            </w:r>
          </w:p>
        </w:tc>
      </w:tr>
      <w:tr>
        <w:trPr>
          <w:trHeight w:val="2897"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高宏</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904,800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1,129,800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4" w:right="53"/>
              <w:jc w:val="both"/>
              <w:rPr>
                <w:rFonts w:ascii="宋体" w:hAnsi="宋体" w:cs="宋体" w:eastAsia="宋体" w:hint="default"/>
                <w:sz w:val="18"/>
                <w:szCs w:val="18"/>
              </w:rPr>
            </w:pPr>
            <w:r>
              <w:rPr>
                <w:rFonts w:ascii="宋体" w:hAnsi="宋体" w:cs="宋体" w:eastAsia="宋体" w:hint="default"/>
                <w:sz w:val="18"/>
                <w:szCs w:val="18"/>
              </w:rPr>
              <w:t>首发前个人类限 售股、高管锁定 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312" w:lineRule="auto" w:before="63"/>
              <w:ind w:left="23"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日解禁，在职</w:t>
            </w:r>
            <w:r>
              <w:rPr>
                <w:rFonts w:ascii="宋体" w:hAnsi="宋体" w:cs="宋体" w:eastAsia="宋体" w:hint="default"/>
                <w:sz w:val="18"/>
                <w:szCs w:val="18"/>
              </w:rPr>
              <w:t> 期间每年转让的 股份不得超过其 所持本公司股份 总数的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；离 职后半年内不得 转让其所持有的 本公司股份。</w:t>
            </w:r>
          </w:p>
        </w:tc>
      </w:tr>
      <w:tr>
        <w:trPr>
          <w:trHeight w:val="2900"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赵斌</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4" w:right="53"/>
              <w:jc w:val="both"/>
              <w:rPr>
                <w:rFonts w:ascii="宋体" w:hAnsi="宋体" w:cs="宋体" w:eastAsia="宋体" w:hint="default"/>
                <w:sz w:val="18"/>
                <w:szCs w:val="18"/>
              </w:rPr>
            </w:pPr>
            <w:r>
              <w:rPr>
                <w:rFonts w:ascii="宋体" w:hAnsi="宋体" w:cs="宋体" w:eastAsia="宋体" w:hint="default"/>
                <w:sz w:val="18"/>
                <w:szCs w:val="18"/>
              </w:rPr>
              <w:t>首发前个人类限 售股、高管锁定 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312" w:lineRule="auto" w:before="63"/>
              <w:ind w:left="23"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日解禁，在职</w:t>
            </w:r>
            <w:r>
              <w:rPr>
                <w:rFonts w:ascii="宋体" w:hAnsi="宋体" w:cs="宋体" w:eastAsia="宋体" w:hint="default"/>
                <w:sz w:val="18"/>
                <w:szCs w:val="18"/>
              </w:rPr>
              <w:t> 期间每年转让的 股份不得超过其 所持本公司股份 总数的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；离 职后半年内不得 转让其所持有的 本公司股份。</w:t>
            </w:r>
          </w:p>
        </w:tc>
      </w:tr>
    </w:tbl>
    <w:p>
      <w:pPr>
        <w:spacing w:after="0" w:line="312" w:lineRule="auto"/>
        <w:jc w:val="both"/>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79"/>
        <w:gridCol w:w="1349"/>
        <w:gridCol w:w="1349"/>
        <w:gridCol w:w="1349"/>
        <w:gridCol w:w="1349"/>
        <w:gridCol w:w="1349"/>
        <w:gridCol w:w="1346"/>
      </w:tblGrid>
      <w:tr>
        <w:trPr>
          <w:trHeight w:val="2897"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侯焰</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904,875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1,129,875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4" w:right="53"/>
              <w:jc w:val="both"/>
              <w:rPr>
                <w:rFonts w:ascii="宋体" w:hAnsi="宋体" w:cs="宋体" w:eastAsia="宋体" w:hint="default"/>
                <w:sz w:val="18"/>
                <w:szCs w:val="18"/>
              </w:rPr>
            </w:pPr>
            <w:r>
              <w:rPr>
                <w:rFonts w:ascii="宋体" w:hAnsi="宋体" w:cs="宋体" w:eastAsia="宋体" w:hint="default"/>
                <w:sz w:val="18"/>
                <w:szCs w:val="18"/>
              </w:rPr>
              <w:t>首发前个人类限 售股、高管锁定 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312" w:lineRule="auto" w:before="63"/>
              <w:ind w:left="23"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日解禁，在职</w:t>
            </w:r>
            <w:r>
              <w:rPr>
                <w:rFonts w:ascii="宋体" w:hAnsi="宋体" w:cs="宋体" w:eastAsia="宋体" w:hint="default"/>
                <w:sz w:val="18"/>
                <w:szCs w:val="18"/>
              </w:rPr>
              <w:t> 期间每年转让的 股份不得超过其 所持本公司股份 总数的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；离 职后半年内不得 转让其所持有的 本公司股份。</w:t>
            </w:r>
          </w:p>
        </w:tc>
      </w:tr>
      <w:tr>
        <w:trPr>
          <w:trHeight w:val="2900"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陈浩</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902,250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1,127,250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4" w:right="53"/>
              <w:jc w:val="both"/>
              <w:rPr>
                <w:rFonts w:ascii="宋体" w:hAnsi="宋体" w:cs="宋体" w:eastAsia="宋体" w:hint="default"/>
                <w:sz w:val="18"/>
                <w:szCs w:val="18"/>
              </w:rPr>
            </w:pPr>
            <w:r>
              <w:rPr>
                <w:rFonts w:ascii="宋体" w:hAnsi="宋体" w:cs="宋体" w:eastAsia="宋体" w:hint="default"/>
                <w:sz w:val="18"/>
                <w:szCs w:val="18"/>
              </w:rPr>
              <w:t>首发前个人类限 售股、高管锁定 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both"/>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312" w:lineRule="auto" w:before="61"/>
              <w:ind w:left="23"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日解禁，在职</w:t>
            </w:r>
            <w:r>
              <w:rPr>
                <w:rFonts w:ascii="宋体" w:hAnsi="宋体" w:cs="宋体" w:eastAsia="宋体" w:hint="default"/>
                <w:sz w:val="18"/>
                <w:szCs w:val="18"/>
              </w:rPr>
              <w:t> 期间每年转让的 股份不得超过其 所持本公司股份 总数的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；离 职后半年内不得 转让其所持有的 本公司股份。</w:t>
            </w:r>
          </w:p>
        </w:tc>
      </w:tr>
      <w:tr>
        <w:trPr>
          <w:trHeight w:val="1025"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耿岩</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both"/>
              <w:rPr>
                <w:rFonts w:ascii="宋体" w:hAnsi="宋体" w:cs="宋体" w:eastAsia="宋体" w:hint="default"/>
                <w:sz w:val="18"/>
                <w:szCs w:val="18"/>
              </w:rPr>
            </w:pPr>
            <w:r>
              <w:rPr>
                <w:rFonts w:ascii="宋体" w:hAnsi="宋体" w:cs="宋体" w:eastAsia="宋体" w:hint="default"/>
                <w:sz w:val="18"/>
                <w:szCs w:val="18"/>
              </w:rPr>
              <w:t>首发前个人类限 售股、高管锁定 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2899"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袁丁</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724,875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904,875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4" w:right="53"/>
              <w:jc w:val="both"/>
              <w:rPr>
                <w:rFonts w:ascii="宋体" w:hAnsi="宋体" w:cs="宋体" w:eastAsia="宋体" w:hint="default"/>
                <w:sz w:val="18"/>
                <w:szCs w:val="18"/>
              </w:rPr>
            </w:pPr>
            <w:r>
              <w:rPr>
                <w:rFonts w:ascii="宋体" w:hAnsi="宋体" w:cs="宋体" w:eastAsia="宋体" w:hint="default"/>
                <w:sz w:val="18"/>
                <w:szCs w:val="18"/>
              </w:rPr>
              <w:t>首发前个人类限 售股、高管锁定 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both"/>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312" w:lineRule="auto" w:before="60"/>
              <w:ind w:left="23"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日解禁，在职</w:t>
            </w:r>
            <w:r>
              <w:rPr>
                <w:rFonts w:ascii="宋体" w:hAnsi="宋体" w:cs="宋体" w:eastAsia="宋体" w:hint="default"/>
                <w:sz w:val="18"/>
                <w:szCs w:val="18"/>
              </w:rPr>
              <w:t> 期间每年转让的 股份不得超过其 所持本公司股份 总数的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；离 职后半年内不得 转让其所持有的 本公司股份。</w:t>
            </w:r>
          </w:p>
        </w:tc>
      </w:tr>
      <w:tr>
        <w:trPr>
          <w:trHeight w:val="2897"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李超</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721,125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901,125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4" w:right="53"/>
              <w:jc w:val="both"/>
              <w:rPr>
                <w:rFonts w:ascii="宋体" w:hAnsi="宋体" w:cs="宋体" w:eastAsia="宋体" w:hint="default"/>
                <w:sz w:val="18"/>
                <w:szCs w:val="18"/>
              </w:rPr>
            </w:pPr>
            <w:r>
              <w:rPr>
                <w:rFonts w:ascii="宋体" w:hAnsi="宋体" w:cs="宋体" w:eastAsia="宋体" w:hint="default"/>
                <w:sz w:val="18"/>
                <w:szCs w:val="18"/>
              </w:rPr>
              <w:t>首发前个人类限 售股、高管锁定 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312" w:lineRule="auto" w:before="63"/>
              <w:ind w:left="23"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日解禁，在职</w:t>
            </w:r>
            <w:r>
              <w:rPr>
                <w:rFonts w:ascii="宋体" w:hAnsi="宋体" w:cs="宋体" w:eastAsia="宋体" w:hint="default"/>
                <w:sz w:val="18"/>
                <w:szCs w:val="18"/>
              </w:rPr>
              <w:t> 期间每年转让的 股份不得超过其 所持本公司股份 总数的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；离 职后半年内不得 转让其所持有的 本公司股份。</w:t>
            </w:r>
          </w:p>
        </w:tc>
      </w:tr>
      <w:tr>
        <w:trPr>
          <w:trHeight w:val="716"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郭明强</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3"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马小克</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首发前个人类限</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79"/>
        <w:gridCol w:w="1349"/>
        <w:gridCol w:w="1349"/>
        <w:gridCol w:w="1349"/>
        <w:gridCol w:w="1349"/>
        <w:gridCol w:w="1349"/>
        <w:gridCol w:w="1346"/>
      </w:tblGrid>
      <w:tr>
        <w:trPr>
          <w:trHeight w:val="363" w:hRule="exact"/>
        </w:trPr>
        <w:tc>
          <w:tcPr>
            <w:tcW w:w="147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日解禁</w:t>
            </w:r>
          </w:p>
        </w:tc>
      </w:tr>
      <w:tr>
        <w:trPr>
          <w:trHeight w:val="713"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吴国雄</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日解禁</w:t>
            </w:r>
          </w:p>
        </w:tc>
      </w:tr>
      <w:tr>
        <w:trPr>
          <w:trHeight w:val="715"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刘吉衡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日解禁</w:t>
            </w:r>
          </w:p>
        </w:tc>
      </w:tr>
      <w:tr>
        <w:trPr>
          <w:trHeight w:val="713"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杨景兰</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日解禁</w:t>
            </w:r>
          </w:p>
        </w:tc>
      </w:tr>
      <w:tr>
        <w:trPr>
          <w:trHeight w:val="715"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关文龙</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日解禁</w:t>
            </w:r>
          </w:p>
        </w:tc>
      </w:tr>
      <w:tr>
        <w:trPr>
          <w:trHeight w:val="713"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付其伟</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日解禁</w:t>
            </w:r>
          </w:p>
        </w:tc>
      </w:tr>
      <w:tr>
        <w:trPr>
          <w:trHeight w:val="715"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刘峥</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日解禁</w:t>
            </w:r>
          </w:p>
        </w:tc>
      </w:tr>
      <w:tr>
        <w:trPr>
          <w:trHeight w:val="713"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张磊</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日解禁</w:t>
            </w:r>
          </w:p>
        </w:tc>
      </w:tr>
      <w:tr>
        <w:trPr>
          <w:trHeight w:val="2900"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庞宝光</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7"/>
              <w:ind w:left="24" w:right="53"/>
              <w:jc w:val="both"/>
              <w:rPr>
                <w:rFonts w:ascii="宋体" w:hAnsi="宋体" w:cs="宋体" w:eastAsia="宋体" w:hint="default"/>
                <w:sz w:val="18"/>
                <w:szCs w:val="18"/>
              </w:rPr>
            </w:pPr>
            <w:r>
              <w:rPr>
                <w:rFonts w:ascii="宋体" w:hAnsi="宋体" w:cs="宋体" w:eastAsia="宋体" w:hint="default"/>
                <w:sz w:val="18"/>
                <w:szCs w:val="18"/>
              </w:rPr>
              <w:t>首发前个人类限 售股、高管锁定 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312" w:lineRule="auto" w:before="63"/>
              <w:ind w:left="23"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日解禁，在职</w:t>
            </w:r>
            <w:r>
              <w:rPr>
                <w:rFonts w:ascii="宋体" w:hAnsi="宋体" w:cs="宋体" w:eastAsia="宋体" w:hint="default"/>
                <w:sz w:val="18"/>
                <w:szCs w:val="18"/>
              </w:rPr>
              <w:t> 期间每年转让的 股份不得超过其 所持本公司股份 总数的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；离 职后半年内不得 转让其所持有的 本公司股份。</w:t>
            </w:r>
          </w:p>
        </w:tc>
      </w:tr>
      <w:tr>
        <w:trPr>
          <w:trHeight w:val="713"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王路</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5"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邬银银</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日解禁</w:t>
            </w:r>
          </w:p>
        </w:tc>
      </w:tr>
      <w:tr>
        <w:trPr>
          <w:trHeight w:val="713"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王璐</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日解禁</w:t>
            </w:r>
          </w:p>
        </w:tc>
      </w:tr>
      <w:tr>
        <w:trPr>
          <w:trHeight w:val="715"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李激波</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日解禁</w:t>
            </w:r>
          </w:p>
        </w:tc>
      </w:tr>
      <w:tr>
        <w:trPr>
          <w:trHeight w:val="2547"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汝书伟</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40,000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121,350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151,350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16" w:lineRule="auto"/>
              <w:ind w:left="24" w:right="53"/>
              <w:jc w:val="both"/>
              <w:rPr>
                <w:rFonts w:ascii="宋体" w:hAnsi="宋体" w:cs="宋体" w:eastAsia="宋体" w:hint="default"/>
                <w:sz w:val="18"/>
                <w:szCs w:val="18"/>
              </w:rPr>
            </w:pPr>
            <w:r>
              <w:rPr>
                <w:rFonts w:ascii="宋体" w:hAnsi="宋体" w:cs="宋体" w:eastAsia="宋体" w:hint="default"/>
                <w:sz w:val="18"/>
                <w:szCs w:val="18"/>
              </w:rPr>
              <w:t>首发前个人类限 售股、高管锁定 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312" w:lineRule="auto" w:before="63"/>
              <w:ind w:left="23"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日解禁，在职</w:t>
            </w:r>
            <w:r>
              <w:rPr>
                <w:rFonts w:ascii="宋体" w:hAnsi="宋体" w:cs="宋体" w:eastAsia="宋体" w:hint="default"/>
                <w:sz w:val="18"/>
                <w:szCs w:val="18"/>
              </w:rPr>
              <w:t> 期间每年转让的 股份不得超过其 所持本公司股份 总数的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；离 职后半年内不得 转让其所持有的</w:t>
            </w:r>
          </w:p>
        </w:tc>
      </w:tr>
    </w:tbl>
    <w:p>
      <w:pPr>
        <w:spacing w:after="0" w:line="312" w:lineRule="auto"/>
        <w:jc w:val="both"/>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79"/>
        <w:gridCol w:w="1349"/>
        <w:gridCol w:w="1349"/>
        <w:gridCol w:w="1349"/>
        <w:gridCol w:w="1349"/>
        <w:gridCol w:w="1349"/>
        <w:gridCol w:w="1346"/>
      </w:tblGrid>
      <w:tr>
        <w:trPr>
          <w:trHeight w:val="363" w:hRule="exact"/>
        </w:trPr>
        <w:tc>
          <w:tcPr>
            <w:tcW w:w="147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本公司股份。</w:t>
            </w:r>
          </w:p>
        </w:tc>
      </w:tr>
      <w:tr>
        <w:trPr>
          <w:trHeight w:val="713"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王晓来</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日解禁</w:t>
            </w:r>
          </w:p>
        </w:tc>
      </w:tr>
      <w:tr>
        <w:trPr>
          <w:trHeight w:val="715"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陈斌</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日解禁</w:t>
            </w:r>
          </w:p>
        </w:tc>
      </w:tr>
      <w:tr>
        <w:trPr>
          <w:trHeight w:val="713"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郭晓玉</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日解禁</w:t>
            </w:r>
          </w:p>
        </w:tc>
      </w:tr>
      <w:tr>
        <w:trPr>
          <w:trHeight w:val="715"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袁俊梅</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日解禁</w:t>
            </w:r>
          </w:p>
        </w:tc>
      </w:tr>
      <w:tr>
        <w:trPr>
          <w:trHeight w:val="713"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杨静</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日解禁</w:t>
            </w:r>
          </w:p>
        </w:tc>
      </w:tr>
      <w:tr>
        <w:trPr>
          <w:trHeight w:val="715"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郭萌</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日解禁</w:t>
            </w:r>
          </w:p>
        </w:tc>
      </w:tr>
      <w:tr>
        <w:trPr>
          <w:trHeight w:val="713"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叶周梅</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日解禁</w:t>
            </w:r>
          </w:p>
        </w:tc>
      </w:tr>
      <w:tr>
        <w:trPr>
          <w:trHeight w:val="715"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王伟</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日解禁</w:t>
            </w:r>
          </w:p>
        </w:tc>
      </w:tr>
      <w:tr>
        <w:trPr>
          <w:trHeight w:val="713"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朱卫国</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日解禁</w:t>
            </w:r>
          </w:p>
        </w:tc>
      </w:tr>
      <w:tr>
        <w:trPr>
          <w:trHeight w:val="715"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李娜</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日解禁</w:t>
            </w:r>
          </w:p>
        </w:tc>
      </w:tr>
      <w:tr>
        <w:trPr>
          <w:trHeight w:val="713"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王楠</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日解禁</w:t>
            </w:r>
          </w:p>
        </w:tc>
      </w:tr>
      <w:tr>
        <w:trPr>
          <w:trHeight w:val="715"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肖建永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日解禁</w:t>
            </w:r>
          </w:p>
        </w:tc>
      </w:tr>
      <w:tr>
        <w:trPr>
          <w:trHeight w:val="401"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81,870,000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19,479,376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249,583,271</w:t>
            </w:r>
          </w:p>
        </w:tc>
        <w:tc>
          <w:tcPr>
            <w:tcW w:w="134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311,973,895</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0"/>
        <w:jc w:val="both"/>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both"/>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pStyle w:val="BodyText"/>
        <w:spacing w:line="450" w:lineRule="atLeast" w:before="143"/>
        <w:ind w:left="513" w:right="15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rFonts w:ascii="宋体" w:hAnsi="宋体" w:cs="宋体" w:eastAsia="宋体" w:hint="default"/>
          <w:spacing w:val="-2"/>
        </w:rPr>
        <w:t>1</w:t>
      </w:r>
      <w:r>
        <w:rPr>
          <w:spacing w:val="-2"/>
        </w:rPr>
        <w:t>、公司于</w:t>
      </w:r>
      <w:r>
        <w:rPr>
          <w:rFonts w:ascii="宋体" w:hAnsi="宋体" w:cs="宋体" w:eastAsia="宋体" w:hint="default"/>
          <w:spacing w:val="-2"/>
        </w:rPr>
        <w:t>2015</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12</w:t>
      </w:r>
      <w:r>
        <w:rPr>
          <w:spacing w:val="-2"/>
        </w:rPr>
        <w:t>日召开</w:t>
      </w:r>
      <w:r>
        <w:rPr>
          <w:rFonts w:ascii="宋体" w:hAnsi="宋体" w:cs="宋体" w:eastAsia="宋体" w:hint="default"/>
          <w:spacing w:val="-2"/>
        </w:rPr>
        <w:t>2014</w:t>
      </w:r>
      <w:r>
        <w:rPr>
          <w:spacing w:val="-2"/>
        </w:rPr>
        <w:t>年度股东大会，审议通过《关于公司</w:t>
      </w:r>
      <w:r>
        <w:rPr>
          <w:rFonts w:ascii="宋体" w:hAnsi="宋体" w:cs="宋体" w:eastAsia="宋体" w:hint="default"/>
          <w:spacing w:val="-2"/>
        </w:rPr>
        <w:t>2014</w:t>
      </w:r>
      <w:r>
        <w:rPr>
          <w:spacing w:val="-2"/>
        </w:rPr>
        <w:t>年度利润分配及资本公积转增股本方案的议</w:t>
      </w:r>
    </w:p>
    <w:p>
      <w:pPr>
        <w:pStyle w:val="BodyText"/>
        <w:spacing w:line="319" w:lineRule="auto" w:before="74"/>
        <w:ind w:right="146"/>
        <w:jc w:val="both"/>
      </w:pPr>
      <w:r>
        <w:rPr/>
        <w:t>案》，以截至</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日公司总股本</w:t>
      </w:r>
      <w:r>
        <w:rPr>
          <w:rFonts w:ascii="宋体" w:hAnsi="宋体" w:cs="宋体" w:eastAsia="宋体" w:hint="default"/>
        </w:rPr>
        <w:t>10,916</w:t>
      </w:r>
      <w:r>
        <w:rPr/>
        <w:t>万股为基数，向全体股东每</w:t>
      </w:r>
      <w:r>
        <w:rPr>
          <w:rFonts w:ascii="宋体" w:hAnsi="宋体" w:cs="宋体" w:eastAsia="宋体" w:hint="default"/>
        </w:rPr>
        <w:t>10</w:t>
      </w:r>
      <w:r>
        <w:rPr/>
        <w:t>股派发现金红利</w:t>
      </w:r>
      <w:r>
        <w:rPr>
          <w:rFonts w:ascii="宋体" w:hAnsi="宋体" w:cs="宋体" w:eastAsia="宋体" w:hint="default"/>
        </w:rPr>
        <w:t>3</w:t>
      </w:r>
      <w:r>
        <w:rPr/>
        <w:t>元人民币（含税）；同时进 </w:t>
      </w:r>
      <w:r>
        <w:rPr>
          <w:spacing w:val="-5"/>
        </w:rPr>
        <w:t>行资本公积转增股本，以公司总股本</w:t>
      </w:r>
      <w:r>
        <w:rPr>
          <w:rFonts w:ascii="宋体" w:hAnsi="宋体" w:cs="宋体" w:eastAsia="宋体" w:hint="default"/>
          <w:spacing w:val="-5"/>
        </w:rPr>
        <w:t>10,916</w:t>
      </w:r>
      <w:r>
        <w:rPr>
          <w:spacing w:val="-5"/>
        </w:rPr>
        <w:t>万股为基数，向全体股东每</w:t>
      </w:r>
      <w:r>
        <w:rPr>
          <w:rFonts w:ascii="宋体" w:hAnsi="宋体" w:cs="宋体" w:eastAsia="宋体" w:hint="default"/>
          <w:spacing w:val="-5"/>
        </w:rPr>
        <w:t>10</w:t>
      </w:r>
      <w:r>
        <w:rPr>
          <w:spacing w:val="-5"/>
        </w:rPr>
        <w:t>股转增</w:t>
      </w:r>
      <w:r>
        <w:rPr>
          <w:rFonts w:ascii="宋体" w:hAnsi="宋体" w:cs="宋体" w:eastAsia="宋体" w:hint="default"/>
          <w:spacing w:val="-5"/>
        </w:rPr>
        <w:t>15</w:t>
      </w:r>
      <w:r>
        <w:rPr>
          <w:spacing w:val="-5"/>
        </w:rPr>
        <w:t>股，转增后公司总股本增加至</w:t>
      </w:r>
      <w:r>
        <w:rPr>
          <w:rFonts w:ascii="宋体" w:hAnsi="宋体" w:cs="宋体" w:eastAsia="宋体" w:hint="default"/>
          <w:spacing w:val="-5"/>
        </w:rPr>
        <w:t>27,290</w:t>
      </w:r>
      <w:r>
        <w:rPr>
          <w:spacing w:val="-5"/>
        </w:rPr>
        <w:t>万股。</w:t>
      </w:r>
      <w:r>
        <w:rPr>
          <w:spacing w:val="-40"/>
        </w:rPr>
        <w:t> </w:t>
      </w:r>
      <w:r>
        <w:rPr/>
        <w:t>上述权益分派方案已于</w:t>
      </w:r>
      <w:r>
        <w:rPr>
          <w:rFonts w:ascii="宋体" w:hAnsi="宋体" w:cs="宋体" w:eastAsia="宋体" w:hint="default"/>
        </w:rPr>
        <w:t>2015</w:t>
      </w:r>
      <w:r>
        <w:rPr/>
        <w:t>年</w:t>
      </w:r>
      <w:r>
        <w:rPr>
          <w:rFonts w:ascii="宋体" w:hAnsi="宋体" w:cs="宋体" w:eastAsia="宋体" w:hint="default"/>
        </w:rPr>
        <w:t>5</w:t>
      </w:r>
      <w:r>
        <w:rPr/>
        <w:t>月</w:t>
      </w:r>
      <w:r>
        <w:rPr>
          <w:rFonts w:ascii="宋体" w:hAnsi="宋体" w:cs="宋体" w:eastAsia="宋体" w:hint="default"/>
        </w:rPr>
        <w:t>22</w:t>
      </w:r>
      <w:r>
        <w:rPr/>
        <w:t>日实施完毕。</w:t>
      </w:r>
    </w:p>
    <w:p>
      <w:pPr>
        <w:spacing w:after="0" w:line="319" w:lineRule="auto"/>
        <w:jc w:val="both"/>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316" w:lineRule="auto" w:before="44"/>
        <w:ind w:right="151" w:firstLine="360"/>
        <w:jc w:val="both"/>
      </w:pPr>
      <w:r>
        <w:rPr>
          <w:rFonts w:ascii="宋体" w:hAnsi="宋体" w:cs="宋体" w:eastAsia="宋体" w:hint="default"/>
          <w:spacing w:val="-2"/>
        </w:rPr>
        <w:t>2</w:t>
      </w:r>
      <w:r>
        <w:rPr>
          <w:spacing w:val="-2"/>
        </w:rPr>
        <w:t>、公司于</w:t>
      </w:r>
      <w:r>
        <w:rPr>
          <w:rFonts w:ascii="宋体" w:hAnsi="宋体" w:cs="宋体" w:eastAsia="宋体" w:hint="default"/>
          <w:spacing w:val="-2"/>
        </w:rPr>
        <w:t>2015</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23</w:t>
      </w:r>
      <w:r>
        <w:rPr>
          <w:spacing w:val="-2"/>
        </w:rPr>
        <w:t>日召开</w:t>
      </w:r>
      <w:r>
        <w:rPr>
          <w:rFonts w:ascii="宋体" w:hAnsi="宋体" w:cs="宋体" w:eastAsia="宋体" w:hint="default"/>
          <w:spacing w:val="-2"/>
        </w:rPr>
        <w:t>2015</w:t>
      </w:r>
      <w:r>
        <w:rPr>
          <w:spacing w:val="-2"/>
        </w:rPr>
        <w:t>年第三次临时股东大会，审议通过《关于调整</w:t>
      </w:r>
      <w:r>
        <w:rPr>
          <w:rFonts w:ascii="宋体" w:hAnsi="宋体" w:cs="宋体" w:eastAsia="宋体" w:hint="default"/>
          <w:spacing w:val="-2"/>
        </w:rPr>
        <w:t>2015</w:t>
      </w:r>
      <w:r>
        <w:rPr>
          <w:spacing w:val="-2"/>
        </w:rPr>
        <w:t>年半年度利润分配及资本公积转增</w:t>
      </w:r>
      <w:r>
        <w:rPr/>
        <w:t> </w:t>
      </w:r>
      <w:r>
        <w:rPr>
          <w:spacing w:val="-2"/>
        </w:rPr>
        <w:t>股本方案的议案》，以截至</w:t>
      </w:r>
      <w:r>
        <w:rPr>
          <w:rFonts w:ascii="宋体" w:hAnsi="宋体" w:cs="宋体" w:eastAsia="宋体" w:hint="default"/>
          <w:spacing w:val="-2"/>
        </w:rPr>
        <w:t>2015</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30</w:t>
      </w:r>
      <w:r>
        <w:rPr>
          <w:spacing w:val="-2"/>
        </w:rPr>
        <w:t>日公司总股本</w:t>
      </w:r>
      <w:r>
        <w:rPr>
          <w:rFonts w:ascii="宋体" w:hAnsi="宋体" w:cs="宋体" w:eastAsia="宋体" w:hint="default"/>
          <w:spacing w:val="-2"/>
        </w:rPr>
        <w:t>27,290</w:t>
      </w:r>
      <w:r>
        <w:rPr>
          <w:spacing w:val="-2"/>
        </w:rPr>
        <w:t>万股为基数，向全体股东每</w:t>
      </w:r>
      <w:r>
        <w:rPr>
          <w:rFonts w:ascii="宋体" w:hAnsi="宋体" w:cs="宋体" w:eastAsia="宋体" w:hint="default"/>
          <w:spacing w:val="-2"/>
        </w:rPr>
        <w:t>10</w:t>
      </w:r>
      <w:r>
        <w:rPr>
          <w:spacing w:val="-2"/>
        </w:rPr>
        <w:t>股派发现金红利</w:t>
      </w:r>
      <w:r>
        <w:rPr>
          <w:rFonts w:ascii="宋体" w:hAnsi="宋体" w:cs="宋体" w:eastAsia="宋体" w:hint="default"/>
          <w:spacing w:val="-2"/>
        </w:rPr>
        <w:t>0.6</w:t>
      </w:r>
      <w:r>
        <w:rPr>
          <w:spacing w:val="-2"/>
        </w:rPr>
        <w:t>元人民币（含</w:t>
      </w:r>
      <w:r>
        <w:rPr>
          <w:spacing w:val="-54"/>
        </w:rPr>
        <w:t> </w:t>
      </w:r>
      <w:r>
        <w:rPr>
          <w:spacing w:val="-54"/>
        </w:rPr>
      </w:r>
      <w:r>
        <w:rPr/>
        <w:t>税）；同时以公司总股本</w:t>
      </w:r>
      <w:r>
        <w:rPr>
          <w:rFonts w:ascii="宋体" w:hAnsi="宋体" w:cs="宋体" w:eastAsia="宋体" w:hint="default"/>
        </w:rPr>
        <w:t>27,290</w:t>
      </w:r>
      <w:r>
        <w:rPr/>
        <w:t>万股为基数，向全体股东每</w:t>
      </w:r>
      <w:r>
        <w:rPr>
          <w:rFonts w:ascii="宋体" w:hAnsi="宋体" w:cs="宋体" w:eastAsia="宋体" w:hint="default"/>
        </w:rPr>
        <w:t>10</w:t>
      </w:r>
      <w:r>
        <w:rPr/>
        <w:t>股送红股</w:t>
      </w:r>
      <w:r>
        <w:rPr>
          <w:rFonts w:ascii="宋体" w:hAnsi="宋体" w:cs="宋体" w:eastAsia="宋体" w:hint="default"/>
        </w:rPr>
        <w:t>5</w:t>
      </w:r>
      <w:r>
        <w:rPr/>
        <w:t>股（含税），并以资本公积金每</w:t>
      </w:r>
      <w:r>
        <w:rPr>
          <w:rFonts w:ascii="宋体" w:hAnsi="宋体" w:cs="宋体" w:eastAsia="宋体" w:hint="default"/>
        </w:rPr>
        <w:t>10</w:t>
      </w:r>
      <w:r>
        <w:rPr/>
        <w:t>股向全体股东转 增</w:t>
      </w:r>
      <w:r>
        <w:rPr>
          <w:rFonts w:ascii="宋体" w:hAnsi="宋体" w:cs="宋体" w:eastAsia="宋体" w:hint="default"/>
        </w:rPr>
        <w:t>5</w:t>
      </w:r>
      <w:r>
        <w:rPr/>
        <w:t>股，转增后公司总股本增加至</w:t>
      </w:r>
      <w:r>
        <w:rPr>
          <w:rFonts w:ascii="宋体" w:hAnsi="宋体" w:cs="宋体" w:eastAsia="宋体" w:hint="default"/>
        </w:rPr>
        <w:t>54,580</w:t>
      </w:r>
      <w:r>
        <w:rPr/>
        <w:t>万股。上述权益分派方案已于</w:t>
      </w:r>
      <w:r>
        <w:rPr>
          <w:rFonts w:ascii="宋体" w:hAnsi="宋体" w:cs="宋体" w:eastAsia="宋体" w:hint="default"/>
        </w:rPr>
        <w:t>2015</w:t>
      </w:r>
      <w:r>
        <w:rPr/>
        <w:t>年</w:t>
      </w:r>
      <w:r>
        <w:rPr>
          <w:rFonts w:ascii="宋体" w:hAnsi="宋体" w:cs="宋体" w:eastAsia="宋体" w:hint="default"/>
        </w:rPr>
        <w:t>10</w:t>
      </w:r>
      <w:r>
        <w:rPr/>
        <w:t>月</w:t>
      </w:r>
      <w:r>
        <w:rPr>
          <w:rFonts w:ascii="宋体" w:hAnsi="宋体" w:cs="宋体" w:eastAsia="宋体" w:hint="default"/>
        </w:rPr>
        <w:t>8</w:t>
      </w:r>
      <w:r>
        <w:rPr/>
        <w:t>日实施完毕。</w:t>
      </w:r>
    </w:p>
    <w:p>
      <w:pPr>
        <w:spacing w:line="240" w:lineRule="auto" w:before="10"/>
        <w:rPr>
          <w:rFonts w:ascii="宋体" w:hAnsi="宋体" w:cs="宋体" w:eastAsia="宋体" w:hint="default"/>
          <w:sz w:val="22"/>
          <w:szCs w:val="22"/>
        </w:rPr>
      </w:pPr>
    </w:p>
    <w:p>
      <w:pPr>
        <w:pStyle w:val="Heading3"/>
        <w:spacing w:line="240" w:lineRule="auto"/>
        <w:ind w:right="1134"/>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4"/>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4"/>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pict>
          <v:shape style="position:absolute;margin-left:449.22699pt;margin-top:68.471695pt;width:85.75pt;height:31.2pt;mso-position-horizontal-relative:page;mso-position-vertical-relative:paragraph;z-index:-1592824" type="#_x0000_t202" filled="false" stroked="false">
            <v:textbox inset="0,0,0,0">
              <w:txbxContent>
                <w:p>
                  <w:pPr>
                    <w:pStyle w:val="BodyText"/>
                    <w:spacing w:line="203" w:lineRule="exact"/>
                    <w:ind w:left="0" w:right="0"/>
                    <w:jc w:val="left"/>
                  </w:pPr>
                  <w:r>
                    <w:rPr/>
                    <w:t>（如有）</w:t>
                  </w:r>
                </w:p>
              </w:txbxContent>
            </v:textbox>
            <w10:wrap type="none"/>
          </v:shape>
        </w:pict>
      </w:r>
      <w:r>
        <w:rPr/>
        <w:pict>
          <v:group style="position:absolute;margin-left:482.5pt;margin-top:68.471695pt;width:52.45pt;height:31.2pt;mso-position-horizontal-relative:page;mso-position-vertical-relative:paragraph;z-index:-1592800" coordorigin="9650,1369" coordsize="1049,624">
            <v:shape style="position:absolute;left:9650;top:1369;width:1049;height:624" coordorigin="9650,1369" coordsize="1049,624" path="m9650,1993l10699,1993,10699,1369,9650,1369,9650,1993xe" filled="true" fillcolor="#ffffff" stroked="false">
              <v:path arrowok="t"/>
              <v:fill type="solid"/>
            </v:shape>
            <w10:wrap type="none"/>
          </v:group>
        </w:pict>
      </w:r>
      <w:r>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35"/>
        <w:gridCol w:w="134"/>
        <w:gridCol w:w="674"/>
        <w:gridCol w:w="737"/>
        <w:gridCol w:w="744"/>
        <w:gridCol w:w="830"/>
        <w:gridCol w:w="346"/>
        <w:gridCol w:w="444"/>
        <w:gridCol w:w="823"/>
        <w:gridCol w:w="802"/>
        <w:gridCol w:w="322"/>
        <w:gridCol w:w="1028"/>
        <w:gridCol w:w="280"/>
        <w:gridCol w:w="512"/>
        <w:gridCol w:w="557"/>
      </w:tblGrid>
      <w:tr>
        <w:trPr>
          <w:trHeight w:val="161" w:hRule="exact"/>
        </w:trPr>
        <w:tc>
          <w:tcPr>
            <w:tcW w:w="1335" w:type="dxa"/>
            <w:vMerge w:val="restart"/>
            <w:tcBorders>
              <w:top w:val="single" w:sz="4" w:space="0" w:color="000000"/>
              <w:left w:val="single" w:sz="4" w:space="0" w:color="000000"/>
              <w:right w:val="single" w:sz="4" w:space="0" w:color="000000"/>
            </w:tcBorders>
            <w:shd w:val="clear" w:color="auto" w:fill="D2D2D2"/>
          </w:tcPr>
          <w:p>
            <w:pPr/>
          </w:p>
        </w:tc>
        <w:tc>
          <w:tcPr>
            <w:tcW w:w="809" w:type="dxa"/>
            <w:gridSpan w:val="2"/>
            <w:vMerge w:val="restart"/>
            <w:tcBorders>
              <w:top w:val="single" w:sz="4" w:space="0" w:color="000000"/>
              <w:left w:val="single" w:sz="9"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40,740</w:t>
            </w:r>
          </w:p>
        </w:tc>
        <w:tc>
          <w:tcPr>
            <w:tcW w:w="1481" w:type="dxa"/>
            <w:gridSpan w:val="2"/>
            <w:vMerge w:val="restart"/>
            <w:tcBorders>
              <w:top w:val="single" w:sz="4" w:space="0" w:color="000000"/>
              <w:left w:val="single" w:sz="4" w:space="0" w:color="000000"/>
              <w:right w:val="single" w:sz="4" w:space="0" w:color="000000"/>
            </w:tcBorders>
            <w:shd w:val="clear" w:color="auto" w:fill="D2D2D2"/>
          </w:tcPr>
          <w:p>
            <w:pPr/>
          </w:p>
        </w:tc>
        <w:tc>
          <w:tcPr>
            <w:tcW w:w="1176" w:type="dxa"/>
            <w:gridSpan w:val="2"/>
            <w:vMerge w:val="restart"/>
            <w:tcBorders>
              <w:top w:val="single" w:sz="4" w:space="0" w:color="000000"/>
              <w:left w:val="single" w:sz="10"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31" w:right="0"/>
              <w:jc w:val="left"/>
              <w:rPr>
                <w:rFonts w:ascii="Times New Roman" w:hAnsi="Times New Roman" w:cs="Times New Roman" w:eastAsia="Times New Roman" w:hint="default"/>
                <w:sz w:val="18"/>
                <w:szCs w:val="18"/>
              </w:rPr>
            </w:pPr>
            <w:r>
              <w:rPr>
                <w:rFonts w:ascii="Times New Roman"/>
                <w:sz w:val="18"/>
              </w:rPr>
              <w:t>42,274</w:t>
            </w:r>
          </w:p>
        </w:tc>
        <w:tc>
          <w:tcPr>
            <w:tcW w:w="1267"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24"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0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 w:right="23"/>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19"/>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12" w:type="dxa"/>
            <w:vMerge w:val="restart"/>
            <w:tcBorders>
              <w:top w:val="single" w:sz="4" w:space="0" w:color="000000"/>
              <w:left w:val="single" w:sz="12" w:space="0" w:color="D2D2D2"/>
              <w:right w:val="nil" w:sz="6" w:space="0" w:color="auto"/>
            </w:tcBorders>
          </w:tcPr>
          <w:p>
            <w:pPr/>
          </w:p>
        </w:tc>
        <w:tc>
          <w:tcPr>
            <w:tcW w:w="557"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9" w:type="dxa"/>
            <w:gridSpan w:val="2"/>
            <w:vMerge/>
            <w:tcBorders>
              <w:left w:val="single" w:sz="9" w:space="0" w:color="D2D2D2"/>
              <w:right w:val="single" w:sz="10" w:space="0" w:color="D2D2D2"/>
            </w:tcBorders>
          </w:tcPr>
          <w:p>
            <w:pPr/>
          </w:p>
        </w:tc>
        <w:tc>
          <w:tcPr>
            <w:tcW w:w="1481" w:type="dxa"/>
            <w:gridSpan w:val="2"/>
            <w:vMerge/>
            <w:tcBorders>
              <w:left w:val="single" w:sz="4" w:space="0" w:color="000000"/>
              <w:bottom w:val="nil" w:sz="6" w:space="0" w:color="auto"/>
              <w:right w:val="single" w:sz="4" w:space="0" w:color="000000"/>
            </w:tcBorders>
            <w:shd w:val="clear" w:color="auto" w:fill="D2D2D2"/>
          </w:tcPr>
          <w:p>
            <w:pPr/>
          </w:p>
        </w:tc>
        <w:tc>
          <w:tcPr>
            <w:tcW w:w="1176" w:type="dxa"/>
            <w:gridSpan w:val="2"/>
            <w:vMerge/>
            <w:tcBorders>
              <w:left w:val="single" w:sz="10" w:space="0" w:color="D2D2D2"/>
              <w:right w:val="single" w:sz="10" w:space="0" w:color="D2D2D2"/>
            </w:tcBorders>
          </w:tcPr>
          <w:p>
            <w:pPr/>
          </w:p>
        </w:tc>
        <w:tc>
          <w:tcPr>
            <w:tcW w:w="126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 w:right="-15"/>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19"/>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24"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512" w:type="dxa"/>
            <w:vMerge/>
            <w:tcBorders>
              <w:left w:val="single" w:sz="12" w:space="0" w:color="D2D2D2"/>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bottom w:val="nil" w:sz="6" w:space="0" w:color="auto"/>
              <w:right w:val="single" w:sz="4" w:space="0" w:color="000000"/>
            </w:tcBorders>
            <w:shd w:val="clear" w:color="auto" w:fill="D2D2D2"/>
          </w:tcPr>
          <w:p>
            <w:pPr/>
          </w:p>
        </w:tc>
        <w:tc>
          <w:tcPr>
            <w:tcW w:w="809" w:type="dxa"/>
            <w:gridSpan w:val="2"/>
            <w:vMerge/>
            <w:tcBorders>
              <w:left w:val="single" w:sz="9" w:space="0" w:color="D2D2D2"/>
              <w:right w:val="single" w:sz="10" w:space="0" w:color="D2D2D2"/>
            </w:tcBorders>
          </w:tcPr>
          <w:p>
            <w:pPr/>
          </w:p>
        </w:tc>
        <w:tc>
          <w:tcPr>
            <w:tcW w:w="148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 w:right="197"/>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76" w:type="dxa"/>
            <w:gridSpan w:val="2"/>
            <w:vMerge/>
            <w:tcBorders>
              <w:left w:val="single" w:sz="10" w:space="0" w:color="D2D2D2"/>
              <w:right w:val="single" w:sz="10" w:space="0" w:color="D2D2D2"/>
            </w:tcBorders>
          </w:tcPr>
          <w:p>
            <w:pPr/>
          </w:p>
        </w:tc>
        <w:tc>
          <w:tcPr>
            <w:tcW w:w="1267" w:type="dxa"/>
            <w:gridSpan w:val="2"/>
            <w:vMerge/>
            <w:tcBorders>
              <w:left w:val="single" w:sz="4" w:space="0" w:color="000000"/>
              <w:right w:val="single" w:sz="4" w:space="0" w:color="000000"/>
            </w:tcBorders>
            <w:shd w:val="clear" w:color="auto" w:fill="D2D2D2"/>
          </w:tcPr>
          <w:p>
            <w:pPr/>
          </w:p>
        </w:tc>
        <w:tc>
          <w:tcPr>
            <w:tcW w:w="1124"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512" w:type="dxa"/>
            <w:vMerge/>
            <w:tcBorders>
              <w:left w:val="single" w:sz="12" w:space="0" w:color="D2D2D2"/>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
        </w:tc>
      </w:tr>
      <w:tr>
        <w:trPr>
          <w:trHeight w:val="706" w:hRule="exact"/>
        </w:trPr>
        <w:tc>
          <w:tcPr>
            <w:tcW w:w="13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39"/>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9" w:type="dxa"/>
            <w:gridSpan w:val="2"/>
            <w:vMerge/>
            <w:tcBorders>
              <w:left w:val="single" w:sz="9" w:space="0" w:color="D2D2D2"/>
              <w:right w:val="single" w:sz="10" w:space="0" w:color="D2D2D2"/>
            </w:tcBorders>
          </w:tcPr>
          <w:p>
            <w:pPr/>
          </w:p>
        </w:tc>
        <w:tc>
          <w:tcPr>
            <w:tcW w:w="1481" w:type="dxa"/>
            <w:gridSpan w:val="2"/>
            <w:vMerge/>
            <w:tcBorders>
              <w:left w:val="single" w:sz="4" w:space="0" w:color="000000"/>
              <w:right w:val="single" w:sz="4" w:space="0" w:color="000000"/>
            </w:tcBorders>
            <w:shd w:val="clear" w:color="auto" w:fill="D2D2D2"/>
          </w:tcPr>
          <w:p>
            <w:pPr/>
          </w:p>
        </w:tc>
        <w:tc>
          <w:tcPr>
            <w:tcW w:w="1176" w:type="dxa"/>
            <w:gridSpan w:val="2"/>
            <w:vMerge/>
            <w:tcBorders>
              <w:left w:val="single" w:sz="10" w:space="0" w:color="D2D2D2"/>
              <w:right w:val="single" w:sz="10" w:space="0" w:color="D2D2D2"/>
            </w:tcBorders>
          </w:tcPr>
          <w:p>
            <w:pPr/>
          </w:p>
        </w:tc>
        <w:tc>
          <w:tcPr>
            <w:tcW w:w="1267" w:type="dxa"/>
            <w:gridSpan w:val="2"/>
            <w:vMerge/>
            <w:tcBorders>
              <w:left w:val="single" w:sz="4" w:space="0" w:color="000000"/>
              <w:right w:val="single" w:sz="4" w:space="0" w:color="000000"/>
            </w:tcBorders>
            <w:shd w:val="clear" w:color="auto" w:fill="D2D2D2"/>
          </w:tcPr>
          <w:p>
            <w:pPr/>
          </w:p>
        </w:tc>
        <w:tc>
          <w:tcPr>
            <w:tcW w:w="1124"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512" w:type="dxa"/>
            <w:vMerge/>
            <w:tcBorders>
              <w:left w:val="single" w:sz="12" w:space="0" w:color="D2D2D2"/>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35" w:type="dxa"/>
            <w:vMerge w:val="restart"/>
            <w:tcBorders>
              <w:top w:val="nil" w:sz="6" w:space="0" w:color="auto"/>
              <w:left w:val="single" w:sz="4" w:space="0" w:color="000000"/>
              <w:right w:val="single" w:sz="4" w:space="0" w:color="000000"/>
            </w:tcBorders>
            <w:shd w:val="clear" w:color="auto" w:fill="D2D2D2"/>
          </w:tcPr>
          <w:p>
            <w:pPr/>
          </w:p>
        </w:tc>
        <w:tc>
          <w:tcPr>
            <w:tcW w:w="809" w:type="dxa"/>
            <w:gridSpan w:val="2"/>
            <w:vMerge/>
            <w:tcBorders>
              <w:left w:val="single" w:sz="9" w:space="0" w:color="D2D2D2"/>
              <w:right w:val="single" w:sz="10" w:space="0" w:color="D2D2D2"/>
            </w:tcBorders>
          </w:tcPr>
          <w:p>
            <w:pPr/>
          </w:p>
        </w:tc>
        <w:tc>
          <w:tcPr>
            <w:tcW w:w="1481" w:type="dxa"/>
            <w:gridSpan w:val="2"/>
            <w:vMerge/>
            <w:tcBorders>
              <w:left w:val="single" w:sz="4" w:space="0" w:color="000000"/>
              <w:bottom w:val="nil" w:sz="6" w:space="0" w:color="auto"/>
              <w:right w:val="single" w:sz="4" w:space="0" w:color="000000"/>
            </w:tcBorders>
            <w:shd w:val="clear" w:color="auto" w:fill="D2D2D2"/>
          </w:tcPr>
          <w:p>
            <w:pPr/>
          </w:p>
        </w:tc>
        <w:tc>
          <w:tcPr>
            <w:tcW w:w="1176" w:type="dxa"/>
            <w:gridSpan w:val="2"/>
            <w:vMerge/>
            <w:tcBorders>
              <w:left w:val="single" w:sz="10" w:space="0" w:color="D2D2D2"/>
              <w:right w:val="single" w:sz="10" w:space="0" w:color="D2D2D2"/>
            </w:tcBorders>
          </w:tcPr>
          <w:p>
            <w:pPr/>
          </w:p>
        </w:tc>
        <w:tc>
          <w:tcPr>
            <w:tcW w:w="1267" w:type="dxa"/>
            <w:gridSpan w:val="2"/>
            <w:vMerge/>
            <w:tcBorders>
              <w:left w:val="single" w:sz="4" w:space="0" w:color="000000"/>
              <w:right w:val="single" w:sz="4" w:space="0" w:color="000000"/>
            </w:tcBorders>
            <w:shd w:val="clear" w:color="auto" w:fill="D2D2D2"/>
          </w:tcPr>
          <w:p>
            <w:pPr/>
          </w:p>
        </w:tc>
        <w:tc>
          <w:tcPr>
            <w:tcW w:w="1124"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512" w:type="dxa"/>
            <w:vMerge/>
            <w:tcBorders>
              <w:left w:val="single" w:sz="12" w:space="0" w:color="D2D2D2"/>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9" w:type="dxa"/>
            <w:gridSpan w:val="2"/>
            <w:vMerge/>
            <w:tcBorders>
              <w:left w:val="single" w:sz="9" w:space="0" w:color="D2D2D2"/>
              <w:right w:val="single" w:sz="10" w:space="0" w:color="D2D2D2"/>
            </w:tcBorders>
          </w:tcPr>
          <w:p>
            <w:pPr/>
          </w:p>
        </w:tc>
        <w:tc>
          <w:tcPr>
            <w:tcW w:w="1481" w:type="dxa"/>
            <w:gridSpan w:val="2"/>
            <w:vMerge w:val="restart"/>
            <w:tcBorders>
              <w:top w:val="nil" w:sz="6" w:space="0" w:color="auto"/>
              <w:left w:val="single" w:sz="4" w:space="0" w:color="000000"/>
              <w:right w:val="single" w:sz="4" w:space="0" w:color="000000"/>
            </w:tcBorders>
            <w:shd w:val="clear" w:color="auto" w:fill="D2D2D2"/>
          </w:tcPr>
          <w:p>
            <w:pPr/>
          </w:p>
        </w:tc>
        <w:tc>
          <w:tcPr>
            <w:tcW w:w="1176" w:type="dxa"/>
            <w:gridSpan w:val="2"/>
            <w:vMerge/>
            <w:tcBorders>
              <w:left w:val="single" w:sz="10" w:space="0" w:color="D2D2D2"/>
              <w:right w:val="single" w:sz="10" w:space="0" w:color="D2D2D2"/>
            </w:tcBorders>
          </w:tcPr>
          <w:p>
            <w:pPr/>
          </w:p>
        </w:tc>
        <w:tc>
          <w:tcPr>
            <w:tcW w:w="1267" w:type="dxa"/>
            <w:gridSpan w:val="2"/>
            <w:vMerge/>
            <w:tcBorders>
              <w:left w:val="single" w:sz="4" w:space="0" w:color="000000"/>
              <w:bottom w:val="nil" w:sz="6" w:space="0" w:color="auto"/>
              <w:right w:val="single" w:sz="4" w:space="0" w:color="000000"/>
            </w:tcBorders>
            <w:shd w:val="clear" w:color="auto" w:fill="D2D2D2"/>
          </w:tcPr>
          <w:p>
            <w:pPr/>
          </w:p>
        </w:tc>
        <w:tc>
          <w:tcPr>
            <w:tcW w:w="1124"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512" w:type="dxa"/>
            <w:vMerge/>
            <w:tcBorders>
              <w:left w:val="single" w:sz="12" w:space="0" w:color="D2D2D2"/>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
        </w:tc>
      </w:tr>
      <w:tr>
        <w:trPr>
          <w:trHeight w:val="166" w:hRule="exact"/>
        </w:trPr>
        <w:tc>
          <w:tcPr>
            <w:tcW w:w="1335" w:type="dxa"/>
            <w:vMerge/>
            <w:tcBorders>
              <w:left w:val="single" w:sz="4" w:space="0" w:color="000000"/>
              <w:bottom w:val="single" w:sz="4" w:space="0" w:color="000000"/>
              <w:right w:val="single" w:sz="4" w:space="0" w:color="000000"/>
            </w:tcBorders>
            <w:shd w:val="clear" w:color="auto" w:fill="D2D2D2"/>
          </w:tcPr>
          <w:p>
            <w:pPr/>
          </w:p>
        </w:tc>
        <w:tc>
          <w:tcPr>
            <w:tcW w:w="809" w:type="dxa"/>
            <w:gridSpan w:val="2"/>
            <w:vMerge/>
            <w:tcBorders>
              <w:left w:val="single" w:sz="9" w:space="0" w:color="D2D2D2"/>
              <w:bottom w:val="single" w:sz="4" w:space="0" w:color="000000"/>
              <w:right w:val="single" w:sz="10" w:space="0" w:color="D2D2D2"/>
            </w:tcBorders>
          </w:tcPr>
          <w:p>
            <w:pPr/>
          </w:p>
        </w:tc>
        <w:tc>
          <w:tcPr>
            <w:tcW w:w="1481" w:type="dxa"/>
            <w:gridSpan w:val="2"/>
            <w:vMerge/>
            <w:tcBorders>
              <w:left w:val="single" w:sz="4" w:space="0" w:color="000000"/>
              <w:bottom w:val="single" w:sz="4" w:space="0" w:color="000000"/>
              <w:right w:val="single" w:sz="4" w:space="0" w:color="000000"/>
            </w:tcBorders>
            <w:shd w:val="clear" w:color="auto" w:fill="D2D2D2"/>
          </w:tcPr>
          <w:p>
            <w:pPr/>
          </w:p>
        </w:tc>
        <w:tc>
          <w:tcPr>
            <w:tcW w:w="1176" w:type="dxa"/>
            <w:gridSpan w:val="2"/>
            <w:vMerge/>
            <w:tcBorders>
              <w:left w:val="single" w:sz="10" w:space="0" w:color="D2D2D2"/>
              <w:bottom w:val="single" w:sz="4" w:space="0" w:color="000000"/>
              <w:right w:val="single" w:sz="10" w:space="0" w:color="D2D2D2"/>
            </w:tcBorders>
          </w:tcPr>
          <w:p>
            <w:pPr/>
          </w:p>
        </w:tc>
        <w:tc>
          <w:tcPr>
            <w:tcW w:w="1267"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24" w:type="dxa"/>
            <w:gridSpan w:val="2"/>
            <w:vMerge/>
            <w:tcBorders>
              <w:left w:val="single" w:sz="10" w:space="0" w:color="D2D2D2"/>
              <w:bottom w:val="single" w:sz="4" w:space="0" w:color="000000"/>
              <w:right w:val="single" w:sz="13" w:space="0" w:color="D2D2D2"/>
            </w:tcBorders>
          </w:tcPr>
          <w:p>
            <w:pPr/>
          </w:p>
        </w:tc>
        <w:tc>
          <w:tcPr>
            <w:tcW w:w="1307" w:type="dxa"/>
            <w:gridSpan w:val="2"/>
            <w:vMerge/>
            <w:tcBorders>
              <w:left w:val="single" w:sz="4" w:space="0" w:color="000000"/>
              <w:bottom w:val="single" w:sz="4" w:space="0" w:color="000000"/>
              <w:right w:val="single" w:sz="4" w:space="0" w:color="000000"/>
            </w:tcBorders>
            <w:shd w:val="clear" w:color="auto" w:fill="D2D2D2"/>
          </w:tcPr>
          <w:p>
            <w:pPr/>
          </w:p>
        </w:tc>
        <w:tc>
          <w:tcPr>
            <w:tcW w:w="512" w:type="dxa"/>
            <w:vMerge/>
            <w:tcBorders>
              <w:left w:val="single" w:sz="12" w:space="0" w:color="D2D2D2"/>
              <w:bottom w:val="single" w:sz="4" w:space="0" w:color="000000"/>
              <w:right w:val="nil" w:sz="6" w:space="0" w:color="auto"/>
            </w:tcBorders>
          </w:tcPr>
          <w:p>
            <w:pPr/>
          </w:p>
        </w:tc>
        <w:tc>
          <w:tcPr>
            <w:tcW w:w="557" w:type="dxa"/>
            <w:tcBorders>
              <w:top w:val="nil" w:sz="6" w:space="0" w:color="auto"/>
              <w:left w:val="nil" w:sz="6" w:space="0" w:color="auto"/>
              <w:bottom w:val="single" w:sz="4" w:space="0" w:color="000000"/>
              <w:right w:val="single" w:sz="4" w:space="0" w:color="000000"/>
            </w:tcBorders>
          </w:tcPr>
          <w:p>
            <w:pPr/>
          </w:p>
        </w:tc>
      </w:tr>
      <w:tr>
        <w:trPr>
          <w:trHeight w:val="391" w:hRule="exact"/>
        </w:trPr>
        <w:tc>
          <w:tcPr>
            <w:tcW w:w="9568"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44" w:type="dxa"/>
            <w:vMerge w:val="restart"/>
            <w:tcBorders>
              <w:top w:val="single" w:sz="4" w:space="0" w:color="000000"/>
              <w:left w:val="single" w:sz="4" w:space="0" w:color="000000"/>
              <w:right w:val="single" w:sz="4" w:space="0" w:color="000000"/>
            </w:tcBorders>
            <w:shd w:val="clear" w:color="auto" w:fill="D2D2D2"/>
          </w:tcPr>
          <w:p>
            <w:pPr/>
          </w:p>
        </w:tc>
        <w:tc>
          <w:tcPr>
            <w:tcW w:w="8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28" w:right="62"/>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0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17" w:right="53"/>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1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72" w:right="26"/>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0" w:type="dxa"/>
            <w:gridSpan w:val="2"/>
            <w:vMerge/>
            <w:tcBorders>
              <w:left w:val="single" w:sz="4" w:space="0" w:color="000000"/>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8" w:type="dxa"/>
            <w:gridSpan w:val="5"/>
            <w:vMerge/>
            <w:tcBorders>
              <w:left w:val="single" w:sz="4" w:space="0" w:color="000000"/>
              <w:right w:val="single" w:sz="4" w:space="0" w:color="000000"/>
            </w:tcBorders>
            <w:shd w:val="clear" w:color="auto" w:fill="D2D2D2"/>
          </w:tcPr>
          <w:p>
            <w:pPr/>
          </w:p>
        </w:tc>
      </w:tr>
      <w:tr>
        <w:trPr>
          <w:trHeight w:val="142"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7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8" w:right="-15"/>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30" w:type="dxa"/>
            <w:vMerge/>
            <w:tcBorders>
              <w:left w:val="single" w:sz="4" w:space="0" w:color="000000"/>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8" w:type="dxa"/>
            <w:gridSpan w:val="5"/>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0" w:type="dxa"/>
            <w:vMerge/>
            <w:tcBorders>
              <w:left w:val="single" w:sz="4" w:space="0" w:color="000000"/>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30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744" w:type="dxa"/>
            <w:vMerge w:val="restart"/>
            <w:tcBorders>
              <w:top w:val="nil" w:sz="6" w:space="0" w:color="auto"/>
              <w:left w:val="single" w:sz="4" w:space="0" w:color="000000"/>
              <w:right w:val="single" w:sz="4" w:space="0" w:color="000000"/>
            </w:tcBorders>
            <w:shd w:val="clear" w:color="auto" w:fill="D2D2D2"/>
          </w:tcPr>
          <w:p>
            <w:pPr/>
          </w:p>
        </w:tc>
        <w:tc>
          <w:tcPr>
            <w:tcW w:w="830" w:type="dxa"/>
            <w:vMerge/>
            <w:tcBorders>
              <w:left w:val="single" w:sz="4" w:space="0" w:color="000000"/>
              <w:bottom w:val="nil" w:sz="6" w:space="0" w:color="auto"/>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49" w:type="dxa"/>
            <w:gridSpan w:val="3"/>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44" w:type="dxa"/>
            <w:vMerge/>
            <w:tcBorders>
              <w:left w:val="single" w:sz="4" w:space="0" w:color="000000"/>
              <w:bottom w:val="single" w:sz="4" w:space="0" w:color="000000"/>
              <w:right w:val="single" w:sz="4" w:space="0" w:color="000000"/>
            </w:tcBorders>
            <w:shd w:val="clear" w:color="auto" w:fill="D2D2D2"/>
          </w:tcPr>
          <w:p>
            <w:pPr/>
          </w:p>
        </w:tc>
        <w:tc>
          <w:tcPr>
            <w:tcW w:w="8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gridSpan w:val="2"/>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9" w:type="dxa"/>
            <w:gridSpan w:val="3"/>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北京百汇达投资 管理有限公司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46.90%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204,800,0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7"/>
              <w:jc w:val="right"/>
              <w:rPr>
                <w:rFonts w:ascii="Times New Roman" w:hAnsi="Times New Roman" w:cs="Times New Roman" w:eastAsia="Times New Roman" w:hint="default"/>
                <w:sz w:val="18"/>
                <w:szCs w:val="18"/>
              </w:rPr>
            </w:pPr>
            <w:r>
              <w:rPr>
                <w:rFonts w:ascii="Times New Roman"/>
                <w:spacing w:val="-1"/>
                <w:sz w:val="18"/>
              </w:rPr>
              <w:t>256,000,0</w:t>
            </w:r>
          </w:p>
          <w:p>
            <w:pPr>
              <w:pStyle w:val="TableParagraph"/>
              <w:spacing w:line="240" w:lineRule="auto" w:before="105"/>
              <w:ind w:right="55"/>
              <w:jc w:val="right"/>
              <w:rPr>
                <w:rFonts w:ascii="Times New Roman" w:hAnsi="Times New Roman" w:cs="Times New Roman" w:eastAsia="Times New Roman" w:hint="default"/>
                <w:sz w:val="18"/>
                <w:szCs w:val="18"/>
              </w:rPr>
            </w:pPr>
            <w:r>
              <w:rPr>
                <w:rFonts w:ascii="Times New Roman"/>
                <w:sz w:val="18"/>
              </w:rPr>
              <w:t>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149"/>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8" w:space="0" w:color="D2D2D2"/>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17" w:right="0"/>
              <w:jc w:val="left"/>
              <w:rPr>
                <w:rFonts w:ascii="Times New Roman" w:hAnsi="Times New Roman" w:cs="Times New Roman" w:eastAsia="Times New Roman" w:hint="default"/>
                <w:sz w:val="18"/>
                <w:szCs w:val="18"/>
              </w:rPr>
            </w:pPr>
            <w:r>
              <w:rPr>
                <w:rFonts w:ascii="Times New Roman"/>
                <w:sz w:val="18"/>
              </w:rPr>
              <w:t>188,510,000</w:t>
            </w:r>
          </w:p>
        </w:tc>
      </w:tr>
      <w:tr>
        <w:trPr>
          <w:trHeight w:val="1027"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天津红杉资本投 </w:t>
            </w:r>
            <w:r>
              <w:rPr>
                <w:rFonts w:ascii="宋体" w:hAnsi="宋体" w:cs="宋体" w:eastAsia="宋体" w:hint="default"/>
                <w:spacing w:val="-4"/>
                <w:sz w:val="18"/>
                <w:szCs w:val="18"/>
              </w:rPr>
              <w:t>资基金中心（有限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合伙）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8.61%</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46,981,17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34,784,93</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6</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7"/>
              <w:jc w:val="right"/>
              <w:rPr>
                <w:rFonts w:ascii="Times New Roman" w:hAnsi="Times New Roman" w:cs="Times New Roman" w:eastAsia="Times New Roman" w:hint="default"/>
                <w:sz w:val="18"/>
                <w:szCs w:val="18"/>
              </w:rPr>
            </w:pPr>
            <w:r>
              <w:rPr>
                <w:rFonts w:ascii="Times New Roman"/>
                <w:spacing w:val="-1"/>
                <w:sz w:val="18"/>
              </w:rPr>
              <w:t>36,981,17</w:t>
            </w:r>
          </w:p>
          <w:p>
            <w:pPr>
              <w:pStyle w:val="TableParagraph"/>
              <w:spacing w:line="240" w:lineRule="auto" w:before="105"/>
              <w:ind w:right="58"/>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73"/>
              <w:jc w:val="both"/>
              <w:rPr>
                <w:rFonts w:ascii="宋体" w:hAnsi="宋体" w:cs="宋体" w:eastAsia="宋体" w:hint="default"/>
                <w:sz w:val="18"/>
                <w:szCs w:val="18"/>
              </w:rPr>
            </w:pPr>
            <w:r>
              <w:rPr>
                <w:rFonts w:ascii="宋体" w:hAnsi="宋体" w:cs="宋体" w:eastAsia="宋体" w:hint="default"/>
                <w:sz w:val="18"/>
                <w:szCs w:val="18"/>
              </w:rPr>
              <w:t>交通银行股份有 限公司－易方达 科讯混合型证券 投资基金</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1.84%</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10,050,58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10,050,58</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7</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58"/>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10,050,58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耿桂芳</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1.77%</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center"/>
              <w:rPr>
                <w:rFonts w:ascii="Times New Roman" w:hAnsi="Times New Roman" w:cs="Times New Roman" w:eastAsia="Times New Roman" w:hint="default"/>
                <w:sz w:val="18"/>
                <w:szCs w:val="18"/>
              </w:rPr>
            </w:pPr>
            <w:r>
              <w:rPr>
                <w:rFonts w:ascii="Times New Roman"/>
                <w:sz w:val="18"/>
              </w:rPr>
              <w:t>9,671,950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7,737,560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7"/>
              <w:jc w:val="right"/>
              <w:rPr>
                <w:rFonts w:ascii="Times New Roman" w:hAnsi="Times New Roman" w:cs="Times New Roman" w:eastAsia="Times New Roman" w:hint="default"/>
                <w:sz w:val="18"/>
                <w:szCs w:val="18"/>
              </w:rPr>
            </w:pPr>
            <w:r>
              <w:rPr>
                <w:rFonts w:ascii="Times New Roman"/>
                <w:spacing w:val="-1"/>
                <w:sz w:val="18"/>
              </w:rPr>
              <w:t>9,671,950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both"/>
              <w:rPr>
                <w:rFonts w:ascii="宋体" w:hAnsi="宋体" w:cs="宋体" w:eastAsia="宋体" w:hint="default"/>
                <w:sz w:val="18"/>
                <w:szCs w:val="18"/>
              </w:rPr>
            </w:pPr>
            <w:r>
              <w:rPr>
                <w:rFonts w:ascii="宋体" w:hAnsi="宋体" w:cs="宋体" w:eastAsia="宋体" w:hint="default"/>
                <w:sz w:val="18"/>
                <w:szCs w:val="18"/>
              </w:rPr>
              <w:t>中国农业银行股 份有限公司－中 邮核心成长混合 型证券投资基金</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1.48%</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8,087,000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8,087,000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58"/>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8,087,000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73"/>
              <w:jc w:val="both"/>
              <w:rPr>
                <w:rFonts w:ascii="宋体" w:hAnsi="宋体" w:cs="宋体" w:eastAsia="宋体" w:hint="default"/>
                <w:sz w:val="18"/>
                <w:szCs w:val="18"/>
              </w:rPr>
            </w:pPr>
            <w:r>
              <w:rPr>
                <w:rFonts w:ascii="宋体" w:hAnsi="宋体" w:cs="宋体" w:eastAsia="宋体" w:hint="default"/>
                <w:sz w:val="18"/>
                <w:szCs w:val="18"/>
              </w:rPr>
              <w:t>中国建设银行股 份有限公司－易 方达新丝路灵活 配置混合型证券 投资基金</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1.28%</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6,997,329</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6,997,329</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58"/>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6,997,329</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69"/>
        <w:gridCol w:w="1412"/>
        <w:gridCol w:w="787"/>
        <w:gridCol w:w="787"/>
        <w:gridCol w:w="790"/>
        <w:gridCol w:w="785"/>
        <w:gridCol w:w="840"/>
        <w:gridCol w:w="1349"/>
        <w:gridCol w:w="1349"/>
      </w:tblGrid>
      <w:tr>
        <w:trPr>
          <w:trHeight w:val="1337"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both"/>
              <w:rPr>
                <w:rFonts w:ascii="宋体" w:hAnsi="宋体" w:cs="宋体" w:eastAsia="宋体" w:hint="default"/>
                <w:sz w:val="18"/>
                <w:szCs w:val="18"/>
              </w:rPr>
            </w:pPr>
            <w:r>
              <w:rPr>
                <w:rFonts w:ascii="宋体" w:hAnsi="宋体" w:cs="宋体" w:eastAsia="宋体" w:hint="default"/>
                <w:sz w:val="18"/>
                <w:szCs w:val="18"/>
              </w:rPr>
              <w:t>兴业银行股份有 限公司－中邮战 略新兴产业混合 型证券投资基金</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1.06%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3" w:right="0"/>
              <w:jc w:val="left"/>
              <w:rPr>
                <w:rFonts w:ascii="Times New Roman" w:hAnsi="Times New Roman" w:cs="Times New Roman" w:eastAsia="Times New Roman" w:hint="default"/>
                <w:sz w:val="18"/>
                <w:szCs w:val="18"/>
              </w:rPr>
            </w:pPr>
            <w:r>
              <w:rPr>
                <w:rFonts w:ascii="Times New Roman"/>
                <w:sz w:val="18"/>
              </w:rPr>
              <w:t>5,798,240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5,798,240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5,798,240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73"/>
              <w:jc w:val="left"/>
              <w:rPr>
                <w:rFonts w:ascii="宋体" w:hAnsi="宋体" w:cs="宋体" w:eastAsia="宋体" w:hint="default"/>
                <w:sz w:val="18"/>
                <w:szCs w:val="18"/>
              </w:rPr>
            </w:pPr>
            <w:r>
              <w:rPr>
                <w:rFonts w:ascii="宋体" w:hAnsi="宋体" w:cs="宋体" w:eastAsia="宋体" w:hint="default"/>
                <w:sz w:val="18"/>
                <w:szCs w:val="18"/>
              </w:rPr>
              <w:t>全国社保基金六 零一组合</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5,428,236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5,428,236</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5,428,236</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叶玉莲</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5,212,285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5,212,285</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5,212,285</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3"/>
              <w:jc w:val="both"/>
              <w:rPr>
                <w:rFonts w:ascii="宋体" w:hAnsi="宋体" w:cs="宋体" w:eastAsia="宋体" w:hint="default"/>
                <w:sz w:val="18"/>
                <w:szCs w:val="18"/>
              </w:rPr>
            </w:pPr>
            <w:r>
              <w:rPr>
                <w:rFonts w:ascii="宋体" w:hAnsi="宋体" w:cs="宋体" w:eastAsia="宋体" w:hint="default"/>
                <w:sz w:val="18"/>
                <w:szCs w:val="18"/>
              </w:rPr>
              <w:t>中国工商银行股 份有限公司－易 方达新常态灵活 配置混合型证券 投资基金</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4,694,279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4,694,279</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4,694,279</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7"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4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7"/>
            <w:tcBorders>
              <w:top w:val="single" w:sz="4" w:space="0" w:color="000000"/>
              <w:left w:val="single" w:sz="9" w:space="0" w:color="D2D2D2"/>
              <w:bottom w:val="single" w:sz="4" w:space="0" w:color="000000"/>
              <w:right w:val="single" w:sz="4" w:space="0" w:color="000000"/>
            </w:tcBorders>
          </w:tcPr>
          <w:p>
            <w:pPr>
              <w:pStyle w:val="TableParagraph"/>
              <w:spacing w:line="314" w:lineRule="auto" w:before="51"/>
              <w:ind w:left="17" w:right="171"/>
              <w:jc w:val="left"/>
              <w:rPr>
                <w:rFonts w:ascii="宋体" w:hAnsi="宋体" w:cs="宋体" w:eastAsia="宋体" w:hint="default"/>
                <w:sz w:val="18"/>
                <w:szCs w:val="18"/>
              </w:rPr>
            </w:pPr>
            <w:r>
              <w:rPr>
                <w:rFonts w:ascii="宋体" w:hAnsi="宋体" w:cs="宋体" w:eastAsia="宋体" w:hint="default"/>
                <w:sz w:val="18"/>
                <w:szCs w:val="18"/>
              </w:rPr>
              <w:t>耿桂芳为北京百汇达投资管理有限公司的法人，是公司实际控制人耿殿根先生的姐 姐。除此之外，公司未发现上述股东之间存在其他关联关系。</w:t>
            </w:r>
          </w:p>
        </w:tc>
      </w:tr>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5"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89"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8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40"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881" w:type="dxa"/>
            <w:gridSpan w:val="2"/>
            <w:vMerge/>
            <w:tcBorders>
              <w:left w:val="single" w:sz="4" w:space="0" w:color="000000"/>
              <w:bottom w:val="nil" w:sz="6" w:space="0" w:color="auto"/>
              <w:right w:val="single" w:sz="4" w:space="0" w:color="000000"/>
            </w:tcBorders>
            <w:shd w:val="clear" w:color="auto" w:fill="D2D2D2"/>
          </w:tcPr>
          <w:p>
            <w:pPr/>
          </w:p>
        </w:tc>
        <w:tc>
          <w:tcPr>
            <w:tcW w:w="3989"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89"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5"/>
              <w:jc w:val="left"/>
              <w:rPr>
                <w:rFonts w:ascii="宋体" w:hAnsi="宋体" w:cs="宋体" w:eastAsia="宋体" w:hint="default"/>
                <w:sz w:val="18"/>
                <w:szCs w:val="18"/>
              </w:rPr>
            </w:pPr>
            <w:r>
              <w:rPr>
                <w:rFonts w:ascii="宋体" w:hAnsi="宋体" w:cs="宋体" w:eastAsia="宋体" w:hint="default"/>
                <w:sz w:val="18"/>
                <w:szCs w:val="18"/>
              </w:rPr>
              <w:t>交通银行股份有限公司－易方达科 讯混合型证券投资基金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10,050,587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10,050,587</w:t>
            </w:r>
          </w:p>
        </w:tc>
      </w:tr>
      <w:tr>
        <w:trPr>
          <w:trHeight w:val="71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4"/>
                <w:sz w:val="18"/>
                <w:szCs w:val="18"/>
              </w:rPr>
              <w:t>天津红杉资本投资基金中心（有限合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伙）</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715"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5"/>
              <w:jc w:val="left"/>
              <w:rPr>
                <w:rFonts w:ascii="宋体" w:hAnsi="宋体" w:cs="宋体" w:eastAsia="宋体" w:hint="default"/>
                <w:sz w:val="18"/>
                <w:szCs w:val="18"/>
              </w:rPr>
            </w:pPr>
            <w:r>
              <w:rPr>
                <w:rFonts w:ascii="宋体" w:hAnsi="宋体" w:cs="宋体" w:eastAsia="宋体" w:hint="default"/>
                <w:sz w:val="18"/>
                <w:szCs w:val="18"/>
              </w:rPr>
              <w:t>中国农业银行股份有限公司－中邮 核心成长混合型证券投资基金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8,087,000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8,087,000</w:t>
            </w:r>
          </w:p>
        </w:tc>
      </w:tr>
      <w:tr>
        <w:trPr>
          <w:trHeight w:val="1025"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45"/>
              <w:jc w:val="both"/>
              <w:rPr>
                <w:rFonts w:ascii="宋体" w:hAnsi="宋体" w:cs="宋体" w:eastAsia="宋体" w:hint="default"/>
                <w:sz w:val="18"/>
                <w:szCs w:val="18"/>
              </w:rPr>
            </w:pPr>
            <w:r>
              <w:rPr>
                <w:rFonts w:ascii="宋体" w:hAnsi="宋体" w:cs="宋体" w:eastAsia="宋体" w:hint="default"/>
                <w:sz w:val="18"/>
                <w:szCs w:val="18"/>
              </w:rPr>
              <w:t>中国建设银行股份有限公司－易方 达新丝路灵活配置混合型证券投资 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6,997,329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6,997,329</w:t>
            </w:r>
          </w:p>
        </w:tc>
      </w:tr>
      <w:tr>
        <w:trPr>
          <w:trHeight w:val="715"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5"/>
              <w:jc w:val="left"/>
              <w:rPr>
                <w:rFonts w:ascii="宋体" w:hAnsi="宋体" w:cs="宋体" w:eastAsia="宋体" w:hint="default"/>
                <w:sz w:val="18"/>
                <w:szCs w:val="18"/>
              </w:rPr>
            </w:pPr>
            <w:r>
              <w:rPr>
                <w:rFonts w:ascii="宋体" w:hAnsi="宋体" w:cs="宋体" w:eastAsia="宋体" w:hint="default"/>
                <w:sz w:val="18"/>
                <w:szCs w:val="18"/>
              </w:rPr>
              <w:t>兴业银行股份有限公司－中邮战略 新兴产业混合型证券投资基金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5,798,240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5,798,240</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全国社保基金六零一组合</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5,428,236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5,428,236</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叶玉莲</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5,212,285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5,212,285</w:t>
            </w:r>
          </w:p>
        </w:tc>
      </w:tr>
      <w:tr>
        <w:trPr>
          <w:trHeight w:val="1025"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5"/>
              <w:jc w:val="both"/>
              <w:rPr>
                <w:rFonts w:ascii="宋体" w:hAnsi="宋体" w:cs="宋体" w:eastAsia="宋体" w:hint="default"/>
                <w:sz w:val="18"/>
                <w:szCs w:val="18"/>
              </w:rPr>
            </w:pPr>
            <w:r>
              <w:rPr>
                <w:rFonts w:ascii="宋体" w:hAnsi="宋体" w:cs="宋体" w:eastAsia="宋体" w:hint="default"/>
                <w:sz w:val="18"/>
                <w:szCs w:val="18"/>
              </w:rPr>
              <w:t>中国工商银行股份有限公司－易方 达新常态灵活配置混合型证券投资 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4,694,279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4,694,279</w:t>
            </w:r>
          </w:p>
        </w:tc>
      </w:tr>
      <w:tr>
        <w:trPr>
          <w:trHeight w:val="1028"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45"/>
              <w:jc w:val="both"/>
              <w:rPr>
                <w:rFonts w:ascii="宋体" w:hAnsi="宋体" w:cs="宋体" w:eastAsia="宋体" w:hint="default"/>
                <w:sz w:val="18"/>
                <w:szCs w:val="18"/>
              </w:rPr>
            </w:pPr>
            <w:r>
              <w:rPr>
                <w:rFonts w:ascii="宋体" w:hAnsi="宋体" w:cs="宋体" w:eastAsia="宋体" w:hint="default"/>
                <w:sz w:val="18"/>
                <w:szCs w:val="18"/>
              </w:rPr>
              <w:t>中国建设银行股份有限公司－易方 达创新驱动灵活配置混合型证券投 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3,850,474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3,850,474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80"/>
        <w:gridCol w:w="3989"/>
        <w:gridCol w:w="1349"/>
        <w:gridCol w:w="1349"/>
      </w:tblGrid>
      <w:tr>
        <w:trPr>
          <w:trHeight w:val="1025"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45"/>
              <w:jc w:val="both"/>
              <w:rPr>
                <w:rFonts w:ascii="宋体" w:hAnsi="宋体" w:cs="宋体" w:eastAsia="宋体" w:hint="default"/>
                <w:sz w:val="18"/>
                <w:szCs w:val="18"/>
              </w:rPr>
            </w:pPr>
            <w:r>
              <w:rPr>
                <w:rFonts w:ascii="宋体" w:hAnsi="宋体" w:cs="宋体" w:eastAsia="宋体" w:hint="default"/>
                <w:sz w:val="18"/>
                <w:szCs w:val="18"/>
              </w:rPr>
              <w:t>中国工商银行股份有限公司－汇添 富外延增长主题股票型证券投资基 金</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3,003,424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97" w:right="0"/>
              <w:jc w:val="left"/>
              <w:rPr>
                <w:rFonts w:ascii="Times New Roman" w:hAnsi="Times New Roman" w:cs="Times New Roman" w:eastAsia="Times New Roman" w:hint="default"/>
                <w:sz w:val="18"/>
                <w:szCs w:val="18"/>
              </w:rPr>
            </w:pPr>
            <w:r>
              <w:rPr>
                <w:rFonts w:ascii="Times New Roman"/>
                <w:sz w:val="18"/>
              </w:rPr>
              <w:t>3,003,424</w:t>
            </w:r>
          </w:p>
        </w:tc>
      </w:tr>
      <w:tr>
        <w:trPr>
          <w:trHeight w:val="1339"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309" w:lineRule="auto" w:before="60"/>
              <w:ind w:left="22" w:right="17"/>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 说明</w:t>
            </w: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6"/>
                <w:sz w:val="18"/>
                <w:szCs w:val="18"/>
              </w:rPr>
              <w:t>有）（参见注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49"/>
        <w:ind w:right="1134"/>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2"/>
        <w:ind w:right="11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right="1134"/>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3"/>
        <w:rPr>
          <w:rFonts w:ascii="宋体" w:hAnsi="宋体" w:cs="宋体" w:eastAsia="宋体" w:hint="default"/>
          <w:sz w:val="25"/>
          <w:szCs w:val="25"/>
        </w:rPr>
      </w:pPr>
    </w:p>
    <w:p>
      <w:pPr>
        <w:pStyle w:val="Heading3"/>
        <w:spacing w:line="240" w:lineRule="auto"/>
        <w:ind w:right="1134"/>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614"/>
        <w:jc w:val="left"/>
      </w:pPr>
      <w:r>
        <w:rPr/>
        <w:t>控股股东性质：自然人控股 控股股东类型：法人</w:t>
      </w:r>
    </w:p>
    <w:tbl>
      <w:tblPr>
        <w:tblW w:w="0" w:type="auto"/>
        <w:jc w:val="left"/>
        <w:tblInd w:w="148" w:type="dxa"/>
        <w:tblLayout w:type="fixed"/>
        <w:tblCellMar>
          <w:top w:w="0" w:type="dxa"/>
          <w:left w:w="0" w:type="dxa"/>
          <w:bottom w:w="0" w:type="dxa"/>
          <w:right w:w="0" w:type="dxa"/>
        </w:tblCellMar>
        <w:tblLook w:val="01E0"/>
      </w:tblPr>
      <w:tblGrid>
        <w:gridCol w:w="2264"/>
        <w:gridCol w:w="1616"/>
        <w:gridCol w:w="1426"/>
        <w:gridCol w:w="2064"/>
        <w:gridCol w:w="2201"/>
      </w:tblGrid>
      <w:tr>
        <w:trPr>
          <w:trHeight w:val="713" w:hRule="exact"/>
        </w:trPr>
        <w:tc>
          <w:tcPr>
            <w:tcW w:w="2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8"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624" w:right="55" w:hanging="56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 责人</w:t>
            </w:r>
          </w:p>
        </w:tc>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2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2"/>
              <w:jc w:val="right"/>
              <w:rPr>
                <w:rFonts w:ascii="宋体" w:hAnsi="宋体" w:cs="宋体" w:eastAsia="宋体" w:hint="default"/>
                <w:sz w:val="18"/>
                <w:szCs w:val="18"/>
              </w:rPr>
            </w:pPr>
            <w:r>
              <w:rPr>
                <w:rFonts w:ascii="宋体" w:hAnsi="宋体" w:cs="宋体" w:eastAsia="宋体" w:hint="default"/>
                <w:sz w:val="18"/>
                <w:szCs w:val="18"/>
              </w:rPr>
              <w:t>组织机构代码</w:t>
            </w:r>
          </w:p>
        </w:tc>
        <w:tc>
          <w:tcPr>
            <w:tcW w:w="2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7"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6"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北京百汇达投资管理有限公 司</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耿桂芳</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40"/>
              <w:jc w:val="right"/>
              <w:rPr>
                <w:rFonts w:ascii="Times New Roman" w:hAnsi="Times New Roman" w:cs="Times New Roman" w:eastAsia="Times New Roman" w:hint="default"/>
                <w:sz w:val="18"/>
                <w:szCs w:val="18"/>
              </w:rPr>
            </w:pPr>
            <w:r>
              <w:rPr>
                <w:rFonts w:ascii="Times New Roman"/>
                <w:spacing w:val="-1"/>
                <w:w w:val="95"/>
                <w:sz w:val="18"/>
              </w:rPr>
              <w:t>91110101742331060J</w:t>
            </w:r>
            <w:r>
              <w:rPr>
                <w:rFonts w:ascii="Times New Roman"/>
                <w:spacing w:val="-1"/>
                <w:sz w:val="18"/>
              </w:rPr>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22"/>
              <w:jc w:val="left"/>
              <w:rPr>
                <w:rFonts w:ascii="宋体" w:hAnsi="宋体" w:cs="宋体" w:eastAsia="宋体" w:hint="default"/>
                <w:sz w:val="18"/>
                <w:szCs w:val="18"/>
              </w:rPr>
            </w:pPr>
            <w:r>
              <w:rPr>
                <w:rFonts w:ascii="宋体" w:hAnsi="宋体" w:cs="宋体" w:eastAsia="宋体" w:hint="default"/>
                <w:spacing w:val="-2"/>
                <w:sz w:val="18"/>
                <w:szCs w:val="18"/>
              </w:rPr>
              <w:t>投资管理；信息咨询（不含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6"/>
                <w:sz w:val="18"/>
                <w:szCs w:val="18"/>
              </w:rPr>
              <w:t>中介服务）。</w:t>
            </w:r>
          </w:p>
        </w:tc>
      </w:tr>
    </w:tbl>
    <w:p>
      <w:pPr>
        <w:pStyle w:val="BodyText"/>
        <w:spacing w:line="240" w:lineRule="auto" w:before="68"/>
        <w:ind w:right="1134"/>
        <w:jc w:val="left"/>
      </w:pPr>
      <w:r>
        <w:rPr/>
        <w:t>控股股东报告期内变更</w:t>
      </w:r>
    </w:p>
    <w:p>
      <w:pPr>
        <w:pStyle w:val="BodyText"/>
        <w:spacing w:line="340" w:lineRule="auto" w:before="115"/>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3"/>
        <w:rPr>
          <w:rFonts w:ascii="宋体" w:hAnsi="宋体" w:cs="宋体" w:eastAsia="宋体" w:hint="default"/>
          <w:sz w:val="21"/>
          <w:szCs w:val="21"/>
        </w:rPr>
      </w:pPr>
    </w:p>
    <w:p>
      <w:pPr>
        <w:pStyle w:val="Heading3"/>
        <w:spacing w:line="240" w:lineRule="auto"/>
        <w:ind w:right="1134"/>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434"/>
        <w:jc w:val="left"/>
      </w:pPr>
      <w:r>
        <w:rPr/>
        <w:t>实际控制人性质：境内自然人 实际控制人类型：自然人</w:t>
      </w:r>
    </w:p>
    <w:tbl>
      <w:tblPr>
        <w:tblW w:w="0" w:type="auto"/>
        <w:jc w:val="left"/>
        <w:tblInd w:w="148" w:type="dxa"/>
        <w:tblLayout w:type="fixed"/>
        <w:tblCellMar>
          <w:top w:w="0" w:type="dxa"/>
          <w:left w:w="0" w:type="dxa"/>
          <w:bottom w:w="0" w:type="dxa"/>
          <w:right w:w="0" w:type="dxa"/>
        </w:tblCellMar>
        <w:tblLook w:val="01E0"/>
      </w:tblPr>
      <w:tblGrid>
        <w:gridCol w:w="3327"/>
        <w:gridCol w:w="2122"/>
        <w:gridCol w:w="4121"/>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耿殿根</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现任公司董事长，任期至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2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right="1134"/>
        <w:jc w:val="left"/>
      </w:pPr>
      <w:r>
        <w:rPr/>
        <w:t>实际控制人报告期内变更</w:t>
      </w:r>
    </w:p>
    <w:p>
      <w:pPr>
        <w:pStyle w:val="BodyText"/>
        <w:spacing w:line="348" w:lineRule="auto" w:before="115"/>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after="0" w:line="348"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spacing w:line="4335" w:lineRule="exact"/>
        <w:ind w:left="1373" w:right="0" w:firstLine="0"/>
        <w:rPr>
          <w:rFonts w:ascii="宋体" w:hAnsi="宋体" w:cs="宋体" w:eastAsia="宋体" w:hint="default"/>
          <w:sz w:val="20"/>
          <w:szCs w:val="20"/>
        </w:rPr>
      </w:pPr>
      <w:r>
        <w:rPr>
          <w:rFonts w:ascii="宋体" w:hAnsi="宋体" w:cs="宋体" w:eastAsia="宋体" w:hint="default"/>
          <w:position w:val="-86"/>
          <w:sz w:val="20"/>
          <w:szCs w:val="20"/>
        </w:rPr>
        <w:drawing>
          <wp:inline distT="0" distB="0" distL="0" distR="0">
            <wp:extent cx="4591050" cy="2752725"/>
            <wp:effectExtent l="0" t="0" r="0" b="0"/>
            <wp:docPr id="17" name="image9.jpeg" descr=""/>
            <wp:cNvGraphicFramePr>
              <a:graphicFrameLocks noChangeAspect="1"/>
            </wp:cNvGraphicFramePr>
            <a:graphic>
              <a:graphicData uri="http://schemas.openxmlformats.org/drawingml/2006/picture">
                <pic:pic>
                  <pic:nvPicPr>
                    <pic:cNvPr id="18" name="image9.jpeg"/>
                    <pic:cNvPicPr/>
                  </pic:nvPicPr>
                  <pic:blipFill>
                    <a:blip r:embed="rId24" cstate="print"/>
                    <a:stretch>
                      <a:fillRect/>
                    </a:stretch>
                  </pic:blipFill>
                  <pic:spPr>
                    <a:xfrm>
                      <a:off x="0" y="0"/>
                      <a:ext cx="4591050" cy="2752725"/>
                    </a:xfrm>
                    <a:prstGeom prst="rect">
                      <a:avLst/>
                    </a:prstGeom>
                  </pic:spPr>
                </pic:pic>
              </a:graphicData>
            </a:graphic>
          </wp:inline>
        </w:drawing>
      </w:r>
      <w:r>
        <w:rPr>
          <w:rFonts w:ascii="宋体" w:hAnsi="宋体" w:cs="宋体" w:eastAsia="宋体" w:hint="default"/>
          <w:position w:val="-86"/>
          <w:sz w:val="20"/>
          <w:szCs w:val="20"/>
        </w:rPr>
      </w:r>
    </w:p>
    <w:p>
      <w:pPr>
        <w:spacing w:before="19"/>
        <w:ind w:left="152" w:right="1134"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0"/>
        <w:rPr>
          <w:rFonts w:ascii="宋体" w:hAnsi="宋体" w:cs="宋体" w:eastAsia="宋体" w:hint="default"/>
          <w:sz w:val="18"/>
          <w:szCs w:val="18"/>
        </w:rPr>
      </w:pPr>
    </w:p>
    <w:p>
      <w:pPr>
        <w:pStyle w:val="BodyText"/>
        <w:spacing w:line="240" w:lineRule="auto"/>
        <w:ind w:right="1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4"/>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4"/>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footerReference w:type="default" r:id="rId23"/>
          <w:pgSz w:w="11910" w:h="16840"/>
          <w:pgMar w:footer="979" w:header="745" w:top="1060" w:bottom="1160" w:left="980" w:right="980"/>
          <w:pgNumType w:start="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85" w:right="1134"/>
        <w:jc w:val="left"/>
        <w:rPr>
          <w:b w:val="0"/>
          <w:bCs w:val="0"/>
        </w:rPr>
      </w:pPr>
      <w:bookmarkStart w:name="_TOC_250004" w:id="7"/>
      <w:r>
        <w:rPr/>
        <w:t>第七节</w:t>
      </w:r>
      <w:r>
        <w:rPr>
          <w:spacing w:val="-6"/>
        </w:rPr>
        <w:t> </w:t>
      </w:r>
      <w:r>
        <w:rPr/>
        <w:t>优先股相关情况</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4"/>
        <w:ind w:right="7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9" w:right="1134"/>
        <w:jc w:val="left"/>
        <w:rPr>
          <w:b w:val="0"/>
          <w:bCs w:val="0"/>
        </w:rPr>
      </w:pPr>
      <w:bookmarkStart w:name="_TOC_250003" w:id="8"/>
      <w:r>
        <w:rPr/>
        <w:t>第八节</w:t>
      </w:r>
      <w:r>
        <w:rPr>
          <w:spacing w:val="-9"/>
        </w:rPr>
        <w:t> </w:t>
      </w:r>
      <w:r>
        <w:rPr/>
        <w:t>董事、监事、高级管理人员和员工情况</w:t>
      </w:r>
      <w:bookmarkEnd w:id="8"/>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4"/>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102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4" w:firstLine="9"/>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耿殿根</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侯焰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1,131,500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袁丁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1,006,500</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曹毅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郑善伟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王淑芳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税军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宋健尔</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侯成训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郭莉莉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675" w:hRule="exact"/>
        </w:trPr>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庞宝光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152,000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汝书伟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151,800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李超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892,000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1,116,500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王军辉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杨宇航</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杨宇航</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高宏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董事会秘 书兼副总 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1,131,400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陈浩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11,897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1,152,413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1,443,516</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齐顺杰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张利军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耿岩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1,300,000</w:t>
            </w:r>
          </w:p>
        </w:tc>
      </w:tr>
      <w:tr>
        <w:trPr>
          <w:trHeight w:val="403"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238,897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5,924,413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7,433,216</w:t>
            </w:r>
          </w:p>
        </w:tc>
      </w:tr>
    </w:tbl>
    <w:p>
      <w:pPr>
        <w:spacing w:line="240" w:lineRule="auto" w:before="1"/>
        <w:rPr>
          <w:rFonts w:ascii="宋体" w:hAnsi="宋体" w:cs="宋体" w:eastAsia="宋体" w:hint="default"/>
          <w:b/>
          <w:bCs/>
          <w:sz w:val="18"/>
          <w:szCs w:val="18"/>
        </w:rPr>
      </w:pPr>
    </w:p>
    <w:p>
      <w:pPr>
        <w:pStyle w:val="Heading2"/>
        <w:spacing w:line="240" w:lineRule="auto" w:before="26"/>
        <w:ind w:right="1134"/>
        <w:jc w:val="left"/>
        <w:rPr>
          <w:b w:val="0"/>
          <w:bCs w:val="0"/>
        </w:rPr>
      </w:pPr>
      <w:r>
        <w:rPr/>
        <w:t>二、公司董事、监事、高级管理人员变动情况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34"/>
        <w:jc w:val="left"/>
      </w:pPr>
      <w:r>
        <w:rPr/>
        <w:t>报告期内，公司董事、监事、高级管理人员未发生变动情况。</w:t>
      </w:r>
    </w:p>
    <w:p>
      <w:pPr>
        <w:pStyle w:val="BodyText"/>
        <w:spacing w:line="240" w:lineRule="auto" w:before="117"/>
        <w:ind w:left="513" w:right="0"/>
        <w:jc w:val="left"/>
      </w:pP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日公司召开了</w:t>
      </w:r>
      <w:r>
        <w:rPr>
          <w:spacing w:val="-45"/>
        </w:rPr>
        <w:t> </w:t>
      </w:r>
      <w:r>
        <w:rPr>
          <w:rFonts w:ascii="Times New Roman" w:hAnsi="Times New Roman" w:cs="Times New Roman" w:eastAsia="Times New Roman" w:hint="default"/>
          <w:spacing w:val="-2"/>
        </w:rPr>
        <w:t>20</w:t>
      </w:r>
      <w:r>
        <w:rPr>
          <w:rFonts w:ascii="Times New Roman" w:hAnsi="Times New Roman" w:cs="Times New Roman" w:eastAsia="Times New Roman" w:hint="default"/>
          <w:spacing w:val="1"/>
        </w:rPr>
        <w:t>1</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年职工代表大会审议通过</w:t>
      </w:r>
      <w:r>
        <w:rPr>
          <w:spacing w:val="-3"/>
        </w:rPr>
        <w:t>了</w:t>
      </w:r>
      <w:r>
        <w:rPr/>
        <w:t>《关于选举第三届监事会职工代表监事的议案</w:t>
      </w:r>
      <w:r>
        <w:rPr>
          <w:spacing w:val="-92"/>
        </w:rPr>
        <w:t>》</w:t>
      </w:r>
      <w:r>
        <w:rPr>
          <w:spacing w:val="1"/>
        </w:rPr>
        <w:t>；</w:t>
      </w:r>
      <w:r>
        <w:rPr>
          <w:rFonts w:ascii="Times New Roman" w:hAnsi="Times New Roman" w:cs="Times New Roman" w:eastAsia="Times New Roman" w:hint="default"/>
          <w:spacing w:val="1"/>
        </w:rPr>
        <w:t>201</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年</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312" w:lineRule="auto" w:before="44"/>
        <w:ind w:right="9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22</w:t>
      </w:r>
      <w:r>
        <w:rPr>
          <w:rFonts w:ascii="Times New Roman" w:hAnsi="Times New Roman" w:cs="Times New Roman" w:eastAsia="Times New Roman" w:hint="default"/>
          <w:spacing w:val="-4"/>
        </w:rPr>
        <w:t> </w:t>
      </w:r>
      <w:r>
        <w:rPr/>
        <w:t>日公司</w:t>
      </w:r>
      <w:r>
        <w:rPr>
          <w:spacing w:val="-52"/>
        </w:rPr>
        <w:t> </w:t>
      </w: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年第一次临时股东大会、第三届董事会</w:t>
      </w:r>
      <w:r>
        <w:rPr>
          <w:spacing w:val="-49"/>
        </w:rPr>
        <w:t> </w:t>
      </w: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年第一次会议、第三届监事会</w:t>
      </w:r>
      <w:r>
        <w:rPr>
          <w:spacing w:val="-49"/>
        </w:rPr>
        <w:t> </w:t>
      </w: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年第一次会议，审议通 过了公司董事会、监事会换届选举、聘任高级管理人员等相关议案。根据上述会议决议原非独立董事侯焰女士、曹毅先生、</w:t>
      </w:r>
      <w:r>
        <w:rPr>
          <w:spacing w:val="-83"/>
        </w:rPr>
        <w:t> </w:t>
      </w:r>
      <w:r>
        <w:rPr>
          <w:spacing w:val="-83"/>
        </w:rPr>
      </w:r>
      <w:r>
        <w:rPr>
          <w:spacing w:val="-2"/>
        </w:rPr>
        <w:t>独立董事韩旭先生、税军先生、王淑芳女士将不再担任公司第三届董事会及专门委员会相关职务，侯焰女士仍担任公司副总</w:t>
      </w:r>
      <w:r>
        <w:rPr>
          <w:spacing w:val="-63"/>
        </w:rPr>
        <w:t> </w:t>
      </w:r>
      <w:r>
        <w:rPr>
          <w:spacing w:val="-63"/>
        </w:rPr>
      </w:r>
      <w:r>
        <w:rPr/>
        <w:t>裁职务；原监事汝书伟先生不再担任公司第三届监事会相关职务，但仍继续在公司任职。</w:t>
      </w:r>
    </w:p>
    <w:p>
      <w:pPr>
        <w:pStyle w:val="BodyText"/>
        <w:spacing w:line="316" w:lineRule="auto" w:before="63"/>
        <w:ind w:right="194" w:firstLine="360"/>
        <w:jc w:val="both"/>
      </w:pPr>
      <w:r>
        <w:rPr>
          <w:spacing w:val="-5"/>
        </w:rPr>
        <w:t>公司第三届董事会由董事长耿殿根先生，董事杨宇航先生、袁丁女士、郑善伟先生，独立董事宋健尔先生、侯成训先生、</w:t>
      </w:r>
      <w:r>
        <w:rPr/>
        <w:t> 郭莉莉女士</w:t>
      </w:r>
      <w:r>
        <w:rPr>
          <w:spacing w:val="-4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名董事组成。</w:t>
      </w:r>
    </w:p>
    <w:p>
      <w:pPr>
        <w:pStyle w:val="BodyText"/>
        <w:spacing w:line="240" w:lineRule="auto" w:before="37"/>
        <w:ind w:left="513" w:right="106"/>
        <w:jc w:val="left"/>
      </w:pPr>
      <w:r>
        <w:rPr/>
        <w:t>公司第三届监事会由庞宝光女士、李超女士、王军辉先生</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名监事组成。</w:t>
      </w:r>
    </w:p>
    <w:p>
      <w:pPr>
        <w:spacing w:line="240" w:lineRule="auto" w:before="3"/>
        <w:rPr>
          <w:rFonts w:ascii="宋体" w:hAnsi="宋体" w:cs="宋体" w:eastAsia="宋体" w:hint="default"/>
          <w:sz w:val="24"/>
          <w:szCs w:val="24"/>
        </w:rPr>
      </w:pPr>
    </w:p>
    <w:p>
      <w:pPr>
        <w:pStyle w:val="Heading2"/>
        <w:spacing w:line="240" w:lineRule="auto"/>
        <w:ind w:right="106"/>
        <w:jc w:val="left"/>
        <w:rPr>
          <w:b w:val="0"/>
          <w:bCs w:val="0"/>
        </w:rPr>
      </w:pPr>
      <w:r>
        <w:rPr/>
        <w:t>三、任职情况</w:t>
      </w:r>
      <w:r>
        <w:rPr>
          <w:b w:val="0"/>
          <w:bCs w:val="0"/>
        </w:rPr>
      </w:r>
    </w:p>
    <w:p>
      <w:pPr>
        <w:spacing w:line="240" w:lineRule="auto" w:before="6"/>
        <w:rPr>
          <w:rFonts w:ascii="宋体" w:hAnsi="宋体" w:cs="宋体" w:eastAsia="宋体" w:hint="default"/>
          <w:b/>
          <w:bCs/>
          <w:sz w:val="26"/>
          <w:szCs w:val="26"/>
        </w:rPr>
      </w:pPr>
    </w:p>
    <w:p>
      <w:pPr>
        <w:spacing w:line="480" w:lineRule="auto" w:before="0"/>
        <w:ind w:left="513" w:right="2794" w:hanging="361"/>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 </w:t>
      </w:r>
      <w:r>
        <w:rPr>
          <w:rFonts w:ascii="宋体" w:hAnsi="宋体" w:cs="宋体" w:eastAsia="宋体" w:hint="default"/>
          <w:b/>
          <w:bCs/>
          <w:sz w:val="18"/>
          <w:szCs w:val="18"/>
        </w:rPr>
        <w:t>1</w:t>
      </w:r>
      <w:r>
        <w:rPr>
          <w:rFonts w:ascii="宋体" w:hAnsi="宋体" w:cs="宋体" w:eastAsia="宋体" w:hint="default"/>
          <w:b/>
          <w:bCs/>
          <w:sz w:val="18"/>
          <w:szCs w:val="18"/>
        </w:rPr>
        <w:t>、公司现任董事任职情况</w:t>
      </w:r>
      <w:r>
        <w:rPr>
          <w:rFonts w:ascii="宋体" w:hAnsi="宋体" w:cs="宋体" w:eastAsia="宋体" w:hint="default"/>
          <w:sz w:val="18"/>
          <w:szCs w:val="18"/>
        </w:rPr>
      </w:r>
    </w:p>
    <w:p>
      <w:pPr>
        <w:pStyle w:val="BodyText"/>
        <w:spacing w:line="316" w:lineRule="auto" w:before="50"/>
        <w:ind w:right="193" w:firstLine="360"/>
        <w:jc w:val="both"/>
      </w:pPr>
      <w:r>
        <w:rPr>
          <w:spacing w:val="-2"/>
        </w:rPr>
        <w:t>耿殿根先生，中国国籍，无永久境外居留权，</w:t>
      </w:r>
      <w:r>
        <w:rPr>
          <w:rFonts w:ascii="宋体" w:hAnsi="宋体" w:cs="宋体" w:eastAsia="宋体" w:hint="default"/>
          <w:spacing w:val="-2"/>
        </w:rPr>
        <w:t>1956</w:t>
      </w:r>
      <w:r>
        <w:rPr>
          <w:spacing w:val="-2"/>
        </w:rPr>
        <w:t>年出生，汉族，中共党员，毕业于美国德克萨斯阿灵顿商学院，硕士</w:t>
      </w:r>
      <w:r>
        <w:rPr/>
        <w:t> </w:t>
      </w:r>
      <w:r>
        <w:rPr>
          <w:spacing w:val="-2"/>
        </w:rPr>
        <w:t>学历。</w:t>
      </w:r>
      <w:r>
        <w:rPr>
          <w:rFonts w:ascii="宋体" w:hAnsi="宋体" w:cs="宋体" w:eastAsia="宋体" w:hint="default"/>
          <w:spacing w:val="-2"/>
        </w:rPr>
        <w:t>1980</w:t>
      </w:r>
      <w:r>
        <w:rPr>
          <w:spacing w:val="-2"/>
        </w:rPr>
        <w:t>年</w:t>
      </w:r>
      <w:r>
        <w:rPr>
          <w:rFonts w:ascii="宋体" w:hAnsi="宋体" w:cs="宋体" w:eastAsia="宋体" w:hint="default"/>
          <w:spacing w:val="-2"/>
        </w:rPr>
        <w:t>3</w:t>
      </w:r>
      <w:r>
        <w:rPr>
          <w:spacing w:val="-2"/>
        </w:rPr>
        <w:t>月至</w:t>
      </w:r>
      <w:r>
        <w:rPr>
          <w:rFonts w:ascii="宋体" w:hAnsi="宋体" w:cs="宋体" w:eastAsia="宋体" w:hint="default"/>
          <w:spacing w:val="-2"/>
        </w:rPr>
        <w:t>1987</w:t>
      </w:r>
      <w:r>
        <w:rPr>
          <w:spacing w:val="-2"/>
        </w:rPr>
        <w:t>年</w:t>
      </w:r>
      <w:r>
        <w:rPr>
          <w:rFonts w:ascii="宋体" w:hAnsi="宋体" w:cs="宋体" w:eastAsia="宋体" w:hint="default"/>
          <w:spacing w:val="-2"/>
        </w:rPr>
        <w:t>11</w:t>
      </w:r>
      <w:r>
        <w:rPr>
          <w:spacing w:val="-2"/>
        </w:rPr>
        <w:t>月在北京工艺品进出口公司担任业务员；</w:t>
      </w:r>
      <w:r>
        <w:rPr>
          <w:rFonts w:ascii="宋体" w:hAnsi="宋体" w:cs="宋体" w:eastAsia="宋体" w:hint="default"/>
          <w:spacing w:val="-2"/>
        </w:rPr>
        <w:t>1987</w:t>
      </w:r>
      <w:r>
        <w:rPr>
          <w:spacing w:val="-2"/>
        </w:rPr>
        <w:t>年</w:t>
      </w:r>
      <w:r>
        <w:rPr>
          <w:rFonts w:ascii="宋体" w:hAnsi="宋体" w:cs="宋体" w:eastAsia="宋体" w:hint="default"/>
          <w:spacing w:val="-2"/>
        </w:rPr>
        <w:t>12</w:t>
      </w:r>
      <w:r>
        <w:rPr>
          <w:spacing w:val="-2"/>
        </w:rPr>
        <w:t>月至</w:t>
      </w:r>
      <w:r>
        <w:rPr>
          <w:rFonts w:ascii="宋体" w:hAnsi="宋体" w:cs="宋体" w:eastAsia="宋体" w:hint="default"/>
          <w:spacing w:val="-2"/>
        </w:rPr>
        <w:t>1991</w:t>
      </w:r>
      <w:r>
        <w:rPr>
          <w:spacing w:val="-2"/>
        </w:rPr>
        <w:t>年</w:t>
      </w:r>
      <w:r>
        <w:rPr>
          <w:rFonts w:ascii="宋体" w:hAnsi="宋体" w:cs="宋体" w:eastAsia="宋体" w:hint="default"/>
          <w:spacing w:val="-2"/>
        </w:rPr>
        <w:t>1</w:t>
      </w:r>
      <w:r>
        <w:rPr>
          <w:spacing w:val="-2"/>
        </w:rPr>
        <w:t>月任北京京美电子技术有限公司</w:t>
      </w:r>
      <w:r>
        <w:rPr>
          <w:spacing w:val="-55"/>
        </w:rPr>
        <w:t> </w:t>
      </w:r>
      <w:r>
        <w:rPr/>
        <w:t>业务经理；</w:t>
      </w:r>
      <w:r>
        <w:rPr>
          <w:rFonts w:ascii="宋体" w:hAnsi="宋体" w:cs="宋体" w:eastAsia="宋体" w:hint="default"/>
        </w:rPr>
        <w:t>1991</w:t>
      </w:r>
      <w:r>
        <w:rPr/>
        <w:t>年至</w:t>
      </w:r>
      <w:r>
        <w:rPr>
          <w:rFonts w:ascii="宋体" w:hAnsi="宋体" w:cs="宋体" w:eastAsia="宋体" w:hint="default"/>
        </w:rPr>
        <w:t>1995</w:t>
      </w:r>
      <w:r>
        <w:rPr/>
        <w:t>年在北京华电通信公司担任经理；</w:t>
      </w:r>
      <w:r>
        <w:rPr>
          <w:rFonts w:ascii="宋体" w:hAnsi="宋体" w:cs="宋体" w:eastAsia="宋体" w:hint="default"/>
        </w:rPr>
        <w:t>1995</w:t>
      </w:r>
      <w:r>
        <w:rPr/>
        <w:t>年至</w:t>
      </w:r>
      <w:r>
        <w:rPr>
          <w:rFonts w:ascii="宋体" w:hAnsi="宋体" w:cs="宋体" w:eastAsia="宋体" w:hint="default"/>
        </w:rPr>
        <w:t>1998</w:t>
      </w:r>
      <w:r>
        <w:rPr/>
        <w:t>年任光环集团网络通信部经理；</w:t>
      </w:r>
      <w:r>
        <w:rPr>
          <w:rFonts w:ascii="宋体" w:hAnsi="宋体" w:cs="宋体" w:eastAsia="宋体" w:hint="default"/>
        </w:rPr>
        <w:t>2002</w:t>
      </w:r>
      <w:r>
        <w:rPr/>
        <w:t>年</w:t>
      </w:r>
      <w:r>
        <w:rPr>
          <w:rFonts w:ascii="宋体" w:hAnsi="宋体" w:cs="宋体" w:eastAsia="宋体" w:hint="default"/>
        </w:rPr>
        <w:t>8</w:t>
      </w:r>
      <w:r>
        <w:rPr/>
        <w:t>月</w:t>
      </w:r>
      <w:r>
        <w:rPr>
          <w:rFonts w:ascii="宋体" w:hAnsi="宋体" w:cs="宋体" w:eastAsia="宋体" w:hint="default"/>
        </w:rPr>
        <w:t>19</w:t>
      </w:r>
      <w:r>
        <w:rPr/>
        <w:t>日至 </w:t>
      </w:r>
      <w:r>
        <w:rPr>
          <w:rFonts w:ascii="宋体" w:hAnsi="宋体" w:cs="宋体" w:eastAsia="宋体" w:hint="default"/>
        </w:rPr>
        <w:t>2010</w:t>
      </w:r>
      <w:r>
        <w:rPr/>
        <w:t>年</w:t>
      </w:r>
      <w:r>
        <w:rPr>
          <w:rFonts w:ascii="宋体" w:hAnsi="宋体" w:cs="宋体" w:eastAsia="宋体" w:hint="default"/>
        </w:rPr>
        <w:t>3</w:t>
      </w:r>
      <w:r>
        <w:rPr/>
        <w:t>月</w:t>
      </w:r>
      <w:r>
        <w:rPr>
          <w:rFonts w:ascii="宋体" w:hAnsi="宋体" w:cs="宋体" w:eastAsia="宋体" w:hint="default"/>
        </w:rPr>
        <w:t>12</w:t>
      </w:r>
      <w:r>
        <w:rPr/>
        <w:t>日担任百汇达执行董事兼总经理，</w:t>
      </w:r>
      <w:r>
        <w:rPr>
          <w:rFonts w:ascii="宋体" w:hAnsi="宋体" w:cs="宋体" w:eastAsia="宋体" w:hint="default"/>
        </w:rPr>
        <w:t>2010</w:t>
      </w:r>
      <w:r>
        <w:rPr/>
        <w:t>年</w:t>
      </w:r>
      <w:r>
        <w:rPr>
          <w:rFonts w:ascii="宋体" w:hAnsi="宋体" w:cs="宋体" w:eastAsia="宋体" w:hint="default"/>
        </w:rPr>
        <w:t>3</w:t>
      </w:r>
      <w:r>
        <w:rPr/>
        <w:t>月</w:t>
      </w:r>
      <w:r>
        <w:rPr>
          <w:rFonts w:ascii="宋体" w:hAnsi="宋体" w:cs="宋体" w:eastAsia="宋体" w:hint="default"/>
        </w:rPr>
        <w:t>12</w:t>
      </w:r>
      <w:r>
        <w:rPr/>
        <w:t>日辞去百汇达总经理职务，</w:t>
      </w:r>
      <w:r>
        <w:rPr>
          <w:rFonts w:ascii="宋体" w:hAnsi="宋体" w:cs="宋体" w:eastAsia="宋体" w:hint="default"/>
        </w:rPr>
        <w:t>2011</w:t>
      </w:r>
      <w:r>
        <w:rPr/>
        <w:t>年</w:t>
      </w:r>
      <w:r>
        <w:rPr>
          <w:rFonts w:ascii="宋体" w:hAnsi="宋体" w:cs="宋体" w:eastAsia="宋体" w:hint="default"/>
        </w:rPr>
        <w:t>7</w:t>
      </w:r>
      <w:r>
        <w:rPr/>
        <w:t>月</w:t>
      </w:r>
      <w:r>
        <w:rPr>
          <w:rFonts w:ascii="宋体" w:hAnsi="宋体" w:cs="宋体" w:eastAsia="宋体" w:hint="default"/>
        </w:rPr>
        <w:t>30</w:t>
      </w:r>
      <w:r>
        <w:rPr/>
        <w:t>日起不再担任百汇达执 行董事职务；自</w:t>
      </w:r>
      <w:r>
        <w:rPr>
          <w:rFonts w:ascii="宋体" w:hAnsi="宋体" w:cs="宋体" w:eastAsia="宋体" w:hint="default"/>
        </w:rPr>
        <w:t>1999</w:t>
      </w:r>
      <w:r>
        <w:rPr/>
        <w:t>年创立光环新网并担任董事长兼总经理，</w:t>
      </w:r>
      <w:r>
        <w:rPr>
          <w:rFonts w:ascii="宋体" w:hAnsi="宋体" w:cs="宋体" w:eastAsia="宋体" w:hint="default"/>
        </w:rPr>
        <w:t>2014</w:t>
      </w:r>
      <w:r>
        <w:rPr/>
        <w:t>年</w:t>
      </w:r>
      <w:r>
        <w:rPr>
          <w:rFonts w:ascii="宋体" w:hAnsi="宋体" w:cs="宋体" w:eastAsia="宋体" w:hint="default"/>
        </w:rPr>
        <w:t>3</w:t>
      </w:r>
      <w:r>
        <w:rPr/>
        <w:t>月</w:t>
      </w:r>
      <w:r>
        <w:rPr>
          <w:rFonts w:ascii="宋体" w:hAnsi="宋体" w:cs="宋体" w:eastAsia="宋体" w:hint="default"/>
        </w:rPr>
        <w:t>18</w:t>
      </w:r>
      <w:r>
        <w:rPr/>
        <w:t>日辞去总经理职务，现任公司董事长，负责公司 治理和战略规划等方面工作。</w:t>
      </w:r>
    </w:p>
    <w:p>
      <w:pPr>
        <w:spacing w:line="240" w:lineRule="auto" w:before="5"/>
        <w:rPr>
          <w:rFonts w:ascii="宋体" w:hAnsi="宋体" w:cs="宋体" w:eastAsia="宋体" w:hint="default"/>
          <w:sz w:val="13"/>
          <w:szCs w:val="13"/>
        </w:rPr>
      </w:pPr>
    </w:p>
    <w:p>
      <w:pPr>
        <w:pStyle w:val="BodyText"/>
        <w:spacing w:line="316" w:lineRule="auto"/>
        <w:ind w:right="184" w:firstLine="360"/>
        <w:jc w:val="left"/>
      </w:pPr>
      <w:r>
        <w:rPr>
          <w:spacing w:val="-3"/>
        </w:rPr>
        <w:t>杨宇航先生，中国国籍，无永久境外居留权，</w:t>
      </w:r>
      <w:r>
        <w:rPr>
          <w:rFonts w:ascii="宋体" w:hAnsi="宋体" w:cs="宋体" w:eastAsia="宋体" w:hint="default"/>
          <w:spacing w:val="-3"/>
        </w:rPr>
        <w:t>1962</w:t>
      </w:r>
      <w:r>
        <w:rPr>
          <w:spacing w:val="-3"/>
        </w:rPr>
        <w:t>年出生，汉族，毕业于英国</w:t>
      </w:r>
      <w:r>
        <w:rPr>
          <w:rFonts w:ascii="宋体" w:hAnsi="宋体" w:cs="宋体" w:eastAsia="宋体" w:hint="default"/>
          <w:spacing w:val="-3"/>
        </w:rPr>
        <w:t>ASTON</w:t>
      </w:r>
      <w:r>
        <w:rPr>
          <w:spacing w:val="-3"/>
        </w:rPr>
        <w:t>大学，硕士学历。</w:t>
      </w:r>
      <w:r>
        <w:rPr>
          <w:rFonts w:ascii="宋体" w:hAnsi="宋体" w:cs="宋体" w:eastAsia="宋体" w:hint="default"/>
          <w:spacing w:val="-3"/>
        </w:rPr>
        <w:t>1991</w:t>
      </w:r>
      <w:r>
        <w:rPr>
          <w:spacing w:val="-3"/>
        </w:rPr>
        <w:t>年</w:t>
      </w:r>
      <w:r>
        <w:rPr>
          <w:rFonts w:ascii="宋体" w:hAnsi="宋体" w:cs="宋体" w:eastAsia="宋体" w:hint="default"/>
          <w:spacing w:val="-3"/>
        </w:rPr>
        <w:t>10</w:t>
      </w:r>
      <w:r>
        <w:rPr>
          <w:spacing w:val="-3"/>
        </w:rPr>
        <w:t>月至</w:t>
      </w:r>
      <w:r>
        <w:rPr>
          <w:rFonts w:ascii="宋体" w:hAnsi="宋体" w:cs="宋体" w:eastAsia="宋体" w:hint="default"/>
          <w:spacing w:val="-3"/>
        </w:rPr>
        <w:t>2009</w:t>
      </w:r>
      <w:r>
        <w:rPr>
          <w:rFonts w:ascii="宋体" w:hAnsi="宋体" w:cs="宋体" w:eastAsia="宋体" w:hint="default"/>
        </w:rPr>
        <w:t> </w:t>
      </w:r>
      <w:r>
        <w:rPr>
          <w:spacing w:val="-2"/>
        </w:rPr>
        <w:t>年</w:t>
      </w:r>
      <w:r>
        <w:rPr>
          <w:rFonts w:ascii="宋体" w:hAnsi="宋体" w:cs="宋体" w:eastAsia="宋体" w:hint="default"/>
          <w:spacing w:val="-2"/>
        </w:rPr>
        <w:t>12</w:t>
      </w:r>
      <w:r>
        <w:rPr>
          <w:spacing w:val="-2"/>
        </w:rPr>
        <w:t>月在上海交通大学任教授、博士生导师，期间曾担任校长助理、网络中心主任；</w:t>
      </w:r>
      <w:r>
        <w:rPr>
          <w:rFonts w:ascii="宋体" w:hAnsi="宋体" w:cs="宋体" w:eastAsia="宋体" w:hint="default"/>
          <w:spacing w:val="-2"/>
        </w:rPr>
        <w:t>2000</w:t>
      </w:r>
      <w:r>
        <w:rPr>
          <w:spacing w:val="-2"/>
        </w:rPr>
        <w:t>年</w:t>
      </w:r>
      <w:r>
        <w:rPr>
          <w:rFonts w:ascii="宋体" w:hAnsi="宋体" w:cs="宋体" w:eastAsia="宋体" w:hint="default"/>
          <w:spacing w:val="-2"/>
        </w:rPr>
        <w:t>1</w:t>
      </w:r>
      <w:r>
        <w:rPr>
          <w:spacing w:val="-2"/>
        </w:rPr>
        <w:t>月至</w:t>
      </w:r>
      <w:r>
        <w:rPr>
          <w:rFonts w:ascii="宋体" w:hAnsi="宋体" w:cs="宋体" w:eastAsia="宋体" w:hint="default"/>
          <w:spacing w:val="-2"/>
        </w:rPr>
        <w:t>2002</w:t>
      </w:r>
      <w:r>
        <w:rPr>
          <w:spacing w:val="-2"/>
        </w:rPr>
        <w:t>年</w:t>
      </w:r>
      <w:r>
        <w:rPr>
          <w:rFonts w:ascii="宋体" w:hAnsi="宋体" w:cs="宋体" w:eastAsia="宋体" w:hint="default"/>
          <w:spacing w:val="-2"/>
        </w:rPr>
        <w:t>6</w:t>
      </w:r>
      <w:r>
        <w:rPr>
          <w:spacing w:val="-2"/>
        </w:rPr>
        <w:t>月任长城宽带网络</w:t>
      </w:r>
      <w:r>
        <w:rPr>
          <w:spacing w:val="-57"/>
        </w:rPr>
        <w:t> </w:t>
      </w:r>
      <w:r>
        <w:rPr>
          <w:spacing w:val="-57"/>
        </w:rPr>
      </w:r>
      <w:r>
        <w:rPr>
          <w:spacing w:val="-2"/>
        </w:rPr>
        <w:t>服务有限公司总经理；</w:t>
      </w:r>
      <w:r>
        <w:rPr>
          <w:rFonts w:ascii="宋体" w:hAnsi="宋体" w:cs="宋体" w:eastAsia="宋体" w:hint="default"/>
          <w:spacing w:val="-2"/>
        </w:rPr>
        <w:t>2002</w:t>
      </w:r>
      <w:r>
        <w:rPr>
          <w:spacing w:val="-2"/>
        </w:rPr>
        <w:t>年</w:t>
      </w:r>
      <w:r>
        <w:rPr>
          <w:rFonts w:ascii="宋体" w:hAnsi="宋体" w:cs="宋体" w:eastAsia="宋体" w:hint="default"/>
          <w:spacing w:val="-2"/>
        </w:rPr>
        <w:t>8</w:t>
      </w:r>
      <w:r>
        <w:rPr>
          <w:spacing w:val="-2"/>
        </w:rPr>
        <w:t>月至</w:t>
      </w:r>
      <w:r>
        <w:rPr>
          <w:rFonts w:ascii="宋体" w:hAnsi="宋体" w:cs="宋体" w:eastAsia="宋体" w:hint="default"/>
          <w:spacing w:val="-2"/>
        </w:rPr>
        <w:t>2004</w:t>
      </w:r>
      <w:r>
        <w:rPr>
          <w:spacing w:val="-2"/>
        </w:rPr>
        <w:t>年</w:t>
      </w:r>
      <w:r>
        <w:rPr>
          <w:rFonts w:ascii="宋体" w:hAnsi="宋体" w:cs="宋体" w:eastAsia="宋体" w:hint="default"/>
          <w:spacing w:val="-2"/>
        </w:rPr>
        <w:t>1</w:t>
      </w:r>
      <w:r>
        <w:rPr>
          <w:spacing w:val="-2"/>
        </w:rPr>
        <w:t>月任中国网络通信有限公司副总裁；</w:t>
      </w:r>
      <w:r>
        <w:rPr>
          <w:rFonts w:ascii="宋体" w:hAnsi="宋体" w:cs="宋体" w:eastAsia="宋体" w:hint="default"/>
          <w:spacing w:val="-2"/>
        </w:rPr>
        <w:t>2004</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2004</w:t>
      </w:r>
      <w:r>
        <w:rPr>
          <w:spacing w:val="-2"/>
        </w:rPr>
        <w:t>年</w:t>
      </w:r>
      <w:r>
        <w:rPr>
          <w:rFonts w:ascii="宋体" w:hAnsi="宋体" w:cs="宋体" w:eastAsia="宋体" w:hint="default"/>
          <w:spacing w:val="-2"/>
        </w:rPr>
        <w:t>8</w:t>
      </w:r>
      <w:r>
        <w:rPr>
          <w:spacing w:val="-2"/>
        </w:rPr>
        <w:t>月任中国网通集团南方通</w:t>
      </w:r>
      <w:r>
        <w:rPr>
          <w:spacing w:val="-51"/>
        </w:rPr>
        <w:t> </w:t>
      </w:r>
      <w:r>
        <w:rPr/>
        <w:t>信公司副总裁；</w:t>
      </w:r>
      <w:r>
        <w:rPr>
          <w:rFonts w:ascii="宋体" w:hAnsi="宋体" w:cs="宋体" w:eastAsia="宋体" w:hint="default"/>
        </w:rPr>
        <w:t>2004</w:t>
      </w:r>
      <w:r>
        <w:rPr/>
        <w:t>年</w:t>
      </w:r>
      <w:r>
        <w:rPr>
          <w:rFonts w:ascii="宋体" w:hAnsi="宋体" w:cs="宋体" w:eastAsia="宋体" w:hint="default"/>
        </w:rPr>
        <w:t>10</w:t>
      </w:r>
      <w:r>
        <w:rPr/>
        <w:t>月至</w:t>
      </w:r>
      <w:r>
        <w:rPr>
          <w:rFonts w:ascii="宋体" w:hAnsi="宋体" w:cs="宋体" w:eastAsia="宋体" w:hint="default"/>
        </w:rPr>
        <w:t>2006</w:t>
      </w:r>
      <w:r>
        <w:rPr/>
        <w:t>年</w:t>
      </w:r>
      <w:r>
        <w:rPr>
          <w:rFonts w:ascii="宋体" w:hAnsi="宋体" w:cs="宋体" w:eastAsia="宋体" w:hint="default"/>
        </w:rPr>
        <w:t>10</w:t>
      </w:r>
      <w:r>
        <w:rPr/>
        <w:t>月任中录国际文化传播有限公司总裁；</w:t>
      </w:r>
      <w:r>
        <w:rPr>
          <w:rFonts w:ascii="宋体" w:hAnsi="宋体" w:cs="宋体" w:eastAsia="宋体" w:hint="default"/>
        </w:rPr>
        <w:t>2009</w:t>
      </w:r>
      <w:r>
        <w:rPr/>
        <w:t>年</w:t>
      </w:r>
      <w:r>
        <w:rPr>
          <w:rFonts w:ascii="宋体" w:hAnsi="宋体" w:cs="宋体" w:eastAsia="宋体" w:hint="default"/>
        </w:rPr>
        <w:t>12</w:t>
      </w:r>
      <w:r>
        <w:rPr/>
        <w:t>月至</w:t>
      </w:r>
      <w:r>
        <w:rPr>
          <w:rFonts w:ascii="宋体" w:hAnsi="宋体" w:cs="宋体" w:eastAsia="宋体" w:hint="default"/>
        </w:rPr>
        <w:t>2012</w:t>
      </w:r>
      <w:r>
        <w:rPr/>
        <w:t>年</w:t>
      </w:r>
      <w:r>
        <w:rPr>
          <w:rFonts w:ascii="宋体" w:hAnsi="宋体" w:cs="宋体" w:eastAsia="宋体" w:hint="default"/>
        </w:rPr>
        <w:t>3</w:t>
      </w:r>
      <w:r>
        <w:rPr/>
        <w:t>月任航天数字传媒有限 公司副总经理；</w:t>
      </w:r>
      <w:r>
        <w:rPr>
          <w:rFonts w:ascii="宋体" w:hAnsi="宋体" w:cs="宋体" w:eastAsia="宋体" w:hint="default"/>
        </w:rPr>
        <w:t>2006</w:t>
      </w:r>
      <w:r>
        <w:rPr/>
        <w:t>年</w:t>
      </w:r>
      <w:r>
        <w:rPr>
          <w:rFonts w:ascii="宋体" w:hAnsi="宋体" w:cs="宋体" w:eastAsia="宋体" w:hint="default"/>
        </w:rPr>
        <w:t>11</w:t>
      </w:r>
      <w:r>
        <w:rPr/>
        <w:t>月至</w:t>
      </w:r>
      <w:r>
        <w:rPr>
          <w:rFonts w:ascii="宋体" w:hAnsi="宋体" w:cs="宋体" w:eastAsia="宋体" w:hint="default"/>
        </w:rPr>
        <w:t>2013</w:t>
      </w:r>
      <w:r>
        <w:rPr/>
        <w:t>年</w:t>
      </w:r>
      <w:r>
        <w:rPr>
          <w:rFonts w:ascii="宋体" w:hAnsi="宋体" w:cs="宋体" w:eastAsia="宋体" w:hint="default"/>
        </w:rPr>
        <w:t>2</w:t>
      </w:r>
      <w:r>
        <w:rPr/>
        <w:t>月任中卫普信宽带通信有限公司总经理；</w:t>
      </w:r>
      <w:r>
        <w:rPr>
          <w:rFonts w:ascii="宋体" w:hAnsi="宋体" w:cs="宋体" w:eastAsia="宋体" w:hint="default"/>
        </w:rPr>
        <w:t>2006</w:t>
      </w:r>
      <w:r>
        <w:rPr/>
        <w:t>年</w:t>
      </w:r>
      <w:r>
        <w:rPr>
          <w:rFonts w:ascii="宋体" w:hAnsi="宋体" w:cs="宋体" w:eastAsia="宋体" w:hint="default"/>
        </w:rPr>
        <w:t>11</w:t>
      </w:r>
      <w:r>
        <w:rPr/>
        <w:t>月至今任中卫普信董事。</w:t>
      </w:r>
      <w:r>
        <w:rPr>
          <w:rFonts w:ascii="宋体" w:hAnsi="宋体" w:cs="宋体" w:eastAsia="宋体" w:hint="default"/>
        </w:rPr>
        <w:t>2013</w:t>
      </w:r>
      <w:r>
        <w:rPr/>
        <w:t>年</w:t>
      </w:r>
      <w:r>
        <w:rPr>
          <w:rFonts w:ascii="宋体" w:hAnsi="宋体" w:cs="宋体" w:eastAsia="宋体" w:hint="default"/>
        </w:rPr>
        <w:t>3 </w:t>
      </w:r>
      <w:r>
        <w:rPr/>
        <w:t>月起担任公司常务副总经理，现任公司总裁，全面负责公司的经营管理工作。</w:t>
      </w:r>
      <w:r>
        <w:rPr>
          <w:rFonts w:ascii="宋体" w:hAnsi="宋体" w:cs="宋体" w:eastAsia="宋体" w:hint="default"/>
        </w:rPr>
        <w:t>2016</w:t>
      </w:r>
      <w:r>
        <w:rPr/>
        <w:t>年</w:t>
      </w:r>
      <w:r>
        <w:rPr>
          <w:rFonts w:ascii="宋体" w:hAnsi="宋体" w:cs="宋体" w:eastAsia="宋体" w:hint="default"/>
        </w:rPr>
        <w:t>1</w:t>
      </w:r>
      <w:r>
        <w:rPr/>
        <w:t>月起担任公司董事，任期三年。</w:t>
      </w:r>
    </w:p>
    <w:p>
      <w:pPr>
        <w:spacing w:line="240" w:lineRule="auto" w:before="5"/>
        <w:rPr>
          <w:rFonts w:ascii="宋体" w:hAnsi="宋体" w:cs="宋体" w:eastAsia="宋体" w:hint="default"/>
          <w:sz w:val="13"/>
          <w:szCs w:val="13"/>
        </w:rPr>
      </w:pPr>
    </w:p>
    <w:p>
      <w:pPr>
        <w:pStyle w:val="BodyText"/>
        <w:spacing w:line="316" w:lineRule="auto"/>
        <w:ind w:right="189" w:firstLine="360"/>
        <w:jc w:val="both"/>
      </w:pPr>
      <w:r>
        <w:rPr>
          <w:spacing w:val="-2"/>
        </w:rPr>
        <w:t>袁丁女士，中国国籍，无永久境外居留权，</w:t>
      </w:r>
      <w:r>
        <w:rPr>
          <w:rFonts w:ascii="宋体" w:hAnsi="宋体" w:cs="宋体" w:eastAsia="宋体" w:hint="default"/>
          <w:spacing w:val="-2"/>
        </w:rPr>
        <w:t>1975</w:t>
      </w:r>
      <w:r>
        <w:rPr>
          <w:spacing w:val="-2"/>
        </w:rPr>
        <w:t>年出生，汉族，中共党员，毕业于北京航空航天大学，本科学历，经济</w:t>
      </w:r>
      <w:r>
        <w:rPr/>
        <w:t> 师，人力资源管理师。</w:t>
      </w:r>
      <w:r>
        <w:rPr>
          <w:rFonts w:ascii="宋体" w:hAnsi="宋体" w:cs="宋体" w:eastAsia="宋体" w:hint="default"/>
        </w:rPr>
        <w:t>1997</w:t>
      </w:r>
      <w:r>
        <w:rPr/>
        <w:t>年</w:t>
      </w:r>
      <w:r>
        <w:rPr>
          <w:rFonts w:ascii="宋体" w:hAnsi="宋体" w:cs="宋体" w:eastAsia="宋体" w:hint="default"/>
        </w:rPr>
        <w:t>7</w:t>
      </w:r>
      <w:r>
        <w:rPr/>
        <w:t>月至</w:t>
      </w:r>
      <w:r>
        <w:rPr>
          <w:rFonts w:ascii="宋体" w:hAnsi="宋体" w:cs="宋体" w:eastAsia="宋体" w:hint="default"/>
        </w:rPr>
        <w:t>1999</w:t>
      </w:r>
      <w:r>
        <w:rPr/>
        <w:t>年</w:t>
      </w:r>
      <w:r>
        <w:rPr>
          <w:rFonts w:ascii="宋体" w:hAnsi="宋体" w:cs="宋体" w:eastAsia="宋体" w:hint="default"/>
        </w:rPr>
        <w:t>4</w:t>
      </w:r>
      <w:r>
        <w:rPr/>
        <w:t>月，在哈尔滨飞机制造公司机动数控科担任技术员；</w:t>
      </w:r>
      <w:r>
        <w:rPr>
          <w:rFonts w:ascii="宋体" w:hAnsi="宋体" w:cs="宋体" w:eastAsia="宋体" w:hint="default"/>
        </w:rPr>
        <w:t>1999</w:t>
      </w:r>
      <w:r>
        <w:rPr/>
        <w:t>年</w:t>
      </w:r>
      <w:r>
        <w:rPr>
          <w:rFonts w:ascii="宋体" w:hAnsi="宋体" w:cs="宋体" w:eastAsia="宋体" w:hint="default"/>
        </w:rPr>
        <w:t>5</w:t>
      </w:r>
      <w:r>
        <w:rPr/>
        <w:t>月至</w:t>
      </w:r>
      <w:r>
        <w:rPr>
          <w:rFonts w:ascii="宋体" w:hAnsi="宋体" w:cs="宋体" w:eastAsia="宋体" w:hint="default"/>
        </w:rPr>
        <w:t>2000</w:t>
      </w:r>
      <w:r>
        <w:rPr/>
        <w:t>年</w:t>
      </w:r>
      <w:r>
        <w:rPr>
          <w:rFonts w:ascii="宋体" w:hAnsi="宋体" w:cs="宋体" w:eastAsia="宋体" w:hint="default"/>
        </w:rPr>
        <w:t>12</w:t>
      </w:r>
      <w:r>
        <w:rPr/>
        <w:t>月在 </w:t>
      </w:r>
      <w:r>
        <w:rPr>
          <w:spacing w:val="-2"/>
        </w:rPr>
        <w:t>北京易华特卡信息技术有限公司担任综合部经理；</w:t>
      </w:r>
      <w:r>
        <w:rPr>
          <w:rFonts w:ascii="宋体" w:hAnsi="宋体" w:cs="宋体" w:eastAsia="宋体" w:hint="default"/>
          <w:spacing w:val="-2"/>
        </w:rPr>
        <w:t>2001</w:t>
      </w:r>
      <w:r>
        <w:rPr>
          <w:spacing w:val="-2"/>
        </w:rPr>
        <w:t>年</w:t>
      </w:r>
      <w:r>
        <w:rPr>
          <w:rFonts w:ascii="宋体" w:hAnsi="宋体" w:cs="宋体" w:eastAsia="宋体" w:hint="default"/>
          <w:spacing w:val="-2"/>
        </w:rPr>
        <w:t>2</w:t>
      </w:r>
      <w:r>
        <w:rPr>
          <w:spacing w:val="-2"/>
        </w:rPr>
        <w:t>月至</w:t>
      </w:r>
      <w:r>
        <w:rPr>
          <w:rFonts w:ascii="宋体" w:hAnsi="宋体" w:cs="宋体" w:eastAsia="宋体" w:hint="default"/>
          <w:spacing w:val="-2"/>
        </w:rPr>
        <w:t>2002</w:t>
      </w:r>
      <w:r>
        <w:rPr>
          <w:spacing w:val="-2"/>
        </w:rPr>
        <w:t>年</w:t>
      </w:r>
      <w:r>
        <w:rPr>
          <w:rFonts w:ascii="宋体" w:hAnsi="宋体" w:cs="宋体" w:eastAsia="宋体" w:hint="default"/>
          <w:spacing w:val="-2"/>
        </w:rPr>
        <w:t>2</w:t>
      </w:r>
      <w:r>
        <w:rPr>
          <w:spacing w:val="-2"/>
        </w:rPr>
        <w:t>在北京长城光环宽带网络技术有限公司任人事行政经</w:t>
      </w:r>
      <w:r>
        <w:rPr>
          <w:spacing w:val="-58"/>
        </w:rPr>
        <w:t> </w:t>
      </w:r>
      <w:r>
        <w:rPr>
          <w:spacing w:val="-58"/>
        </w:rPr>
      </w:r>
      <w:r>
        <w:rPr/>
        <w:t>理，</w:t>
      </w:r>
      <w:r>
        <w:rPr>
          <w:rFonts w:ascii="宋体" w:hAnsi="宋体" w:cs="宋体" w:eastAsia="宋体" w:hint="default"/>
        </w:rPr>
        <w:t>2002</w:t>
      </w:r>
      <w:r>
        <w:rPr/>
        <w:t>年</w:t>
      </w:r>
      <w:r>
        <w:rPr>
          <w:rFonts w:ascii="宋体" w:hAnsi="宋体" w:cs="宋体" w:eastAsia="宋体" w:hint="default"/>
        </w:rPr>
        <w:t>2</w:t>
      </w:r>
      <w:r>
        <w:rPr/>
        <w:t>月至今在公司人事行政部工作，现任公司人事行政部总监，负责企业人事和行政管理工作，现任公司董事。</w:t>
      </w:r>
    </w:p>
    <w:p>
      <w:pPr>
        <w:spacing w:line="240" w:lineRule="auto" w:before="5"/>
        <w:rPr>
          <w:rFonts w:ascii="宋体" w:hAnsi="宋体" w:cs="宋体" w:eastAsia="宋体" w:hint="default"/>
          <w:sz w:val="13"/>
          <w:szCs w:val="13"/>
        </w:rPr>
      </w:pPr>
    </w:p>
    <w:p>
      <w:pPr>
        <w:pStyle w:val="BodyText"/>
        <w:spacing w:line="319" w:lineRule="auto"/>
        <w:ind w:right="186" w:firstLine="360"/>
        <w:jc w:val="both"/>
      </w:pPr>
      <w:r>
        <w:rPr>
          <w:spacing w:val="-2"/>
        </w:rPr>
        <w:t>郑善伟先生，中国国籍，无永久境外居留权，</w:t>
      </w:r>
      <w:r>
        <w:rPr>
          <w:rFonts w:ascii="宋体" w:hAnsi="宋体" w:cs="宋体" w:eastAsia="宋体" w:hint="default"/>
          <w:spacing w:val="-2"/>
        </w:rPr>
        <w:t>1974</w:t>
      </w:r>
      <w:r>
        <w:rPr>
          <w:spacing w:val="-2"/>
        </w:rPr>
        <w:t>年出生，汉族，毕业于清华大学，硕士学位。</w:t>
      </w:r>
      <w:r>
        <w:rPr>
          <w:rFonts w:ascii="宋体" w:hAnsi="宋体" w:cs="宋体" w:eastAsia="宋体" w:hint="default"/>
          <w:spacing w:val="-2"/>
        </w:rPr>
        <w:t>1996</w:t>
      </w:r>
      <w:r>
        <w:rPr>
          <w:spacing w:val="-2"/>
        </w:rPr>
        <w:t>年至</w:t>
      </w:r>
      <w:r>
        <w:rPr>
          <w:rFonts w:ascii="宋体" w:hAnsi="宋体" w:cs="宋体" w:eastAsia="宋体" w:hint="default"/>
          <w:spacing w:val="-2"/>
        </w:rPr>
        <w:t>2001</w:t>
      </w:r>
      <w:r>
        <w:rPr>
          <w:spacing w:val="-2"/>
        </w:rPr>
        <w:t>年，在中</w:t>
      </w:r>
      <w:r>
        <w:rPr/>
        <w:t> </w:t>
      </w:r>
      <w:r>
        <w:rPr>
          <w:spacing w:val="-2"/>
        </w:rPr>
        <w:t>国石油化工集团公司石油化工科学研究院任新技术研发经理，多项发明专利持有人；</w:t>
      </w:r>
      <w:r>
        <w:rPr>
          <w:rFonts w:ascii="宋体" w:hAnsi="宋体" w:cs="宋体" w:eastAsia="宋体" w:hint="default"/>
          <w:spacing w:val="-2"/>
        </w:rPr>
        <w:t>2004</w:t>
      </w:r>
      <w:r>
        <w:rPr>
          <w:spacing w:val="-2"/>
        </w:rPr>
        <w:t>年至</w:t>
      </w:r>
      <w:r>
        <w:rPr>
          <w:rFonts w:ascii="宋体" w:hAnsi="宋体" w:cs="宋体" w:eastAsia="宋体" w:hint="default"/>
          <w:spacing w:val="-2"/>
        </w:rPr>
        <w:t>2005</w:t>
      </w:r>
      <w:r>
        <w:rPr>
          <w:spacing w:val="-2"/>
        </w:rPr>
        <w:t>年，在泰阳证券研究所任</w:t>
      </w:r>
      <w:r>
        <w:rPr>
          <w:spacing w:val="-59"/>
        </w:rPr>
        <w:t> </w:t>
      </w:r>
      <w:r>
        <w:rPr>
          <w:spacing w:val="-59"/>
        </w:rPr>
      </w:r>
      <w:r>
        <w:rPr/>
        <w:t>行业研究员；</w:t>
      </w:r>
      <w:r>
        <w:rPr>
          <w:rFonts w:ascii="宋体" w:hAnsi="宋体" w:cs="宋体" w:eastAsia="宋体" w:hint="default"/>
        </w:rPr>
        <w:t>2005</w:t>
      </w:r>
      <w:r>
        <w:rPr/>
        <w:t>年至今，在中金数据系统有限公司工作，现任副总裁，分管公司战略、资本运作工作。</w:t>
      </w:r>
      <w:r>
        <w:rPr>
          <w:rFonts w:ascii="宋体" w:hAnsi="宋体" w:cs="宋体" w:eastAsia="宋体" w:hint="default"/>
        </w:rPr>
        <w:t>2016</w:t>
      </w:r>
      <w:r>
        <w:rPr/>
        <w:t>年</w:t>
      </w:r>
      <w:r>
        <w:rPr>
          <w:rFonts w:ascii="宋体" w:hAnsi="宋体" w:cs="宋体" w:eastAsia="宋体" w:hint="default"/>
        </w:rPr>
        <w:t>1</w:t>
      </w:r>
      <w:r>
        <w:rPr/>
        <w:t>月起担任 公司董事，任期三年。</w:t>
      </w:r>
    </w:p>
    <w:p>
      <w:pPr>
        <w:spacing w:line="240" w:lineRule="auto" w:before="3"/>
        <w:rPr>
          <w:rFonts w:ascii="宋体" w:hAnsi="宋体" w:cs="宋体" w:eastAsia="宋体" w:hint="default"/>
          <w:sz w:val="13"/>
          <w:szCs w:val="13"/>
        </w:rPr>
      </w:pPr>
    </w:p>
    <w:p>
      <w:pPr>
        <w:pStyle w:val="BodyText"/>
        <w:spacing w:line="316" w:lineRule="auto"/>
        <w:ind w:right="188" w:firstLine="360"/>
        <w:jc w:val="both"/>
      </w:pPr>
      <w:r>
        <w:rPr>
          <w:spacing w:val="-2"/>
        </w:rPr>
        <w:t>宋健尔先生，中国国籍，</w:t>
      </w:r>
      <w:r>
        <w:rPr>
          <w:rFonts w:ascii="宋体" w:hAnsi="宋体" w:cs="宋体" w:eastAsia="宋体" w:hint="default"/>
          <w:spacing w:val="-2"/>
        </w:rPr>
        <w:t>1967</w:t>
      </w:r>
      <w:r>
        <w:rPr>
          <w:spacing w:val="-2"/>
        </w:rPr>
        <w:t>年出生，汉族，毕业于中国人民大学，硕士学历。</w:t>
      </w:r>
      <w:r>
        <w:rPr>
          <w:rFonts w:ascii="宋体" w:hAnsi="宋体" w:cs="宋体" w:eastAsia="宋体" w:hint="default"/>
          <w:spacing w:val="-2"/>
        </w:rPr>
        <w:t>1988</w:t>
      </w:r>
      <w:r>
        <w:rPr>
          <w:spacing w:val="-2"/>
        </w:rPr>
        <w:t>年</w:t>
      </w:r>
      <w:r>
        <w:rPr>
          <w:rFonts w:ascii="宋体" w:hAnsi="宋体" w:cs="宋体" w:eastAsia="宋体" w:hint="default"/>
          <w:spacing w:val="-2"/>
        </w:rPr>
        <w:t>7</w:t>
      </w:r>
      <w:r>
        <w:rPr>
          <w:spacing w:val="-2"/>
        </w:rPr>
        <w:t>月至</w:t>
      </w:r>
      <w:r>
        <w:rPr>
          <w:rFonts w:ascii="宋体" w:hAnsi="宋体" w:cs="宋体" w:eastAsia="宋体" w:hint="default"/>
          <w:spacing w:val="-2"/>
        </w:rPr>
        <w:t>1992</w:t>
      </w:r>
      <w:r>
        <w:rPr>
          <w:spacing w:val="-2"/>
        </w:rPr>
        <w:t>年</w:t>
      </w:r>
      <w:r>
        <w:rPr>
          <w:rFonts w:ascii="宋体" w:hAnsi="宋体" w:cs="宋体" w:eastAsia="宋体" w:hint="default"/>
          <w:spacing w:val="-2"/>
        </w:rPr>
        <w:t>3</w:t>
      </w:r>
      <w:r>
        <w:rPr>
          <w:spacing w:val="-2"/>
        </w:rPr>
        <w:t>月，在广州市头实</w:t>
      </w:r>
      <w:r>
        <w:rPr/>
        <w:t> </w:t>
      </w:r>
      <w:r>
        <w:rPr>
          <w:spacing w:val="-2"/>
        </w:rPr>
        <w:t>业有限公司担任科员；</w:t>
      </w:r>
      <w:r>
        <w:rPr>
          <w:rFonts w:ascii="宋体" w:hAnsi="宋体" w:cs="宋体" w:eastAsia="宋体" w:hint="default"/>
          <w:spacing w:val="-2"/>
        </w:rPr>
        <w:t>1992</w:t>
      </w:r>
      <w:r>
        <w:rPr>
          <w:spacing w:val="-2"/>
        </w:rPr>
        <w:t>年</w:t>
      </w:r>
      <w:r>
        <w:rPr>
          <w:rFonts w:ascii="宋体" w:hAnsi="宋体" w:cs="宋体" w:eastAsia="宋体" w:hint="default"/>
          <w:spacing w:val="-2"/>
        </w:rPr>
        <w:t>3</w:t>
      </w:r>
      <w:r>
        <w:rPr>
          <w:spacing w:val="-2"/>
        </w:rPr>
        <w:t>月至</w:t>
      </w:r>
      <w:r>
        <w:rPr>
          <w:rFonts w:ascii="宋体" w:hAnsi="宋体" w:cs="宋体" w:eastAsia="宋体" w:hint="default"/>
          <w:spacing w:val="-2"/>
        </w:rPr>
        <w:t>1993</w:t>
      </w:r>
      <w:r>
        <w:rPr>
          <w:spacing w:val="-2"/>
        </w:rPr>
        <w:t>年</w:t>
      </w:r>
      <w:r>
        <w:rPr>
          <w:rFonts w:ascii="宋体" w:hAnsi="宋体" w:cs="宋体" w:eastAsia="宋体" w:hint="default"/>
          <w:spacing w:val="-2"/>
        </w:rPr>
        <w:t>5</w:t>
      </w:r>
      <w:r>
        <w:rPr>
          <w:spacing w:val="-2"/>
        </w:rPr>
        <w:t>月，在广州市南公司担任业务经理；</w:t>
      </w:r>
      <w:r>
        <w:rPr>
          <w:rFonts w:ascii="宋体" w:hAnsi="宋体" w:cs="宋体" w:eastAsia="宋体" w:hint="default"/>
          <w:spacing w:val="-2"/>
        </w:rPr>
        <w:t>1993</w:t>
      </w:r>
      <w:r>
        <w:rPr>
          <w:spacing w:val="-2"/>
        </w:rPr>
        <w:t>年</w:t>
      </w:r>
      <w:r>
        <w:rPr>
          <w:rFonts w:ascii="宋体" w:hAnsi="宋体" w:cs="宋体" w:eastAsia="宋体" w:hint="default"/>
          <w:spacing w:val="-2"/>
        </w:rPr>
        <w:t>6</w:t>
      </w:r>
      <w:r>
        <w:rPr>
          <w:spacing w:val="-2"/>
        </w:rPr>
        <w:t>月至</w:t>
      </w:r>
      <w:r>
        <w:rPr>
          <w:rFonts w:ascii="宋体" w:hAnsi="宋体" w:cs="宋体" w:eastAsia="宋体" w:hint="default"/>
          <w:spacing w:val="-2"/>
        </w:rPr>
        <w:t>1996</w:t>
      </w:r>
      <w:r>
        <w:rPr>
          <w:spacing w:val="-2"/>
        </w:rPr>
        <w:t>年</w:t>
      </w:r>
      <w:r>
        <w:rPr>
          <w:rFonts w:ascii="宋体" w:hAnsi="宋体" w:cs="宋体" w:eastAsia="宋体" w:hint="default"/>
          <w:spacing w:val="-2"/>
        </w:rPr>
        <w:t>9</w:t>
      </w:r>
      <w:r>
        <w:rPr>
          <w:spacing w:val="-2"/>
        </w:rPr>
        <w:t>月，在广州永大集团担</w:t>
      </w:r>
      <w:r>
        <w:rPr>
          <w:spacing w:val="-51"/>
        </w:rPr>
        <w:t> </w:t>
      </w:r>
      <w:r>
        <w:rPr>
          <w:spacing w:val="-51"/>
        </w:rPr>
      </w:r>
      <w:r>
        <w:rPr>
          <w:spacing w:val="-2"/>
        </w:rPr>
        <w:t>任经理；</w:t>
      </w:r>
      <w:r>
        <w:rPr>
          <w:rFonts w:ascii="宋体" w:hAnsi="宋体" w:cs="宋体" w:eastAsia="宋体" w:hint="default"/>
          <w:spacing w:val="-2"/>
        </w:rPr>
        <w:t>2000</w:t>
      </w:r>
      <w:r>
        <w:rPr>
          <w:spacing w:val="-2"/>
        </w:rPr>
        <w:t>年</w:t>
      </w:r>
      <w:r>
        <w:rPr>
          <w:rFonts w:ascii="宋体" w:hAnsi="宋体" w:cs="宋体" w:eastAsia="宋体" w:hint="default"/>
          <w:spacing w:val="-2"/>
        </w:rPr>
        <w:t>6</w:t>
      </w:r>
      <w:r>
        <w:rPr>
          <w:spacing w:val="-2"/>
        </w:rPr>
        <w:t>月至</w:t>
      </w:r>
      <w:r>
        <w:rPr>
          <w:rFonts w:ascii="宋体" w:hAnsi="宋体" w:cs="宋体" w:eastAsia="宋体" w:hint="default"/>
          <w:spacing w:val="-2"/>
        </w:rPr>
        <w:t>2001</w:t>
      </w:r>
      <w:r>
        <w:rPr>
          <w:spacing w:val="-2"/>
        </w:rPr>
        <w:t>年</w:t>
      </w:r>
      <w:r>
        <w:rPr>
          <w:rFonts w:ascii="宋体" w:hAnsi="宋体" w:cs="宋体" w:eastAsia="宋体" w:hint="default"/>
          <w:spacing w:val="-2"/>
        </w:rPr>
        <w:t>8</w:t>
      </w:r>
      <w:r>
        <w:rPr>
          <w:spacing w:val="-2"/>
        </w:rPr>
        <w:t>月，在中国民生银行公司银行部担任支行信贷员；</w:t>
      </w:r>
      <w:r>
        <w:rPr>
          <w:rFonts w:ascii="宋体" w:hAnsi="宋体" w:cs="宋体" w:eastAsia="宋体" w:hint="default"/>
          <w:spacing w:val="-2"/>
        </w:rPr>
        <w:t>2001</w:t>
      </w:r>
      <w:r>
        <w:rPr>
          <w:spacing w:val="-2"/>
        </w:rPr>
        <w:t>年</w:t>
      </w:r>
      <w:r>
        <w:rPr>
          <w:rFonts w:ascii="宋体" w:hAnsi="宋体" w:cs="宋体" w:eastAsia="宋体" w:hint="default"/>
          <w:spacing w:val="-2"/>
        </w:rPr>
        <w:t>8</w:t>
      </w:r>
      <w:r>
        <w:rPr>
          <w:spacing w:val="-2"/>
        </w:rPr>
        <w:t>月至</w:t>
      </w:r>
      <w:r>
        <w:rPr>
          <w:rFonts w:ascii="宋体" w:hAnsi="宋体" w:cs="宋体" w:eastAsia="宋体" w:hint="default"/>
          <w:spacing w:val="-2"/>
        </w:rPr>
        <w:t>2002</w:t>
      </w:r>
      <w:r>
        <w:rPr>
          <w:spacing w:val="-2"/>
        </w:rPr>
        <w:t>年</w:t>
      </w:r>
      <w:r>
        <w:rPr>
          <w:rFonts w:ascii="宋体" w:hAnsi="宋体" w:cs="宋体" w:eastAsia="宋体" w:hint="default"/>
          <w:spacing w:val="-2"/>
        </w:rPr>
        <w:t>6</w:t>
      </w:r>
      <w:r>
        <w:rPr>
          <w:spacing w:val="-2"/>
        </w:rPr>
        <w:t>月，在中国民生银行个</w:t>
      </w:r>
      <w:r>
        <w:rPr>
          <w:spacing w:val="-51"/>
        </w:rPr>
        <w:t> </w:t>
      </w:r>
      <w:r>
        <w:rPr>
          <w:spacing w:val="-51"/>
        </w:rPr>
      </w:r>
      <w:r>
        <w:rPr/>
        <w:t>人银行部担任支行个人部经理；</w:t>
      </w:r>
      <w:r>
        <w:rPr>
          <w:rFonts w:ascii="宋体" w:hAnsi="宋体" w:cs="宋体" w:eastAsia="宋体" w:hint="default"/>
        </w:rPr>
        <w:t>2002</w:t>
      </w:r>
      <w:r>
        <w:rPr/>
        <w:t>年</w:t>
      </w:r>
      <w:r>
        <w:rPr>
          <w:rFonts w:ascii="宋体" w:hAnsi="宋体" w:cs="宋体" w:eastAsia="宋体" w:hint="default"/>
        </w:rPr>
        <w:t>6</w:t>
      </w:r>
      <w:r>
        <w:rPr/>
        <w:t>月至</w:t>
      </w:r>
      <w:r>
        <w:rPr>
          <w:rFonts w:ascii="宋体" w:hAnsi="宋体" w:cs="宋体" w:eastAsia="宋体" w:hint="default"/>
        </w:rPr>
        <w:t>2003</w:t>
      </w:r>
      <w:r>
        <w:rPr/>
        <w:t>年</w:t>
      </w:r>
      <w:r>
        <w:rPr>
          <w:rFonts w:ascii="宋体" w:hAnsi="宋体" w:cs="宋体" w:eastAsia="宋体" w:hint="default"/>
        </w:rPr>
        <w:t>7</w:t>
      </w:r>
      <w:r>
        <w:rPr/>
        <w:t>月，在中国民生银行北京管理部亚运村支行担任行长助理，</w:t>
      </w:r>
      <w:r>
        <w:rPr>
          <w:rFonts w:ascii="宋体" w:hAnsi="宋体" w:cs="宋体" w:eastAsia="宋体" w:hint="default"/>
        </w:rPr>
        <w:t>2003</w:t>
      </w:r>
      <w:r>
        <w:rPr/>
        <w:t>年</w:t>
      </w:r>
      <w:r>
        <w:rPr>
          <w:rFonts w:ascii="宋体" w:hAnsi="宋体" w:cs="宋体" w:eastAsia="宋体" w:hint="default"/>
        </w:rPr>
        <w:t>8</w:t>
      </w:r>
      <w:r>
        <w:rPr/>
        <w:t>月 起担任支行副行长，</w:t>
      </w:r>
      <w:r>
        <w:rPr>
          <w:rFonts w:ascii="宋体" w:hAnsi="宋体" w:cs="宋体" w:eastAsia="宋体" w:hint="default"/>
        </w:rPr>
        <w:t>2004</w:t>
      </w:r>
      <w:r>
        <w:rPr/>
        <w:t>年</w:t>
      </w:r>
      <w:r>
        <w:rPr>
          <w:rFonts w:ascii="宋体" w:hAnsi="宋体" w:cs="宋体" w:eastAsia="宋体" w:hint="default"/>
        </w:rPr>
        <w:t>3</w:t>
      </w:r>
      <w:r>
        <w:rPr/>
        <w:t>月至</w:t>
      </w:r>
      <w:r>
        <w:rPr>
          <w:rFonts w:ascii="宋体" w:hAnsi="宋体" w:cs="宋体" w:eastAsia="宋体" w:hint="default"/>
        </w:rPr>
        <w:t>2015</w:t>
      </w:r>
      <w:r>
        <w:rPr/>
        <w:t>年</w:t>
      </w:r>
      <w:r>
        <w:rPr>
          <w:rFonts w:ascii="宋体" w:hAnsi="宋体" w:cs="宋体" w:eastAsia="宋体" w:hint="default"/>
        </w:rPr>
        <w:t>1</w:t>
      </w:r>
      <w:r>
        <w:rPr/>
        <w:t>月担任支行行长；</w:t>
      </w:r>
      <w:r>
        <w:rPr>
          <w:rFonts w:ascii="宋体" w:hAnsi="宋体" w:cs="宋体" w:eastAsia="宋体" w:hint="default"/>
        </w:rPr>
        <w:t>2008</w:t>
      </w:r>
      <w:r>
        <w:rPr/>
        <w:t>年</w:t>
      </w:r>
      <w:r>
        <w:rPr>
          <w:rFonts w:ascii="宋体" w:hAnsi="宋体" w:cs="宋体" w:eastAsia="宋体" w:hint="default"/>
        </w:rPr>
        <w:t>10</w:t>
      </w:r>
      <w:r>
        <w:rPr/>
        <w:t>月至</w:t>
      </w:r>
      <w:r>
        <w:rPr>
          <w:rFonts w:ascii="宋体" w:hAnsi="宋体" w:cs="宋体" w:eastAsia="宋体" w:hint="default"/>
        </w:rPr>
        <w:t>2014</w:t>
      </w:r>
      <w:r>
        <w:rPr/>
        <w:t>年</w:t>
      </w:r>
      <w:r>
        <w:rPr>
          <w:rFonts w:ascii="宋体" w:hAnsi="宋体" w:cs="宋体" w:eastAsia="宋体" w:hint="default"/>
        </w:rPr>
        <w:t>4</w:t>
      </w:r>
      <w:r>
        <w:rPr/>
        <w:t>月，在中国民生银行北京管理部企业金融 </w:t>
      </w:r>
      <w:r>
        <w:rPr>
          <w:spacing w:val="-2"/>
        </w:rPr>
        <w:t>七中心担任总经理；</w:t>
      </w:r>
      <w:r>
        <w:rPr>
          <w:rFonts w:ascii="宋体" w:hAnsi="宋体" w:cs="宋体" w:eastAsia="宋体" w:hint="default"/>
          <w:spacing w:val="-2"/>
        </w:rPr>
        <w:t>2014</w:t>
      </w:r>
      <w:r>
        <w:rPr>
          <w:spacing w:val="-2"/>
        </w:rPr>
        <w:t>年</w:t>
      </w:r>
      <w:r>
        <w:rPr>
          <w:rFonts w:ascii="宋体" w:hAnsi="宋体" w:cs="宋体" w:eastAsia="宋体" w:hint="default"/>
          <w:spacing w:val="-2"/>
        </w:rPr>
        <w:t>4</w:t>
      </w:r>
      <w:r>
        <w:rPr>
          <w:spacing w:val="-2"/>
        </w:rPr>
        <w:t>月至今，在中国民生银行北京管理部企业金融八部担任总经理；</w:t>
      </w:r>
      <w:r>
        <w:rPr>
          <w:rFonts w:ascii="宋体" w:hAnsi="宋体" w:cs="宋体" w:eastAsia="宋体" w:hint="default"/>
          <w:spacing w:val="-2"/>
        </w:rPr>
        <w:t>2015</w:t>
      </w:r>
      <w:r>
        <w:rPr>
          <w:spacing w:val="-2"/>
        </w:rPr>
        <w:t>年</w:t>
      </w:r>
      <w:r>
        <w:rPr>
          <w:rFonts w:ascii="宋体" w:hAnsi="宋体" w:cs="宋体" w:eastAsia="宋体" w:hint="default"/>
          <w:spacing w:val="-2"/>
        </w:rPr>
        <w:t>1</w:t>
      </w:r>
      <w:r>
        <w:rPr>
          <w:spacing w:val="-2"/>
        </w:rPr>
        <w:t>月至今，在中国民生银</w:t>
      </w:r>
      <w:r>
        <w:rPr>
          <w:spacing w:val="-59"/>
        </w:rPr>
        <w:t> </w:t>
      </w:r>
      <w:r>
        <w:rPr>
          <w:spacing w:val="-59"/>
        </w:rPr>
      </w:r>
      <w:r>
        <w:rPr/>
        <w:t>行北京管理部投资银行一部担任总经理。</w:t>
      </w:r>
      <w:r>
        <w:rPr>
          <w:rFonts w:ascii="宋体" w:hAnsi="宋体" w:cs="宋体" w:eastAsia="宋体" w:hint="default"/>
        </w:rPr>
        <w:t>2016</w:t>
      </w:r>
      <w:r>
        <w:rPr/>
        <w:t>年</w:t>
      </w:r>
      <w:r>
        <w:rPr>
          <w:rFonts w:ascii="宋体" w:hAnsi="宋体" w:cs="宋体" w:eastAsia="宋体" w:hint="default"/>
        </w:rPr>
        <w:t>1</w:t>
      </w:r>
      <w:r>
        <w:rPr/>
        <w:t>月起担任公司独立董事，任期三年。</w:t>
      </w:r>
    </w:p>
    <w:p>
      <w:pPr>
        <w:spacing w:line="240" w:lineRule="auto" w:before="5"/>
        <w:rPr>
          <w:rFonts w:ascii="宋体" w:hAnsi="宋体" w:cs="宋体" w:eastAsia="宋体" w:hint="default"/>
          <w:sz w:val="13"/>
          <w:szCs w:val="13"/>
        </w:rPr>
      </w:pPr>
    </w:p>
    <w:p>
      <w:pPr>
        <w:pStyle w:val="BodyText"/>
        <w:spacing w:line="316" w:lineRule="auto"/>
        <w:ind w:right="186" w:firstLine="360"/>
        <w:jc w:val="both"/>
      </w:pPr>
      <w:r>
        <w:rPr>
          <w:spacing w:val="-2"/>
        </w:rPr>
        <w:t>侯成训先生，中国国籍，</w:t>
      </w:r>
      <w:r>
        <w:rPr>
          <w:rFonts w:ascii="宋体" w:hAnsi="宋体" w:cs="宋体" w:eastAsia="宋体" w:hint="default"/>
          <w:spacing w:val="-2"/>
        </w:rPr>
        <w:t>1963</w:t>
      </w:r>
      <w:r>
        <w:rPr>
          <w:spacing w:val="-2"/>
        </w:rPr>
        <w:t>年出生，汉族，毕业于中国政法大学，本科学历，副教授。</w:t>
      </w:r>
      <w:r>
        <w:rPr>
          <w:rFonts w:ascii="宋体" w:hAnsi="宋体" w:cs="宋体" w:eastAsia="宋体" w:hint="default"/>
          <w:spacing w:val="-2"/>
        </w:rPr>
        <w:t>1986</w:t>
      </w:r>
      <w:r>
        <w:rPr>
          <w:spacing w:val="-2"/>
        </w:rPr>
        <w:t>年至</w:t>
      </w:r>
      <w:r>
        <w:rPr>
          <w:rFonts w:ascii="宋体" w:hAnsi="宋体" w:cs="宋体" w:eastAsia="宋体" w:hint="default"/>
          <w:spacing w:val="-2"/>
        </w:rPr>
        <w:t>2000</w:t>
      </w:r>
      <w:r>
        <w:rPr>
          <w:spacing w:val="-2"/>
        </w:rPr>
        <w:t>年，在石油化工</w:t>
      </w:r>
      <w:r>
        <w:rPr/>
        <w:t> </w:t>
      </w:r>
      <w:r>
        <w:rPr>
          <w:spacing w:val="-2"/>
        </w:rPr>
        <w:t>管理干部学院从事教学和科研工作，</w:t>
      </w:r>
      <w:r>
        <w:rPr>
          <w:rFonts w:ascii="宋体" w:hAnsi="宋体" w:cs="宋体" w:eastAsia="宋体" w:hint="default"/>
          <w:spacing w:val="-2"/>
        </w:rPr>
        <w:t>2000</w:t>
      </w:r>
      <w:r>
        <w:rPr>
          <w:spacing w:val="-2"/>
        </w:rPr>
        <w:t>年至今，先后在北京市观韬律师事务所、北京市乾坤律师事务所工作，现任北京市</w:t>
      </w:r>
    </w:p>
    <w:p>
      <w:pPr>
        <w:spacing w:after="0" w:line="316" w:lineRule="auto"/>
        <w:jc w:val="both"/>
        <w:sectPr>
          <w:footerReference w:type="default" r:id="rId25"/>
          <w:pgSz w:w="11910" w:h="16840"/>
          <w:pgMar w:footer="979" w:header="745" w:top="1060" w:bottom="1160" w:left="980" w:right="940"/>
          <w:pgNumType w:start="124"/>
        </w:sectPr>
      </w:pPr>
    </w:p>
    <w:p>
      <w:pPr>
        <w:spacing w:line="240" w:lineRule="auto" w:before="10"/>
        <w:rPr>
          <w:rFonts w:ascii="宋体" w:hAnsi="宋体" w:cs="宋体" w:eastAsia="宋体" w:hint="default"/>
          <w:sz w:val="25"/>
          <w:szCs w:val="25"/>
        </w:rPr>
      </w:pPr>
    </w:p>
    <w:p>
      <w:pPr>
        <w:pStyle w:val="BodyText"/>
        <w:spacing w:line="240" w:lineRule="auto" w:before="44"/>
        <w:ind w:right="0"/>
        <w:jc w:val="both"/>
      </w:pPr>
      <w:r>
        <w:rPr/>
        <w:t>中永律师事务所高级合伙人。</w:t>
      </w:r>
      <w:r>
        <w:rPr>
          <w:rFonts w:ascii="宋体" w:hAnsi="宋体" w:cs="宋体" w:eastAsia="宋体" w:hint="default"/>
        </w:rPr>
        <w:t>2016</w:t>
      </w:r>
      <w:r>
        <w:rPr/>
        <w:t>年</w:t>
      </w:r>
      <w:r>
        <w:rPr>
          <w:rFonts w:ascii="宋体" w:hAnsi="宋体" w:cs="宋体" w:eastAsia="宋体" w:hint="default"/>
        </w:rPr>
        <w:t>1</w:t>
      </w:r>
      <w:r>
        <w:rPr/>
        <w:t>月起担任公司独立董事，任期三年。</w:t>
      </w:r>
    </w:p>
    <w:p>
      <w:pPr>
        <w:spacing w:line="240" w:lineRule="auto" w:before="10"/>
        <w:rPr>
          <w:rFonts w:ascii="宋体" w:hAnsi="宋体" w:cs="宋体" w:eastAsia="宋体" w:hint="default"/>
          <w:sz w:val="17"/>
          <w:szCs w:val="17"/>
        </w:rPr>
      </w:pPr>
    </w:p>
    <w:p>
      <w:pPr>
        <w:pStyle w:val="BodyText"/>
        <w:spacing w:line="316" w:lineRule="auto"/>
        <w:ind w:right="106" w:firstLine="360"/>
        <w:jc w:val="left"/>
      </w:pPr>
      <w:r>
        <w:rPr/>
        <w:t>郭莉莉女士，中国国籍，</w:t>
      </w:r>
      <w:r>
        <w:rPr>
          <w:rFonts w:ascii="宋体" w:hAnsi="宋体" w:cs="宋体" w:eastAsia="宋体" w:hint="default"/>
        </w:rPr>
        <w:t>1963</w:t>
      </w:r>
      <w:r>
        <w:rPr/>
        <w:t>年出生，汉族，毕业于北京航空航天大学，本科学历，高级会计师、注册会计师。</w:t>
      </w:r>
      <w:r>
        <w:rPr>
          <w:rFonts w:ascii="宋体" w:hAnsi="宋体" w:cs="宋体" w:eastAsia="宋体" w:hint="default"/>
        </w:rPr>
        <w:t>1985 </w:t>
      </w:r>
      <w:r>
        <w:rPr>
          <w:spacing w:val="-2"/>
        </w:rPr>
        <w:t>年至</w:t>
      </w:r>
      <w:r>
        <w:rPr>
          <w:rFonts w:ascii="宋体" w:hAnsi="宋体" w:cs="宋体" w:eastAsia="宋体" w:hint="default"/>
          <w:spacing w:val="-2"/>
        </w:rPr>
        <w:t>1994</w:t>
      </w:r>
      <w:r>
        <w:rPr>
          <w:spacing w:val="-2"/>
        </w:rPr>
        <w:t>年，在沈飞工学院任教师；</w:t>
      </w:r>
      <w:r>
        <w:rPr>
          <w:rFonts w:ascii="宋体" w:hAnsi="宋体" w:cs="宋体" w:eastAsia="宋体" w:hint="default"/>
          <w:spacing w:val="-2"/>
        </w:rPr>
        <w:t>1995</w:t>
      </w:r>
      <w:r>
        <w:rPr>
          <w:spacing w:val="-2"/>
        </w:rPr>
        <w:t>年至</w:t>
      </w:r>
      <w:r>
        <w:rPr>
          <w:rFonts w:ascii="宋体" w:hAnsi="宋体" w:cs="宋体" w:eastAsia="宋体" w:hint="default"/>
          <w:spacing w:val="-2"/>
        </w:rPr>
        <w:t>1996</w:t>
      </w:r>
      <w:r>
        <w:rPr>
          <w:spacing w:val="-2"/>
        </w:rPr>
        <w:t>年，在沈飞进出口公司任财务部主管；</w:t>
      </w:r>
      <w:r>
        <w:rPr>
          <w:rFonts w:ascii="宋体" w:hAnsi="宋体" w:cs="宋体" w:eastAsia="宋体" w:hint="default"/>
          <w:spacing w:val="-2"/>
        </w:rPr>
        <w:t>1997</w:t>
      </w:r>
      <w:r>
        <w:rPr>
          <w:spacing w:val="-2"/>
        </w:rPr>
        <w:t>年至</w:t>
      </w:r>
      <w:r>
        <w:rPr>
          <w:rFonts w:ascii="宋体" w:hAnsi="宋体" w:cs="宋体" w:eastAsia="宋体" w:hint="default"/>
          <w:spacing w:val="-2"/>
        </w:rPr>
        <w:t>2004</w:t>
      </w:r>
      <w:r>
        <w:rPr>
          <w:spacing w:val="-2"/>
        </w:rPr>
        <w:t>年，在岳华会计师事</w:t>
      </w:r>
      <w:r>
        <w:rPr>
          <w:spacing w:val="-53"/>
        </w:rPr>
        <w:t> </w:t>
      </w:r>
      <w:r>
        <w:rPr>
          <w:spacing w:val="-53"/>
        </w:rPr>
      </w:r>
      <w:r>
        <w:rPr>
          <w:spacing w:val="-2"/>
        </w:rPr>
        <w:t>务所先后担任培训部经理、集团总部合伙人、北京本部合伙人、副主任会计师；</w:t>
      </w:r>
      <w:r>
        <w:rPr>
          <w:rFonts w:ascii="宋体" w:hAnsi="宋体" w:cs="宋体" w:eastAsia="宋体" w:hint="default"/>
          <w:spacing w:val="-2"/>
        </w:rPr>
        <w:t>2004</w:t>
      </w:r>
      <w:r>
        <w:rPr>
          <w:spacing w:val="-2"/>
        </w:rPr>
        <w:t>年至</w:t>
      </w:r>
      <w:r>
        <w:rPr>
          <w:rFonts w:ascii="宋体" w:hAnsi="宋体" w:cs="宋体" w:eastAsia="宋体" w:hint="default"/>
          <w:spacing w:val="-2"/>
        </w:rPr>
        <w:t>2006</w:t>
      </w:r>
      <w:r>
        <w:rPr>
          <w:spacing w:val="-2"/>
        </w:rPr>
        <w:t>年，在福建榕基软件开发股份</w:t>
      </w:r>
      <w:r>
        <w:rPr>
          <w:spacing w:val="-59"/>
        </w:rPr>
        <w:t> </w:t>
      </w:r>
      <w:r>
        <w:rPr>
          <w:spacing w:val="-59"/>
        </w:rPr>
      </w:r>
      <w:r>
        <w:rPr>
          <w:spacing w:val="-5"/>
        </w:rPr>
        <w:t>有限公司担任董事、财务总监；</w:t>
      </w:r>
      <w:r>
        <w:rPr>
          <w:rFonts w:ascii="宋体" w:hAnsi="宋体" w:cs="宋体" w:eastAsia="宋体" w:hint="default"/>
          <w:spacing w:val="-5"/>
        </w:rPr>
        <w:t>2006</w:t>
      </w:r>
      <w:r>
        <w:rPr>
          <w:spacing w:val="-5"/>
        </w:rPr>
        <w:t>年</w:t>
      </w:r>
      <w:r>
        <w:rPr>
          <w:rFonts w:ascii="宋体" w:hAnsi="宋体" w:cs="宋体" w:eastAsia="宋体" w:hint="default"/>
          <w:spacing w:val="-5"/>
        </w:rPr>
        <w:t>10</w:t>
      </w:r>
      <w:r>
        <w:rPr>
          <w:spacing w:val="-5"/>
        </w:rPr>
        <w:t>月至</w:t>
      </w:r>
      <w:r>
        <w:rPr>
          <w:rFonts w:ascii="宋体" w:hAnsi="宋体" w:cs="宋体" w:eastAsia="宋体" w:hint="default"/>
          <w:spacing w:val="-5"/>
        </w:rPr>
        <w:t>2012</w:t>
      </w:r>
      <w:r>
        <w:rPr>
          <w:spacing w:val="-5"/>
        </w:rPr>
        <w:t>年</w:t>
      </w:r>
      <w:r>
        <w:rPr>
          <w:rFonts w:ascii="宋体" w:hAnsi="宋体" w:cs="宋体" w:eastAsia="宋体" w:hint="default"/>
          <w:spacing w:val="-5"/>
        </w:rPr>
        <w:t>12</w:t>
      </w:r>
      <w:r>
        <w:rPr>
          <w:spacing w:val="-5"/>
        </w:rPr>
        <w:t>月，在中磊会计师事务所有限责任公司任合伙人、副主任会计师；</w:t>
      </w:r>
      <w:r>
        <w:rPr>
          <w:rFonts w:ascii="宋体" w:hAnsi="宋体" w:cs="宋体" w:eastAsia="宋体" w:hint="default"/>
          <w:spacing w:val="-5"/>
        </w:rPr>
        <w:t>2013</w:t>
      </w:r>
      <w:r>
        <w:rPr>
          <w:rFonts w:ascii="宋体" w:hAnsi="宋体" w:cs="宋体" w:eastAsia="宋体" w:hint="default"/>
          <w:spacing w:val="-44"/>
        </w:rPr>
        <w:t> </w:t>
      </w:r>
      <w:r>
        <w:rPr>
          <w:rFonts w:ascii="宋体" w:hAnsi="宋体" w:cs="宋体" w:eastAsia="宋体" w:hint="default"/>
          <w:spacing w:val="-44"/>
        </w:rPr>
      </w:r>
      <w:r>
        <w:rPr>
          <w:spacing w:val="-2"/>
        </w:rPr>
        <w:t>年</w:t>
      </w:r>
      <w:r>
        <w:rPr>
          <w:rFonts w:ascii="宋体" w:hAnsi="宋体" w:cs="宋体" w:eastAsia="宋体" w:hint="default"/>
          <w:spacing w:val="-2"/>
        </w:rPr>
        <w:t>1</w:t>
      </w:r>
      <w:r>
        <w:rPr>
          <w:spacing w:val="-2"/>
        </w:rPr>
        <w:t>月至今，在大信会计师事务所（特殊普通合伙）担任高级合伙人、副主任会计师；</w:t>
      </w:r>
      <w:r>
        <w:rPr>
          <w:rFonts w:ascii="宋体" w:hAnsi="宋体" w:cs="宋体" w:eastAsia="宋体" w:hint="default"/>
          <w:spacing w:val="-2"/>
        </w:rPr>
        <w:t>2010</w:t>
      </w:r>
      <w:r>
        <w:rPr>
          <w:spacing w:val="-2"/>
        </w:rPr>
        <w:t>年</w:t>
      </w:r>
      <w:r>
        <w:rPr>
          <w:rFonts w:ascii="宋体" w:hAnsi="宋体" w:cs="宋体" w:eastAsia="宋体" w:hint="default"/>
          <w:spacing w:val="-2"/>
        </w:rPr>
        <w:t>1</w:t>
      </w:r>
      <w:r>
        <w:rPr>
          <w:spacing w:val="-2"/>
        </w:rPr>
        <w:t>月至今，在山东威达机械股份</w:t>
      </w:r>
      <w:r>
        <w:rPr>
          <w:spacing w:val="-60"/>
        </w:rPr>
        <w:t> </w:t>
      </w:r>
      <w:r>
        <w:rPr>
          <w:spacing w:val="-60"/>
        </w:rPr>
      </w:r>
      <w:r>
        <w:rPr>
          <w:spacing w:val="-2"/>
        </w:rPr>
        <w:t>有限公司担任独立董事；</w:t>
      </w:r>
      <w:r>
        <w:rPr>
          <w:rFonts w:ascii="宋体" w:hAnsi="宋体" w:cs="宋体" w:eastAsia="宋体" w:hint="default"/>
          <w:spacing w:val="-2"/>
        </w:rPr>
        <w:t>2014</w:t>
      </w:r>
      <w:r>
        <w:rPr>
          <w:spacing w:val="-2"/>
        </w:rPr>
        <w:t>年</w:t>
      </w:r>
      <w:r>
        <w:rPr>
          <w:rFonts w:ascii="宋体" w:hAnsi="宋体" w:cs="宋体" w:eastAsia="宋体" w:hint="default"/>
          <w:spacing w:val="-2"/>
        </w:rPr>
        <w:t>1</w:t>
      </w:r>
      <w:r>
        <w:rPr>
          <w:spacing w:val="-2"/>
        </w:rPr>
        <w:t>月至今，在北京东方新星石化工程股份有限公司担任独立董事。</w:t>
      </w:r>
      <w:r>
        <w:rPr>
          <w:rFonts w:ascii="宋体" w:hAnsi="宋体" w:cs="宋体" w:eastAsia="宋体" w:hint="default"/>
          <w:spacing w:val="-2"/>
        </w:rPr>
        <w:t>2016</w:t>
      </w:r>
      <w:r>
        <w:rPr>
          <w:spacing w:val="-2"/>
        </w:rPr>
        <w:t>年</w:t>
      </w:r>
      <w:r>
        <w:rPr>
          <w:rFonts w:ascii="宋体" w:hAnsi="宋体" w:cs="宋体" w:eastAsia="宋体" w:hint="default"/>
          <w:spacing w:val="-2"/>
        </w:rPr>
        <w:t>1</w:t>
      </w:r>
      <w:r>
        <w:rPr>
          <w:spacing w:val="-2"/>
        </w:rPr>
        <w:t>月起担任公司独立</w:t>
      </w:r>
      <w:r>
        <w:rPr>
          <w:spacing w:val="-57"/>
        </w:rPr>
        <w:t> </w:t>
      </w:r>
      <w:r>
        <w:rPr>
          <w:spacing w:val="-57"/>
        </w:rPr>
      </w:r>
      <w:r>
        <w:rPr/>
        <w:t>董事，任期三年。</w:t>
      </w:r>
    </w:p>
    <w:p>
      <w:pPr>
        <w:pStyle w:val="BodyText"/>
        <w:spacing w:line="468" w:lineRule="exact" w:before="10"/>
        <w:ind w:left="604" w:right="272" w:hanging="92"/>
        <w:jc w:val="left"/>
        <w:rPr>
          <w:rFonts w:ascii="宋体" w:hAnsi="宋体" w:cs="宋体" w:eastAsia="宋体" w:hint="default"/>
        </w:rPr>
      </w:pPr>
      <w:r>
        <w:rPr>
          <w:rFonts w:ascii="宋体" w:hAnsi="宋体" w:cs="宋体" w:eastAsia="宋体" w:hint="default"/>
          <w:b/>
          <w:bCs/>
        </w:rPr>
        <w:t>2</w:t>
      </w:r>
      <w:r>
        <w:rPr>
          <w:rFonts w:ascii="宋体" w:hAnsi="宋体" w:cs="宋体" w:eastAsia="宋体" w:hint="default"/>
          <w:b/>
          <w:bCs/>
        </w:rPr>
        <w:t>、公司现任监事任职情况</w:t>
      </w:r>
      <w:r>
        <w:rPr>
          <w:rFonts w:ascii="宋体" w:hAnsi="宋体" w:cs="宋体" w:eastAsia="宋体" w:hint="default"/>
          <w:b/>
          <w:bCs/>
          <w:w w:val="99"/>
        </w:rPr>
        <w:t> </w:t>
      </w:r>
      <w:r>
        <w:rPr/>
        <w:t>庞宝光女士，中国国籍，汉族，</w:t>
      </w:r>
      <w:r>
        <w:rPr>
          <w:rFonts w:ascii="宋体" w:hAnsi="宋体" w:cs="宋体" w:eastAsia="宋体" w:hint="default"/>
        </w:rPr>
        <w:t>1973</w:t>
      </w:r>
      <w:r>
        <w:rPr/>
        <w:t>年出生，本科学历，经济师，人力资源管理师，商务策划师。</w:t>
      </w:r>
      <w:r>
        <w:rPr>
          <w:rFonts w:ascii="宋体" w:hAnsi="宋体" w:cs="宋体" w:eastAsia="宋体" w:hint="default"/>
        </w:rPr>
        <w:t>1994</w:t>
      </w:r>
      <w:r>
        <w:rPr/>
        <w:t>年</w:t>
      </w:r>
      <w:r>
        <w:rPr>
          <w:rFonts w:ascii="宋体" w:hAnsi="宋体" w:cs="宋体" w:eastAsia="宋体" w:hint="default"/>
        </w:rPr>
        <w:t>8</w:t>
      </w:r>
      <w:r>
        <w:rPr/>
        <w:t>月至</w:t>
      </w:r>
      <w:r>
        <w:rPr>
          <w:rFonts w:ascii="宋体" w:hAnsi="宋体" w:cs="宋体" w:eastAsia="宋体" w:hint="default"/>
        </w:rPr>
        <w:t>2000</w:t>
      </w:r>
    </w:p>
    <w:p>
      <w:pPr>
        <w:pStyle w:val="BodyText"/>
        <w:spacing w:line="240" w:lineRule="auto" w:before="8"/>
        <w:ind w:right="0"/>
        <w:jc w:val="both"/>
      </w:pPr>
      <w:r>
        <w:rPr/>
        <w:t>年</w:t>
      </w:r>
      <w:r>
        <w:rPr>
          <w:rFonts w:ascii="宋体" w:hAnsi="宋体" w:cs="宋体" w:eastAsia="宋体" w:hint="default"/>
        </w:rPr>
        <w:t>4</w:t>
      </w:r>
      <w:r>
        <w:rPr/>
        <w:t>月在广东省茂名市邮电局工作；</w:t>
      </w:r>
      <w:r>
        <w:rPr>
          <w:rFonts w:ascii="宋体" w:hAnsi="宋体" w:cs="宋体" w:eastAsia="宋体" w:hint="default"/>
        </w:rPr>
        <w:t>2000</w:t>
      </w:r>
      <w:r>
        <w:rPr/>
        <w:t>年</w:t>
      </w:r>
      <w:r>
        <w:rPr>
          <w:rFonts w:ascii="宋体" w:hAnsi="宋体" w:cs="宋体" w:eastAsia="宋体" w:hint="default"/>
        </w:rPr>
        <w:t>5</w:t>
      </w:r>
      <w:r>
        <w:rPr/>
        <w:t>月至今在公司人事行政部工作，任公司人事行政部经理，现任公司监事会主席。</w:t>
      </w:r>
    </w:p>
    <w:p>
      <w:pPr>
        <w:spacing w:line="240" w:lineRule="auto" w:before="10"/>
        <w:rPr>
          <w:rFonts w:ascii="宋体" w:hAnsi="宋体" w:cs="宋体" w:eastAsia="宋体" w:hint="default"/>
          <w:sz w:val="17"/>
          <w:szCs w:val="17"/>
        </w:rPr>
      </w:pPr>
    </w:p>
    <w:p>
      <w:pPr>
        <w:pStyle w:val="BodyText"/>
        <w:spacing w:line="316" w:lineRule="auto"/>
        <w:ind w:right="190" w:firstLine="360"/>
        <w:jc w:val="both"/>
      </w:pPr>
      <w:r>
        <w:rPr/>
        <w:t>李超女士，中国国籍，</w:t>
      </w:r>
      <w:r>
        <w:rPr>
          <w:rFonts w:ascii="宋体" w:hAnsi="宋体" w:cs="宋体" w:eastAsia="宋体" w:hint="default"/>
        </w:rPr>
        <w:t>1977</w:t>
      </w:r>
      <w:r>
        <w:rPr/>
        <w:t>年出生，汉族，毕业于中国民用航空大学，本科学历，助理工程师。</w:t>
      </w:r>
      <w:r>
        <w:rPr>
          <w:rFonts w:ascii="宋体" w:hAnsi="宋体" w:cs="宋体" w:eastAsia="宋体" w:hint="default"/>
        </w:rPr>
        <w:t>2000</w:t>
      </w:r>
      <w:r>
        <w:rPr/>
        <w:t>年</w:t>
      </w:r>
      <w:r>
        <w:rPr>
          <w:rFonts w:ascii="宋体" w:hAnsi="宋体" w:cs="宋体" w:eastAsia="宋体" w:hint="default"/>
        </w:rPr>
        <w:t>8</w:t>
      </w:r>
      <w:r>
        <w:rPr/>
        <w:t>月至</w:t>
      </w:r>
      <w:r>
        <w:rPr>
          <w:rFonts w:ascii="宋体" w:hAnsi="宋体" w:cs="宋体" w:eastAsia="宋体" w:hint="default"/>
        </w:rPr>
        <w:t>2000</w:t>
      </w:r>
      <w:r>
        <w:rPr/>
        <w:t>年</w:t>
      </w:r>
      <w:r>
        <w:rPr>
          <w:rFonts w:ascii="宋体" w:hAnsi="宋体" w:cs="宋体" w:eastAsia="宋体" w:hint="default"/>
        </w:rPr>
        <w:t>10</w:t>
      </w:r>
      <w:r>
        <w:rPr>
          <w:rFonts w:ascii="宋体" w:hAnsi="宋体" w:cs="宋体" w:eastAsia="宋体" w:hint="default"/>
          <w:spacing w:val="1"/>
        </w:rPr>
        <w:t> </w:t>
      </w:r>
      <w:r>
        <w:rPr>
          <w:spacing w:val="-2"/>
        </w:rPr>
        <w:t>月在北京市政公司第二分公司任测量员；</w:t>
      </w:r>
      <w:r>
        <w:rPr>
          <w:rFonts w:ascii="宋体" w:hAnsi="宋体" w:cs="宋体" w:eastAsia="宋体" w:hint="default"/>
          <w:spacing w:val="-2"/>
        </w:rPr>
        <w:t>2000</w:t>
      </w:r>
      <w:r>
        <w:rPr>
          <w:spacing w:val="-2"/>
        </w:rPr>
        <w:t>年</w:t>
      </w:r>
      <w:r>
        <w:rPr>
          <w:rFonts w:ascii="宋体" w:hAnsi="宋体" w:cs="宋体" w:eastAsia="宋体" w:hint="default"/>
          <w:spacing w:val="-2"/>
        </w:rPr>
        <w:t>11</w:t>
      </w:r>
      <w:r>
        <w:rPr>
          <w:spacing w:val="-2"/>
        </w:rPr>
        <w:t>月至今在公司客户服务部（后改建为运营管理中心）工作，现任公司运营</w:t>
      </w:r>
      <w:r>
        <w:rPr>
          <w:spacing w:val="-59"/>
        </w:rPr>
        <w:t> </w:t>
      </w:r>
      <w:r>
        <w:rPr>
          <w:spacing w:val="-59"/>
        </w:rPr>
      </w:r>
      <w:r>
        <w:rPr/>
        <w:t>管理中心总监、公司监事。</w:t>
      </w:r>
    </w:p>
    <w:p>
      <w:pPr>
        <w:spacing w:line="240" w:lineRule="auto" w:before="5"/>
        <w:rPr>
          <w:rFonts w:ascii="宋体" w:hAnsi="宋体" w:cs="宋体" w:eastAsia="宋体" w:hint="default"/>
          <w:sz w:val="13"/>
          <w:szCs w:val="13"/>
        </w:rPr>
      </w:pPr>
    </w:p>
    <w:p>
      <w:pPr>
        <w:pStyle w:val="BodyText"/>
        <w:spacing w:line="316" w:lineRule="auto"/>
        <w:ind w:right="193" w:firstLine="360"/>
        <w:jc w:val="both"/>
      </w:pPr>
      <w:r>
        <w:rPr/>
        <w:t>王军辉先生，中国国籍，</w:t>
      </w:r>
      <w:r>
        <w:rPr>
          <w:rFonts w:ascii="宋体" w:hAnsi="宋体" w:cs="宋体" w:eastAsia="宋体" w:hint="default"/>
        </w:rPr>
        <w:t>1984</w:t>
      </w:r>
      <w:r>
        <w:rPr/>
        <w:t>年出生，汉族，毕业于北京师范大学，硕士学位。</w:t>
      </w:r>
      <w:r>
        <w:rPr>
          <w:rFonts w:ascii="宋体" w:hAnsi="宋体" w:cs="宋体" w:eastAsia="宋体" w:hint="default"/>
        </w:rPr>
        <w:t>2008</w:t>
      </w:r>
      <w:r>
        <w:rPr/>
        <w:t>年</w:t>
      </w:r>
      <w:r>
        <w:rPr>
          <w:rFonts w:ascii="宋体" w:hAnsi="宋体" w:cs="宋体" w:eastAsia="宋体" w:hint="default"/>
        </w:rPr>
        <w:t>10</w:t>
      </w:r>
      <w:r>
        <w:rPr/>
        <w:t>月至</w:t>
      </w:r>
      <w:r>
        <w:rPr>
          <w:rFonts w:ascii="宋体" w:hAnsi="宋体" w:cs="宋体" w:eastAsia="宋体" w:hint="default"/>
        </w:rPr>
        <w:t>2009</w:t>
      </w:r>
      <w:r>
        <w:rPr/>
        <w:t>年</w:t>
      </w:r>
      <w:r>
        <w:rPr>
          <w:rFonts w:ascii="宋体" w:hAnsi="宋体" w:cs="宋体" w:eastAsia="宋体" w:hint="default"/>
        </w:rPr>
        <w:t>6</w:t>
      </w:r>
      <w:r>
        <w:rPr/>
        <w:t>月在北京法意科 技有限公司担任法律编辑；</w:t>
      </w:r>
      <w:r>
        <w:rPr>
          <w:rFonts w:ascii="宋体" w:hAnsi="宋体" w:cs="宋体" w:eastAsia="宋体" w:hint="default"/>
        </w:rPr>
        <w:t>2009</w:t>
      </w:r>
      <w:r>
        <w:rPr/>
        <w:t>年</w:t>
      </w:r>
      <w:r>
        <w:rPr>
          <w:rFonts w:ascii="宋体" w:hAnsi="宋体" w:cs="宋体" w:eastAsia="宋体" w:hint="default"/>
        </w:rPr>
        <w:t>7</w:t>
      </w:r>
      <w:r>
        <w:rPr/>
        <w:t>月至</w:t>
      </w:r>
      <w:r>
        <w:rPr>
          <w:rFonts w:ascii="宋体" w:hAnsi="宋体" w:cs="宋体" w:eastAsia="宋体" w:hint="default"/>
        </w:rPr>
        <w:t>2010</w:t>
      </w:r>
      <w:r>
        <w:rPr/>
        <w:t>年</w:t>
      </w:r>
      <w:r>
        <w:rPr>
          <w:rFonts w:ascii="宋体" w:hAnsi="宋体" w:cs="宋体" w:eastAsia="宋体" w:hint="default"/>
        </w:rPr>
        <w:t>8</w:t>
      </w:r>
      <w:r>
        <w:rPr/>
        <w:t>月在北京市勤道律师事务所担任律师助理；</w:t>
      </w:r>
      <w:r>
        <w:rPr>
          <w:rFonts w:ascii="宋体" w:hAnsi="宋体" w:cs="宋体" w:eastAsia="宋体" w:hint="default"/>
        </w:rPr>
        <w:t>2012</w:t>
      </w:r>
      <w:r>
        <w:rPr/>
        <w:t>年</w:t>
      </w:r>
      <w:r>
        <w:rPr>
          <w:rFonts w:ascii="宋体" w:hAnsi="宋体" w:cs="宋体" w:eastAsia="宋体" w:hint="default"/>
        </w:rPr>
        <w:t>7</w:t>
      </w:r>
      <w:r>
        <w:rPr/>
        <w:t>月至今在公司担任总裁 法务助理。</w:t>
      </w:r>
    </w:p>
    <w:p>
      <w:pPr>
        <w:spacing w:line="240" w:lineRule="auto" w:before="5"/>
        <w:rPr>
          <w:rFonts w:ascii="宋体" w:hAnsi="宋体" w:cs="宋体" w:eastAsia="宋体" w:hint="default"/>
          <w:sz w:val="13"/>
          <w:szCs w:val="13"/>
        </w:rPr>
      </w:pPr>
    </w:p>
    <w:p>
      <w:pPr>
        <w:spacing w:line="477" w:lineRule="auto" w:before="0"/>
        <w:ind w:left="513" w:right="3873" w:firstLine="0"/>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z w:val="18"/>
          <w:szCs w:val="18"/>
        </w:rPr>
        <w:t>、公司现任高级管理人员任职情况</w:t>
      </w:r>
      <w:r>
        <w:rPr>
          <w:rFonts w:ascii="宋体" w:hAnsi="宋体" w:cs="宋体" w:eastAsia="宋体" w:hint="default"/>
          <w:b/>
          <w:bCs/>
          <w:w w:val="99"/>
          <w:sz w:val="18"/>
          <w:szCs w:val="18"/>
        </w:rPr>
        <w:t> </w:t>
      </w:r>
      <w:r>
        <w:rPr>
          <w:rFonts w:ascii="宋体" w:hAnsi="宋体" w:cs="宋体" w:eastAsia="宋体" w:hint="default"/>
          <w:sz w:val="18"/>
          <w:szCs w:val="18"/>
        </w:rPr>
        <w:t>杨宇航先生，现任公司总裁，请参见本节“现任公司董事任期情况”。</w:t>
      </w:r>
    </w:p>
    <w:p>
      <w:pPr>
        <w:pStyle w:val="BodyText"/>
        <w:spacing w:line="316" w:lineRule="auto" w:before="54"/>
        <w:ind w:right="184" w:firstLine="360"/>
        <w:jc w:val="left"/>
      </w:pPr>
      <w:r>
        <w:rPr/>
        <w:t>侯焰女士，中国国籍，无永久境外居留权，</w:t>
      </w:r>
      <w:r>
        <w:rPr>
          <w:rFonts w:ascii="宋体" w:hAnsi="宋体" w:cs="宋体" w:eastAsia="宋体" w:hint="default"/>
        </w:rPr>
        <w:t>1966</w:t>
      </w:r>
      <w:r>
        <w:rPr/>
        <w:t>年出生，汉族，毕业于中国科技信息研究所，硕士学历。</w:t>
      </w:r>
      <w:r>
        <w:rPr>
          <w:rFonts w:ascii="宋体" w:hAnsi="宋体" w:cs="宋体" w:eastAsia="宋体" w:hint="default"/>
        </w:rPr>
        <w:t>1992</w:t>
      </w:r>
      <w:r>
        <w:rPr/>
        <w:t>年</w:t>
      </w:r>
      <w:r>
        <w:rPr>
          <w:rFonts w:ascii="宋体" w:hAnsi="宋体" w:cs="宋体" w:eastAsia="宋体" w:hint="default"/>
        </w:rPr>
        <w:t>8</w:t>
      </w:r>
      <w:r>
        <w:rPr/>
        <w:t>月至 </w:t>
      </w:r>
      <w:r>
        <w:rPr>
          <w:rFonts w:ascii="宋体" w:hAnsi="宋体" w:cs="宋体" w:eastAsia="宋体" w:hint="default"/>
        </w:rPr>
        <w:t>1995</w:t>
      </w:r>
      <w:r>
        <w:rPr/>
        <w:t>年</w:t>
      </w:r>
      <w:r>
        <w:rPr>
          <w:rFonts w:ascii="宋体" w:hAnsi="宋体" w:cs="宋体" w:eastAsia="宋体" w:hint="default"/>
        </w:rPr>
        <w:t>12</w:t>
      </w:r>
      <w:r>
        <w:rPr/>
        <w:t>月在中国科技情报研究所国家科委成果管理办公室工作；</w:t>
      </w:r>
      <w:r>
        <w:rPr>
          <w:rFonts w:ascii="宋体" w:hAnsi="宋体" w:cs="宋体" w:eastAsia="宋体" w:hint="default"/>
        </w:rPr>
        <w:t>1996</w:t>
      </w:r>
      <w:r>
        <w:rPr/>
        <w:t>年</w:t>
      </w:r>
      <w:r>
        <w:rPr>
          <w:rFonts w:ascii="宋体" w:hAnsi="宋体" w:cs="宋体" w:eastAsia="宋体" w:hint="default"/>
        </w:rPr>
        <w:t>1</w:t>
      </w:r>
      <w:r>
        <w:rPr/>
        <w:t>月至</w:t>
      </w:r>
      <w:r>
        <w:rPr>
          <w:rFonts w:ascii="宋体" w:hAnsi="宋体" w:cs="宋体" w:eastAsia="宋体" w:hint="default"/>
        </w:rPr>
        <w:t>1998</w:t>
      </w:r>
      <w:r>
        <w:rPr/>
        <w:t>年</w:t>
      </w:r>
      <w:r>
        <w:rPr>
          <w:rFonts w:ascii="宋体" w:hAnsi="宋体" w:cs="宋体" w:eastAsia="宋体" w:hint="default"/>
        </w:rPr>
        <w:t>11</w:t>
      </w:r>
      <w:r>
        <w:rPr/>
        <w:t>月在中国新兴进出口总公司工作；</w:t>
      </w:r>
    </w:p>
    <w:p>
      <w:pPr>
        <w:pStyle w:val="BodyText"/>
        <w:spacing w:line="316" w:lineRule="auto" w:before="19"/>
        <w:ind w:right="190"/>
        <w:jc w:val="both"/>
      </w:pPr>
      <w:r>
        <w:rPr>
          <w:rFonts w:ascii="宋体" w:hAnsi="宋体" w:cs="宋体" w:eastAsia="宋体" w:hint="default"/>
        </w:rPr>
        <w:t>1998</w:t>
      </w:r>
      <w:r>
        <w:rPr/>
        <w:t>年</w:t>
      </w:r>
      <w:r>
        <w:rPr>
          <w:rFonts w:ascii="宋体" w:hAnsi="宋体" w:cs="宋体" w:eastAsia="宋体" w:hint="default"/>
        </w:rPr>
        <w:t>12</w:t>
      </w:r>
      <w:r>
        <w:rPr/>
        <w:t>月至</w:t>
      </w:r>
      <w:r>
        <w:rPr>
          <w:rFonts w:ascii="宋体" w:hAnsi="宋体" w:cs="宋体" w:eastAsia="宋体" w:hint="default"/>
        </w:rPr>
        <w:t>2000</w:t>
      </w:r>
      <w:r>
        <w:rPr/>
        <w:t>年</w:t>
      </w:r>
      <w:r>
        <w:rPr>
          <w:rFonts w:ascii="宋体" w:hAnsi="宋体" w:cs="宋体" w:eastAsia="宋体" w:hint="default"/>
        </w:rPr>
        <w:t>10</w:t>
      </w:r>
      <w:r>
        <w:rPr/>
        <w:t>月在北京九瑞科技有限公司任渠道和市场部经理；</w:t>
      </w:r>
      <w:r>
        <w:rPr>
          <w:rFonts w:ascii="宋体" w:hAnsi="宋体" w:cs="宋体" w:eastAsia="宋体" w:hint="default"/>
        </w:rPr>
        <w:t>2008</w:t>
      </w:r>
      <w:r>
        <w:rPr/>
        <w:t>年</w:t>
      </w:r>
      <w:r>
        <w:rPr>
          <w:rFonts w:ascii="宋体" w:hAnsi="宋体" w:cs="宋体" w:eastAsia="宋体" w:hint="default"/>
        </w:rPr>
        <w:t>1</w:t>
      </w:r>
      <w:r>
        <w:rPr/>
        <w:t>月至今在光环云谷科技有限公司担任副总 </w:t>
      </w:r>
      <w:r>
        <w:rPr>
          <w:spacing w:val="-2"/>
        </w:rPr>
        <w:t>经理；</w:t>
      </w:r>
      <w:r>
        <w:rPr>
          <w:rFonts w:ascii="宋体" w:hAnsi="宋体" w:cs="宋体" w:eastAsia="宋体" w:hint="default"/>
          <w:spacing w:val="-2"/>
        </w:rPr>
        <w:t>2000</w:t>
      </w:r>
      <w:r>
        <w:rPr>
          <w:spacing w:val="-2"/>
        </w:rPr>
        <w:t>年</w:t>
      </w:r>
      <w:r>
        <w:rPr>
          <w:rFonts w:ascii="宋体" w:hAnsi="宋体" w:cs="宋体" w:eastAsia="宋体" w:hint="default"/>
          <w:spacing w:val="-2"/>
        </w:rPr>
        <w:t>12</w:t>
      </w:r>
      <w:r>
        <w:rPr>
          <w:spacing w:val="-2"/>
        </w:rPr>
        <w:t>月到</w:t>
      </w:r>
      <w:r>
        <w:rPr>
          <w:rFonts w:ascii="宋体" w:hAnsi="宋体" w:cs="宋体" w:eastAsia="宋体" w:hint="default"/>
          <w:spacing w:val="-2"/>
        </w:rPr>
        <w:t>2001</w:t>
      </w:r>
      <w:r>
        <w:rPr>
          <w:spacing w:val="-2"/>
        </w:rPr>
        <w:t>年</w:t>
      </w:r>
      <w:r>
        <w:rPr>
          <w:rFonts w:ascii="宋体" w:hAnsi="宋体" w:cs="宋体" w:eastAsia="宋体" w:hint="default"/>
          <w:spacing w:val="-2"/>
        </w:rPr>
        <w:t>9</w:t>
      </w:r>
      <w:r>
        <w:rPr>
          <w:spacing w:val="-2"/>
        </w:rPr>
        <w:t>月在公司任总经理助理，</w:t>
      </w:r>
      <w:r>
        <w:rPr>
          <w:rFonts w:ascii="宋体" w:hAnsi="宋体" w:cs="宋体" w:eastAsia="宋体" w:hint="default"/>
          <w:spacing w:val="-2"/>
        </w:rPr>
        <w:t>2001</w:t>
      </w:r>
      <w:r>
        <w:rPr>
          <w:spacing w:val="-2"/>
        </w:rPr>
        <w:t>年</w:t>
      </w:r>
      <w:r>
        <w:rPr>
          <w:rFonts w:ascii="宋体" w:hAnsi="宋体" w:cs="宋体" w:eastAsia="宋体" w:hint="default"/>
          <w:spacing w:val="-2"/>
        </w:rPr>
        <w:t>9</w:t>
      </w:r>
      <w:r>
        <w:rPr>
          <w:spacing w:val="-2"/>
        </w:rPr>
        <w:t>月至今任公司副总裁，负责企业采购管理、人事行政管理和合</w:t>
      </w:r>
      <w:r>
        <w:rPr>
          <w:spacing w:val="-55"/>
        </w:rPr>
        <w:t> </w:t>
      </w:r>
      <w:r>
        <w:rPr>
          <w:spacing w:val="-55"/>
        </w:rPr>
      </w:r>
      <w:r>
        <w:rPr/>
        <w:t>同管理等工作。</w:t>
      </w:r>
    </w:p>
    <w:p>
      <w:pPr>
        <w:spacing w:line="240" w:lineRule="auto" w:before="5"/>
        <w:rPr>
          <w:rFonts w:ascii="宋体" w:hAnsi="宋体" w:cs="宋体" w:eastAsia="宋体" w:hint="default"/>
          <w:sz w:val="13"/>
          <w:szCs w:val="13"/>
        </w:rPr>
      </w:pPr>
    </w:p>
    <w:p>
      <w:pPr>
        <w:pStyle w:val="BodyText"/>
        <w:spacing w:line="319" w:lineRule="auto"/>
        <w:ind w:right="106" w:firstLine="360"/>
        <w:jc w:val="left"/>
      </w:pPr>
      <w:r>
        <w:rPr/>
        <w:t>陈浩先生，中国国籍，无永久境外居留权，</w:t>
      </w:r>
      <w:r>
        <w:rPr>
          <w:rFonts w:ascii="宋体" w:hAnsi="宋体" w:cs="宋体" w:eastAsia="宋体" w:hint="default"/>
        </w:rPr>
        <w:t>1970</w:t>
      </w:r>
      <w:r>
        <w:rPr/>
        <w:t>年出生，汉族，毕业于太原机械学院，本科学历，高级工程师。</w:t>
      </w:r>
      <w:r>
        <w:rPr>
          <w:rFonts w:ascii="宋体" w:hAnsi="宋体" w:cs="宋体" w:eastAsia="宋体" w:hint="default"/>
        </w:rPr>
        <w:t>1993 </w:t>
      </w:r>
      <w:r>
        <w:rPr>
          <w:spacing w:val="-2"/>
        </w:rPr>
        <w:t>年</w:t>
      </w:r>
      <w:r>
        <w:rPr>
          <w:rFonts w:ascii="宋体" w:hAnsi="宋体" w:cs="宋体" w:eastAsia="宋体" w:hint="default"/>
          <w:spacing w:val="-2"/>
        </w:rPr>
        <w:t>7</w:t>
      </w:r>
      <w:r>
        <w:rPr>
          <w:spacing w:val="-2"/>
        </w:rPr>
        <w:t>月至</w:t>
      </w:r>
      <w:r>
        <w:rPr>
          <w:rFonts w:ascii="宋体" w:hAnsi="宋体" w:cs="宋体" w:eastAsia="宋体" w:hint="default"/>
          <w:spacing w:val="-2"/>
        </w:rPr>
        <w:t>1999</w:t>
      </w:r>
      <w:r>
        <w:rPr>
          <w:spacing w:val="-2"/>
        </w:rPr>
        <w:t>年</w:t>
      </w:r>
      <w:r>
        <w:rPr>
          <w:rFonts w:ascii="宋体" w:hAnsi="宋体" w:cs="宋体" w:eastAsia="宋体" w:hint="default"/>
          <w:spacing w:val="-2"/>
        </w:rPr>
        <w:t>11</w:t>
      </w:r>
      <w:r>
        <w:rPr>
          <w:spacing w:val="-2"/>
        </w:rPr>
        <w:t>月在中信机电公司任总体室工程师；</w:t>
      </w:r>
      <w:r>
        <w:rPr>
          <w:rFonts w:ascii="宋体" w:hAnsi="宋体" w:cs="宋体" w:eastAsia="宋体" w:hint="default"/>
          <w:spacing w:val="-2"/>
        </w:rPr>
        <w:t>2008</w:t>
      </w:r>
      <w:r>
        <w:rPr>
          <w:spacing w:val="-2"/>
        </w:rPr>
        <w:t>年</w:t>
      </w:r>
      <w:r>
        <w:rPr>
          <w:rFonts w:ascii="宋体" w:hAnsi="宋体" w:cs="宋体" w:eastAsia="宋体" w:hint="default"/>
          <w:spacing w:val="-2"/>
        </w:rPr>
        <w:t>1</w:t>
      </w:r>
      <w:r>
        <w:rPr>
          <w:spacing w:val="-2"/>
        </w:rPr>
        <w:t>月至今在光环云谷科技有限公司担任副总经理；</w:t>
      </w:r>
      <w:r>
        <w:rPr>
          <w:rFonts w:ascii="宋体" w:hAnsi="宋体" w:cs="宋体" w:eastAsia="宋体" w:hint="default"/>
          <w:spacing w:val="-2"/>
        </w:rPr>
        <w:t>2008</w:t>
      </w:r>
      <w:r>
        <w:rPr>
          <w:spacing w:val="-2"/>
        </w:rPr>
        <w:t>年</w:t>
      </w:r>
      <w:r>
        <w:rPr>
          <w:rFonts w:ascii="宋体" w:hAnsi="宋体" w:cs="宋体" w:eastAsia="宋体" w:hint="default"/>
          <w:spacing w:val="-2"/>
        </w:rPr>
        <w:t>11</w:t>
      </w:r>
      <w:r>
        <w:rPr>
          <w:spacing w:val="-2"/>
        </w:rPr>
        <w:t>月至</w:t>
      </w:r>
      <w:r>
        <w:rPr>
          <w:spacing w:val="-57"/>
        </w:rPr>
        <w:t> </w:t>
      </w:r>
      <w:r>
        <w:rPr>
          <w:spacing w:val="-2"/>
        </w:rPr>
        <w:t>今在西安博凯创达数字科技有限公司担任监事；</w:t>
      </w:r>
      <w:r>
        <w:rPr>
          <w:rFonts w:ascii="宋体" w:hAnsi="宋体" w:cs="宋体" w:eastAsia="宋体" w:hint="default"/>
          <w:spacing w:val="-2"/>
        </w:rPr>
        <w:t>1999</w:t>
      </w:r>
      <w:r>
        <w:rPr>
          <w:spacing w:val="-2"/>
        </w:rPr>
        <w:t>年</w:t>
      </w:r>
      <w:r>
        <w:rPr>
          <w:rFonts w:ascii="宋体" w:hAnsi="宋体" w:cs="宋体" w:eastAsia="宋体" w:hint="default"/>
          <w:spacing w:val="-2"/>
        </w:rPr>
        <w:t>11</w:t>
      </w:r>
      <w:r>
        <w:rPr>
          <w:spacing w:val="-2"/>
        </w:rPr>
        <w:t>月至今在公司技术部门工作，现任公司副总裁，负责技术管理及售</w:t>
      </w:r>
      <w:r>
        <w:rPr>
          <w:spacing w:val="-59"/>
        </w:rPr>
        <w:t> </w:t>
      </w:r>
      <w:r>
        <w:rPr>
          <w:spacing w:val="-59"/>
        </w:rPr>
      </w:r>
      <w:r>
        <w:rPr/>
        <w:t>后服务等工作。</w:t>
      </w:r>
    </w:p>
    <w:p>
      <w:pPr>
        <w:spacing w:line="240" w:lineRule="auto" w:before="3"/>
        <w:rPr>
          <w:rFonts w:ascii="宋体" w:hAnsi="宋体" w:cs="宋体" w:eastAsia="宋体" w:hint="default"/>
          <w:sz w:val="13"/>
          <w:szCs w:val="13"/>
        </w:rPr>
      </w:pPr>
    </w:p>
    <w:p>
      <w:pPr>
        <w:pStyle w:val="BodyText"/>
        <w:spacing w:line="316" w:lineRule="auto"/>
        <w:ind w:right="184" w:firstLine="360"/>
        <w:jc w:val="left"/>
      </w:pPr>
      <w:r>
        <w:rPr>
          <w:spacing w:val="-2"/>
        </w:rPr>
        <w:t>齐顺杰先生，中国国籍，无永久境外居留权，</w:t>
      </w:r>
      <w:r>
        <w:rPr>
          <w:rFonts w:ascii="宋体" w:hAnsi="宋体" w:cs="宋体" w:eastAsia="宋体" w:hint="default"/>
          <w:spacing w:val="-2"/>
        </w:rPr>
        <w:t>1968</w:t>
      </w:r>
      <w:r>
        <w:rPr>
          <w:spacing w:val="-2"/>
        </w:rPr>
        <w:t>年出生，汉族，中共党员，毕业于美国德克萨斯阿灵顿商学院，硕士</w:t>
      </w:r>
      <w:r>
        <w:rPr/>
        <w:t> </w:t>
      </w:r>
      <w:r>
        <w:rPr>
          <w:spacing w:val="-2"/>
        </w:rPr>
        <w:t>学历。</w:t>
      </w:r>
      <w:r>
        <w:rPr>
          <w:rFonts w:ascii="宋体" w:hAnsi="宋体" w:cs="宋体" w:eastAsia="宋体" w:hint="default"/>
          <w:spacing w:val="-2"/>
        </w:rPr>
        <w:t>1990</w:t>
      </w:r>
      <w:r>
        <w:rPr>
          <w:spacing w:val="-2"/>
        </w:rPr>
        <w:t>年</w:t>
      </w:r>
      <w:r>
        <w:rPr>
          <w:rFonts w:ascii="宋体" w:hAnsi="宋体" w:cs="宋体" w:eastAsia="宋体" w:hint="default"/>
          <w:spacing w:val="-2"/>
        </w:rPr>
        <w:t>5</w:t>
      </w:r>
      <w:r>
        <w:rPr>
          <w:spacing w:val="-2"/>
        </w:rPr>
        <w:t>至</w:t>
      </w:r>
      <w:r>
        <w:rPr>
          <w:rFonts w:ascii="宋体" w:hAnsi="宋体" w:cs="宋体" w:eastAsia="宋体" w:hint="default"/>
          <w:spacing w:val="-2"/>
        </w:rPr>
        <w:t>1995</w:t>
      </w:r>
      <w:r>
        <w:rPr>
          <w:spacing w:val="-2"/>
        </w:rPr>
        <w:t>年</w:t>
      </w:r>
      <w:r>
        <w:rPr>
          <w:rFonts w:ascii="宋体" w:hAnsi="宋体" w:cs="宋体" w:eastAsia="宋体" w:hint="default"/>
          <w:spacing w:val="-2"/>
        </w:rPr>
        <w:t>2</w:t>
      </w:r>
      <w:r>
        <w:rPr>
          <w:spacing w:val="-2"/>
        </w:rPr>
        <w:t>月在顶新集团下属北京顶好制油有限公司从事销售工作；</w:t>
      </w:r>
      <w:r>
        <w:rPr>
          <w:rFonts w:ascii="宋体" w:hAnsi="宋体" w:cs="宋体" w:eastAsia="宋体" w:hint="default"/>
          <w:spacing w:val="-2"/>
        </w:rPr>
        <w:t>1995</w:t>
      </w:r>
      <w:r>
        <w:rPr>
          <w:spacing w:val="-2"/>
        </w:rPr>
        <w:t>年</w:t>
      </w:r>
      <w:r>
        <w:rPr>
          <w:rFonts w:ascii="宋体" w:hAnsi="宋体" w:cs="宋体" w:eastAsia="宋体" w:hint="default"/>
          <w:spacing w:val="-2"/>
        </w:rPr>
        <w:t>6</w:t>
      </w:r>
      <w:r>
        <w:rPr>
          <w:spacing w:val="-2"/>
        </w:rPr>
        <w:t>月至</w:t>
      </w:r>
      <w:r>
        <w:rPr>
          <w:rFonts w:ascii="宋体" w:hAnsi="宋体" w:cs="宋体" w:eastAsia="宋体" w:hint="default"/>
          <w:spacing w:val="-2"/>
        </w:rPr>
        <w:t>1998</w:t>
      </w:r>
      <w:r>
        <w:rPr>
          <w:spacing w:val="-2"/>
        </w:rPr>
        <w:t>年</w:t>
      </w:r>
      <w:r>
        <w:rPr>
          <w:rFonts w:ascii="宋体" w:hAnsi="宋体" w:cs="宋体" w:eastAsia="宋体" w:hint="default"/>
          <w:spacing w:val="-2"/>
        </w:rPr>
        <w:t>3</w:t>
      </w:r>
      <w:r>
        <w:rPr>
          <w:spacing w:val="-2"/>
        </w:rPr>
        <w:t>月在宝隆洋行</w:t>
      </w:r>
      <w:r>
        <w:rPr>
          <w:rFonts w:ascii="宋体" w:hAnsi="宋体" w:cs="宋体" w:eastAsia="宋体" w:hint="default"/>
          <w:spacing w:val="-2"/>
        </w:rPr>
        <w:t>(</w:t>
      </w:r>
      <w:r>
        <w:rPr>
          <w:spacing w:val="-2"/>
        </w:rPr>
        <w:t>中国</w:t>
      </w:r>
      <w:r>
        <w:rPr>
          <w:rFonts w:ascii="宋体" w:hAnsi="宋体" w:cs="宋体" w:eastAsia="宋体" w:hint="default"/>
          <w:spacing w:val="-2"/>
        </w:rPr>
        <w:t>)</w:t>
      </w:r>
      <w:r>
        <w:rPr>
          <w:rFonts w:ascii="宋体" w:hAnsi="宋体" w:cs="宋体" w:eastAsia="宋体" w:hint="default"/>
          <w:spacing w:val="-52"/>
        </w:rPr>
        <w:t> </w:t>
      </w:r>
      <w:r>
        <w:rPr/>
        <w:t>有限公司行销服务部从事销售工作；</w:t>
      </w:r>
      <w:r>
        <w:rPr>
          <w:rFonts w:ascii="宋体" w:hAnsi="宋体" w:cs="宋体" w:eastAsia="宋体" w:hint="default"/>
        </w:rPr>
        <w:t>1998</w:t>
      </w:r>
      <w:r>
        <w:rPr/>
        <w:t>年</w:t>
      </w:r>
      <w:r>
        <w:rPr>
          <w:rFonts w:ascii="宋体" w:hAnsi="宋体" w:cs="宋体" w:eastAsia="宋体" w:hint="default"/>
        </w:rPr>
        <w:t>3</w:t>
      </w:r>
      <w:r>
        <w:rPr/>
        <w:t>月至</w:t>
      </w:r>
      <w:r>
        <w:rPr>
          <w:rFonts w:ascii="宋体" w:hAnsi="宋体" w:cs="宋体" w:eastAsia="宋体" w:hint="default"/>
        </w:rPr>
        <w:t>1999</w:t>
      </w:r>
      <w:r>
        <w:rPr/>
        <w:t>年</w:t>
      </w:r>
      <w:r>
        <w:rPr>
          <w:rFonts w:ascii="宋体" w:hAnsi="宋体" w:cs="宋体" w:eastAsia="宋体" w:hint="default"/>
        </w:rPr>
        <w:t>2</w:t>
      </w:r>
      <w:r>
        <w:rPr/>
        <w:t>月在张家口联合利华有限公司任销售经理；</w:t>
      </w:r>
      <w:r>
        <w:rPr>
          <w:rFonts w:ascii="宋体" w:hAnsi="宋体" w:cs="宋体" w:eastAsia="宋体" w:hint="default"/>
        </w:rPr>
        <w:t>1999</w:t>
      </w:r>
      <w:r>
        <w:rPr/>
        <w:t>年</w:t>
      </w:r>
      <w:r>
        <w:rPr>
          <w:rFonts w:ascii="宋体" w:hAnsi="宋体" w:cs="宋体" w:eastAsia="宋体" w:hint="default"/>
        </w:rPr>
        <w:t>2</w:t>
      </w:r>
      <w:r>
        <w:rPr/>
        <w:t>月至</w:t>
      </w:r>
      <w:r>
        <w:rPr>
          <w:rFonts w:ascii="宋体" w:hAnsi="宋体" w:cs="宋体" w:eastAsia="宋体" w:hint="default"/>
        </w:rPr>
        <w:t>2001</w:t>
      </w:r>
      <w:r>
        <w:rPr/>
        <w:t>年</w:t>
      </w:r>
      <w:r>
        <w:rPr>
          <w:rFonts w:ascii="宋体" w:hAnsi="宋体" w:cs="宋体" w:eastAsia="宋体" w:hint="default"/>
        </w:rPr>
        <w:t>5 </w:t>
      </w:r>
      <w:r>
        <w:rPr/>
        <w:t>月，在联合利华（中国）有限公司任中国北方区销售经理；</w:t>
      </w:r>
      <w:r>
        <w:rPr>
          <w:rFonts w:ascii="宋体" w:hAnsi="宋体" w:cs="宋体" w:eastAsia="宋体" w:hint="default"/>
        </w:rPr>
        <w:t>2001</w:t>
      </w:r>
      <w:r>
        <w:rPr/>
        <w:t>年</w:t>
      </w:r>
      <w:r>
        <w:rPr>
          <w:rFonts w:ascii="宋体" w:hAnsi="宋体" w:cs="宋体" w:eastAsia="宋体" w:hint="default"/>
        </w:rPr>
        <w:t>5</w:t>
      </w:r>
      <w:r>
        <w:rPr/>
        <w:t>月至</w:t>
      </w:r>
      <w:r>
        <w:rPr>
          <w:rFonts w:ascii="宋体" w:hAnsi="宋体" w:cs="宋体" w:eastAsia="宋体" w:hint="default"/>
        </w:rPr>
        <w:t>2004</w:t>
      </w:r>
      <w:r>
        <w:rPr/>
        <w:t>年</w:t>
      </w:r>
      <w:r>
        <w:rPr>
          <w:rFonts w:ascii="宋体" w:hAnsi="宋体" w:cs="宋体" w:eastAsia="宋体" w:hint="default"/>
        </w:rPr>
        <w:t>12</w:t>
      </w:r>
      <w:r>
        <w:rPr/>
        <w:t>月，在意大利帕玛拉特乳品（中国）任中 </w:t>
      </w:r>
      <w:r>
        <w:rPr>
          <w:spacing w:val="-2"/>
        </w:rPr>
        <w:t>国区销售总监；</w:t>
      </w:r>
      <w:r>
        <w:rPr>
          <w:rFonts w:ascii="宋体" w:hAnsi="宋体" w:cs="宋体" w:eastAsia="宋体" w:hint="default"/>
          <w:spacing w:val="-2"/>
        </w:rPr>
        <w:t>2015</w:t>
      </w:r>
      <w:r>
        <w:rPr>
          <w:spacing w:val="-2"/>
        </w:rPr>
        <w:t>年</w:t>
      </w:r>
      <w:r>
        <w:rPr>
          <w:rFonts w:ascii="宋体" w:hAnsi="宋体" w:cs="宋体" w:eastAsia="宋体" w:hint="default"/>
          <w:spacing w:val="-2"/>
        </w:rPr>
        <w:t>6</w:t>
      </w:r>
      <w:r>
        <w:rPr>
          <w:spacing w:val="-2"/>
        </w:rPr>
        <w:t>月至今在北京华爱光环科技有限公司担任总经理；</w:t>
      </w:r>
      <w:r>
        <w:rPr>
          <w:rFonts w:ascii="宋体" w:hAnsi="宋体" w:cs="宋体" w:eastAsia="宋体" w:hint="default"/>
          <w:spacing w:val="-2"/>
        </w:rPr>
        <w:t>2005</w:t>
      </w:r>
      <w:r>
        <w:rPr>
          <w:spacing w:val="-2"/>
        </w:rPr>
        <w:t>年</w:t>
      </w:r>
      <w:r>
        <w:rPr>
          <w:rFonts w:ascii="宋体" w:hAnsi="宋体" w:cs="宋体" w:eastAsia="宋体" w:hint="default"/>
          <w:spacing w:val="-2"/>
        </w:rPr>
        <w:t>3</w:t>
      </w:r>
      <w:r>
        <w:rPr>
          <w:spacing w:val="-2"/>
        </w:rPr>
        <w:t>月至今担任公司副总裁，目前负责拓展市</w:t>
      </w:r>
      <w:r>
        <w:rPr>
          <w:spacing w:val="-59"/>
        </w:rPr>
        <w:t> </w:t>
      </w:r>
      <w:r>
        <w:rPr>
          <w:spacing w:val="-59"/>
        </w:rPr>
      </w:r>
      <w:r>
        <w:rPr/>
        <w:t>场、开发新业务、企业形象宣传及其它相关外联及协调工作。</w:t>
      </w:r>
    </w:p>
    <w:p>
      <w:pPr>
        <w:spacing w:line="240" w:lineRule="auto" w:before="5"/>
        <w:rPr>
          <w:rFonts w:ascii="宋体" w:hAnsi="宋体" w:cs="宋体" w:eastAsia="宋体" w:hint="default"/>
          <w:sz w:val="13"/>
          <w:szCs w:val="13"/>
        </w:rPr>
      </w:pPr>
    </w:p>
    <w:p>
      <w:pPr>
        <w:pStyle w:val="BodyText"/>
        <w:spacing w:line="319" w:lineRule="auto"/>
        <w:ind w:right="184" w:firstLine="360"/>
        <w:jc w:val="left"/>
      </w:pPr>
      <w:r>
        <w:rPr/>
        <w:t>耿岩先生，中国国籍，无永久境外居留权，</w:t>
      </w:r>
      <w:r>
        <w:rPr>
          <w:rFonts w:ascii="宋体" w:hAnsi="宋体" w:cs="宋体" w:eastAsia="宋体" w:hint="default"/>
        </w:rPr>
        <w:t>1980</w:t>
      </w:r>
      <w:r>
        <w:rPr/>
        <w:t>年出生，汉族，毕业于吉林农业大学，本科学历，助理工程师。</w:t>
      </w:r>
      <w:r>
        <w:rPr>
          <w:rFonts w:ascii="宋体" w:hAnsi="宋体" w:cs="宋体" w:eastAsia="宋体" w:hint="default"/>
        </w:rPr>
        <w:t>2001 </w:t>
      </w:r>
      <w:r>
        <w:rPr/>
        <w:t>年</w:t>
      </w:r>
      <w:r>
        <w:rPr>
          <w:rFonts w:ascii="宋体" w:hAnsi="宋体" w:cs="宋体" w:eastAsia="宋体" w:hint="default"/>
        </w:rPr>
        <w:t>9</w:t>
      </w:r>
      <w:r>
        <w:rPr/>
        <w:t>月至今在公司市场部工作，现任公司副总裁。自</w:t>
      </w:r>
      <w:r>
        <w:rPr>
          <w:rFonts w:ascii="宋体" w:hAnsi="宋体" w:cs="宋体" w:eastAsia="宋体" w:hint="default"/>
        </w:rPr>
        <w:t>2005</w:t>
      </w:r>
      <w:r>
        <w:rPr/>
        <w:t>年</w:t>
      </w:r>
      <w:r>
        <w:rPr>
          <w:rFonts w:ascii="宋体" w:hAnsi="宋体" w:cs="宋体" w:eastAsia="宋体" w:hint="default"/>
        </w:rPr>
        <w:t>8</w:t>
      </w:r>
      <w:r>
        <w:rPr/>
        <w:t>月至</w:t>
      </w:r>
      <w:r>
        <w:rPr>
          <w:rFonts w:ascii="宋体" w:hAnsi="宋体" w:cs="宋体" w:eastAsia="宋体" w:hint="default"/>
        </w:rPr>
        <w:t>2014</w:t>
      </w:r>
      <w:r>
        <w:rPr/>
        <w:t>年</w:t>
      </w:r>
      <w:r>
        <w:rPr>
          <w:rFonts w:ascii="宋体" w:hAnsi="宋体" w:cs="宋体" w:eastAsia="宋体" w:hint="default"/>
        </w:rPr>
        <w:t>9</w:t>
      </w:r>
      <w:r>
        <w:rPr/>
        <w:t>月担任北京光环恒通数字技术有限公司董事长兼总 经理，为该公司法定代表人；自</w:t>
      </w:r>
      <w:r>
        <w:rPr>
          <w:rFonts w:ascii="宋体" w:hAnsi="宋体" w:cs="宋体" w:eastAsia="宋体" w:hint="default"/>
        </w:rPr>
        <w:t>2008</w:t>
      </w:r>
      <w:r>
        <w:rPr/>
        <w:t>年</w:t>
      </w:r>
      <w:r>
        <w:rPr>
          <w:rFonts w:ascii="宋体" w:hAnsi="宋体" w:cs="宋体" w:eastAsia="宋体" w:hint="default"/>
        </w:rPr>
        <w:t>1</w:t>
      </w:r>
      <w:r>
        <w:rPr/>
        <w:t>月至今担任光环云谷科技有限公司执行董事，为该公司法定代表人；自</w:t>
      </w:r>
      <w:r>
        <w:rPr>
          <w:rFonts w:ascii="宋体" w:hAnsi="宋体" w:cs="宋体" w:eastAsia="宋体" w:hint="default"/>
        </w:rPr>
        <w:t>2008</w:t>
      </w:r>
      <w:r>
        <w:rPr/>
        <w:t>年</w:t>
      </w:r>
      <w:r>
        <w:rPr>
          <w:rFonts w:ascii="宋体" w:hAnsi="宋体" w:cs="宋体" w:eastAsia="宋体" w:hint="default"/>
        </w:rPr>
        <w:t>12</w:t>
      </w:r>
      <w:r>
        <w:rPr/>
        <w:t>月 </w:t>
      </w:r>
      <w:r>
        <w:rPr>
          <w:spacing w:val="-2"/>
        </w:rPr>
        <w:t>至今担任西安博凯创达数字科技有限公司执行董事兼总经理，为该公司法定代表人；自</w:t>
      </w:r>
      <w:r>
        <w:rPr>
          <w:rFonts w:ascii="宋体" w:hAnsi="宋体" w:cs="宋体" w:eastAsia="宋体" w:hint="default"/>
          <w:spacing w:val="-2"/>
        </w:rPr>
        <w:t>2010</w:t>
      </w:r>
      <w:r>
        <w:rPr>
          <w:spacing w:val="-2"/>
        </w:rPr>
        <w:t>年</w:t>
      </w:r>
      <w:r>
        <w:rPr>
          <w:rFonts w:ascii="宋体" w:hAnsi="宋体" w:cs="宋体" w:eastAsia="宋体" w:hint="default"/>
          <w:spacing w:val="-2"/>
        </w:rPr>
        <w:t>12</w:t>
      </w:r>
      <w:r>
        <w:rPr>
          <w:spacing w:val="-2"/>
        </w:rPr>
        <w:t>月至今担任北京瑞科新网科</w:t>
      </w:r>
      <w:r>
        <w:rPr>
          <w:spacing w:val="-59"/>
        </w:rPr>
        <w:t> </w:t>
      </w:r>
      <w:r>
        <w:rPr>
          <w:spacing w:val="-59"/>
        </w:rPr>
      </w:r>
      <w:r>
        <w:rPr/>
        <w:t>技有限公司执行董事兼总经理，为该公司法定代表人。</w:t>
      </w:r>
    </w:p>
    <w:p>
      <w:pPr>
        <w:spacing w:after="0" w:line="319" w:lineRule="auto"/>
        <w:jc w:val="left"/>
        <w:sectPr>
          <w:footerReference w:type="default" r:id="rId26"/>
          <w:pgSz w:w="11910" w:h="16840"/>
          <w:pgMar w:footer="979" w:header="745" w:top="1060" w:bottom="1160" w:left="980" w:right="940"/>
          <w:pgNumType w:start="125"/>
        </w:sectPr>
      </w:pPr>
    </w:p>
    <w:p>
      <w:pPr>
        <w:spacing w:line="240" w:lineRule="auto" w:before="10"/>
        <w:rPr>
          <w:rFonts w:ascii="宋体" w:hAnsi="宋体" w:cs="宋体" w:eastAsia="宋体" w:hint="default"/>
          <w:sz w:val="25"/>
          <w:szCs w:val="25"/>
        </w:rPr>
      </w:pPr>
    </w:p>
    <w:p>
      <w:pPr>
        <w:pStyle w:val="BodyText"/>
        <w:spacing w:line="316" w:lineRule="auto" w:before="44"/>
        <w:ind w:right="94" w:firstLine="360"/>
        <w:jc w:val="left"/>
      </w:pPr>
      <w:r>
        <w:rPr/>
        <w:t>高宏女士，中国国籍，无永久境外居留权，</w:t>
      </w:r>
      <w:r>
        <w:rPr>
          <w:rFonts w:ascii="宋体" w:hAnsi="宋体" w:cs="宋体" w:eastAsia="宋体" w:hint="default"/>
        </w:rPr>
        <w:t>1970</w:t>
      </w:r>
      <w:r>
        <w:rPr/>
        <w:t>年出生，汉族，毕业于南开大学，本科学历。</w:t>
      </w:r>
      <w:r>
        <w:rPr>
          <w:rFonts w:ascii="宋体" w:hAnsi="宋体" w:cs="宋体" w:eastAsia="宋体" w:hint="default"/>
        </w:rPr>
        <w:t>1994</w:t>
      </w:r>
      <w:r>
        <w:rPr/>
        <w:t>年</w:t>
      </w:r>
      <w:r>
        <w:rPr>
          <w:rFonts w:ascii="宋体" w:hAnsi="宋体" w:cs="宋体" w:eastAsia="宋体" w:hint="default"/>
        </w:rPr>
        <w:t>8</w:t>
      </w:r>
      <w:r>
        <w:rPr/>
        <w:t>月至</w:t>
      </w:r>
      <w:r>
        <w:rPr>
          <w:rFonts w:ascii="宋体" w:hAnsi="宋体" w:cs="宋体" w:eastAsia="宋体" w:hint="default"/>
        </w:rPr>
        <w:t>1998</w:t>
      </w:r>
      <w:r>
        <w:rPr/>
        <w:t>年</w:t>
      </w:r>
      <w:r>
        <w:rPr>
          <w:rFonts w:ascii="宋体" w:hAnsi="宋体" w:cs="宋体" w:eastAsia="宋体" w:hint="default"/>
        </w:rPr>
        <w:t>8</w:t>
      </w:r>
      <w:r>
        <w:rPr/>
        <w:t>月，</w:t>
      </w:r>
      <w:r>
        <w:rPr>
          <w:spacing w:val="2"/>
        </w:rPr>
        <w:t> </w:t>
      </w:r>
      <w:r>
        <w:rPr>
          <w:spacing w:val="-2"/>
        </w:rPr>
        <w:t>在北京天伦王朝饭店任高级销售经理；</w:t>
      </w:r>
      <w:r>
        <w:rPr>
          <w:rFonts w:ascii="宋体" w:hAnsi="宋体" w:cs="宋体" w:eastAsia="宋体" w:hint="default"/>
          <w:spacing w:val="-2"/>
        </w:rPr>
        <w:t>1998</w:t>
      </w:r>
      <w:r>
        <w:rPr>
          <w:spacing w:val="-2"/>
        </w:rPr>
        <w:t>年</w:t>
      </w:r>
      <w:r>
        <w:rPr>
          <w:rFonts w:ascii="宋体" w:hAnsi="宋体" w:cs="宋体" w:eastAsia="宋体" w:hint="default"/>
          <w:spacing w:val="-2"/>
        </w:rPr>
        <w:t>9</w:t>
      </w:r>
      <w:r>
        <w:rPr>
          <w:spacing w:val="-2"/>
        </w:rPr>
        <w:t>月至</w:t>
      </w:r>
      <w:r>
        <w:rPr>
          <w:rFonts w:ascii="宋体" w:hAnsi="宋体" w:cs="宋体" w:eastAsia="宋体" w:hint="default"/>
          <w:spacing w:val="-2"/>
        </w:rPr>
        <w:t>2001</w:t>
      </w:r>
      <w:r>
        <w:rPr>
          <w:spacing w:val="-2"/>
        </w:rPr>
        <w:t>年</w:t>
      </w:r>
      <w:r>
        <w:rPr>
          <w:rFonts w:ascii="宋体" w:hAnsi="宋体" w:cs="宋体" w:eastAsia="宋体" w:hint="default"/>
          <w:spacing w:val="-2"/>
        </w:rPr>
        <w:t>8</w:t>
      </w:r>
      <w:r>
        <w:rPr>
          <w:spacing w:val="-2"/>
        </w:rPr>
        <w:t>月，在盛世长城国际广告任业务拓展经理；</w:t>
      </w:r>
      <w:r>
        <w:rPr>
          <w:rFonts w:ascii="宋体" w:hAnsi="宋体" w:cs="宋体" w:eastAsia="宋体" w:hint="default"/>
          <w:spacing w:val="-2"/>
        </w:rPr>
        <w:t>2005</w:t>
      </w:r>
      <w:r>
        <w:rPr>
          <w:spacing w:val="-2"/>
        </w:rPr>
        <w:t>年</w:t>
      </w:r>
      <w:r>
        <w:rPr>
          <w:rFonts w:ascii="宋体" w:hAnsi="宋体" w:cs="宋体" w:eastAsia="宋体" w:hint="default"/>
          <w:spacing w:val="-2"/>
        </w:rPr>
        <w:t>8</w:t>
      </w:r>
      <w:r>
        <w:rPr>
          <w:spacing w:val="-2"/>
        </w:rPr>
        <w:t>月至</w:t>
      </w:r>
      <w:r>
        <w:rPr>
          <w:rFonts w:ascii="宋体" w:hAnsi="宋体" w:cs="宋体" w:eastAsia="宋体" w:hint="default"/>
          <w:spacing w:val="-2"/>
        </w:rPr>
        <w:t>2014</w:t>
      </w:r>
      <w:r>
        <w:rPr>
          <w:spacing w:val="-2"/>
        </w:rPr>
        <w:t>年</w:t>
      </w:r>
      <w:r>
        <w:rPr>
          <w:rFonts w:ascii="宋体" w:hAnsi="宋体" w:cs="宋体" w:eastAsia="宋体" w:hint="default"/>
          <w:spacing w:val="-2"/>
        </w:rPr>
        <w:t>9</w:t>
      </w:r>
      <w:r>
        <w:rPr>
          <w:rFonts w:ascii="宋体" w:hAnsi="宋体" w:cs="宋体" w:eastAsia="宋体" w:hint="default"/>
          <w:spacing w:val="-51"/>
        </w:rPr>
        <w:t> </w:t>
      </w:r>
      <w:r>
        <w:rPr>
          <w:spacing w:val="-2"/>
        </w:rPr>
        <w:t>月在北京光环恒通数字技术有限公司担任董事；</w:t>
      </w:r>
      <w:r>
        <w:rPr>
          <w:rFonts w:ascii="宋体" w:hAnsi="宋体" w:cs="宋体" w:eastAsia="宋体" w:hint="default"/>
          <w:spacing w:val="-2"/>
        </w:rPr>
        <w:t>2008</w:t>
      </w:r>
      <w:r>
        <w:rPr>
          <w:spacing w:val="-2"/>
        </w:rPr>
        <w:t>年</w:t>
      </w:r>
      <w:r>
        <w:rPr>
          <w:rFonts w:ascii="宋体" w:hAnsi="宋体" w:cs="宋体" w:eastAsia="宋体" w:hint="default"/>
          <w:spacing w:val="-2"/>
        </w:rPr>
        <w:t>1</w:t>
      </w:r>
      <w:r>
        <w:rPr>
          <w:spacing w:val="-2"/>
        </w:rPr>
        <w:t>月至今在光环云谷科技有限公司担任副总经理；</w:t>
      </w:r>
      <w:r>
        <w:rPr>
          <w:rFonts w:ascii="宋体" w:hAnsi="宋体" w:cs="宋体" w:eastAsia="宋体" w:hint="default"/>
          <w:spacing w:val="-2"/>
        </w:rPr>
        <w:t>2001</w:t>
      </w:r>
      <w:r>
        <w:rPr>
          <w:spacing w:val="-2"/>
        </w:rPr>
        <w:t>年</w:t>
      </w:r>
      <w:r>
        <w:rPr>
          <w:rFonts w:ascii="宋体" w:hAnsi="宋体" w:cs="宋体" w:eastAsia="宋体" w:hint="default"/>
          <w:spacing w:val="-2"/>
        </w:rPr>
        <w:t>9</w:t>
      </w:r>
      <w:r>
        <w:rPr>
          <w:spacing w:val="-2"/>
        </w:rPr>
        <w:t>月至今在公</w:t>
      </w:r>
      <w:r>
        <w:rPr>
          <w:spacing w:val="-60"/>
        </w:rPr>
        <w:t> </w:t>
      </w:r>
      <w:r>
        <w:rPr>
          <w:spacing w:val="-60"/>
        </w:rPr>
      </w:r>
      <w:r>
        <w:rPr/>
        <w:t>司工作，现任公司副总裁兼任公司董事会秘书。</w:t>
      </w:r>
    </w:p>
    <w:p>
      <w:pPr>
        <w:spacing w:line="240" w:lineRule="auto" w:before="5"/>
        <w:rPr>
          <w:rFonts w:ascii="宋体" w:hAnsi="宋体" w:cs="宋体" w:eastAsia="宋体" w:hint="default"/>
          <w:sz w:val="13"/>
          <w:szCs w:val="13"/>
        </w:rPr>
      </w:pPr>
    </w:p>
    <w:p>
      <w:pPr>
        <w:pStyle w:val="BodyText"/>
        <w:spacing w:line="316" w:lineRule="auto"/>
        <w:ind w:right="184" w:firstLine="360"/>
        <w:jc w:val="left"/>
      </w:pPr>
      <w:r>
        <w:rPr>
          <w:spacing w:val="-2"/>
        </w:rPr>
        <w:t>张利军先生，中国国籍，无永久境外居留权，</w:t>
      </w:r>
      <w:r>
        <w:rPr>
          <w:rFonts w:ascii="宋体" w:hAnsi="宋体" w:cs="宋体" w:eastAsia="宋体" w:hint="default"/>
          <w:spacing w:val="-2"/>
        </w:rPr>
        <w:t>1979</w:t>
      </w:r>
      <w:r>
        <w:rPr>
          <w:spacing w:val="-2"/>
        </w:rPr>
        <w:t>年出生，汉族，大学专科，中国注册会计师、中国注册税务师、中国</w:t>
      </w:r>
      <w:r>
        <w:rPr/>
        <w:t> 注册评估师、会计师、高级国际财务管理师。</w:t>
      </w:r>
      <w:r>
        <w:rPr>
          <w:rFonts w:ascii="宋体" w:hAnsi="宋体" w:cs="宋体" w:eastAsia="宋体" w:hint="default"/>
        </w:rPr>
        <w:t>1998</w:t>
      </w:r>
      <w:r>
        <w:rPr/>
        <w:t>年</w:t>
      </w:r>
      <w:r>
        <w:rPr>
          <w:rFonts w:ascii="宋体" w:hAnsi="宋体" w:cs="宋体" w:eastAsia="宋体" w:hint="default"/>
        </w:rPr>
        <w:t>6</w:t>
      </w:r>
      <w:r>
        <w:rPr/>
        <w:t>月至</w:t>
      </w:r>
      <w:r>
        <w:rPr>
          <w:rFonts w:ascii="宋体" w:hAnsi="宋体" w:cs="宋体" w:eastAsia="宋体" w:hint="default"/>
        </w:rPr>
        <w:t>2004</w:t>
      </w:r>
      <w:r>
        <w:rPr/>
        <w:t>年</w:t>
      </w:r>
      <w:r>
        <w:rPr>
          <w:rFonts w:ascii="宋体" w:hAnsi="宋体" w:cs="宋体" w:eastAsia="宋体" w:hint="default"/>
        </w:rPr>
        <w:t>12</w:t>
      </w:r>
      <w:r>
        <w:rPr/>
        <w:t>月在河北省肥乡县屯庄营乡政府工作，历任团委书记、 农经站长、统计站长等职务；</w:t>
      </w:r>
      <w:r>
        <w:rPr>
          <w:rFonts w:ascii="宋体" w:hAnsi="宋体" w:cs="宋体" w:eastAsia="宋体" w:hint="default"/>
        </w:rPr>
        <w:t>2004</w:t>
      </w:r>
      <w:r>
        <w:rPr/>
        <w:t>年</w:t>
      </w:r>
      <w:r>
        <w:rPr>
          <w:rFonts w:ascii="宋体" w:hAnsi="宋体" w:cs="宋体" w:eastAsia="宋体" w:hint="default"/>
        </w:rPr>
        <w:t>12</w:t>
      </w:r>
      <w:r>
        <w:rPr/>
        <w:t>月至</w:t>
      </w:r>
      <w:r>
        <w:rPr>
          <w:rFonts w:ascii="宋体" w:hAnsi="宋体" w:cs="宋体" w:eastAsia="宋体" w:hint="default"/>
        </w:rPr>
        <w:t>2010</w:t>
      </w:r>
      <w:r>
        <w:rPr/>
        <w:t>年</w:t>
      </w:r>
      <w:r>
        <w:rPr>
          <w:rFonts w:ascii="宋体" w:hAnsi="宋体" w:cs="宋体" w:eastAsia="宋体" w:hint="default"/>
        </w:rPr>
        <w:t>8</w:t>
      </w:r>
      <w:r>
        <w:rPr/>
        <w:t>月就职于中磊会计师事务所北京分所，任项目经理；</w:t>
      </w:r>
      <w:r>
        <w:rPr>
          <w:rFonts w:ascii="宋体" w:hAnsi="宋体" w:cs="宋体" w:eastAsia="宋体" w:hint="default"/>
        </w:rPr>
        <w:t>2010</w:t>
      </w:r>
      <w:r>
        <w:rPr/>
        <w:t>年</w:t>
      </w:r>
      <w:r>
        <w:rPr>
          <w:rFonts w:ascii="宋体" w:hAnsi="宋体" w:cs="宋体" w:eastAsia="宋体" w:hint="default"/>
        </w:rPr>
        <w:t>9</w:t>
      </w:r>
      <w:r>
        <w:rPr/>
        <w:t>月至</w:t>
      </w:r>
      <w:r>
        <w:rPr>
          <w:rFonts w:ascii="宋体" w:hAnsi="宋体" w:cs="宋体" w:eastAsia="宋体" w:hint="default"/>
        </w:rPr>
        <w:t>2014 </w:t>
      </w:r>
      <w:r>
        <w:rPr/>
        <w:t>年</w:t>
      </w:r>
      <w:r>
        <w:rPr>
          <w:rFonts w:ascii="宋体" w:hAnsi="宋体" w:cs="宋体" w:eastAsia="宋体" w:hint="default"/>
        </w:rPr>
        <w:t>6</w:t>
      </w:r>
      <w:r>
        <w:rPr/>
        <w:t>月就职于亚太（集团）会计师事务所有限公司，任项目经理。</w:t>
      </w:r>
      <w:r>
        <w:rPr>
          <w:rFonts w:ascii="宋体" w:hAnsi="宋体" w:cs="宋体" w:eastAsia="宋体" w:hint="default"/>
        </w:rPr>
        <w:t>2014</w:t>
      </w:r>
      <w:r>
        <w:rPr/>
        <w:t>年</w:t>
      </w:r>
      <w:r>
        <w:rPr>
          <w:rFonts w:ascii="宋体" w:hAnsi="宋体" w:cs="宋体" w:eastAsia="宋体" w:hint="default"/>
        </w:rPr>
        <w:t>6</w:t>
      </w:r>
      <w:r>
        <w:rPr/>
        <w:t>月至今任公司财务总监。</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240" w:lineRule="auto"/>
        <w:ind w:right="106"/>
        <w:jc w:val="left"/>
      </w:pPr>
      <w:r>
        <w:rPr/>
        <w:t>在股东单位任职情况</w:t>
      </w:r>
    </w:p>
    <w:p>
      <w:pPr>
        <w:pStyle w:val="BodyText"/>
        <w:spacing w:line="340" w:lineRule="auto" w:before="118"/>
        <w:ind w:right="81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在其他单位任职情况</w:t>
      </w:r>
    </w:p>
    <w:p>
      <w:pPr>
        <w:pStyle w:val="BodyText"/>
        <w:spacing w:line="240" w:lineRule="auto" w:before="39"/>
        <w:ind w:right="10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3" w:right="50"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耿殿根</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光环金网</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耿殿根</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新视界文化传媒有限公司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耿殿根</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82"/>
              <w:jc w:val="left"/>
              <w:rPr>
                <w:rFonts w:ascii="宋体" w:hAnsi="宋体" w:cs="宋体" w:eastAsia="宋体" w:hint="default"/>
                <w:sz w:val="18"/>
                <w:szCs w:val="18"/>
              </w:rPr>
            </w:pPr>
            <w:r>
              <w:rPr>
                <w:rFonts w:ascii="宋体" w:hAnsi="宋体" w:cs="宋体" w:eastAsia="宋体" w:hint="default"/>
                <w:sz w:val="18"/>
                <w:szCs w:val="18"/>
              </w:rPr>
              <w:t>北京光环新网科技股份有限公司东城分 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负责人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侯焰</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光环云谷</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袁丁</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光环云谷</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袁丁</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瑞科新网</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袁丁</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光环新网（上海）</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12</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袁丁</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德信致远</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袁丁</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科信盛彩</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杨宇航</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中卫普信宽带通信有限公司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杨宇航</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光环新网（上海）</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杨宇航</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德信致远</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杨宇航</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科信盛彩</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杨宇航</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蓝沧科技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杨宇航</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无双科技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杨宇航</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中金云网</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杨宇航</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共青城云创投资管理合伙企业（有限合 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陈浩</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光环云谷</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陈浩</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西安博凯</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高宏</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光环云谷</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高宏</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无双科技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高宏</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中金云网</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耿岩</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光环云谷</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耿岩</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西安博凯</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耿岩</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瑞科新网</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耿岩</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82"/>
              <w:jc w:val="left"/>
              <w:rPr>
                <w:rFonts w:ascii="宋体" w:hAnsi="宋体" w:cs="宋体" w:eastAsia="宋体" w:hint="default"/>
                <w:sz w:val="18"/>
                <w:szCs w:val="18"/>
              </w:rPr>
            </w:pPr>
            <w:r>
              <w:rPr>
                <w:rFonts w:ascii="宋体" w:hAnsi="宋体" w:cs="宋体" w:eastAsia="宋体" w:hint="default"/>
                <w:sz w:val="18"/>
                <w:szCs w:val="18"/>
              </w:rPr>
              <w:t>北京光环新网科技股份有限公司山东分 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负责人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齐顺杰</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北京华爱光环科技有限公司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张利军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无双科技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张利军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中金云网</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1134"/>
        <w:jc w:val="left"/>
      </w:pPr>
      <w:r>
        <w:rPr/>
        <w:t>公司现任及报告期内离任董事、监事和高级管理人员近三年证券监管机构处罚的情况</w:t>
      </w:r>
    </w:p>
    <w:p>
      <w:pPr>
        <w:pStyle w:val="BodyText"/>
        <w:spacing w:line="240" w:lineRule="auto" w:before="115"/>
        <w:ind w:right="1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1134"/>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4"/>
        <w:jc w:val="left"/>
      </w:pPr>
      <w:r>
        <w:rPr/>
        <w:t>董事、监事、高级管理人员报酬的决策程序、确定依据、实际支付情况</w:t>
      </w:r>
    </w:p>
    <w:p>
      <w:pPr>
        <w:spacing w:line="240" w:lineRule="auto" w:before="2"/>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4261"/>
        <w:gridCol w:w="5310"/>
      </w:tblGrid>
      <w:tr>
        <w:trPr>
          <w:trHeight w:val="1681" w:hRule="exact"/>
        </w:trPr>
        <w:tc>
          <w:tcPr>
            <w:tcW w:w="42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31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1"/>
              <w:ind w:left="4" w:right="0"/>
              <w:jc w:val="left"/>
              <w:rPr>
                <w:rFonts w:ascii="宋体" w:hAnsi="宋体" w:cs="宋体" w:eastAsia="宋体" w:hint="default"/>
                <w:sz w:val="18"/>
                <w:szCs w:val="18"/>
              </w:rPr>
            </w:pPr>
            <w:r>
              <w:rPr>
                <w:rFonts w:ascii="宋体" w:hAnsi="宋体" w:cs="宋体" w:eastAsia="宋体" w:hint="default"/>
                <w:spacing w:val="-1"/>
                <w:sz w:val="18"/>
                <w:szCs w:val="18"/>
              </w:rPr>
              <w:t>经薪酬和考核委员会提议，</w:t>
            </w: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日第二届董事会</w:t>
            </w: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年第二</w:t>
            </w:r>
            <w:r>
              <w:rPr>
                <w:rFonts w:ascii="宋体" w:hAnsi="宋体" w:cs="宋体" w:eastAsia="宋体" w:hint="default"/>
                <w:spacing w:val="-83"/>
                <w:sz w:val="18"/>
                <w:szCs w:val="18"/>
              </w:rPr>
              <w:t> </w:t>
            </w:r>
            <w:r>
              <w:rPr>
                <w:rFonts w:ascii="宋体" w:hAnsi="宋体" w:cs="宋体" w:eastAsia="宋体" w:hint="default"/>
                <w:sz w:val="18"/>
                <w:szCs w:val="18"/>
              </w:rPr>
              <w:t>次会议审议通过《关于公司董事、监事</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年度薪酬激励制度的议 案》和《关于公司高级管理人员</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年度薪酬激励制度的议案》， </w:t>
            </w:r>
            <w:r>
              <w:rPr>
                <w:rFonts w:ascii="Times New Roman" w:hAnsi="Times New Roman" w:cs="Times New Roman" w:eastAsia="Times New Roman" w:hint="default"/>
                <w:spacing w:val="-1"/>
                <w:sz w:val="18"/>
                <w:szCs w:val="18"/>
              </w:rPr>
              <w:t>2014</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日公司</w:t>
            </w:r>
            <w:r>
              <w:rPr>
                <w:rFonts w:ascii="Times New Roman" w:hAnsi="Times New Roman" w:cs="Times New Roman" w:eastAsia="Times New Roman" w:hint="default"/>
                <w:spacing w:val="-1"/>
                <w:sz w:val="18"/>
                <w:szCs w:val="18"/>
              </w:rPr>
              <w:t>2014</w:t>
            </w:r>
            <w:r>
              <w:rPr>
                <w:rFonts w:ascii="宋体" w:hAnsi="宋体" w:cs="宋体" w:eastAsia="宋体" w:hint="default"/>
                <w:spacing w:val="-1"/>
                <w:sz w:val="18"/>
                <w:szCs w:val="18"/>
              </w:rPr>
              <w:t>年度股东大会审议通过《关于公司董事、监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事</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年度薪酬激励制度的议案》。</w:t>
            </w:r>
          </w:p>
        </w:tc>
      </w:tr>
      <w:tr>
        <w:trPr>
          <w:trHeight w:val="1363" w:hRule="exact"/>
        </w:trPr>
        <w:tc>
          <w:tcPr>
            <w:tcW w:w="42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5"/>
              <w:ind w:left="4"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31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5"/>
              <w:ind w:left="4" w:right="68"/>
              <w:jc w:val="both"/>
              <w:rPr>
                <w:rFonts w:ascii="宋体" w:hAnsi="宋体" w:cs="宋体" w:eastAsia="宋体" w:hint="default"/>
                <w:sz w:val="18"/>
                <w:szCs w:val="18"/>
              </w:rPr>
            </w:pPr>
            <w:r>
              <w:rPr>
                <w:rFonts w:ascii="宋体" w:hAnsi="宋体" w:cs="宋体" w:eastAsia="宋体" w:hint="default"/>
                <w:sz w:val="18"/>
                <w:szCs w:val="18"/>
              </w:rPr>
              <w:t>董事、监事和高级管理人员的报酬按照公司相关规章制度，结合公 司实际情况和行业薪酬水平制定，根据公司薪酬体系和岗位职责、 绩效考核体系实施。其中独董领用津贴，不享受公司其他薪金保险 等待遇。外部董事不在本公司领用薪酬。</w:t>
            </w:r>
          </w:p>
        </w:tc>
      </w:tr>
      <w:tr>
        <w:trPr>
          <w:trHeight w:val="1046" w:hRule="exact"/>
        </w:trPr>
        <w:tc>
          <w:tcPr>
            <w:tcW w:w="42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531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3"/>
              <w:ind w:left="4" w:right="62"/>
              <w:jc w:val="both"/>
              <w:rPr>
                <w:rFonts w:ascii="宋体" w:hAnsi="宋体" w:cs="宋体" w:eastAsia="宋体" w:hint="default"/>
                <w:sz w:val="18"/>
                <w:szCs w:val="18"/>
              </w:rPr>
            </w:pPr>
            <w:r>
              <w:rPr>
                <w:rFonts w:ascii="宋体" w:hAnsi="宋体" w:cs="宋体" w:eastAsia="宋体" w:hint="default"/>
                <w:sz w:val="18"/>
                <w:szCs w:val="18"/>
              </w:rPr>
              <w:t>公司报告期内董事、监事、高级管理人员共计</w:t>
            </w:r>
            <w:r>
              <w:rPr>
                <w:rFonts w:ascii="Times New Roman" w:hAnsi="Times New Roman" w:cs="Times New Roman" w:eastAsia="Times New Roman" w:hint="default"/>
                <w:sz w:val="18"/>
                <w:szCs w:val="18"/>
              </w:rPr>
              <w:t>16</w:t>
            </w:r>
            <w:r>
              <w:rPr>
                <w:rFonts w:ascii="宋体" w:hAnsi="宋体" w:cs="宋体" w:eastAsia="宋体" w:hint="default"/>
                <w:sz w:val="18"/>
                <w:szCs w:val="18"/>
              </w:rPr>
              <w:t>人，本报告期公司 董事、监事、高级管理人员的薪酬已按年度薪酬计划支付，</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宋体" w:hAnsi="宋体" w:cs="宋体" w:eastAsia="宋体" w:hint="default"/>
                <w:spacing w:val="-85"/>
                <w:sz w:val="18"/>
                <w:szCs w:val="18"/>
              </w:rPr>
              <w:t> </w:t>
            </w:r>
            <w:r>
              <w:rPr>
                <w:rFonts w:ascii="宋体" w:hAnsi="宋体" w:cs="宋体" w:eastAsia="宋体" w:hint="default"/>
                <w:sz w:val="18"/>
                <w:szCs w:val="18"/>
              </w:rPr>
              <w:t>度公司实际支付的薪酬总计</w:t>
            </w:r>
            <w:r>
              <w:rPr>
                <w:rFonts w:ascii="Times New Roman" w:hAnsi="Times New Roman" w:cs="Times New Roman" w:eastAsia="Times New Roman" w:hint="default"/>
                <w:sz w:val="18"/>
                <w:szCs w:val="18"/>
              </w:rPr>
              <w:t>579.17</w:t>
            </w:r>
            <w:r>
              <w:rPr>
                <w:rFonts w:ascii="宋体" w:hAnsi="宋体" w:cs="宋体" w:eastAsia="宋体" w:hint="default"/>
                <w:sz w:val="18"/>
                <w:szCs w:val="18"/>
              </w:rPr>
              <w:t>万元。</w:t>
            </w:r>
          </w:p>
        </w:tc>
      </w:tr>
    </w:tbl>
    <w:p>
      <w:pPr>
        <w:spacing w:line="240" w:lineRule="auto" w:before="2"/>
        <w:rPr>
          <w:rFonts w:ascii="宋体" w:hAnsi="宋体" w:cs="宋体" w:eastAsia="宋体" w:hint="default"/>
          <w:sz w:val="24"/>
          <w:szCs w:val="24"/>
        </w:rPr>
      </w:pPr>
    </w:p>
    <w:p>
      <w:pPr>
        <w:pStyle w:val="BodyText"/>
        <w:spacing w:line="240" w:lineRule="auto" w:before="44"/>
        <w:ind w:right="1134"/>
        <w:jc w:val="left"/>
      </w:pPr>
      <w:r>
        <w:rPr/>
        <w:t>公司报告期内董事、监事和高级管理人员报酬情况</w:t>
      </w:r>
    </w:p>
    <w:p>
      <w:pPr>
        <w:pStyle w:val="BodyText"/>
        <w:spacing w:line="240" w:lineRule="auto" w:before="117"/>
        <w:ind w:left="0" w:right="151"/>
        <w:jc w:val="right"/>
      </w:pP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耿殿根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杨宇航</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57.28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袁丁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董事、人事行政 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39.37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曹毅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王淑芳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庞宝光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监事会主席、人 事行政经理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监事、运营管理 中心总监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汝书伟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监事、技术总监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副总裁、董秘</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54.86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侯焰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54.86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56.07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齐顺杰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53.26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张利军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53.07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耿岩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52.49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7"/>
              <w:jc w:val="right"/>
              <w:rPr>
                <w:rFonts w:ascii="Times New Roman" w:hAnsi="Times New Roman" w:cs="Times New Roman" w:eastAsia="Times New Roman" w:hint="default"/>
                <w:sz w:val="18"/>
                <w:szCs w:val="18"/>
              </w:rPr>
            </w:pPr>
            <w:r>
              <w:rPr>
                <w:rFonts w:ascii="Times New Roman"/>
                <w:spacing w:val="-1"/>
                <w:sz w:val="18"/>
              </w:rPr>
              <w:t>579.17</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4"/>
        <w:jc w:val="left"/>
      </w:pPr>
      <w:r>
        <w:rPr/>
        <w:t>公司董事、监事、高级管理人员报告期内被授予的股权激励情况</w:t>
      </w:r>
    </w:p>
    <w:p>
      <w:pPr>
        <w:pStyle w:val="BodyText"/>
        <w:spacing w:line="240" w:lineRule="auto" w:before="115"/>
        <w:ind w:right="1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4"/>
        <w:jc w:val="left"/>
        <w:rPr>
          <w:b w:val="0"/>
          <w:bCs w:val="0"/>
        </w:rPr>
      </w:pPr>
      <w:r>
        <w:rPr/>
        <w:t>五、公司员工情况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044"/>
        <w:jc w:val="left"/>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日，公司在册员工总数为</w:t>
      </w:r>
      <w:r>
        <w:rPr>
          <w:rFonts w:ascii="Times New Roman" w:hAnsi="Times New Roman" w:cs="Times New Roman" w:eastAsia="Times New Roman" w:hint="default"/>
        </w:rPr>
        <w:t>464</w:t>
      </w:r>
      <w:r>
        <w:rPr/>
        <w:t>人，员工的专业结构、受教育程度及年龄分布情况如下表所示： </w:t>
      </w:r>
      <w:r>
        <w:rPr>
          <w:rFonts w:ascii="宋体" w:hAnsi="宋体" w:cs="宋体" w:eastAsia="宋体" w:hint="default"/>
        </w:rPr>
        <w:t>1</w:t>
      </w:r>
      <w:r>
        <w:rPr/>
        <w:t>、员工专业构成</w:t>
      </w:r>
    </w:p>
    <w:tbl>
      <w:tblPr>
        <w:tblW w:w="0" w:type="auto"/>
        <w:jc w:val="left"/>
        <w:tblInd w:w="145" w:type="dxa"/>
        <w:tblLayout w:type="fixed"/>
        <w:tblCellMar>
          <w:top w:w="0" w:type="dxa"/>
          <w:left w:w="0" w:type="dxa"/>
          <w:bottom w:w="0" w:type="dxa"/>
          <w:right w:w="0" w:type="dxa"/>
        </w:tblCellMar>
        <w:tblLook w:val="01E0"/>
      </w:tblPr>
      <w:tblGrid>
        <w:gridCol w:w="2816"/>
        <w:gridCol w:w="2808"/>
        <w:gridCol w:w="2905"/>
      </w:tblGrid>
      <w:tr>
        <w:trPr>
          <w:trHeight w:val="355" w:hRule="exact"/>
        </w:trPr>
        <w:tc>
          <w:tcPr>
            <w:tcW w:w="281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7"/>
              <w:ind w:left="9" w:right="0"/>
              <w:jc w:val="center"/>
              <w:rPr>
                <w:rFonts w:ascii="宋体" w:hAnsi="宋体" w:cs="宋体" w:eastAsia="宋体" w:hint="default"/>
                <w:sz w:val="18"/>
                <w:szCs w:val="18"/>
              </w:rPr>
            </w:pPr>
            <w:r>
              <w:rPr>
                <w:rFonts w:ascii="宋体" w:hAnsi="宋体" w:cs="宋体" w:eastAsia="宋体" w:hint="default"/>
                <w:sz w:val="18"/>
                <w:szCs w:val="18"/>
              </w:rPr>
              <w:t>员工专业构成</w:t>
            </w:r>
          </w:p>
        </w:tc>
        <w:tc>
          <w:tcPr>
            <w:tcW w:w="2808"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17"/>
              <w:ind w:left="1204" w:right="0"/>
              <w:jc w:val="left"/>
              <w:rPr>
                <w:rFonts w:ascii="宋体" w:hAnsi="宋体" w:cs="宋体" w:eastAsia="宋体" w:hint="default"/>
                <w:sz w:val="18"/>
                <w:szCs w:val="18"/>
              </w:rPr>
            </w:pPr>
            <w:r>
              <w:rPr>
                <w:rFonts w:ascii="宋体" w:hAnsi="宋体" w:cs="宋体" w:eastAsia="宋体" w:hint="default"/>
                <w:sz w:val="18"/>
                <w:szCs w:val="18"/>
              </w:rPr>
              <w:t>人数</w:t>
            </w:r>
          </w:p>
        </w:tc>
        <w:tc>
          <w:tcPr>
            <w:tcW w:w="2905"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17"/>
              <w:ind w:right="1258"/>
              <w:jc w:val="right"/>
              <w:rPr>
                <w:rFonts w:ascii="宋体" w:hAnsi="宋体" w:cs="宋体" w:eastAsia="宋体" w:hint="default"/>
                <w:sz w:val="18"/>
                <w:szCs w:val="18"/>
              </w:rPr>
            </w:pPr>
            <w:r>
              <w:rPr>
                <w:rFonts w:ascii="宋体" w:hAnsi="宋体" w:cs="宋体" w:eastAsia="宋体" w:hint="default"/>
                <w:sz w:val="18"/>
                <w:szCs w:val="18"/>
              </w:rPr>
              <w:t>占比</w:t>
            </w:r>
          </w:p>
        </w:tc>
      </w:tr>
      <w:tr>
        <w:trPr>
          <w:trHeight w:val="351" w:hRule="exact"/>
        </w:trPr>
        <w:tc>
          <w:tcPr>
            <w:tcW w:w="2816"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8"/>
              <w:ind w:left="9" w:right="0"/>
              <w:jc w:val="center"/>
              <w:rPr>
                <w:rFonts w:ascii="宋体" w:hAnsi="宋体" w:cs="宋体" w:eastAsia="宋体" w:hint="default"/>
                <w:sz w:val="18"/>
                <w:szCs w:val="18"/>
              </w:rPr>
            </w:pPr>
            <w:r>
              <w:rPr>
                <w:rFonts w:ascii="宋体" w:hAnsi="宋体" w:cs="宋体" w:eastAsia="宋体" w:hint="default"/>
                <w:sz w:val="18"/>
                <w:szCs w:val="18"/>
              </w:rPr>
              <w:t>销售人员</w:t>
            </w:r>
          </w:p>
        </w:tc>
        <w:tc>
          <w:tcPr>
            <w:tcW w:w="28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1250" w:right="0"/>
              <w:jc w:val="left"/>
              <w:rPr>
                <w:rFonts w:ascii="宋体" w:hAnsi="宋体" w:cs="宋体" w:eastAsia="宋体" w:hint="default"/>
                <w:sz w:val="18"/>
                <w:szCs w:val="18"/>
              </w:rPr>
            </w:pPr>
            <w:r>
              <w:rPr>
                <w:rFonts w:ascii="宋体"/>
                <w:sz w:val="18"/>
              </w:rPr>
              <w:t>103</w:t>
            </w:r>
          </w:p>
        </w:tc>
        <w:tc>
          <w:tcPr>
            <w:tcW w:w="29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1169"/>
              <w:jc w:val="right"/>
              <w:rPr>
                <w:rFonts w:ascii="宋体" w:hAnsi="宋体" w:cs="宋体" w:eastAsia="宋体" w:hint="default"/>
                <w:sz w:val="18"/>
                <w:szCs w:val="18"/>
              </w:rPr>
            </w:pPr>
            <w:r>
              <w:rPr>
                <w:rFonts w:ascii="宋体"/>
                <w:spacing w:val="-1"/>
                <w:sz w:val="18"/>
              </w:rPr>
              <w:t>22.20%</w:t>
            </w:r>
          </w:p>
        </w:tc>
      </w:tr>
      <w:tr>
        <w:trPr>
          <w:trHeight w:val="353" w:hRule="exact"/>
        </w:trPr>
        <w:tc>
          <w:tcPr>
            <w:tcW w:w="2816"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技术研发人员</w:t>
            </w:r>
          </w:p>
        </w:tc>
        <w:tc>
          <w:tcPr>
            <w:tcW w:w="28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250" w:right="0"/>
              <w:jc w:val="left"/>
              <w:rPr>
                <w:rFonts w:ascii="宋体" w:hAnsi="宋体" w:cs="宋体" w:eastAsia="宋体" w:hint="default"/>
                <w:sz w:val="18"/>
                <w:szCs w:val="18"/>
              </w:rPr>
            </w:pPr>
            <w:r>
              <w:rPr>
                <w:rFonts w:ascii="宋体"/>
                <w:sz w:val="18"/>
              </w:rPr>
              <w:t>214</w:t>
            </w:r>
          </w:p>
        </w:tc>
        <w:tc>
          <w:tcPr>
            <w:tcW w:w="29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1169"/>
              <w:jc w:val="right"/>
              <w:rPr>
                <w:rFonts w:ascii="宋体" w:hAnsi="宋体" w:cs="宋体" w:eastAsia="宋体" w:hint="default"/>
                <w:sz w:val="18"/>
                <w:szCs w:val="18"/>
              </w:rPr>
            </w:pPr>
            <w:r>
              <w:rPr>
                <w:rFonts w:ascii="宋体"/>
                <w:spacing w:val="-1"/>
                <w:sz w:val="18"/>
              </w:rPr>
              <w:t>46.12%</w:t>
            </w:r>
          </w:p>
        </w:tc>
      </w:tr>
      <w:tr>
        <w:trPr>
          <w:trHeight w:val="353" w:hRule="exact"/>
        </w:trPr>
        <w:tc>
          <w:tcPr>
            <w:tcW w:w="2816"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8"/>
              <w:ind w:left="9" w:right="0"/>
              <w:jc w:val="center"/>
              <w:rPr>
                <w:rFonts w:ascii="宋体" w:hAnsi="宋体" w:cs="宋体" w:eastAsia="宋体" w:hint="default"/>
                <w:sz w:val="18"/>
                <w:szCs w:val="18"/>
              </w:rPr>
            </w:pPr>
            <w:r>
              <w:rPr>
                <w:rFonts w:ascii="宋体" w:hAnsi="宋体" w:cs="宋体" w:eastAsia="宋体" w:hint="default"/>
                <w:sz w:val="18"/>
                <w:szCs w:val="18"/>
              </w:rPr>
              <w:t>客服人员</w:t>
            </w:r>
          </w:p>
        </w:tc>
        <w:tc>
          <w:tcPr>
            <w:tcW w:w="28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1296" w:right="0"/>
              <w:jc w:val="left"/>
              <w:rPr>
                <w:rFonts w:ascii="宋体" w:hAnsi="宋体" w:cs="宋体" w:eastAsia="宋体" w:hint="default"/>
                <w:sz w:val="18"/>
                <w:szCs w:val="18"/>
              </w:rPr>
            </w:pPr>
            <w:r>
              <w:rPr>
                <w:rFonts w:ascii="宋体"/>
                <w:sz w:val="18"/>
              </w:rPr>
              <w:t>44</w:t>
            </w:r>
          </w:p>
        </w:tc>
        <w:tc>
          <w:tcPr>
            <w:tcW w:w="29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1212"/>
              <w:jc w:val="right"/>
              <w:rPr>
                <w:rFonts w:ascii="宋体" w:hAnsi="宋体" w:cs="宋体" w:eastAsia="宋体" w:hint="default"/>
                <w:sz w:val="18"/>
                <w:szCs w:val="18"/>
              </w:rPr>
            </w:pPr>
            <w:r>
              <w:rPr>
                <w:rFonts w:ascii="宋体"/>
                <w:sz w:val="18"/>
              </w:rPr>
              <w:t>9.48%</w:t>
            </w:r>
          </w:p>
        </w:tc>
      </w:tr>
      <w:tr>
        <w:trPr>
          <w:trHeight w:val="350" w:hRule="exact"/>
        </w:trPr>
        <w:tc>
          <w:tcPr>
            <w:tcW w:w="2816"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8"/>
              <w:ind w:left="9" w:right="0"/>
              <w:jc w:val="center"/>
              <w:rPr>
                <w:rFonts w:ascii="宋体" w:hAnsi="宋体" w:cs="宋体" w:eastAsia="宋体" w:hint="default"/>
                <w:sz w:val="18"/>
                <w:szCs w:val="18"/>
              </w:rPr>
            </w:pPr>
            <w:r>
              <w:rPr>
                <w:rFonts w:ascii="宋体" w:hAnsi="宋体" w:cs="宋体" w:eastAsia="宋体" w:hint="default"/>
                <w:sz w:val="18"/>
                <w:szCs w:val="18"/>
              </w:rPr>
              <w:t>职能人员</w:t>
            </w:r>
          </w:p>
        </w:tc>
        <w:tc>
          <w:tcPr>
            <w:tcW w:w="28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1296" w:right="0"/>
              <w:jc w:val="left"/>
              <w:rPr>
                <w:rFonts w:ascii="宋体" w:hAnsi="宋体" w:cs="宋体" w:eastAsia="宋体" w:hint="default"/>
                <w:sz w:val="18"/>
                <w:szCs w:val="18"/>
              </w:rPr>
            </w:pPr>
            <w:r>
              <w:rPr>
                <w:rFonts w:ascii="宋体"/>
                <w:sz w:val="18"/>
              </w:rPr>
              <w:t>50</w:t>
            </w:r>
          </w:p>
        </w:tc>
        <w:tc>
          <w:tcPr>
            <w:tcW w:w="29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1169"/>
              <w:jc w:val="right"/>
              <w:rPr>
                <w:rFonts w:ascii="宋体" w:hAnsi="宋体" w:cs="宋体" w:eastAsia="宋体" w:hint="default"/>
                <w:sz w:val="18"/>
                <w:szCs w:val="18"/>
              </w:rPr>
            </w:pPr>
            <w:r>
              <w:rPr>
                <w:rFonts w:ascii="宋体"/>
                <w:spacing w:val="-1"/>
                <w:sz w:val="18"/>
              </w:rPr>
              <w:t>10.78%</w:t>
            </w:r>
          </w:p>
        </w:tc>
      </w:tr>
      <w:tr>
        <w:trPr>
          <w:trHeight w:val="353" w:hRule="exact"/>
        </w:trPr>
        <w:tc>
          <w:tcPr>
            <w:tcW w:w="2816"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管理人员</w:t>
            </w:r>
          </w:p>
        </w:tc>
        <w:tc>
          <w:tcPr>
            <w:tcW w:w="28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296" w:right="0"/>
              <w:jc w:val="left"/>
              <w:rPr>
                <w:rFonts w:ascii="宋体" w:hAnsi="宋体" w:cs="宋体" w:eastAsia="宋体" w:hint="default"/>
                <w:sz w:val="18"/>
                <w:szCs w:val="18"/>
              </w:rPr>
            </w:pPr>
            <w:r>
              <w:rPr>
                <w:rFonts w:ascii="宋体"/>
                <w:sz w:val="18"/>
              </w:rPr>
              <w:t>53</w:t>
            </w:r>
          </w:p>
        </w:tc>
        <w:tc>
          <w:tcPr>
            <w:tcW w:w="29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1169"/>
              <w:jc w:val="right"/>
              <w:rPr>
                <w:rFonts w:ascii="宋体" w:hAnsi="宋体" w:cs="宋体" w:eastAsia="宋体" w:hint="default"/>
                <w:sz w:val="18"/>
                <w:szCs w:val="18"/>
              </w:rPr>
            </w:pPr>
            <w:r>
              <w:rPr>
                <w:rFonts w:ascii="宋体"/>
                <w:spacing w:val="-1"/>
                <w:sz w:val="18"/>
              </w:rPr>
              <w:t>11.42%</w:t>
            </w:r>
          </w:p>
        </w:tc>
      </w:tr>
      <w:tr>
        <w:trPr>
          <w:trHeight w:val="353" w:hRule="exact"/>
        </w:trPr>
        <w:tc>
          <w:tcPr>
            <w:tcW w:w="2816"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8"/>
              <w:ind w:left="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1250" w:right="0"/>
              <w:jc w:val="left"/>
              <w:rPr>
                <w:rFonts w:ascii="宋体" w:hAnsi="宋体" w:cs="宋体" w:eastAsia="宋体" w:hint="default"/>
                <w:sz w:val="18"/>
                <w:szCs w:val="18"/>
              </w:rPr>
            </w:pPr>
            <w:r>
              <w:rPr>
                <w:rFonts w:ascii="宋体"/>
                <w:sz w:val="18"/>
              </w:rPr>
              <w:t>464</w:t>
            </w:r>
          </w:p>
        </w:tc>
        <w:tc>
          <w:tcPr>
            <w:tcW w:w="29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1257"/>
              <w:jc w:val="right"/>
              <w:rPr>
                <w:rFonts w:ascii="宋体" w:hAnsi="宋体" w:cs="宋体" w:eastAsia="宋体" w:hint="default"/>
                <w:sz w:val="18"/>
                <w:szCs w:val="18"/>
              </w:rPr>
            </w:pPr>
            <w:r>
              <w:rPr>
                <w:rFonts w:ascii="宋体"/>
                <w:sz w:val="18"/>
              </w:rPr>
              <w:t>100%</w:t>
            </w:r>
          </w:p>
        </w:tc>
      </w:tr>
    </w:tbl>
    <w:p>
      <w:pPr>
        <w:pStyle w:val="BodyText"/>
        <w:spacing w:line="240" w:lineRule="auto" w:before="31"/>
        <w:ind w:right="1134"/>
        <w:jc w:val="left"/>
      </w:pPr>
      <w:r>
        <w:rPr>
          <w:rFonts w:ascii="宋体" w:hAnsi="宋体" w:cs="宋体" w:eastAsia="宋体" w:hint="default"/>
        </w:rPr>
        <w:t>2</w:t>
      </w:r>
      <w:r>
        <w:rPr/>
        <w:t>、员工受教育程度</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2826"/>
        <w:gridCol w:w="2813"/>
        <w:gridCol w:w="2890"/>
      </w:tblGrid>
      <w:tr>
        <w:trPr>
          <w:trHeight w:val="355" w:hRule="exact"/>
        </w:trPr>
        <w:tc>
          <w:tcPr>
            <w:tcW w:w="282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学历</w:t>
            </w:r>
          </w:p>
        </w:tc>
        <w:tc>
          <w:tcPr>
            <w:tcW w:w="2813"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20"/>
              <w:ind w:right="9"/>
              <w:jc w:val="center"/>
              <w:rPr>
                <w:rFonts w:ascii="宋体" w:hAnsi="宋体" w:cs="宋体" w:eastAsia="宋体" w:hint="default"/>
                <w:sz w:val="18"/>
                <w:szCs w:val="18"/>
              </w:rPr>
            </w:pPr>
            <w:r>
              <w:rPr>
                <w:rFonts w:ascii="宋体" w:hAnsi="宋体" w:cs="宋体" w:eastAsia="宋体" w:hint="default"/>
                <w:sz w:val="18"/>
                <w:szCs w:val="18"/>
              </w:rPr>
              <w:t>人数</w:t>
            </w:r>
          </w:p>
        </w:tc>
        <w:tc>
          <w:tcPr>
            <w:tcW w:w="2890"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20"/>
              <w:ind w:right="3"/>
              <w:jc w:val="center"/>
              <w:rPr>
                <w:rFonts w:ascii="宋体" w:hAnsi="宋体" w:cs="宋体" w:eastAsia="宋体" w:hint="default"/>
                <w:sz w:val="18"/>
                <w:szCs w:val="18"/>
              </w:rPr>
            </w:pPr>
            <w:r>
              <w:rPr>
                <w:rFonts w:ascii="宋体" w:hAnsi="宋体" w:cs="宋体" w:eastAsia="宋体" w:hint="default"/>
                <w:sz w:val="18"/>
                <w:szCs w:val="18"/>
              </w:rPr>
              <w:t>占比</w:t>
            </w:r>
          </w:p>
        </w:tc>
      </w:tr>
      <w:tr>
        <w:trPr>
          <w:trHeight w:val="350" w:hRule="exact"/>
        </w:trPr>
        <w:tc>
          <w:tcPr>
            <w:tcW w:w="2826"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8"/>
              <w:ind w:left="7" w:right="0"/>
              <w:jc w:val="center"/>
              <w:rPr>
                <w:rFonts w:ascii="宋体" w:hAnsi="宋体" w:cs="宋体" w:eastAsia="宋体" w:hint="default"/>
                <w:sz w:val="18"/>
                <w:szCs w:val="18"/>
              </w:rPr>
            </w:pPr>
            <w:r>
              <w:rPr>
                <w:rFonts w:ascii="宋体" w:hAnsi="宋体" w:cs="宋体" w:eastAsia="宋体" w:hint="default"/>
                <w:sz w:val="18"/>
                <w:szCs w:val="18"/>
              </w:rPr>
              <w:t>硕士及以上</w:t>
            </w:r>
          </w:p>
        </w:tc>
        <w:tc>
          <w:tcPr>
            <w:tcW w:w="28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9"/>
              <w:jc w:val="center"/>
              <w:rPr>
                <w:rFonts w:ascii="宋体" w:hAnsi="宋体" w:cs="宋体" w:eastAsia="宋体" w:hint="default"/>
                <w:sz w:val="18"/>
                <w:szCs w:val="18"/>
              </w:rPr>
            </w:pPr>
            <w:r>
              <w:rPr>
                <w:rFonts w:ascii="宋体"/>
                <w:sz w:val="18"/>
              </w:rPr>
              <w:t>22</w:t>
            </w:r>
          </w:p>
        </w:tc>
        <w:tc>
          <w:tcPr>
            <w:tcW w:w="28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4.74%</w:t>
            </w:r>
          </w:p>
        </w:tc>
      </w:tr>
      <w:tr>
        <w:trPr>
          <w:trHeight w:val="353" w:hRule="exact"/>
        </w:trPr>
        <w:tc>
          <w:tcPr>
            <w:tcW w:w="2826"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z w:val="18"/>
                <w:szCs w:val="18"/>
              </w:rPr>
              <w:t>本科</w:t>
            </w:r>
          </w:p>
        </w:tc>
        <w:tc>
          <w:tcPr>
            <w:tcW w:w="28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9"/>
              <w:jc w:val="center"/>
              <w:rPr>
                <w:rFonts w:ascii="宋体" w:hAnsi="宋体" w:cs="宋体" w:eastAsia="宋体" w:hint="default"/>
                <w:sz w:val="18"/>
                <w:szCs w:val="18"/>
              </w:rPr>
            </w:pPr>
            <w:r>
              <w:rPr>
                <w:rFonts w:ascii="宋体"/>
                <w:sz w:val="18"/>
              </w:rPr>
              <w:t>192</w:t>
            </w:r>
          </w:p>
        </w:tc>
        <w:tc>
          <w:tcPr>
            <w:tcW w:w="28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5"/>
              <w:jc w:val="center"/>
              <w:rPr>
                <w:rFonts w:ascii="宋体" w:hAnsi="宋体" w:cs="宋体" w:eastAsia="宋体" w:hint="default"/>
                <w:sz w:val="18"/>
                <w:szCs w:val="18"/>
              </w:rPr>
            </w:pPr>
            <w:r>
              <w:rPr>
                <w:rFonts w:ascii="宋体"/>
                <w:sz w:val="18"/>
              </w:rPr>
              <w:t>41.38%</w:t>
            </w:r>
          </w:p>
        </w:tc>
      </w:tr>
      <w:tr>
        <w:trPr>
          <w:trHeight w:val="353" w:hRule="exact"/>
        </w:trPr>
        <w:tc>
          <w:tcPr>
            <w:tcW w:w="2826"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专科</w:t>
            </w:r>
          </w:p>
        </w:tc>
        <w:tc>
          <w:tcPr>
            <w:tcW w:w="28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9"/>
              <w:jc w:val="center"/>
              <w:rPr>
                <w:rFonts w:ascii="宋体" w:hAnsi="宋体" w:cs="宋体" w:eastAsia="宋体" w:hint="default"/>
                <w:sz w:val="18"/>
                <w:szCs w:val="18"/>
              </w:rPr>
            </w:pPr>
            <w:r>
              <w:rPr>
                <w:rFonts w:ascii="宋体"/>
                <w:sz w:val="18"/>
              </w:rPr>
              <w:t>156</w:t>
            </w:r>
          </w:p>
        </w:tc>
        <w:tc>
          <w:tcPr>
            <w:tcW w:w="28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5"/>
              <w:jc w:val="center"/>
              <w:rPr>
                <w:rFonts w:ascii="宋体" w:hAnsi="宋体" w:cs="宋体" w:eastAsia="宋体" w:hint="default"/>
                <w:sz w:val="18"/>
                <w:szCs w:val="18"/>
              </w:rPr>
            </w:pPr>
            <w:r>
              <w:rPr>
                <w:rFonts w:ascii="宋体"/>
                <w:sz w:val="18"/>
              </w:rPr>
              <w:t>33.62%</w:t>
            </w:r>
          </w:p>
        </w:tc>
      </w:tr>
      <w:tr>
        <w:trPr>
          <w:trHeight w:val="350" w:hRule="exact"/>
        </w:trPr>
        <w:tc>
          <w:tcPr>
            <w:tcW w:w="2826"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8"/>
              <w:ind w:left="7" w:right="0"/>
              <w:jc w:val="center"/>
              <w:rPr>
                <w:rFonts w:ascii="宋体" w:hAnsi="宋体" w:cs="宋体" w:eastAsia="宋体" w:hint="default"/>
                <w:sz w:val="18"/>
                <w:szCs w:val="18"/>
              </w:rPr>
            </w:pPr>
            <w:r>
              <w:rPr>
                <w:rFonts w:ascii="宋体" w:hAnsi="宋体" w:cs="宋体" w:eastAsia="宋体" w:hint="default"/>
                <w:sz w:val="18"/>
                <w:szCs w:val="18"/>
              </w:rPr>
              <w:t>中专及以下</w:t>
            </w:r>
          </w:p>
        </w:tc>
        <w:tc>
          <w:tcPr>
            <w:tcW w:w="28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9"/>
              <w:jc w:val="center"/>
              <w:rPr>
                <w:rFonts w:ascii="宋体" w:hAnsi="宋体" w:cs="宋体" w:eastAsia="宋体" w:hint="default"/>
                <w:sz w:val="18"/>
                <w:szCs w:val="18"/>
              </w:rPr>
            </w:pPr>
            <w:r>
              <w:rPr>
                <w:rFonts w:ascii="宋体"/>
                <w:sz w:val="18"/>
              </w:rPr>
              <w:t>94</w:t>
            </w:r>
          </w:p>
        </w:tc>
        <w:tc>
          <w:tcPr>
            <w:tcW w:w="28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sz w:val="18"/>
              </w:rPr>
              <w:t>20.26%</w:t>
            </w:r>
          </w:p>
        </w:tc>
      </w:tr>
      <w:tr>
        <w:trPr>
          <w:trHeight w:val="355" w:hRule="exact"/>
        </w:trPr>
        <w:tc>
          <w:tcPr>
            <w:tcW w:w="2826"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9"/>
              <w:jc w:val="center"/>
              <w:rPr>
                <w:rFonts w:ascii="宋体" w:hAnsi="宋体" w:cs="宋体" w:eastAsia="宋体" w:hint="default"/>
                <w:sz w:val="18"/>
                <w:szCs w:val="18"/>
              </w:rPr>
            </w:pPr>
            <w:r>
              <w:rPr>
                <w:rFonts w:ascii="宋体"/>
                <w:sz w:val="18"/>
              </w:rPr>
              <w:t>464</w:t>
            </w:r>
          </w:p>
        </w:tc>
        <w:tc>
          <w:tcPr>
            <w:tcW w:w="28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sz w:val="18"/>
              </w:rPr>
              <w:t>100%</w:t>
            </w:r>
          </w:p>
        </w:tc>
      </w:tr>
    </w:tbl>
    <w:p>
      <w:pPr>
        <w:pStyle w:val="BodyText"/>
        <w:spacing w:line="240" w:lineRule="auto" w:before="8"/>
        <w:ind w:right="1134"/>
        <w:jc w:val="left"/>
      </w:pPr>
      <w:r>
        <w:rPr>
          <w:rFonts w:ascii="宋体" w:hAnsi="宋体" w:cs="宋体" w:eastAsia="宋体" w:hint="default"/>
        </w:rPr>
        <w:t>3</w:t>
      </w:r>
      <w:r>
        <w:rPr/>
        <w:t>、员工年龄构成</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2828"/>
        <w:gridCol w:w="2828"/>
        <w:gridCol w:w="2873"/>
      </w:tblGrid>
      <w:tr>
        <w:trPr>
          <w:trHeight w:val="353" w:hRule="exact"/>
        </w:trPr>
        <w:tc>
          <w:tcPr>
            <w:tcW w:w="282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宋体" w:hAnsi="宋体" w:cs="宋体" w:eastAsia="宋体" w:hint="default"/>
                <w:sz w:val="18"/>
                <w:szCs w:val="18"/>
              </w:rPr>
              <w:t>年龄区间</w:t>
            </w:r>
          </w:p>
        </w:tc>
        <w:tc>
          <w:tcPr>
            <w:tcW w:w="2828"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17"/>
              <w:ind w:right="3"/>
              <w:jc w:val="center"/>
              <w:rPr>
                <w:rFonts w:ascii="宋体" w:hAnsi="宋体" w:cs="宋体" w:eastAsia="宋体" w:hint="default"/>
                <w:sz w:val="18"/>
                <w:szCs w:val="18"/>
              </w:rPr>
            </w:pPr>
            <w:r>
              <w:rPr>
                <w:rFonts w:ascii="宋体" w:hAnsi="宋体" w:cs="宋体" w:eastAsia="宋体" w:hint="default"/>
                <w:sz w:val="18"/>
                <w:szCs w:val="18"/>
              </w:rPr>
              <w:t>人数</w:t>
            </w:r>
          </w:p>
        </w:tc>
        <w:tc>
          <w:tcPr>
            <w:tcW w:w="2873"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17"/>
              <w:ind w:right="5"/>
              <w:jc w:val="center"/>
              <w:rPr>
                <w:rFonts w:ascii="宋体" w:hAnsi="宋体" w:cs="宋体" w:eastAsia="宋体" w:hint="default"/>
                <w:sz w:val="18"/>
                <w:szCs w:val="18"/>
              </w:rPr>
            </w:pPr>
            <w:r>
              <w:rPr>
                <w:rFonts w:ascii="宋体" w:hAnsi="宋体" w:cs="宋体" w:eastAsia="宋体" w:hint="default"/>
                <w:sz w:val="18"/>
                <w:szCs w:val="18"/>
              </w:rPr>
              <w:t>占比</w:t>
            </w:r>
          </w:p>
        </w:tc>
      </w:tr>
      <w:tr>
        <w:trPr>
          <w:trHeight w:val="353" w:hRule="exact"/>
        </w:trPr>
        <w:tc>
          <w:tcPr>
            <w:tcW w:w="2828"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0"/>
              <w:ind w:left="9" w:right="0"/>
              <w:jc w:val="center"/>
              <w:rPr>
                <w:rFonts w:ascii="宋体" w:hAnsi="宋体" w:cs="宋体" w:eastAsia="宋体" w:hint="default"/>
                <w:sz w:val="18"/>
                <w:szCs w:val="18"/>
              </w:rPr>
            </w:pPr>
            <w:r>
              <w:rPr>
                <w:rFonts w:ascii="宋体"/>
                <w:sz w:val="18"/>
              </w:rPr>
              <w:t>21-30</w:t>
            </w:r>
          </w:p>
        </w:tc>
        <w:tc>
          <w:tcPr>
            <w:tcW w:w="282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3"/>
              <w:jc w:val="center"/>
              <w:rPr>
                <w:rFonts w:ascii="宋体" w:hAnsi="宋体" w:cs="宋体" w:eastAsia="宋体" w:hint="default"/>
                <w:sz w:val="18"/>
                <w:szCs w:val="18"/>
              </w:rPr>
            </w:pPr>
            <w:r>
              <w:rPr>
                <w:rFonts w:ascii="宋体"/>
                <w:sz w:val="18"/>
              </w:rPr>
              <w:t>246</w:t>
            </w:r>
          </w:p>
        </w:tc>
        <w:tc>
          <w:tcPr>
            <w:tcW w:w="287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149" w:right="0"/>
              <w:jc w:val="left"/>
              <w:rPr>
                <w:rFonts w:ascii="宋体" w:hAnsi="宋体" w:cs="宋体" w:eastAsia="宋体" w:hint="default"/>
                <w:sz w:val="18"/>
                <w:szCs w:val="18"/>
              </w:rPr>
            </w:pPr>
            <w:r>
              <w:rPr>
                <w:rFonts w:ascii="宋体"/>
                <w:sz w:val="18"/>
              </w:rPr>
              <w:t>53.02%</w:t>
            </w:r>
          </w:p>
        </w:tc>
      </w:tr>
      <w:tr>
        <w:trPr>
          <w:trHeight w:val="350" w:hRule="exact"/>
        </w:trPr>
        <w:tc>
          <w:tcPr>
            <w:tcW w:w="2828"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8"/>
              <w:ind w:left="9" w:right="0"/>
              <w:jc w:val="center"/>
              <w:rPr>
                <w:rFonts w:ascii="宋体" w:hAnsi="宋体" w:cs="宋体" w:eastAsia="宋体" w:hint="default"/>
                <w:sz w:val="18"/>
                <w:szCs w:val="18"/>
              </w:rPr>
            </w:pPr>
            <w:r>
              <w:rPr>
                <w:rFonts w:ascii="宋体"/>
                <w:sz w:val="18"/>
              </w:rPr>
              <w:t>31-40</w:t>
            </w:r>
          </w:p>
        </w:tc>
        <w:tc>
          <w:tcPr>
            <w:tcW w:w="282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sz w:val="18"/>
              </w:rPr>
              <w:t>149</w:t>
            </w:r>
          </w:p>
        </w:tc>
        <w:tc>
          <w:tcPr>
            <w:tcW w:w="287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1149" w:right="0"/>
              <w:jc w:val="left"/>
              <w:rPr>
                <w:rFonts w:ascii="宋体" w:hAnsi="宋体" w:cs="宋体" w:eastAsia="宋体" w:hint="default"/>
                <w:sz w:val="18"/>
                <w:szCs w:val="18"/>
              </w:rPr>
            </w:pPr>
            <w:r>
              <w:rPr>
                <w:rFonts w:ascii="宋体"/>
                <w:sz w:val="18"/>
              </w:rPr>
              <w:t>32.11%</w:t>
            </w:r>
          </w:p>
        </w:tc>
      </w:tr>
      <w:tr>
        <w:trPr>
          <w:trHeight w:val="353" w:hRule="exact"/>
        </w:trPr>
        <w:tc>
          <w:tcPr>
            <w:tcW w:w="2828"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40</w:t>
            </w:r>
            <w:r>
              <w:rPr>
                <w:rFonts w:ascii="宋体" w:hAnsi="宋体" w:cs="宋体" w:eastAsia="宋体" w:hint="default"/>
                <w:sz w:val="18"/>
                <w:szCs w:val="18"/>
              </w:rPr>
              <w:t>以上</w:t>
            </w:r>
          </w:p>
        </w:tc>
        <w:tc>
          <w:tcPr>
            <w:tcW w:w="282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3"/>
              <w:jc w:val="center"/>
              <w:rPr>
                <w:rFonts w:ascii="宋体" w:hAnsi="宋体" w:cs="宋体" w:eastAsia="宋体" w:hint="default"/>
                <w:sz w:val="18"/>
                <w:szCs w:val="18"/>
              </w:rPr>
            </w:pPr>
            <w:r>
              <w:rPr>
                <w:rFonts w:ascii="宋体"/>
                <w:sz w:val="18"/>
              </w:rPr>
              <w:t>69</w:t>
            </w:r>
          </w:p>
        </w:tc>
        <w:tc>
          <w:tcPr>
            <w:tcW w:w="287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149" w:right="0"/>
              <w:jc w:val="left"/>
              <w:rPr>
                <w:rFonts w:ascii="宋体" w:hAnsi="宋体" w:cs="宋体" w:eastAsia="宋体" w:hint="default"/>
                <w:sz w:val="18"/>
                <w:szCs w:val="18"/>
              </w:rPr>
            </w:pPr>
            <w:r>
              <w:rPr>
                <w:rFonts w:ascii="宋体"/>
                <w:sz w:val="18"/>
              </w:rPr>
              <w:t>14.87%</w:t>
            </w:r>
          </w:p>
        </w:tc>
      </w:tr>
      <w:tr>
        <w:trPr>
          <w:trHeight w:val="353" w:hRule="exact"/>
        </w:trPr>
        <w:tc>
          <w:tcPr>
            <w:tcW w:w="2828"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0"/>
              <w:ind w:left="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2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3"/>
              <w:jc w:val="center"/>
              <w:rPr>
                <w:rFonts w:ascii="宋体" w:hAnsi="宋体" w:cs="宋体" w:eastAsia="宋体" w:hint="default"/>
                <w:sz w:val="18"/>
                <w:szCs w:val="18"/>
              </w:rPr>
            </w:pPr>
            <w:r>
              <w:rPr>
                <w:rFonts w:ascii="宋体"/>
                <w:sz w:val="18"/>
              </w:rPr>
              <w:t>464</w:t>
            </w:r>
          </w:p>
        </w:tc>
        <w:tc>
          <w:tcPr>
            <w:tcW w:w="287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415" w:right="0"/>
              <w:jc w:val="center"/>
              <w:rPr>
                <w:rFonts w:ascii="宋体" w:hAnsi="宋体" w:cs="宋体" w:eastAsia="宋体" w:hint="default"/>
                <w:sz w:val="18"/>
                <w:szCs w:val="18"/>
              </w:rPr>
            </w:pPr>
            <w:r>
              <w:rPr>
                <w:rFonts w:ascii="宋体"/>
                <w:sz w:val="18"/>
              </w:rPr>
              <w:t>100%</w:t>
            </w:r>
          </w:p>
        </w:tc>
      </w:tr>
    </w:tbl>
    <w:p>
      <w:pPr>
        <w:spacing w:line="240" w:lineRule="auto" w:before="2"/>
        <w:rPr>
          <w:rFonts w:ascii="宋体" w:hAnsi="宋体" w:cs="宋体" w:eastAsia="宋体" w:hint="default"/>
          <w:sz w:val="24"/>
          <w:szCs w:val="24"/>
        </w:rPr>
      </w:pPr>
    </w:p>
    <w:p>
      <w:pPr>
        <w:pStyle w:val="BodyText"/>
        <w:spacing w:line="240" w:lineRule="auto" w:before="44"/>
        <w:ind w:right="1134"/>
        <w:jc w:val="left"/>
      </w:pPr>
      <w:r>
        <w:rPr/>
        <w:t>企业薪酬成本情况</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5856"/>
      </w:tblGrid>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58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464</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当期总体薪酬发生额（万元）</w:t>
            </w:r>
          </w:p>
        </w:tc>
        <w:tc>
          <w:tcPr>
            <w:tcW w:w="58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5,760.84</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总体薪酬占当期营业收入比例</w:t>
            </w:r>
          </w:p>
        </w:tc>
        <w:tc>
          <w:tcPr>
            <w:tcW w:w="58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9.74%</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高管人均薪酬金额（万元</w:t>
            </w:r>
            <w:r>
              <w:rPr>
                <w:rFonts w:ascii="Times New Roman" w:hAnsi="Times New Roman" w:cs="Times New Roman" w:eastAsia="Times New Roman" w:hint="default"/>
                <w:sz w:val="18"/>
                <w:szCs w:val="18"/>
              </w:rPr>
              <w:t>/</w:t>
            </w:r>
            <w:r>
              <w:rPr>
                <w:rFonts w:ascii="宋体" w:hAnsi="宋体" w:cs="宋体" w:eastAsia="宋体" w:hint="default"/>
                <w:sz w:val="18"/>
                <w:szCs w:val="18"/>
              </w:rPr>
              <w:t>人）</w:t>
            </w:r>
          </w:p>
        </w:tc>
        <w:tc>
          <w:tcPr>
            <w:tcW w:w="58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52.26</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所有员工人均薪酬金额（万元</w:t>
            </w:r>
            <w:r>
              <w:rPr>
                <w:rFonts w:ascii="Times New Roman" w:hAnsi="Times New Roman" w:cs="Times New Roman" w:eastAsia="Times New Roman" w:hint="default"/>
                <w:sz w:val="18"/>
                <w:szCs w:val="18"/>
              </w:rPr>
              <w:t>/</w:t>
            </w:r>
            <w:r>
              <w:rPr>
                <w:rFonts w:ascii="宋体" w:hAnsi="宋体" w:cs="宋体" w:eastAsia="宋体" w:hint="default"/>
                <w:sz w:val="18"/>
                <w:szCs w:val="18"/>
              </w:rPr>
              <w:t>人）</w:t>
            </w:r>
          </w:p>
        </w:tc>
        <w:tc>
          <w:tcPr>
            <w:tcW w:w="58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12.42</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686" w:right="3685"/>
        <w:jc w:val="center"/>
        <w:rPr>
          <w:b w:val="0"/>
          <w:bCs w:val="0"/>
        </w:rPr>
      </w:pPr>
      <w:bookmarkStart w:name="_TOC_250002" w:id="9"/>
      <w:r>
        <w:rPr/>
        <w:t>第九节</w:t>
      </w:r>
      <w:r>
        <w:rPr>
          <w:spacing w:val="-2"/>
        </w:rPr>
        <w:t> </w:t>
      </w:r>
      <w:r>
        <w:rPr/>
        <w:t>公司治理</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both"/>
        <w:rPr>
          <w:b w:val="0"/>
          <w:bCs w:val="0"/>
        </w:rPr>
      </w:pP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53"/>
        <w:jc w:val="left"/>
      </w:pPr>
      <w:r>
        <w:rPr>
          <w:spacing w:val="-6"/>
        </w:rPr>
        <w:t>报告期内，公司严格按照《公司法》、《证券法》、《上市公司治理准则》、《深圳证券交易所创业板股票上市规则》、</w:t>
      </w:r>
    </w:p>
    <w:p>
      <w:pPr>
        <w:pStyle w:val="BodyText"/>
        <w:spacing w:line="316" w:lineRule="auto" w:before="76"/>
        <w:ind w:right="150"/>
        <w:jc w:val="both"/>
      </w:pPr>
      <w:r>
        <w:rPr>
          <w:spacing w:val="-2"/>
        </w:rPr>
        <w:t>《深圳证券交易所创业板上市公司规范运作指引》和其他有关法律法规、规范性文件的要求，结合公司实际情况，健全和完</w:t>
      </w:r>
      <w:r>
        <w:rPr>
          <w:spacing w:val="-64"/>
        </w:rPr>
        <w:t> </w:t>
      </w:r>
      <w:r>
        <w:rPr>
          <w:spacing w:val="-64"/>
        </w:rPr>
      </w:r>
      <w:r>
        <w:rPr>
          <w:spacing w:val="-2"/>
        </w:rPr>
        <w:t>善了《公司章程》及各项内部控制制度，发挥了董事会及各专门委员会的职能和作用，完善了董事会的专业化程度，保障了</w:t>
      </w:r>
      <w:r>
        <w:rPr>
          <w:spacing w:val="-67"/>
        </w:rPr>
        <w:t> </w:t>
      </w:r>
      <w:r>
        <w:rPr>
          <w:spacing w:val="-67"/>
        </w:rPr>
      </w:r>
      <w:r>
        <w:rPr>
          <w:spacing w:val="-5"/>
        </w:rPr>
        <w:t>董事会决策的科学性和程序性，进一步规范了公司治理结构。截至报告期末，公司治理的实际状况符合《上市公司治理准则》</w:t>
      </w:r>
      <w:r>
        <w:rPr>
          <w:spacing w:val="-75"/>
        </w:rPr>
        <w:t> </w:t>
      </w:r>
      <w:r>
        <w:rPr>
          <w:spacing w:val="-75"/>
        </w:rPr>
      </w:r>
      <w:r>
        <w:rPr/>
        <w:t>和《深圳证券交易所创业板上市公司规范运作指引》的要求。</w:t>
      </w:r>
    </w:p>
    <w:p>
      <w:pPr>
        <w:spacing w:line="240" w:lineRule="auto" w:before="5"/>
        <w:rPr>
          <w:rFonts w:ascii="宋体" w:hAnsi="宋体" w:cs="宋体" w:eastAsia="宋体" w:hint="default"/>
          <w:sz w:val="13"/>
          <w:szCs w:val="13"/>
        </w:rPr>
      </w:pPr>
    </w:p>
    <w:p>
      <w:pPr>
        <w:pStyle w:val="BodyText"/>
        <w:spacing w:line="240" w:lineRule="auto"/>
        <w:ind w:left="513" w:right="0"/>
        <w:jc w:val="left"/>
      </w:pPr>
      <w:r>
        <w:rPr/>
        <w:t>根据监管部门的最新要求和公司实际情况，报告期内，公司修订了《公司章程》、《募集资金使用管理制度》，制定了</w:t>
      </w:r>
    </w:p>
    <w:p>
      <w:pPr>
        <w:pStyle w:val="BodyText"/>
        <w:spacing w:line="477" w:lineRule="auto" w:before="76"/>
        <w:ind w:left="513" w:right="4014" w:hanging="361"/>
        <w:jc w:val="left"/>
      </w:pPr>
      <w:r>
        <w:rPr/>
        <w:t>《委托理财管理制度》，为公司的规范运作提供了更加完善的制度保障。 </w:t>
      </w:r>
      <w:r>
        <w:rPr>
          <w:rFonts w:ascii="宋体" w:hAnsi="宋体" w:cs="宋体" w:eastAsia="宋体" w:hint="default"/>
        </w:rPr>
        <w:t>1</w:t>
      </w:r>
      <w:r>
        <w:rPr/>
        <w:t>、关于股东与股东大会</w:t>
      </w:r>
    </w:p>
    <w:p>
      <w:pPr>
        <w:pStyle w:val="BodyText"/>
        <w:spacing w:line="316" w:lineRule="auto" w:before="54"/>
        <w:ind w:right="148" w:firstLine="360"/>
        <w:jc w:val="both"/>
      </w:pPr>
      <w:r>
        <w:rPr>
          <w:spacing w:val="-2"/>
        </w:rPr>
        <w:t>公司严格按照《公司法》、《上市公司股东大会规则》以及公司《章程》、《股东大会议事规则》和深圳证券交易所创</w:t>
      </w:r>
      <w:r>
        <w:rPr/>
        <w:t> </w:t>
      </w:r>
      <w:r>
        <w:rPr>
          <w:spacing w:val="-5"/>
        </w:rPr>
        <w:t>业板的相关规定和要求，规范股东大会的召集、召开和表决程序。报告期内，公司召开的股东大会均由公司董事会召集召开，</w:t>
      </w:r>
      <w:r>
        <w:rPr>
          <w:spacing w:val="-78"/>
        </w:rPr>
        <w:t> </w:t>
      </w:r>
      <w:r>
        <w:rPr>
          <w:spacing w:val="-78"/>
        </w:rPr>
      </w:r>
      <w:r>
        <w:rPr>
          <w:spacing w:val="-2"/>
        </w:rPr>
        <w:t>董事长主持，在股东大会上能够保证各位股东有充分的发言权，确保全体股东特别是中小股东享有平等地位，充分行使自己</w:t>
      </w:r>
      <w:r>
        <w:rPr>
          <w:spacing w:val="-61"/>
        </w:rPr>
        <w:t> </w:t>
      </w:r>
      <w:r>
        <w:rPr>
          <w:spacing w:val="-61"/>
        </w:rPr>
      </w:r>
      <w:r>
        <w:rPr/>
        <w:t>的权利。</w:t>
      </w:r>
      <w:r>
        <w:rPr>
          <w:spacing w:val="1"/>
        </w:rPr>
        <w:t> </w:t>
      </w:r>
      <w:r>
        <w:rPr/>
        <w:t>报告期内，本公司召开的股东大会不存在违反《上市公司股东大会规则》的情形，公司未发生单独或合并持有本</w:t>
      </w:r>
      <w:r>
        <w:rPr/>
        <w:t> </w:t>
      </w:r>
      <w:r>
        <w:rPr>
          <w:spacing w:val="-4"/>
        </w:rPr>
        <w:t>公司有表决权股份总数</w:t>
      </w:r>
      <w:r>
        <w:rPr>
          <w:rFonts w:ascii="宋体" w:hAnsi="宋体" w:cs="宋体" w:eastAsia="宋体" w:hint="default"/>
          <w:spacing w:val="-4"/>
        </w:rPr>
        <w:t>10%</w:t>
      </w:r>
      <w:r>
        <w:rPr>
          <w:spacing w:val="-4"/>
        </w:rPr>
        <w:t>以上的股东请求召开临时股东大会的情形，也无应监事会提议召开的股东大会。按照《公司法》、</w:t>
      </w:r>
    </w:p>
    <w:p>
      <w:pPr>
        <w:pStyle w:val="BodyText"/>
        <w:spacing w:line="316" w:lineRule="auto" w:before="19"/>
        <w:ind w:right="151"/>
        <w:jc w:val="both"/>
      </w:pPr>
      <w:r>
        <w:rPr>
          <w:spacing w:val="-2"/>
        </w:rPr>
        <w:t>《公司章程》的规定应由股东大会审议的重大事项，本公司均通过股东大会审议，不存在绕过股东大会的情况，也不存在先</w:t>
      </w:r>
      <w:r>
        <w:rPr>
          <w:spacing w:val="-65"/>
        </w:rPr>
        <w:t> </w:t>
      </w:r>
      <w:r>
        <w:rPr>
          <w:spacing w:val="-65"/>
        </w:rPr>
      </w:r>
      <w:r>
        <w:rPr/>
        <w:t>实施后审议的情况。</w:t>
      </w:r>
    </w:p>
    <w:p>
      <w:pPr>
        <w:pStyle w:val="BodyText"/>
        <w:spacing w:line="468" w:lineRule="exact" w:before="10"/>
        <w:ind w:left="513" w:right="153"/>
        <w:jc w:val="left"/>
      </w:pPr>
      <w:r>
        <w:rPr>
          <w:rFonts w:ascii="宋体" w:hAnsi="宋体" w:cs="宋体" w:eastAsia="宋体" w:hint="default"/>
        </w:rPr>
        <w:t>2</w:t>
      </w:r>
      <w:r>
        <w:rPr/>
        <w:t>、关于董事与董事会 </w:t>
      </w:r>
      <w:r>
        <w:rPr>
          <w:spacing w:val="-2"/>
        </w:rPr>
        <w:t>公司第二届董事会设董事</w:t>
      </w:r>
      <w:r>
        <w:rPr>
          <w:rFonts w:ascii="宋体" w:hAnsi="宋体" w:cs="宋体" w:eastAsia="宋体" w:hint="default"/>
          <w:spacing w:val="-2"/>
        </w:rPr>
        <w:t>7</w:t>
      </w:r>
      <w:r>
        <w:rPr>
          <w:spacing w:val="-2"/>
        </w:rPr>
        <w:t>名，其中独立董事</w:t>
      </w:r>
      <w:r>
        <w:rPr>
          <w:rFonts w:ascii="宋体" w:hAnsi="宋体" w:cs="宋体" w:eastAsia="宋体" w:hint="default"/>
          <w:spacing w:val="-2"/>
        </w:rPr>
        <w:t>3</w:t>
      </w:r>
      <w:r>
        <w:rPr>
          <w:spacing w:val="-2"/>
        </w:rPr>
        <w:t>名，董事会的人数及人员构成符合法律、法规和《公司章程》的要求。报</w:t>
      </w:r>
    </w:p>
    <w:p>
      <w:pPr>
        <w:pStyle w:val="BodyText"/>
        <w:spacing w:line="319" w:lineRule="auto" w:before="8"/>
        <w:ind w:right="149"/>
        <w:jc w:val="both"/>
      </w:pPr>
      <w:r>
        <w:rPr>
          <w:spacing w:val="-2"/>
        </w:rPr>
        <w:t>告期内，公司第二届董事会各位董事均能够依据《董事会议事规则》、《独立董事工作制度》、《深圳证券交易所创业板上</w:t>
      </w:r>
      <w:r>
        <w:rPr>
          <w:spacing w:val="-68"/>
        </w:rPr>
        <w:t> </w:t>
      </w:r>
      <w:r>
        <w:rPr>
          <w:spacing w:val="-68"/>
        </w:rPr>
      </w:r>
      <w:r>
        <w:rPr>
          <w:spacing w:val="-2"/>
        </w:rPr>
        <w:t>市公司规范运作指引》等开展工作，出席董事会、董事会专门委员会和股东大会，勤勉尽责地履行职责和义务，同时积极参</w:t>
      </w:r>
      <w:r>
        <w:rPr>
          <w:spacing w:val="-67"/>
        </w:rPr>
        <w:t> </w:t>
      </w:r>
      <w:r>
        <w:rPr>
          <w:spacing w:val="-67"/>
        </w:rPr>
      </w:r>
      <w:r>
        <w:rPr>
          <w:spacing w:val="-3"/>
        </w:rPr>
        <w:t>加相关培训，熟悉相关法律法规。</w:t>
      </w:r>
      <w:r>
        <w:rPr>
          <w:spacing w:val="-13"/>
        </w:rPr>
        <w:t> </w:t>
      </w:r>
      <w:r>
        <w:rPr>
          <w:spacing w:val="-3"/>
        </w:rPr>
        <w:t>按照《深圳证券交易所创业板上市公司规范运作指引》的要求，董事会下设战略委员会、</w:t>
      </w:r>
      <w:r>
        <w:rPr>
          <w:spacing w:val="-87"/>
        </w:rPr>
        <w:t> </w:t>
      </w:r>
      <w:r>
        <w:rPr>
          <w:spacing w:val="-87"/>
        </w:rPr>
      </w:r>
      <w:r>
        <w:rPr>
          <w:spacing w:val="-2"/>
        </w:rPr>
        <w:t>薪酬和考核委员会、审计委员会和提名委员会四个专门委员会。专门委员会成员全部由董事组成，除战略委员会由董事长担</w:t>
      </w:r>
      <w:r>
        <w:rPr>
          <w:spacing w:val="-63"/>
        </w:rPr>
        <w:t> </w:t>
      </w:r>
      <w:r>
        <w:rPr>
          <w:spacing w:val="-63"/>
        </w:rPr>
      </w:r>
      <w:r>
        <w:rPr>
          <w:spacing w:val="-2"/>
        </w:rPr>
        <w:t>任主任委员以外，其他专门委员会均由独立董事担任主任委员，且独立董事人数占其他专门委员会委员的比例均达到三分之</w:t>
      </w:r>
      <w:r>
        <w:rPr>
          <w:spacing w:val="-62"/>
        </w:rPr>
        <w:t> </w:t>
      </w:r>
      <w:r>
        <w:rPr>
          <w:spacing w:val="-62"/>
        </w:rPr>
      </w:r>
      <w:r>
        <w:rPr>
          <w:spacing w:val="-2"/>
        </w:rPr>
        <w:t>二，为董事会的决策提供了科学和专业的意见和参考。各委员会依据《公司章程》和各委员会议事规则的规定履行职权，不</w:t>
      </w:r>
      <w:r>
        <w:rPr>
          <w:spacing w:val="-67"/>
        </w:rPr>
        <w:t> </w:t>
      </w:r>
      <w:r>
        <w:rPr>
          <w:spacing w:val="-67"/>
        </w:rPr>
      </w:r>
      <w:r>
        <w:rPr/>
        <w:t>受公司任何其他部门和个人的干预。</w:t>
      </w:r>
    </w:p>
    <w:p>
      <w:pPr>
        <w:pStyle w:val="BodyText"/>
        <w:spacing w:line="468" w:lineRule="exact" w:before="9"/>
        <w:ind w:left="513" w:right="0"/>
        <w:jc w:val="left"/>
      </w:pPr>
      <w:r>
        <w:rPr>
          <w:rFonts w:ascii="宋体" w:hAnsi="宋体" w:cs="宋体" w:eastAsia="宋体" w:hint="default"/>
        </w:rPr>
        <w:t>3</w:t>
      </w:r>
      <w:r>
        <w:rPr/>
        <w:t>、关于监事与监事会 </w:t>
      </w:r>
      <w:r>
        <w:rPr>
          <w:spacing w:val="-2"/>
        </w:rPr>
        <w:t>公司第二届监事会设监事</w:t>
      </w:r>
      <w:r>
        <w:rPr>
          <w:rFonts w:ascii="宋体" w:hAnsi="宋体" w:cs="宋体" w:eastAsia="宋体" w:hint="default"/>
          <w:spacing w:val="-2"/>
        </w:rPr>
        <w:t>3</w:t>
      </w:r>
      <w:r>
        <w:rPr>
          <w:spacing w:val="-2"/>
        </w:rPr>
        <w:t>名，其中职工监事</w:t>
      </w:r>
      <w:r>
        <w:rPr>
          <w:rFonts w:ascii="宋体" w:hAnsi="宋体" w:cs="宋体" w:eastAsia="宋体" w:hint="default"/>
          <w:spacing w:val="-2"/>
        </w:rPr>
        <w:t>1</w:t>
      </w:r>
      <w:r>
        <w:rPr>
          <w:spacing w:val="-2"/>
        </w:rPr>
        <w:t>名，监事会的人数和构成符合法律、法规的要求。报告期内，公司第二届</w:t>
      </w:r>
    </w:p>
    <w:p>
      <w:pPr>
        <w:pStyle w:val="BodyText"/>
        <w:spacing w:line="316" w:lineRule="auto" w:before="8"/>
        <w:ind w:right="150"/>
        <w:jc w:val="both"/>
      </w:pPr>
      <w:r>
        <w:rPr>
          <w:spacing w:val="-2"/>
        </w:rPr>
        <w:t>监事会各位监事均能够按照《公司章程》、《监事会议事规则》等规定的要求，认真履行自己的职责，对公司重大事项、财</w:t>
      </w:r>
      <w:r>
        <w:rPr>
          <w:spacing w:val="-65"/>
        </w:rPr>
        <w:t> </w:t>
      </w:r>
      <w:r>
        <w:rPr>
          <w:spacing w:val="-65"/>
        </w:rPr>
      </w:r>
      <w:r>
        <w:rPr>
          <w:spacing w:val="-2"/>
        </w:rPr>
        <w:t>务状况以及董事、高管人员履行职责的合法合规性进行监督。报告期内，公司监事参加了相关培训，通过进一步学习、熟悉</w:t>
      </w:r>
      <w:r>
        <w:rPr>
          <w:spacing w:val="-67"/>
        </w:rPr>
        <w:t> </w:t>
      </w:r>
      <w:r>
        <w:rPr>
          <w:spacing w:val="-67"/>
        </w:rPr>
      </w:r>
      <w:r>
        <w:rPr/>
        <w:t>有关法律法规，切实提高了履行监事职责的能力。</w:t>
      </w:r>
    </w:p>
    <w:p>
      <w:pPr>
        <w:pStyle w:val="BodyText"/>
        <w:spacing w:line="468" w:lineRule="exact" w:before="10"/>
        <w:ind w:left="513" w:right="138"/>
        <w:jc w:val="left"/>
      </w:pPr>
      <w:r>
        <w:rPr>
          <w:rFonts w:ascii="宋体" w:hAnsi="宋体" w:cs="宋体" w:eastAsia="宋体" w:hint="default"/>
        </w:rPr>
        <w:t>4</w:t>
      </w:r>
      <w:r>
        <w:rPr/>
        <w:t>、关于绩效评价与激励约束机制 </w:t>
      </w:r>
      <w:r>
        <w:rPr>
          <w:spacing w:val="-5"/>
        </w:rPr>
        <w:t>公司已建立较公正、透明的高级管理人员的绩效考核标准和激励约束机制。高级管理人员的聘任公开、透明，符合法律、</w:t>
      </w:r>
    </w:p>
    <w:p>
      <w:pPr>
        <w:pStyle w:val="BodyText"/>
        <w:spacing w:line="240" w:lineRule="auto" w:before="8"/>
        <w:ind w:right="0"/>
        <w:jc w:val="both"/>
      </w:pPr>
      <w:r>
        <w:rPr/>
        <w:t>法规的规定。</w:t>
      </w:r>
    </w:p>
    <w:p>
      <w:pPr>
        <w:spacing w:line="240" w:lineRule="auto" w:before="10"/>
        <w:rPr>
          <w:rFonts w:ascii="宋体" w:hAnsi="宋体" w:cs="宋体" w:eastAsia="宋体" w:hint="default"/>
          <w:sz w:val="17"/>
          <w:szCs w:val="17"/>
        </w:rPr>
      </w:pPr>
    </w:p>
    <w:p>
      <w:pPr>
        <w:pStyle w:val="BodyText"/>
        <w:spacing w:line="240" w:lineRule="auto"/>
        <w:ind w:left="513" w:right="1134"/>
        <w:jc w:val="left"/>
      </w:pPr>
      <w:r>
        <w:rPr>
          <w:rFonts w:ascii="宋体" w:hAnsi="宋体" w:cs="宋体" w:eastAsia="宋体" w:hint="default"/>
        </w:rPr>
        <w:t>5</w:t>
      </w:r>
      <w:r>
        <w:rPr/>
        <w:t>、关于信息披露与透明度</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316" w:lineRule="auto" w:before="44"/>
        <w:ind w:right="94" w:firstLine="360"/>
        <w:jc w:val="left"/>
      </w:pPr>
      <w:r>
        <w:rPr/>
        <w:t>公司严格按照有关法律法规以及《信息披露事务管理制度》、《投资者关系管理制度》等的要求，真实、准确、及时、 </w:t>
      </w:r>
      <w:r>
        <w:rPr>
          <w:spacing w:val="-2"/>
        </w:rPr>
        <w:t>公平、完整地披露有关信息；公司高度重视投资者关系管理工作，由公司董事会秘书负责信息披露工作，协调公司与投资者</w:t>
      </w:r>
      <w:r>
        <w:rPr>
          <w:spacing w:val="-64"/>
        </w:rPr>
        <w:t> </w:t>
      </w:r>
      <w:r>
        <w:rPr>
          <w:spacing w:val="-64"/>
        </w:rPr>
      </w:r>
      <w:r>
        <w:rPr/>
        <w:t>的关系，接待投资者来访，回答投资者咨询，向投资者提供公司已披露的资料；并指定巨潮资讯网（</w:t>
      </w:r>
      <w:hyperlink r:id="rId11">
        <w:r>
          <w:rPr>
            <w:rFonts w:ascii="宋体" w:hAnsi="宋体" w:cs="宋体" w:eastAsia="宋体" w:hint="default"/>
          </w:rPr>
          <w:t>www.cninfo.com.cn</w:t>
        </w:r>
      </w:hyperlink>
      <w:r>
        <w:rPr/>
        <w:t>） </w:t>
      </w:r>
      <w:r>
        <w:rPr>
          <w:spacing w:val="-2"/>
        </w:rPr>
        <w:t>为公司信息披露的指定网站，《中国证券报》、《证券时报》、《上海证券报》为公司定期报告披露的指定报刊，确保公司</w:t>
      </w:r>
      <w:r>
        <w:rPr>
          <w:spacing w:val="-70"/>
        </w:rPr>
        <w:t> </w:t>
      </w:r>
      <w:r>
        <w:rPr>
          <w:spacing w:val="-70"/>
        </w:rPr>
      </w:r>
      <w:r>
        <w:rPr/>
        <w:t>所有股东能够平等的机会获得信息。</w:t>
      </w:r>
    </w:p>
    <w:p>
      <w:pPr>
        <w:pStyle w:val="BodyText"/>
        <w:spacing w:line="468" w:lineRule="exact" w:before="10"/>
        <w:ind w:left="513" w:right="106"/>
        <w:jc w:val="left"/>
      </w:pPr>
      <w:r>
        <w:rPr>
          <w:rFonts w:ascii="宋体" w:hAnsi="宋体" w:cs="宋体" w:eastAsia="宋体" w:hint="default"/>
        </w:rPr>
        <w:t>6</w:t>
      </w:r>
      <w:r>
        <w:rPr/>
        <w:t>、关于相关利益者 </w:t>
      </w:r>
      <w:r>
        <w:rPr>
          <w:spacing w:val="-2"/>
        </w:rPr>
        <w:t>公司充分尊重和维护相关利益者的合法权益，实现股东、员工、社会等各方利益的协调平衡，共同推动公司持续、健康</w:t>
      </w:r>
    </w:p>
    <w:p>
      <w:pPr>
        <w:pStyle w:val="BodyText"/>
        <w:spacing w:line="240" w:lineRule="auto" w:before="8"/>
        <w:ind w:right="106"/>
        <w:jc w:val="left"/>
      </w:pPr>
      <w:r>
        <w:rPr/>
        <w:t>的发展。</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spacing w:line="240" w:lineRule="auto"/>
        <w:ind w:right="106"/>
        <w:jc w:val="left"/>
      </w:pPr>
      <w:r>
        <w:rPr/>
        <w:t>公司治理的实际状况与中国证监会发布的有关上市公司治理的规范性文件是否存在重大差异</w:t>
      </w:r>
    </w:p>
    <w:p>
      <w:pPr>
        <w:pStyle w:val="BodyText"/>
        <w:spacing w:line="340" w:lineRule="auto" w:before="118"/>
        <w:ind w:right="26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4"/>
        <w:rPr>
          <w:rFonts w:ascii="宋体" w:hAnsi="宋体" w:cs="宋体" w:eastAsia="宋体" w:hint="default"/>
          <w:sz w:val="19"/>
          <w:szCs w:val="19"/>
        </w:rPr>
      </w:pPr>
    </w:p>
    <w:p>
      <w:pPr>
        <w:pStyle w:val="Heading2"/>
        <w:spacing w:line="240" w:lineRule="auto"/>
        <w:ind w:right="106"/>
        <w:jc w:val="left"/>
        <w:rPr>
          <w:b w:val="0"/>
          <w:bCs w:val="0"/>
        </w:rPr>
      </w:pP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91" w:firstLine="360"/>
        <w:jc w:val="both"/>
      </w:pPr>
      <w:r>
        <w:rPr>
          <w:spacing w:val="-2"/>
        </w:rPr>
        <w:t>公司控股股东百汇达严格按照《上市公司治理准则》、《深圳证券交易所创业板股票上市规则》、《深圳证券交易所创</w:t>
      </w:r>
      <w:r>
        <w:rPr/>
        <w:t> </w:t>
      </w:r>
      <w:r>
        <w:rPr>
          <w:spacing w:val="-2"/>
        </w:rPr>
        <w:t>业板上市公司规范运作指引》、《公司章程》等规定和要求，不存在超越公司股东大会直接或间接干预公司的决策和经营活</w:t>
      </w:r>
      <w:r>
        <w:rPr>
          <w:spacing w:val="-65"/>
        </w:rPr>
        <w:t> </w:t>
      </w:r>
      <w:r>
        <w:rPr>
          <w:spacing w:val="-65"/>
        </w:rPr>
      </w:r>
      <w:r>
        <w:rPr>
          <w:spacing w:val="-2"/>
        </w:rPr>
        <w:t>动的行为，未损害公司及其他股东的利益，不存在控股股东占用公司资金的现象，公司亦无为控股股东提供担保的情形。公</w:t>
      </w:r>
      <w:r>
        <w:rPr>
          <w:spacing w:val="-64"/>
        </w:rPr>
        <w:t> </w:t>
      </w:r>
      <w:r>
        <w:rPr>
          <w:spacing w:val="-64"/>
        </w:rPr>
      </w:r>
      <w:r>
        <w:rPr>
          <w:spacing w:val="-2"/>
        </w:rPr>
        <w:t>司拥有独立完整的业务和自主经营能力，在业务、资产、人员、机构、财务上独立于控股股东，公司董事会、监事会和内部</w:t>
      </w:r>
      <w:r>
        <w:rPr>
          <w:spacing w:val="-73"/>
        </w:rPr>
        <w:t> </w:t>
      </w:r>
      <w:r>
        <w:rPr>
          <w:spacing w:val="-73"/>
        </w:rPr>
      </w:r>
      <w:r>
        <w:rPr/>
        <w:t>机构独立运作。</w:t>
      </w:r>
    </w:p>
    <w:p>
      <w:pPr>
        <w:spacing w:line="240" w:lineRule="auto" w:before="11"/>
        <w:rPr>
          <w:rFonts w:ascii="宋体" w:hAnsi="宋体" w:cs="宋体" w:eastAsia="宋体" w:hint="default"/>
          <w:sz w:val="20"/>
          <w:szCs w:val="20"/>
        </w:rPr>
      </w:pPr>
    </w:p>
    <w:p>
      <w:pPr>
        <w:pStyle w:val="Heading2"/>
        <w:spacing w:line="240" w:lineRule="auto"/>
        <w:ind w:right="106"/>
        <w:jc w:val="left"/>
        <w:rPr>
          <w:b w:val="0"/>
          <w:bCs w:val="0"/>
        </w:rPr>
      </w:pPr>
      <w:r>
        <w:rPr/>
        <w:t>三、同业竞争情况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0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06"/>
        <w:jc w:val="left"/>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06"/>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2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2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2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2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9"/>
              <w:ind w:left="2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bl>
    <w:p>
      <w:pPr>
        <w:pStyle w:val="BodyText"/>
        <w:spacing w:line="240" w:lineRule="auto" w:before="49"/>
        <w:ind w:right="106"/>
        <w:jc w:val="left"/>
      </w:pPr>
      <w:r>
        <w:rPr/>
        <w:t>机构投资者情况</w:t>
      </w:r>
    </w:p>
    <w:p>
      <w:pPr>
        <w:spacing w:after="0" w:line="240" w:lineRule="auto"/>
        <w:jc w:val="left"/>
        <w:sectPr>
          <w:pgSz w:w="11910" w:h="16840"/>
          <w:pgMar w:header="745"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机构投资者名称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出任董事人数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股东大会参与次数</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基金管理机构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w:t>
            </w:r>
          </w:p>
        </w:tc>
      </w:tr>
    </w:tbl>
    <w:p>
      <w:pPr>
        <w:spacing w:line="240" w:lineRule="auto" w:before="3"/>
        <w:rPr>
          <w:rFonts w:ascii="宋体" w:hAnsi="宋体" w:cs="宋体" w:eastAsia="宋体" w:hint="default"/>
          <w:sz w:val="19"/>
          <w:szCs w:val="19"/>
        </w:rPr>
      </w:pPr>
    </w:p>
    <w:p>
      <w:pPr>
        <w:pStyle w:val="Heading3"/>
        <w:spacing w:line="240" w:lineRule="auto" w:before="36"/>
        <w:ind w:right="1134"/>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4"/>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4"/>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625"/>
        <w:gridCol w:w="1323"/>
        <w:gridCol w:w="1325"/>
        <w:gridCol w:w="1325"/>
        <w:gridCol w:w="1322"/>
        <w:gridCol w:w="1325"/>
        <w:gridCol w:w="1325"/>
      </w:tblGrid>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5"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6" w:right="26"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7" w:right="27" w:hanging="452"/>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7" w:right="26" w:hanging="92"/>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王淑芳</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税军</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r>
    </w:tbl>
    <w:p>
      <w:pPr>
        <w:pStyle w:val="BodyText"/>
        <w:spacing w:line="240" w:lineRule="auto" w:before="49"/>
        <w:ind w:right="1134"/>
        <w:jc w:val="left"/>
      </w:pPr>
      <w:r>
        <w:rPr/>
        <w:t>连续两次未亲自出席董事会的说明</w:t>
      </w:r>
    </w:p>
    <w:p>
      <w:pPr>
        <w:spacing w:line="240" w:lineRule="auto" w:before="0"/>
        <w:rPr>
          <w:rFonts w:ascii="宋体" w:hAnsi="宋体" w:cs="宋体" w:eastAsia="宋体" w:hint="default"/>
          <w:sz w:val="18"/>
          <w:szCs w:val="18"/>
        </w:rPr>
      </w:pPr>
    </w:p>
    <w:p>
      <w:pPr>
        <w:pStyle w:val="Heading3"/>
        <w:spacing w:line="240" w:lineRule="auto" w:before="118"/>
        <w:ind w:right="1134"/>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4"/>
        <w:jc w:val="left"/>
      </w:pPr>
      <w:r>
        <w:rPr/>
        <w:t>独立董事对公司有关事项是否提出异议</w:t>
      </w:r>
    </w:p>
    <w:p>
      <w:pPr>
        <w:pStyle w:val="BodyText"/>
        <w:spacing w:line="338" w:lineRule="auto" w:before="117"/>
        <w:ind w:right="59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7"/>
        <w:rPr>
          <w:rFonts w:ascii="宋体" w:hAnsi="宋体" w:cs="宋体" w:eastAsia="宋体" w:hint="default"/>
          <w:sz w:val="21"/>
          <w:szCs w:val="21"/>
        </w:rPr>
      </w:pPr>
    </w:p>
    <w:p>
      <w:pPr>
        <w:pStyle w:val="Heading3"/>
        <w:spacing w:line="240" w:lineRule="auto"/>
        <w:ind w:right="1134"/>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4"/>
        <w:jc w:val="left"/>
      </w:pPr>
      <w:r>
        <w:rPr/>
        <w:t>独立董事对公司有关建议是否被采纳</w:t>
      </w:r>
    </w:p>
    <w:p>
      <w:pPr>
        <w:pStyle w:val="BodyText"/>
        <w:spacing w:line="338" w:lineRule="auto" w:before="118"/>
        <w:ind w:right="58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独立董事对公司有关建议被采纳或未被采纳的说明</w:t>
      </w:r>
    </w:p>
    <w:p>
      <w:pPr>
        <w:pStyle w:val="BodyText"/>
        <w:spacing w:line="240" w:lineRule="auto" w:before="161"/>
        <w:ind w:left="513" w:right="1134"/>
        <w:jc w:val="left"/>
      </w:pPr>
      <w:r>
        <w:rPr/>
        <w:t>报告期内，独立董事对公司提出的各项合理建议均被采纳，具体说明如下：</w:t>
      </w:r>
    </w:p>
    <w:p>
      <w:pPr>
        <w:spacing w:line="240" w:lineRule="auto" w:before="2"/>
        <w:rPr>
          <w:rFonts w:ascii="宋体" w:hAnsi="宋体" w:cs="宋体" w:eastAsia="宋体" w:hint="default"/>
          <w:sz w:val="14"/>
          <w:szCs w:val="14"/>
        </w:rPr>
      </w:pPr>
    </w:p>
    <w:p>
      <w:pPr>
        <w:pStyle w:val="BodyText"/>
        <w:spacing w:line="240" w:lineRule="auto" w:before="44"/>
        <w:ind w:left="513" w:right="0"/>
        <w:jc w:val="left"/>
      </w:pPr>
      <w:r>
        <w:rPr>
          <w:rFonts w:ascii="宋体" w:hAnsi="宋体" w:cs="宋体" w:eastAsia="宋体" w:hint="default"/>
        </w:rPr>
        <w:t>1</w:t>
      </w:r>
      <w:r>
        <w:rPr/>
        <w:t>、</w:t>
      </w:r>
      <w:r>
        <w:rPr>
          <w:rFonts w:ascii="宋体" w:hAnsi="宋体" w:cs="宋体" w:eastAsia="宋体" w:hint="default"/>
        </w:rPr>
        <w:t>2015</w:t>
      </w:r>
      <w:r>
        <w:rPr/>
        <w:t>年</w:t>
      </w:r>
      <w:r>
        <w:rPr>
          <w:rFonts w:ascii="宋体" w:hAnsi="宋体" w:cs="宋体" w:eastAsia="宋体" w:hint="default"/>
        </w:rPr>
        <w:t>3</w:t>
      </w:r>
      <w:r>
        <w:rPr/>
        <w:t>月</w:t>
      </w:r>
      <w:r>
        <w:rPr>
          <w:rFonts w:ascii="宋体" w:hAnsi="宋体" w:cs="宋体" w:eastAsia="宋体" w:hint="default"/>
        </w:rPr>
        <w:t>9</w:t>
      </w:r>
      <w:r>
        <w:rPr/>
        <w:t>日公司第二届董事会</w:t>
      </w:r>
      <w:r>
        <w:rPr>
          <w:rFonts w:ascii="宋体" w:hAnsi="宋体" w:cs="宋体" w:eastAsia="宋体" w:hint="default"/>
        </w:rPr>
        <w:t>2015</w:t>
      </w:r>
      <w:r>
        <w:rPr/>
        <w:t>年第一次会议，独立董事就公司使用自有闲置资金进行投资理财发表了独立意</w:t>
      </w:r>
    </w:p>
    <w:p>
      <w:pPr>
        <w:pStyle w:val="BodyText"/>
        <w:spacing w:line="240" w:lineRule="auto" w:before="76"/>
        <w:ind w:right="1134"/>
        <w:jc w:val="left"/>
      </w:pPr>
      <w:r>
        <w:rPr/>
        <w:t>见。</w:t>
      </w:r>
    </w:p>
    <w:p>
      <w:pPr>
        <w:spacing w:line="240" w:lineRule="auto" w:before="5"/>
        <w:rPr>
          <w:rFonts w:ascii="宋体" w:hAnsi="宋体" w:cs="宋体" w:eastAsia="宋体" w:hint="default"/>
          <w:sz w:val="14"/>
          <w:szCs w:val="14"/>
        </w:rPr>
      </w:pPr>
    </w:p>
    <w:p>
      <w:pPr>
        <w:pStyle w:val="BodyText"/>
        <w:spacing w:line="319" w:lineRule="auto" w:before="44"/>
        <w:ind w:right="150" w:firstLine="360"/>
        <w:jc w:val="both"/>
      </w:pPr>
      <w:r>
        <w:rPr>
          <w:rFonts w:ascii="宋体" w:hAnsi="宋体" w:cs="宋体" w:eastAsia="宋体" w:hint="default"/>
          <w:spacing w:val="-2"/>
        </w:rPr>
        <w:t>2</w:t>
      </w:r>
      <w:r>
        <w:rPr>
          <w:spacing w:val="-2"/>
        </w:rPr>
        <w:t>、</w:t>
      </w:r>
      <w:r>
        <w:rPr>
          <w:rFonts w:ascii="宋体" w:hAnsi="宋体" w:cs="宋体" w:eastAsia="宋体" w:hint="default"/>
          <w:spacing w:val="-2"/>
        </w:rPr>
        <w:t>2015</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20</w:t>
      </w:r>
      <w:r>
        <w:rPr>
          <w:spacing w:val="-2"/>
        </w:rPr>
        <w:t>日公司第二届董事会</w:t>
      </w:r>
      <w:r>
        <w:rPr>
          <w:rFonts w:ascii="宋体" w:hAnsi="宋体" w:cs="宋体" w:eastAsia="宋体" w:hint="default"/>
          <w:spacing w:val="-2"/>
        </w:rPr>
        <w:t>2015</w:t>
      </w:r>
      <w:r>
        <w:rPr>
          <w:spacing w:val="-2"/>
        </w:rPr>
        <w:t>年第二次会议，独立董事对公司《</w:t>
      </w:r>
      <w:r>
        <w:rPr>
          <w:rFonts w:ascii="宋体" w:hAnsi="宋体" w:cs="宋体" w:eastAsia="宋体" w:hint="default"/>
          <w:spacing w:val="-2"/>
        </w:rPr>
        <w:t>2014</w:t>
      </w:r>
      <w:r>
        <w:rPr>
          <w:spacing w:val="-2"/>
        </w:rPr>
        <w:t>年度财务决算报告》、公司</w:t>
      </w:r>
      <w:r>
        <w:rPr>
          <w:rFonts w:ascii="宋体" w:hAnsi="宋体" w:cs="宋体" w:eastAsia="宋体" w:hint="default"/>
          <w:spacing w:val="-2"/>
        </w:rPr>
        <w:t>2014</w:t>
      </w:r>
      <w:r>
        <w:rPr>
          <w:spacing w:val="-2"/>
        </w:rPr>
        <w:t>年度利</w:t>
      </w:r>
      <w:r>
        <w:rPr/>
        <w:t> 润分配及资本公积转增股本方案、《公司</w:t>
      </w:r>
      <w:r>
        <w:rPr>
          <w:rFonts w:ascii="宋体" w:hAnsi="宋体" w:cs="宋体" w:eastAsia="宋体" w:hint="default"/>
        </w:rPr>
        <w:t>2014 </w:t>
      </w:r>
      <w:r>
        <w:rPr/>
        <w:t>年度募集资金存放与使用情况的专项报告》、《公司董事、监事和高级管理 </w:t>
      </w:r>
      <w:r>
        <w:rPr>
          <w:spacing w:val="-2"/>
        </w:rPr>
        <w:t>人员</w:t>
      </w:r>
      <w:r>
        <w:rPr>
          <w:rFonts w:ascii="宋体" w:hAnsi="宋体" w:cs="宋体" w:eastAsia="宋体" w:hint="default"/>
          <w:spacing w:val="-2"/>
        </w:rPr>
        <w:t>2015</w:t>
      </w:r>
      <w:r>
        <w:rPr>
          <w:spacing w:val="-2"/>
        </w:rPr>
        <w:t>年度薪酬激励制度》、《公司</w:t>
      </w:r>
      <w:r>
        <w:rPr>
          <w:rFonts w:ascii="宋体" w:hAnsi="宋体" w:cs="宋体" w:eastAsia="宋体" w:hint="default"/>
          <w:spacing w:val="-2"/>
        </w:rPr>
        <w:t>2014</w:t>
      </w:r>
      <w:r>
        <w:rPr>
          <w:spacing w:val="-2"/>
        </w:rPr>
        <w:t>年度内部控制评价报告》、聘任公司</w:t>
      </w:r>
      <w:r>
        <w:rPr>
          <w:rFonts w:ascii="宋体" w:hAnsi="宋体" w:cs="宋体" w:eastAsia="宋体" w:hint="default"/>
          <w:spacing w:val="-2"/>
        </w:rPr>
        <w:t>2015</w:t>
      </w:r>
      <w:r>
        <w:rPr>
          <w:spacing w:val="-2"/>
        </w:rPr>
        <w:t>年度审计机构、会计政策变更、公司与</w:t>
      </w:r>
      <w:r>
        <w:rPr>
          <w:spacing w:val="-64"/>
        </w:rPr>
        <w:t> </w:t>
      </w:r>
      <w:r>
        <w:rPr>
          <w:spacing w:val="-64"/>
        </w:rPr>
      </w:r>
      <w:r>
        <w:rPr>
          <w:spacing w:val="-2"/>
        </w:rPr>
        <w:t>控股股东百汇达共同投资北京科信盛彩置业有限公司、</w:t>
      </w:r>
      <w:r>
        <w:rPr>
          <w:rFonts w:ascii="宋体" w:hAnsi="宋体" w:cs="宋体" w:eastAsia="宋体" w:hint="default"/>
          <w:spacing w:val="-2"/>
        </w:rPr>
        <w:t>2014</w:t>
      </w:r>
      <w:r>
        <w:rPr>
          <w:spacing w:val="-2"/>
        </w:rPr>
        <w:t>年度公司控股股东及其他关联方占用资金和违规担保情况、</w:t>
      </w:r>
      <w:r>
        <w:rPr>
          <w:rFonts w:ascii="宋体" w:hAnsi="宋体" w:cs="宋体" w:eastAsia="宋体" w:hint="default"/>
          <w:spacing w:val="-2"/>
        </w:rPr>
        <w:t>2014</w:t>
      </w:r>
      <w:r>
        <w:rPr>
          <w:rFonts w:ascii="宋体" w:hAnsi="宋体" w:cs="宋体" w:eastAsia="宋体" w:hint="default"/>
          <w:spacing w:val="-55"/>
        </w:rPr>
        <w:t> </w:t>
      </w:r>
      <w:r>
        <w:rPr>
          <w:rFonts w:ascii="宋体" w:hAnsi="宋体" w:cs="宋体" w:eastAsia="宋体" w:hint="default"/>
          <w:spacing w:val="-55"/>
        </w:rPr>
      </w:r>
      <w:r>
        <w:rPr/>
        <w:t>年度公司对外担保及关联交易情况发表了独立意见。</w:t>
      </w:r>
    </w:p>
    <w:p>
      <w:pPr>
        <w:spacing w:line="240" w:lineRule="auto" w:before="3"/>
        <w:rPr>
          <w:rFonts w:ascii="宋体" w:hAnsi="宋体" w:cs="宋体" w:eastAsia="宋体" w:hint="default"/>
          <w:sz w:val="13"/>
          <w:szCs w:val="13"/>
        </w:rPr>
      </w:pPr>
    </w:p>
    <w:p>
      <w:pPr>
        <w:pStyle w:val="BodyText"/>
        <w:spacing w:line="240" w:lineRule="auto"/>
        <w:ind w:left="513" w:right="0"/>
        <w:jc w:val="left"/>
      </w:pPr>
      <w:r>
        <w:rPr>
          <w:rFonts w:ascii="宋体" w:hAnsi="宋体" w:cs="宋体" w:eastAsia="宋体" w:hint="default"/>
        </w:rPr>
        <w:t>3</w:t>
      </w:r>
      <w:r>
        <w:rPr/>
        <w:t>、</w:t>
      </w:r>
      <w:r>
        <w:rPr>
          <w:rFonts w:ascii="宋体" w:hAnsi="宋体" w:cs="宋体" w:eastAsia="宋体" w:hint="default"/>
        </w:rPr>
        <w:t>2015</w:t>
      </w:r>
      <w:r>
        <w:rPr/>
        <w:t>年</w:t>
      </w:r>
      <w:r>
        <w:rPr>
          <w:rFonts w:ascii="宋体" w:hAnsi="宋体" w:cs="宋体" w:eastAsia="宋体" w:hint="default"/>
        </w:rPr>
        <w:t>8</w:t>
      </w:r>
      <w:r>
        <w:rPr/>
        <w:t>月</w:t>
      </w:r>
      <w:r>
        <w:rPr>
          <w:rFonts w:ascii="宋体" w:hAnsi="宋体" w:cs="宋体" w:eastAsia="宋体" w:hint="default"/>
        </w:rPr>
        <w:t>20</w:t>
      </w:r>
      <w:r>
        <w:rPr/>
        <w:t>日公司第二届董事会</w:t>
      </w:r>
      <w:r>
        <w:rPr>
          <w:rFonts w:ascii="宋体" w:hAnsi="宋体" w:cs="宋体" w:eastAsia="宋体" w:hint="default"/>
        </w:rPr>
        <w:t>2015</w:t>
      </w:r>
      <w:r>
        <w:rPr/>
        <w:t>年第五次会议，独立董事对《公司</w:t>
      </w:r>
      <w:r>
        <w:rPr>
          <w:rFonts w:ascii="宋体" w:hAnsi="宋体" w:cs="宋体" w:eastAsia="宋体" w:hint="default"/>
        </w:rPr>
        <w:t>2015</w:t>
      </w:r>
      <w:r>
        <w:rPr/>
        <w:t>年半年度财务报告》、《公司</w:t>
      </w:r>
      <w:r>
        <w:rPr>
          <w:rFonts w:ascii="宋体" w:hAnsi="宋体" w:cs="宋体" w:eastAsia="宋体" w:hint="default"/>
        </w:rPr>
        <w:t>2015</w:t>
      </w:r>
      <w:r>
        <w:rPr/>
        <w:t>年半</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316" w:lineRule="auto" w:before="44"/>
        <w:ind w:right="0"/>
        <w:jc w:val="left"/>
      </w:pPr>
      <w:r>
        <w:rPr>
          <w:spacing w:val="-2"/>
        </w:rPr>
        <w:t>年度募集资金存放与使用情况的专项报告》、公司</w:t>
      </w:r>
      <w:r>
        <w:rPr>
          <w:rFonts w:ascii="宋体" w:hAnsi="宋体" w:cs="宋体" w:eastAsia="宋体" w:hint="default"/>
          <w:spacing w:val="-2"/>
        </w:rPr>
        <w:t>2015</w:t>
      </w:r>
      <w:r>
        <w:rPr>
          <w:spacing w:val="-2"/>
        </w:rPr>
        <w:t>年半年度利润分配及资本公积转增股本方案、</w:t>
      </w:r>
      <w:r>
        <w:rPr>
          <w:rFonts w:ascii="宋体" w:hAnsi="宋体" w:cs="宋体" w:eastAsia="宋体" w:hint="default"/>
          <w:spacing w:val="-2"/>
        </w:rPr>
        <w:t>2015</w:t>
      </w:r>
      <w:r>
        <w:rPr>
          <w:spacing w:val="-2"/>
        </w:rPr>
        <w:t>年上半年公司控股</w:t>
      </w:r>
      <w:r>
        <w:rPr>
          <w:spacing w:val="-60"/>
        </w:rPr>
        <w:t> </w:t>
      </w:r>
      <w:r>
        <w:rPr>
          <w:spacing w:val="-60"/>
        </w:rPr>
      </w:r>
      <w:r>
        <w:rPr/>
        <w:t>股东及其他关联方占用资金和违规担保情况、</w:t>
      </w:r>
      <w:r>
        <w:rPr>
          <w:rFonts w:ascii="宋体" w:hAnsi="宋体" w:cs="宋体" w:eastAsia="宋体" w:hint="default"/>
        </w:rPr>
        <w:t>2015</w:t>
      </w:r>
      <w:r>
        <w:rPr/>
        <w:t>年上半年公司对外担保及关联交易情况发表了独立意见。</w:t>
      </w:r>
    </w:p>
    <w:p>
      <w:pPr>
        <w:spacing w:line="240" w:lineRule="auto" w:before="5"/>
        <w:rPr>
          <w:rFonts w:ascii="宋体" w:hAnsi="宋体" w:cs="宋体" w:eastAsia="宋体" w:hint="default"/>
          <w:sz w:val="13"/>
          <w:szCs w:val="13"/>
        </w:rPr>
      </w:pPr>
    </w:p>
    <w:p>
      <w:pPr>
        <w:pStyle w:val="BodyText"/>
        <w:spacing w:line="316" w:lineRule="auto"/>
        <w:ind w:right="144" w:firstLine="360"/>
        <w:jc w:val="left"/>
      </w:pPr>
      <w:r>
        <w:rPr>
          <w:rFonts w:ascii="宋体" w:hAnsi="宋体" w:cs="宋体" w:eastAsia="宋体" w:hint="default"/>
        </w:rPr>
        <w:t>4</w:t>
      </w:r>
      <w:r>
        <w:rPr/>
        <w:t>、</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8</w:t>
      </w:r>
      <w:r>
        <w:rPr/>
        <w:t>日公司第二届董事会</w:t>
      </w:r>
      <w:r>
        <w:rPr>
          <w:rFonts w:ascii="宋体" w:hAnsi="宋体" w:cs="宋体" w:eastAsia="宋体" w:hint="default"/>
        </w:rPr>
        <w:t>2015</w:t>
      </w:r>
      <w:r>
        <w:rPr/>
        <w:t>年第六次会议，独立董事就调整</w:t>
      </w:r>
      <w:r>
        <w:rPr>
          <w:rFonts w:ascii="宋体" w:hAnsi="宋体" w:cs="宋体" w:eastAsia="宋体" w:hint="default"/>
        </w:rPr>
        <w:t>2015</w:t>
      </w:r>
      <w:r>
        <w:rPr/>
        <w:t>年半年度利润分配及资本公积转增股本方 案发表了独立意见。</w:t>
      </w:r>
    </w:p>
    <w:p>
      <w:pPr>
        <w:spacing w:line="240" w:lineRule="auto" w:before="5"/>
        <w:rPr>
          <w:rFonts w:ascii="宋体" w:hAnsi="宋体" w:cs="宋体" w:eastAsia="宋体" w:hint="default"/>
          <w:sz w:val="13"/>
          <w:szCs w:val="13"/>
        </w:rPr>
      </w:pPr>
    </w:p>
    <w:p>
      <w:pPr>
        <w:pStyle w:val="BodyText"/>
        <w:spacing w:line="316" w:lineRule="auto"/>
        <w:ind w:right="0" w:firstLine="360"/>
        <w:jc w:val="left"/>
      </w:pPr>
      <w:r>
        <w:rPr>
          <w:rFonts w:ascii="宋体" w:hAnsi="宋体" w:cs="宋体" w:eastAsia="宋体" w:hint="default"/>
          <w:spacing w:val="-2"/>
        </w:rPr>
        <w:t>5</w:t>
      </w:r>
      <w:r>
        <w:rPr>
          <w:spacing w:val="-2"/>
        </w:rPr>
        <w:t>、</w:t>
      </w:r>
      <w:r>
        <w:rPr>
          <w:rFonts w:ascii="宋体" w:hAnsi="宋体" w:cs="宋体" w:eastAsia="宋体" w:hint="default"/>
          <w:spacing w:val="-2"/>
        </w:rPr>
        <w:t>2015</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16</w:t>
      </w:r>
      <w:r>
        <w:rPr>
          <w:spacing w:val="-2"/>
        </w:rPr>
        <w:t>日公司第二届董事会</w:t>
      </w:r>
      <w:r>
        <w:rPr>
          <w:rFonts w:ascii="宋体" w:hAnsi="宋体" w:cs="宋体" w:eastAsia="宋体" w:hint="default"/>
          <w:spacing w:val="-2"/>
        </w:rPr>
        <w:t>2015</w:t>
      </w:r>
      <w:r>
        <w:rPr>
          <w:spacing w:val="-2"/>
        </w:rPr>
        <w:t>年第七次会议，独立董事对公司发行股份及支付现金购买资产并募集配套资金</w:t>
      </w:r>
      <w:r>
        <w:rPr/>
        <w:t> 暨关联交易相关事项发表了事前认可意见及独立意见。</w:t>
      </w:r>
    </w:p>
    <w:p>
      <w:pPr>
        <w:spacing w:line="240" w:lineRule="auto" w:before="5"/>
        <w:rPr>
          <w:rFonts w:ascii="宋体" w:hAnsi="宋体" w:cs="宋体" w:eastAsia="宋体" w:hint="default"/>
          <w:sz w:val="13"/>
          <w:szCs w:val="13"/>
        </w:rPr>
      </w:pPr>
    </w:p>
    <w:p>
      <w:pPr>
        <w:pStyle w:val="BodyText"/>
        <w:spacing w:line="316" w:lineRule="auto"/>
        <w:ind w:right="144" w:firstLine="360"/>
        <w:jc w:val="left"/>
      </w:pPr>
      <w:r>
        <w:rPr>
          <w:rFonts w:ascii="宋体" w:hAnsi="宋体" w:cs="宋体" w:eastAsia="宋体" w:hint="default"/>
        </w:rPr>
        <w:t>6</w:t>
      </w:r>
      <w:r>
        <w:rPr/>
        <w:t>、</w:t>
      </w:r>
      <w:r>
        <w:rPr>
          <w:rFonts w:ascii="宋体" w:hAnsi="宋体" w:cs="宋体" w:eastAsia="宋体" w:hint="default"/>
        </w:rPr>
        <w:t>2015</w:t>
      </w:r>
      <w:r>
        <w:rPr/>
        <w:t>年</w:t>
      </w:r>
      <w:r>
        <w:rPr>
          <w:rFonts w:ascii="宋体" w:hAnsi="宋体" w:cs="宋体" w:eastAsia="宋体" w:hint="default"/>
        </w:rPr>
        <w:t>10</w:t>
      </w:r>
      <w:r>
        <w:rPr/>
        <w:t>月</w:t>
      </w:r>
      <w:r>
        <w:rPr>
          <w:rFonts w:ascii="宋体" w:hAnsi="宋体" w:cs="宋体" w:eastAsia="宋体" w:hint="default"/>
        </w:rPr>
        <w:t>21</w:t>
      </w:r>
      <w:r>
        <w:rPr/>
        <w:t>日公司第二届董事会</w:t>
      </w:r>
      <w:r>
        <w:rPr>
          <w:rFonts w:ascii="宋体" w:hAnsi="宋体" w:cs="宋体" w:eastAsia="宋体" w:hint="default"/>
        </w:rPr>
        <w:t>2015</w:t>
      </w:r>
      <w:r>
        <w:rPr/>
        <w:t>年第八次会议，独立董事对公司发行股份及支付现金购买资产并募集配套资 金暨关联交易相关事项发表了事前认可意见及独立意见。</w:t>
      </w:r>
    </w:p>
    <w:p>
      <w:pPr>
        <w:spacing w:line="240" w:lineRule="auto" w:before="12"/>
        <w:rPr>
          <w:rFonts w:ascii="宋体" w:hAnsi="宋体" w:cs="宋体" w:eastAsia="宋体" w:hint="default"/>
          <w:sz w:val="20"/>
          <w:szCs w:val="20"/>
        </w:rPr>
      </w:pPr>
    </w:p>
    <w:p>
      <w:pPr>
        <w:pStyle w:val="Heading2"/>
        <w:spacing w:line="240" w:lineRule="auto"/>
        <w:ind w:right="1134"/>
        <w:jc w:val="left"/>
        <w:rPr>
          <w:b w:val="0"/>
          <w:bCs w:val="0"/>
        </w:rPr>
      </w:pP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13" w:right="0"/>
        <w:jc w:val="left"/>
      </w:pPr>
      <w:r>
        <w:rPr>
          <w:rFonts w:ascii="宋体" w:hAnsi="宋体" w:cs="宋体" w:eastAsia="宋体" w:hint="default"/>
        </w:rPr>
        <w:t>1</w:t>
      </w:r>
      <w:r>
        <w:rPr/>
        <w:t>、审计委员会：报告期内，审计委员会根据《公司法》、《证券法》、《上市公司治理准则》、《内部审计制度》及</w:t>
      </w:r>
    </w:p>
    <w:p>
      <w:pPr>
        <w:pStyle w:val="BodyText"/>
        <w:spacing w:line="316" w:lineRule="auto" w:before="76"/>
        <w:ind w:right="144"/>
        <w:jc w:val="left"/>
      </w:pPr>
      <w:r>
        <w:rPr/>
        <w:t>《董事会审计委员会工作制度》等有关规定，积极履行职责。报告期内，审计委员会共召开了</w:t>
      </w:r>
      <w:r>
        <w:rPr>
          <w:rFonts w:ascii="宋体" w:hAnsi="宋体" w:cs="宋体" w:eastAsia="宋体" w:hint="default"/>
        </w:rPr>
        <w:t>7</w:t>
      </w:r>
      <w:r>
        <w:rPr/>
        <w:t>次会议，分别对定期报告、 投资理财及相关制度、重大资产重组事项等议案形成决议。</w:t>
      </w:r>
    </w:p>
    <w:p>
      <w:pPr>
        <w:spacing w:line="240" w:lineRule="auto" w:before="5"/>
        <w:rPr>
          <w:rFonts w:ascii="宋体" w:hAnsi="宋体" w:cs="宋体" w:eastAsia="宋体" w:hint="default"/>
          <w:sz w:val="13"/>
          <w:szCs w:val="13"/>
        </w:rPr>
      </w:pPr>
    </w:p>
    <w:p>
      <w:pPr>
        <w:pStyle w:val="BodyText"/>
        <w:spacing w:line="316" w:lineRule="auto"/>
        <w:ind w:right="160" w:firstLine="360"/>
        <w:jc w:val="both"/>
      </w:pPr>
      <w:r>
        <w:rPr>
          <w:rFonts w:ascii="宋体" w:hAnsi="宋体" w:cs="宋体" w:eastAsia="宋体" w:hint="default"/>
        </w:rPr>
        <w:t>2</w:t>
      </w:r>
      <w:r>
        <w:rPr/>
        <w:t>、战略委员会：报告期内，战略委员会根据行业发展状况，结果公司战略规划及实际情况，向公司董事会提出了有关 结构调整、资本运作等事项的建议。报告期内，战略委员会共召开了</w:t>
      </w:r>
      <w:r>
        <w:rPr>
          <w:rFonts w:ascii="宋体" w:hAnsi="宋体" w:cs="宋体" w:eastAsia="宋体" w:hint="default"/>
        </w:rPr>
        <w:t>4</w:t>
      </w:r>
      <w:r>
        <w:rPr/>
        <w:t>次会议，分别对对外投资事项、重大资产重组事项等 议案形成决议。</w:t>
      </w:r>
    </w:p>
    <w:p>
      <w:pPr>
        <w:spacing w:line="240" w:lineRule="auto" w:before="5"/>
        <w:rPr>
          <w:rFonts w:ascii="宋体" w:hAnsi="宋体" w:cs="宋体" w:eastAsia="宋体" w:hint="default"/>
          <w:sz w:val="13"/>
          <w:szCs w:val="13"/>
        </w:rPr>
      </w:pPr>
    </w:p>
    <w:p>
      <w:pPr>
        <w:pStyle w:val="BodyText"/>
        <w:spacing w:line="316" w:lineRule="auto"/>
        <w:ind w:right="0" w:firstLine="360"/>
        <w:jc w:val="left"/>
      </w:pPr>
      <w:r>
        <w:rPr>
          <w:rFonts w:ascii="宋体" w:hAnsi="宋体" w:cs="宋体" w:eastAsia="宋体" w:hint="default"/>
          <w:spacing w:val="-2"/>
        </w:rPr>
        <w:t>3</w:t>
      </w:r>
      <w:r>
        <w:rPr>
          <w:spacing w:val="-2"/>
        </w:rPr>
        <w:t>、薪酬与考核委员会：报告期内，薪酬与考核委员会召开了</w:t>
      </w:r>
      <w:r>
        <w:rPr>
          <w:rFonts w:ascii="宋体" w:hAnsi="宋体" w:cs="宋体" w:eastAsia="宋体" w:hint="default"/>
          <w:spacing w:val="-2"/>
        </w:rPr>
        <w:t>1</w:t>
      </w:r>
      <w:r>
        <w:rPr>
          <w:spacing w:val="-2"/>
        </w:rPr>
        <w:t>次会议，对公司公司</w:t>
      </w:r>
      <w:r>
        <w:rPr>
          <w:rFonts w:ascii="宋体" w:hAnsi="宋体" w:cs="宋体" w:eastAsia="宋体" w:hint="default"/>
          <w:spacing w:val="-2"/>
        </w:rPr>
        <w:t>2014</w:t>
      </w:r>
      <w:r>
        <w:rPr>
          <w:spacing w:val="-2"/>
        </w:rPr>
        <w:t>年主要财务指标和经营目标完成</w:t>
      </w:r>
      <w:r>
        <w:rPr/>
        <w:t> 情况、董事和高级管理人员绩效评价总结、</w:t>
      </w:r>
      <w:r>
        <w:rPr>
          <w:rFonts w:ascii="宋体" w:hAnsi="宋体" w:cs="宋体" w:eastAsia="宋体" w:hint="default"/>
        </w:rPr>
        <w:t>2015</w:t>
      </w:r>
      <w:r>
        <w:rPr/>
        <w:t>年董事、监事和高级管理人员的薪酬事项进行了审核，并形成了决议。</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6"/>
          <w:szCs w:val="26"/>
        </w:rPr>
      </w:pPr>
    </w:p>
    <w:p>
      <w:pPr>
        <w:pStyle w:val="Heading2"/>
        <w:spacing w:line="240" w:lineRule="auto"/>
        <w:ind w:right="1134"/>
        <w:jc w:val="left"/>
        <w:rPr>
          <w:b w:val="0"/>
          <w:bCs w:val="0"/>
        </w:rPr>
      </w:pPr>
      <w:r>
        <w:rPr/>
        <w:t>七、监事会工作情况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4"/>
        <w:jc w:val="left"/>
      </w:pPr>
      <w:r>
        <w:rPr/>
        <w:t>监事会在报告期内的监督活动是否发现公司存在风险</w:t>
      </w:r>
    </w:p>
    <w:p>
      <w:pPr>
        <w:pStyle w:val="BodyText"/>
        <w:spacing w:line="338" w:lineRule="auto" w:before="117"/>
        <w:ind w:right="63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line="240" w:lineRule="auto" w:before="8"/>
        <w:rPr>
          <w:rFonts w:ascii="宋体" w:hAnsi="宋体" w:cs="宋体" w:eastAsia="宋体" w:hint="default"/>
          <w:sz w:val="19"/>
          <w:szCs w:val="19"/>
        </w:rPr>
      </w:pPr>
    </w:p>
    <w:p>
      <w:pPr>
        <w:pStyle w:val="Heading2"/>
        <w:spacing w:line="240" w:lineRule="auto"/>
        <w:ind w:right="1134"/>
        <w:jc w:val="left"/>
        <w:rPr>
          <w:b w:val="0"/>
          <w:bCs w:val="0"/>
        </w:rPr>
      </w:pP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公司高级管理人员的薪酬分配与考核以企业经济效益为出发点，根据公司年度经营计划和高级管理人员分管工作的工作</w:t>
      </w:r>
      <w:r>
        <w:rPr/>
        <w:t> 目标，进行综合考核，根据考核结果确定高级管理人员的薪酬分配。</w:t>
      </w:r>
    </w:p>
    <w:p>
      <w:pPr>
        <w:spacing w:line="240" w:lineRule="auto" w:before="5"/>
        <w:rPr>
          <w:rFonts w:ascii="宋体" w:hAnsi="宋体" w:cs="宋体" w:eastAsia="宋体" w:hint="default"/>
          <w:sz w:val="13"/>
          <w:szCs w:val="13"/>
        </w:rPr>
      </w:pPr>
    </w:p>
    <w:p>
      <w:pPr>
        <w:pStyle w:val="BodyText"/>
        <w:spacing w:line="477" w:lineRule="auto"/>
        <w:ind w:left="513" w:right="5633"/>
        <w:jc w:val="left"/>
      </w:pPr>
      <w:r>
        <w:rPr/>
        <w:t>公司高级管理人员薪酬的确定应遵循以下原则： </w:t>
      </w:r>
      <w:r>
        <w:rPr>
          <w:rFonts w:ascii="宋体" w:hAnsi="宋体" w:cs="宋体" w:eastAsia="宋体" w:hint="default"/>
        </w:rPr>
        <w:t>1</w:t>
      </w:r>
      <w:r>
        <w:rPr/>
        <w:t>、公开、公正、公平、透明的基本原则；</w:t>
      </w:r>
    </w:p>
    <w:p>
      <w:pPr>
        <w:pStyle w:val="BodyText"/>
        <w:spacing w:line="240" w:lineRule="auto" w:before="54"/>
        <w:ind w:left="513" w:right="1134"/>
        <w:jc w:val="left"/>
      </w:pPr>
      <w:r>
        <w:rPr>
          <w:rFonts w:ascii="宋体" w:hAnsi="宋体" w:cs="宋体" w:eastAsia="宋体" w:hint="default"/>
        </w:rPr>
        <w:t>2</w:t>
      </w:r>
      <w:r>
        <w:rPr/>
        <w:t>、责、权、利相结合，与公司的经济效益及个人岗位责任目标相结合为主要原则，辅以行为规范；</w:t>
      </w:r>
    </w:p>
    <w:p>
      <w:pPr>
        <w:spacing w:line="240" w:lineRule="auto" w:before="10"/>
        <w:rPr>
          <w:rFonts w:ascii="宋体" w:hAnsi="宋体" w:cs="宋体" w:eastAsia="宋体" w:hint="default"/>
          <w:sz w:val="17"/>
          <w:szCs w:val="17"/>
        </w:rPr>
      </w:pPr>
    </w:p>
    <w:p>
      <w:pPr>
        <w:pStyle w:val="BodyText"/>
        <w:spacing w:line="240" w:lineRule="auto"/>
        <w:ind w:left="513" w:right="153"/>
        <w:jc w:val="left"/>
      </w:pPr>
      <w:r>
        <w:rPr>
          <w:rFonts w:ascii="宋体" w:hAnsi="宋体" w:cs="宋体" w:eastAsia="宋体" w:hint="default"/>
        </w:rPr>
        <w:t>3</w:t>
      </w:r>
      <w:r>
        <w:rPr/>
        <w:t>、与公司普通员工薪酬增长相适应；与外部市场同等职位薪酬相适应，保持公司薪酬的吸引力及市场竞争力；</w:t>
      </w:r>
    </w:p>
    <w:p>
      <w:pPr>
        <w:spacing w:line="240" w:lineRule="auto" w:before="10"/>
        <w:rPr>
          <w:rFonts w:ascii="宋体" w:hAnsi="宋体" w:cs="宋体" w:eastAsia="宋体" w:hint="default"/>
          <w:sz w:val="17"/>
          <w:szCs w:val="17"/>
        </w:rPr>
      </w:pPr>
    </w:p>
    <w:p>
      <w:pPr>
        <w:pStyle w:val="BodyText"/>
        <w:spacing w:line="240" w:lineRule="auto"/>
        <w:ind w:left="513" w:right="1134"/>
        <w:jc w:val="left"/>
      </w:pPr>
      <w:r>
        <w:rPr>
          <w:rFonts w:ascii="宋体" w:hAnsi="宋体" w:cs="宋体" w:eastAsia="宋体" w:hint="default"/>
        </w:rPr>
        <w:t>4</w:t>
      </w:r>
      <w:r>
        <w:rPr/>
        <w:t>、短期与长期激励相结合的原则；</w:t>
      </w:r>
    </w:p>
    <w:p>
      <w:pPr>
        <w:spacing w:line="240" w:lineRule="auto" w:before="10"/>
        <w:rPr>
          <w:rFonts w:ascii="宋体" w:hAnsi="宋体" w:cs="宋体" w:eastAsia="宋体" w:hint="default"/>
          <w:sz w:val="17"/>
          <w:szCs w:val="17"/>
        </w:rPr>
      </w:pPr>
    </w:p>
    <w:p>
      <w:pPr>
        <w:pStyle w:val="BodyText"/>
        <w:spacing w:line="477" w:lineRule="auto"/>
        <w:ind w:left="513" w:right="6263"/>
        <w:jc w:val="left"/>
      </w:pPr>
      <w:r>
        <w:rPr>
          <w:rFonts w:ascii="宋体" w:hAnsi="宋体" w:cs="宋体" w:eastAsia="宋体" w:hint="default"/>
        </w:rPr>
        <w:t>5</w:t>
      </w:r>
      <w:r>
        <w:rPr/>
        <w:t>、薪酬与公司长远利益相结合的原则。 高级管理人员的薪酬考核标准如下：</w:t>
      </w:r>
    </w:p>
    <w:p>
      <w:pPr>
        <w:spacing w:after="0" w:line="477"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r>
        <w:rPr/>
        <w:pict>
          <v:group style="position:absolute;margin-left:384.070007pt;margin-top:733.055969pt;width:149.7pt;height:17.7pt;mso-position-horizontal-relative:page;mso-position-vertical-relative:page;z-index:-1592776" coordorigin="7681,14661" coordsize="2994,354">
            <v:shape style="position:absolute;left:7681;top:14661;width:2994;height:354" coordorigin="7681,14661" coordsize="2994,354" path="m7681,15014l10675,15014,10675,14661,7681,14661,7681,15014xe" filled="true" fillcolor="#ffffff" stroked="false">
              <v:path arrowok="t"/>
              <v:fill type="solid"/>
            </v:shape>
            <w10:wrap type="none"/>
          </v:group>
        </w:pict>
      </w:r>
    </w:p>
    <w:p>
      <w:pPr>
        <w:pStyle w:val="BodyText"/>
        <w:spacing w:line="240" w:lineRule="auto" w:before="44"/>
        <w:ind w:left="513" w:right="153"/>
        <w:jc w:val="left"/>
      </w:pPr>
      <w:r>
        <w:rPr>
          <w:rFonts w:ascii="宋体" w:hAnsi="宋体" w:cs="宋体" w:eastAsia="宋体" w:hint="default"/>
        </w:rPr>
        <w:t>1</w:t>
      </w:r>
      <w:r>
        <w:rPr/>
        <w:t>、高级管理人员的薪酬由年度薪酬和年度奖励两部分构成，其中年度薪酬包括年度固定薪酬和年度绩效薪酬。</w:t>
      </w:r>
    </w:p>
    <w:p>
      <w:pPr>
        <w:spacing w:line="240" w:lineRule="auto" w:before="10"/>
        <w:rPr>
          <w:rFonts w:ascii="宋体" w:hAnsi="宋体" w:cs="宋体" w:eastAsia="宋体" w:hint="default"/>
          <w:sz w:val="17"/>
          <w:szCs w:val="17"/>
        </w:rPr>
      </w:pPr>
    </w:p>
    <w:p>
      <w:pPr>
        <w:pStyle w:val="BodyText"/>
        <w:spacing w:line="240" w:lineRule="auto"/>
        <w:ind w:left="513" w:right="1134"/>
        <w:jc w:val="left"/>
      </w:pPr>
      <w:r>
        <w:rPr>
          <w:rFonts w:ascii="宋体" w:hAnsi="宋体" w:cs="宋体" w:eastAsia="宋体" w:hint="default"/>
        </w:rPr>
        <w:t>2</w:t>
      </w:r>
      <w:r>
        <w:rPr/>
        <w:t>、年度固定薪酬部分主要根据职位、责任、能力、市场薪资行情等因素确定，不进行考核，按月发放；</w:t>
      </w:r>
    </w:p>
    <w:p>
      <w:pPr>
        <w:spacing w:line="240" w:lineRule="auto" w:before="10"/>
        <w:rPr>
          <w:rFonts w:ascii="宋体" w:hAnsi="宋体" w:cs="宋体" w:eastAsia="宋体" w:hint="default"/>
          <w:sz w:val="17"/>
          <w:szCs w:val="17"/>
        </w:rPr>
      </w:pPr>
    </w:p>
    <w:p>
      <w:pPr>
        <w:pStyle w:val="BodyText"/>
        <w:spacing w:line="316" w:lineRule="auto"/>
        <w:ind w:right="153" w:firstLine="360"/>
        <w:jc w:val="left"/>
      </w:pPr>
      <w:r>
        <w:rPr>
          <w:rFonts w:ascii="宋体" w:hAnsi="宋体" w:cs="宋体" w:eastAsia="宋体" w:hint="default"/>
          <w:spacing w:val="-4"/>
        </w:rPr>
        <w:t>3</w:t>
      </w:r>
      <w:r>
        <w:rPr>
          <w:spacing w:val="-4"/>
        </w:rPr>
        <w:t>、年度绩效薪酬主要考核公司目标完成情况、个人目标完成情况及个人行为规范等。年度绩效薪酬的考核周期为季度，</w:t>
      </w:r>
      <w:r>
        <w:rPr/>
        <w:t> 本季度按上一季度的绩效目标达成情况评定公司绩效考核系数及个人评价考核系数，从而核算薪酬并按月发放。</w:t>
      </w:r>
    </w:p>
    <w:p>
      <w:pPr>
        <w:spacing w:line="240" w:lineRule="auto" w:before="5"/>
        <w:rPr>
          <w:rFonts w:ascii="宋体" w:hAnsi="宋体" w:cs="宋体" w:eastAsia="宋体" w:hint="default"/>
          <w:sz w:val="13"/>
          <w:szCs w:val="13"/>
        </w:rPr>
      </w:pPr>
    </w:p>
    <w:p>
      <w:pPr>
        <w:pStyle w:val="BodyText"/>
        <w:spacing w:line="316" w:lineRule="auto"/>
        <w:ind w:right="144" w:firstLine="360"/>
        <w:jc w:val="left"/>
      </w:pPr>
      <w:r>
        <w:rPr>
          <w:rFonts w:ascii="宋体" w:hAnsi="宋体" w:cs="宋体" w:eastAsia="宋体" w:hint="default"/>
        </w:rPr>
        <w:t>4</w:t>
      </w:r>
      <w:r>
        <w:rPr/>
        <w:t>、年度奖励主要考核全年度公司收入及利润目标的完成情况，高级管理人员依岗责分管业务目标及重点项目、重大措 施的完成情况及其它管理要求指标的完成情况、特别贡献等情况。</w:t>
      </w:r>
    </w:p>
    <w:p>
      <w:pPr>
        <w:spacing w:line="240" w:lineRule="auto" w:before="11"/>
        <w:rPr>
          <w:rFonts w:ascii="宋体" w:hAnsi="宋体" w:cs="宋体" w:eastAsia="宋体" w:hint="default"/>
          <w:sz w:val="20"/>
          <w:szCs w:val="20"/>
        </w:rPr>
      </w:pPr>
    </w:p>
    <w:p>
      <w:pPr>
        <w:pStyle w:val="Heading2"/>
        <w:spacing w:line="240" w:lineRule="auto"/>
        <w:ind w:right="1134"/>
        <w:jc w:val="left"/>
        <w:rPr>
          <w:b w:val="0"/>
          <w:bCs w:val="0"/>
        </w:rPr>
      </w:pP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4"/>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134"/>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8"/>
        <w:gridCol w:w="3327"/>
        <w:gridCol w:w="3053"/>
      </w:tblGrid>
      <w:tr>
        <w:trPr>
          <w:trHeight w:val="401" w:hRule="exact"/>
        </w:trPr>
        <w:tc>
          <w:tcPr>
            <w:tcW w:w="317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1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96.82%</w:t>
            </w:r>
          </w:p>
        </w:tc>
      </w:tr>
      <w:tr>
        <w:trPr>
          <w:trHeight w:val="716"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99.80%</w:t>
            </w:r>
          </w:p>
        </w:tc>
      </w:tr>
      <w:tr>
        <w:trPr>
          <w:trHeight w:val="396" w:hRule="exact"/>
        </w:trPr>
        <w:tc>
          <w:tcPr>
            <w:tcW w:w="955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8"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7"/>
              <w:jc w:val="center"/>
              <w:rPr>
                <w:rFonts w:ascii="宋体" w:hAnsi="宋体" w:cs="宋体" w:eastAsia="宋体" w:hint="default"/>
                <w:sz w:val="18"/>
                <w:szCs w:val="18"/>
              </w:rPr>
            </w:pPr>
            <w:r>
              <w:rPr>
                <w:rFonts w:ascii="宋体" w:hAnsi="宋体" w:cs="宋体" w:eastAsia="宋体" w:hint="default"/>
                <w:sz w:val="18"/>
                <w:szCs w:val="18"/>
              </w:rPr>
              <w:t>类别</w:t>
            </w:r>
          </w:p>
        </w:tc>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345" w:hRule="exact"/>
        </w:trPr>
        <w:tc>
          <w:tcPr>
            <w:tcW w:w="3178"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9" w:space="0" w:color="D2D2D2"/>
              <w:right w:val="single" w:sz="4" w:space="0" w:color="000000"/>
            </w:tcBorders>
          </w:tcPr>
          <w:p>
            <w:pPr>
              <w:pStyle w:val="TableParagraph"/>
              <w:spacing w:line="316" w:lineRule="auto" w:before="49"/>
              <w:ind w:left="23" w:right="47"/>
              <w:jc w:val="left"/>
              <w:rPr>
                <w:rFonts w:ascii="宋体" w:hAnsi="宋体" w:cs="宋体" w:eastAsia="宋体" w:hint="default"/>
                <w:sz w:val="18"/>
                <w:szCs w:val="18"/>
              </w:rPr>
            </w:pPr>
            <w:r>
              <w:rPr>
                <w:rFonts w:ascii="宋体" w:hAnsi="宋体" w:cs="宋体" w:eastAsia="宋体" w:hint="default"/>
                <w:sz w:val="18"/>
                <w:szCs w:val="18"/>
              </w:rPr>
              <w:t>重大缺陷认定标准：①董事、监事、高级 管理人员舞弊。②对已经公告的财务报告 出现重大差错而进行的差错更正。③当期 财务报告存在重大差错，而内部控制运行 过程中未发现该差错。④公司审计委员会 和审计部门对财务报告内部控制监督无 效。重要缺陷认定标准：①未建立反舞弊 程序和控制措施。②对于非常规或特殊交 易的账务处理没有建立相应控制机制。③ 对于财务报告编制过程中存在一项或多项 缺陷不能保证编制的财务报表达到真实、 准确的目标。一般缺陷认定标准：①当期 财务报告存在小额差错，而内部控制运行 过程中未发现该差错。②公司审计委员会 和审计部门对内部控制的监督存在一般缺 陷。</w:t>
            </w:r>
          </w:p>
        </w:tc>
        <w:tc>
          <w:tcPr>
            <w:tcW w:w="30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tabs>
                <w:tab w:pos="1944" w:val="left" w:leader="none"/>
              </w:tabs>
              <w:spacing w:line="316" w:lineRule="auto"/>
              <w:ind w:left="26" w:right="-43"/>
              <w:jc w:val="left"/>
              <w:rPr>
                <w:rFonts w:ascii="宋体" w:hAnsi="宋体" w:cs="宋体" w:eastAsia="宋体" w:hint="default"/>
                <w:sz w:val="18"/>
                <w:szCs w:val="18"/>
              </w:rPr>
            </w:pPr>
            <w:r>
              <w:rPr>
                <w:rFonts w:ascii="宋体" w:hAnsi="宋体" w:cs="宋体" w:eastAsia="宋体" w:hint="default"/>
                <w:spacing w:val="-4"/>
                <w:sz w:val="18"/>
                <w:szCs w:val="18"/>
              </w:rPr>
              <w:t>重大缺陷认定标准：①公司经营活动违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反国家法律、法规。②媒体负面新闻频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频曝光，对公司声誉造成重大影响。③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高级管理人员和核心技术人员严重流 失。④内部控制重大缺陷未得到整改。 </w:t>
            </w:r>
            <w:r>
              <w:rPr>
                <w:rFonts w:ascii="宋体" w:hAnsi="宋体" w:cs="宋体" w:eastAsia="宋体" w:hint="default"/>
                <w:spacing w:val="-4"/>
                <w:sz w:val="18"/>
                <w:szCs w:val="18"/>
              </w:rPr>
              <w:t>重要缺陷认定标准：①公司违反国家法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律、法规活动受到轻微处罚。②媒体出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现负面新闻，对公司声誉造成影响。③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关键岗位人员严重流失。④内部控制重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要缺陷未得到整改。</w:t>
              <w:tab/>
              <w:t>一般缺陷认定</w:t>
            </w:r>
            <w:r>
              <w:rPr>
                <w:rFonts w:ascii="宋体" w:hAnsi="宋体" w:cs="宋体" w:eastAsia="宋体" w:hint="default"/>
                <w:sz w:val="18"/>
                <w:szCs w:val="18"/>
              </w:rPr>
              <w:t> </w:t>
            </w:r>
            <w:r>
              <w:rPr>
                <w:rFonts w:ascii="宋体" w:hAnsi="宋体" w:cs="宋体" w:eastAsia="宋体" w:hint="default"/>
                <w:spacing w:val="-4"/>
                <w:sz w:val="18"/>
                <w:szCs w:val="18"/>
              </w:rPr>
              <w:t>标准：①媒体出现负面新闻，但影响不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大。②一般岗位人员流失严重。③内部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控制一般缺陷未得到整改。</w:t>
            </w:r>
          </w:p>
        </w:tc>
      </w:tr>
      <w:tr>
        <w:trPr>
          <w:trHeight w:val="391" w:hRule="exact"/>
        </w:trPr>
        <w:tc>
          <w:tcPr>
            <w:tcW w:w="31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7" w:type="dxa"/>
            <w:vMerge/>
            <w:tcBorders>
              <w:left w:val="single" w:sz="9" w:space="0" w:color="D2D2D2"/>
              <w:right w:val="single" w:sz="4" w:space="0" w:color="000000"/>
            </w:tcBorders>
          </w:tcPr>
          <w:p>
            <w:pPr/>
          </w:p>
        </w:tc>
        <w:tc>
          <w:tcPr>
            <w:tcW w:w="3053" w:type="dxa"/>
            <w:vMerge/>
            <w:tcBorders>
              <w:left w:val="single" w:sz="4" w:space="0" w:color="000000"/>
              <w:right w:val="single" w:sz="4" w:space="0" w:color="000000"/>
            </w:tcBorders>
          </w:tcPr>
          <w:p>
            <w:pPr/>
          </w:p>
        </w:tc>
      </w:tr>
      <w:tr>
        <w:trPr>
          <w:trHeight w:val="2345" w:hRule="exact"/>
        </w:trPr>
        <w:tc>
          <w:tcPr>
            <w:tcW w:w="3178"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9" w:space="0" w:color="D2D2D2"/>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r>
        <w:trPr>
          <w:trHeight w:val="142" w:hRule="exact"/>
        </w:trPr>
        <w:tc>
          <w:tcPr>
            <w:tcW w:w="3178"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9" w:space="0" w:color="D2D2D2"/>
              <w:right w:val="single" w:sz="14" w:space="0" w:color="FFFFFF"/>
            </w:tcBorders>
          </w:tcPr>
          <w:p>
            <w:pPr>
              <w:pStyle w:val="TableParagraph"/>
              <w:spacing w:line="300" w:lineRule="auto" w:before="49"/>
              <w:ind w:left="23" w:right="-50"/>
              <w:jc w:val="left"/>
              <w:rPr>
                <w:rFonts w:ascii="宋体" w:hAnsi="宋体" w:cs="宋体" w:eastAsia="宋体" w:hint="default"/>
                <w:sz w:val="18"/>
                <w:szCs w:val="18"/>
              </w:rPr>
            </w:pPr>
            <w:r>
              <w:rPr>
                <w:rFonts w:ascii="宋体" w:hAnsi="宋体" w:cs="宋体" w:eastAsia="宋体" w:hint="default"/>
                <w:spacing w:val="-13"/>
                <w:sz w:val="18"/>
                <w:szCs w:val="18"/>
              </w:rPr>
              <w:t>重大缺陷：错报</w:t>
            </w:r>
            <w:r>
              <w:rPr>
                <w:rFonts w:ascii="宋体" w:hAnsi="宋体" w:cs="宋体" w:eastAsia="宋体" w:hint="default"/>
                <w:sz w:val="18"/>
                <w:szCs w:val="18"/>
              </w:rPr>
              <w:t> </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税前利润</w:t>
            </w:r>
            <w:r>
              <w:rPr>
                <w:rFonts w:ascii="宋体" w:hAnsi="宋体" w:cs="宋体" w:eastAsia="宋体" w:hint="default"/>
                <w:spacing w:val="-35"/>
                <w:w w:val="100"/>
                <w:sz w:val="18"/>
                <w:szCs w:val="18"/>
              </w:rPr>
              <w:t> </w:t>
            </w:r>
            <w:r>
              <w:rPr>
                <w:rFonts w:ascii="Times New Roman" w:hAnsi="Times New Roman" w:cs="Times New Roman" w:eastAsia="Times New Roman" w:hint="default"/>
                <w:spacing w:val="-16"/>
                <w:sz w:val="18"/>
                <w:szCs w:val="18"/>
              </w:rPr>
              <w:t>3%</w:t>
            </w:r>
            <w:r>
              <w:rPr>
                <w:rFonts w:ascii="宋体" w:hAnsi="宋体" w:cs="宋体" w:eastAsia="宋体" w:hint="default"/>
                <w:spacing w:val="-16"/>
                <w:sz w:val="18"/>
                <w:szCs w:val="18"/>
              </w:rPr>
              <w:t>；重要缺陷：</w:t>
            </w:r>
            <w:r>
              <w:rPr>
                <w:rFonts w:ascii="宋体" w:hAnsi="宋体" w:cs="宋体" w:eastAsia="宋体" w:hint="default"/>
                <w:spacing w:val="-34"/>
                <w:sz w:val="18"/>
                <w:szCs w:val="18"/>
              </w:rPr>
              <w:t> </w:t>
            </w:r>
            <w:r>
              <w:rPr>
                <w:rFonts w:ascii="宋体" w:hAnsi="宋体" w:cs="宋体" w:eastAsia="宋体" w:hint="default"/>
                <w:sz w:val="18"/>
                <w:szCs w:val="18"/>
              </w:rPr>
              <w:t>税前利润的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0.25%≤</w:t>
            </w:r>
            <w:r>
              <w:rPr>
                <w:rFonts w:ascii="宋体" w:hAnsi="宋体" w:cs="宋体" w:eastAsia="宋体" w:hint="default"/>
                <w:sz w:val="18"/>
                <w:szCs w:val="18"/>
              </w:rPr>
              <w:t>错报＜税前利润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3053" w:type="dxa"/>
            <w:tcBorders>
              <w:top w:val="single" w:sz="4" w:space="0" w:color="000000"/>
              <w:left w:val="single" w:sz="14" w:space="0" w:color="FFFFFF"/>
              <w:bottom w:val="nil" w:sz="6" w:space="0" w:color="auto"/>
              <w:right w:val="single" w:sz="4" w:space="0" w:color="000000"/>
            </w:tcBorders>
          </w:tcPr>
          <w:p>
            <w:pPr/>
          </w:p>
        </w:tc>
      </w:tr>
      <w:tr>
        <w:trPr>
          <w:trHeight w:val="391" w:hRule="exact"/>
        </w:trPr>
        <w:tc>
          <w:tcPr>
            <w:tcW w:w="31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7" w:type="dxa"/>
            <w:vMerge/>
            <w:tcBorders>
              <w:left w:val="single" w:sz="9" w:space="0" w:color="D2D2D2"/>
              <w:right w:val="single" w:sz="14" w:space="0" w:color="FFFFFF"/>
            </w:tcBorders>
          </w:tcPr>
          <w:p>
            <w:pPr/>
          </w:p>
        </w:tc>
        <w:tc>
          <w:tcPr>
            <w:tcW w:w="3053" w:type="dxa"/>
            <w:vMerge w:val="restart"/>
            <w:tcBorders>
              <w:top w:val="nil" w:sz="6" w:space="0" w:color="auto"/>
              <w:left w:val="single" w:sz="14" w:space="0" w:color="FFFFFF"/>
              <w:right w:val="single" w:sz="4" w:space="0" w:color="000000"/>
            </w:tcBorders>
          </w:tcPr>
          <w:p>
            <w:pPr>
              <w:pStyle w:val="TableParagraph"/>
              <w:spacing w:line="161" w:lineRule="exact"/>
              <w:ind w:left="13" w:right="0"/>
              <w:jc w:val="left"/>
              <w:rPr>
                <w:rFonts w:ascii="宋体" w:hAnsi="宋体" w:cs="宋体" w:eastAsia="宋体" w:hint="default"/>
                <w:sz w:val="18"/>
                <w:szCs w:val="18"/>
              </w:rPr>
            </w:pPr>
            <w:r>
              <w:rPr>
                <w:rFonts w:ascii="宋体" w:hAnsi="宋体" w:cs="宋体" w:eastAsia="宋体" w:hint="default"/>
                <w:sz w:val="18"/>
                <w:szCs w:val="18"/>
              </w:rPr>
              <w:t>重大缺陷：直接损失金额</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资产总额的</w:t>
            </w:r>
          </w:p>
          <w:p>
            <w:pPr>
              <w:pStyle w:val="TableParagraph"/>
              <w:spacing w:line="240" w:lineRule="auto" w:before="63"/>
              <w:ind w:left="1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0.5%</w:t>
            </w:r>
            <w:r>
              <w:rPr>
                <w:rFonts w:ascii="宋体" w:hAnsi="宋体" w:cs="宋体" w:eastAsia="宋体" w:hint="default"/>
                <w:spacing w:val="-4"/>
                <w:sz w:val="18"/>
                <w:szCs w:val="18"/>
              </w:rPr>
              <w:t>。重要缺陷：资产总额的</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0.05%</w:t>
            </w:r>
            <w:r>
              <w:rPr>
                <w:rFonts w:ascii="宋体" w:hAnsi="宋体" w:cs="宋体" w:eastAsia="宋体" w:hint="default"/>
                <w:sz w:val="18"/>
                <w:szCs w:val="18"/>
              </w:rPr>
              <w:t>＜</w:t>
            </w:r>
          </w:p>
        </w:tc>
      </w:tr>
      <w:tr>
        <w:trPr>
          <w:trHeight w:val="142" w:hRule="exact"/>
        </w:trPr>
        <w:tc>
          <w:tcPr>
            <w:tcW w:w="3178"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9" w:space="0" w:color="D2D2D2"/>
              <w:bottom w:val="single" w:sz="4" w:space="0" w:color="000000"/>
              <w:right w:val="single" w:sz="14" w:space="0" w:color="FFFFFF"/>
            </w:tcBorders>
          </w:tcPr>
          <w:p>
            <w:pPr/>
          </w:p>
        </w:tc>
        <w:tc>
          <w:tcPr>
            <w:tcW w:w="3053" w:type="dxa"/>
            <w:vMerge/>
            <w:tcBorders>
              <w:left w:val="single" w:sz="14" w:space="0" w:color="FFFFFF"/>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3322"/>
        <w:gridCol w:w="3053"/>
      </w:tblGrid>
      <w:tr>
        <w:trPr>
          <w:trHeight w:val="987"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一般缺陷：错报＜税前利润的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0.25%</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6" w:right="74"/>
              <w:jc w:val="left"/>
              <w:rPr>
                <w:rFonts w:ascii="宋体" w:hAnsi="宋体" w:cs="宋体" w:eastAsia="宋体" w:hint="default"/>
                <w:sz w:val="18"/>
                <w:szCs w:val="18"/>
              </w:rPr>
            </w:pPr>
            <w:r>
              <w:rPr>
                <w:rFonts w:ascii="宋体" w:hAnsi="宋体" w:cs="宋体" w:eastAsia="宋体" w:hint="default"/>
                <w:sz w:val="18"/>
                <w:szCs w:val="18"/>
              </w:rPr>
              <w:t>直接损失金额＜资产总额的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；一 般缺陷：直接损失金额</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资产总额的 </w:t>
            </w:r>
            <w:r>
              <w:rPr>
                <w:rFonts w:ascii="Times New Roman" w:hAnsi="Times New Roman" w:cs="Times New Roman" w:eastAsia="Times New Roman" w:hint="default"/>
                <w:sz w:val="18"/>
                <w:szCs w:val="18"/>
              </w:rPr>
              <w:t>0.05%</w:t>
            </w:r>
            <w:r>
              <w:rPr>
                <w:rFonts w:ascii="宋体" w:hAnsi="宋体" w:cs="宋体" w:eastAsia="宋体" w:hint="default"/>
                <w:sz w:val="18"/>
                <w:szCs w:val="18"/>
              </w:rPr>
              <w:t>。</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b/>
          <w:bCs/>
          <w:sz w:val="18"/>
          <w:szCs w:val="18"/>
        </w:rPr>
      </w:pPr>
    </w:p>
    <w:p>
      <w:pPr>
        <w:pStyle w:val="Heading2"/>
        <w:spacing w:line="240" w:lineRule="auto" w:before="26"/>
        <w:ind w:right="1134"/>
        <w:jc w:val="left"/>
        <w:rPr>
          <w:b w:val="0"/>
          <w:bCs w:val="0"/>
        </w:rPr>
      </w:pP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4"/>
        <w:jc w:val="left"/>
      </w:pPr>
      <w:r>
        <w:rPr/>
        <w:t>内部控制鉴证报告</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3"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3"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2" w:right="79"/>
              <w:jc w:val="left"/>
              <w:rPr>
                <w:rFonts w:ascii="宋体" w:hAnsi="宋体" w:cs="宋体" w:eastAsia="宋体" w:hint="default"/>
                <w:sz w:val="18"/>
                <w:szCs w:val="18"/>
              </w:rPr>
            </w:pPr>
            <w:r>
              <w:rPr>
                <w:rFonts w:ascii="宋体" w:hAnsi="宋体" w:cs="宋体" w:eastAsia="宋体" w:hint="default"/>
                <w:sz w:val="18"/>
                <w:szCs w:val="18"/>
              </w:rPr>
              <w:t>我们认为，贵公司按照《企业内部控制基本规范》及相关规定建立的与财务报表相关的内部控制于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日在 所有重大方面是有效的。</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无保留结论</w:t>
            </w:r>
          </w:p>
        </w:tc>
      </w:tr>
      <w:tr>
        <w:trPr>
          <w:trHeight w:val="404"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1134"/>
        <w:jc w:val="left"/>
      </w:pPr>
      <w:r>
        <w:rPr/>
        <w:t>会计师事务所是否出具非标准意见的内部控制鉴证报告</w:t>
      </w:r>
    </w:p>
    <w:p>
      <w:pPr>
        <w:pStyle w:val="BodyText"/>
        <w:spacing w:line="340" w:lineRule="auto" w:before="115"/>
        <w:ind w:right="36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会计师事务所出具的内部控制鉴证报告与董事会的自我评价报告意见是否一致</w:t>
      </w:r>
    </w:p>
    <w:p>
      <w:pPr>
        <w:pStyle w:val="BodyText"/>
        <w:spacing w:line="240" w:lineRule="auto" w:before="41"/>
        <w:ind w:right="11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465"/>
        <w:jc w:val="center"/>
        <w:rPr>
          <w:b w:val="0"/>
          <w:bCs w:val="0"/>
        </w:rPr>
      </w:pPr>
      <w:bookmarkStart w:name="_TOC_250001" w:id="10"/>
      <w:r>
        <w:rPr/>
        <w:t>第十节</w:t>
      </w:r>
      <w:r>
        <w:rPr>
          <w:spacing w:val="-2"/>
        </w:rPr>
        <w:t> </w:t>
      </w:r>
      <w:r>
        <w:rPr/>
        <w:t>财务报告</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06"/>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中兴华会计师事务所（特殊普通合伙）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中兴华审字（</w:t>
            </w:r>
            <w:r>
              <w:rPr>
                <w:rFonts w:ascii="Times New Roman" w:hAnsi="Times New Roman" w:cs="Times New Roman" w:eastAsia="Times New Roman" w:hint="default"/>
                <w:sz w:val="18"/>
                <w:szCs w:val="18"/>
              </w:rPr>
              <w:t>2016</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BJ06-0056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谢维、袁冬梅</w:t>
            </w:r>
          </w:p>
        </w:tc>
      </w:tr>
    </w:tbl>
    <w:p>
      <w:pPr>
        <w:pStyle w:val="BodyText"/>
        <w:spacing w:line="240" w:lineRule="auto" w:before="49"/>
        <w:ind w:left="3429" w:right="3467"/>
        <w:jc w:val="center"/>
      </w:pPr>
      <w:r>
        <w:rPr/>
        <w:t>审计报告正文</w:t>
      </w:r>
    </w:p>
    <w:p>
      <w:pPr>
        <w:spacing w:line="240" w:lineRule="auto" w:before="5"/>
        <w:rPr>
          <w:rFonts w:ascii="宋体" w:hAnsi="宋体" w:cs="宋体" w:eastAsia="宋体" w:hint="default"/>
          <w:sz w:val="14"/>
          <w:szCs w:val="14"/>
        </w:rPr>
      </w:pPr>
    </w:p>
    <w:p>
      <w:pPr>
        <w:pStyle w:val="BodyText"/>
        <w:spacing w:line="240" w:lineRule="auto" w:before="44"/>
        <w:ind w:right="106"/>
        <w:jc w:val="left"/>
      </w:pPr>
      <w:r>
        <w:rPr/>
        <w:t>北京光环新网科技股份有限公司全体股东：</w:t>
      </w:r>
    </w:p>
    <w:p>
      <w:pPr>
        <w:spacing w:line="240" w:lineRule="auto" w:before="8"/>
        <w:rPr>
          <w:rFonts w:ascii="宋体" w:hAnsi="宋体" w:cs="宋体" w:eastAsia="宋体" w:hint="default"/>
          <w:sz w:val="17"/>
          <w:szCs w:val="17"/>
        </w:rPr>
      </w:pPr>
    </w:p>
    <w:p>
      <w:pPr>
        <w:pStyle w:val="BodyText"/>
        <w:spacing w:line="316" w:lineRule="auto"/>
        <w:ind w:right="188" w:firstLine="360"/>
        <w:jc w:val="both"/>
      </w:pPr>
      <w:r>
        <w:rPr>
          <w:spacing w:val="-2"/>
        </w:rPr>
        <w:t>我们审计了后附的北京光环新网科技股份有限公司（以下简称“光环新网”）财务报表，包括</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日的合并及</w:t>
      </w:r>
      <w:r>
        <w:rPr/>
        <w:t> </w:t>
      </w:r>
      <w:r>
        <w:rPr>
          <w:spacing w:val="-2"/>
        </w:rPr>
        <w:t>母公司资产负债表，</w:t>
      </w:r>
      <w:r>
        <w:rPr>
          <w:rFonts w:ascii="宋体" w:hAnsi="宋体" w:cs="宋体" w:eastAsia="宋体" w:hint="default"/>
          <w:spacing w:val="-2"/>
        </w:rPr>
        <w:t>2015</w:t>
      </w:r>
      <w:r>
        <w:rPr>
          <w:spacing w:val="-2"/>
        </w:rPr>
        <w:t>年度的合并及母公司利润表、合并及母公司现金流量表、合并及母公司股东权益变动表以及财务报</w:t>
      </w:r>
      <w:r>
        <w:rPr>
          <w:spacing w:val="-60"/>
        </w:rPr>
        <w:t> </w:t>
      </w:r>
      <w:r>
        <w:rPr>
          <w:spacing w:val="-60"/>
        </w:rPr>
      </w:r>
      <w:r>
        <w:rPr/>
        <w:t>表附注。</w:t>
      </w:r>
    </w:p>
    <w:p>
      <w:pPr>
        <w:pStyle w:val="BodyText"/>
        <w:spacing w:line="468" w:lineRule="exact" w:before="10"/>
        <w:ind w:left="513" w:right="183"/>
        <w:jc w:val="left"/>
      </w:pPr>
      <w:r>
        <w:rPr/>
        <w:t>一、管理层对财务报表的责任 编制和公允列报财务报表是光环新网管理层的责任，这种责任包括：（</w:t>
      </w:r>
      <w:r>
        <w:rPr>
          <w:rFonts w:ascii="宋体" w:hAnsi="宋体" w:cs="宋体" w:eastAsia="宋体" w:hint="default"/>
        </w:rPr>
        <w:t>1</w:t>
      </w:r>
      <w:r>
        <w:rPr/>
        <w:t>）按照企业会计准则的规定编制财务报表，并</w:t>
      </w:r>
    </w:p>
    <w:p>
      <w:pPr>
        <w:pStyle w:val="BodyText"/>
        <w:spacing w:line="477" w:lineRule="auto" w:before="8"/>
        <w:ind w:left="513" w:right="106" w:hanging="361"/>
        <w:jc w:val="left"/>
      </w:pPr>
      <w:r>
        <w:rPr/>
        <w:t>使其实现公允反映；（</w:t>
      </w:r>
      <w:r>
        <w:rPr>
          <w:rFonts w:ascii="宋体" w:hAnsi="宋体" w:cs="宋体" w:eastAsia="宋体" w:hint="default"/>
        </w:rPr>
        <w:t>2</w:t>
      </w:r>
      <w:r>
        <w:rPr/>
        <w:t>）设计、执行和维护必要的内部控制，以使财务报表不存在由于舞弊或错误而导致的重大错报。 二、注册会计师的责任</w:t>
      </w:r>
    </w:p>
    <w:p>
      <w:pPr>
        <w:pStyle w:val="BodyText"/>
        <w:spacing w:line="316" w:lineRule="auto" w:before="54"/>
        <w:ind w:right="192" w:firstLine="360"/>
        <w:jc w:val="both"/>
      </w:pPr>
      <w:r>
        <w:rPr>
          <w:spacing w:val="-2"/>
        </w:rPr>
        <w:t>我们的责任是在执行审计工作的基础上对财务报表发表审计意见。我们按照中国注册会计师审计准则的规定执行了审计</w:t>
      </w:r>
      <w:r>
        <w:rPr/>
        <w:t> </w:t>
      </w:r>
      <w:r>
        <w:rPr>
          <w:spacing w:val="-2"/>
        </w:rPr>
        <w:t>工作。中国注册会计师审计准则要求我们遵守中国注册会计师职业道德守则，计划和执行审计工作以对财务报表是否不存在</w:t>
      </w:r>
      <w:r>
        <w:rPr>
          <w:spacing w:val="-63"/>
        </w:rPr>
        <w:t> </w:t>
      </w:r>
      <w:r>
        <w:rPr>
          <w:spacing w:val="-63"/>
        </w:rPr>
      </w:r>
      <w:r>
        <w:rPr/>
        <w:t>重大错报获取合理保证。</w:t>
      </w:r>
    </w:p>
    <w:p>
      <w:pPr>
        <w:spacing w:line="240" w:lineRule="auto" w:before="5"/>
        <w:rPr>
          <w:rFonts w:ascii="宋体" w:hAnsi="宋体" w:cs="宋体" w:eastAsia="宋体" w:hint="default"/>
          <w:sz w:val="13"/>
          <w:szCs w:val="13"/>
        </w:rPr>
      </w:pPr>
    </w:p>
    <w:p>
      <w:pPr>
        <w:pStyle w:val="BodyText"/>
        <w:spacing w:line="319" w:lineRule="auto"/>
        <w:ind w:right="94" w:firstLine="360"/>
        <w:jc w:val="left"/>
      </w:pPr>
      <w:r>
        <w:rPr/>
        <w:t>审计工作涉及实施审计程序，以获取有关财务报表金额和披露的审计证据。选择的审计程序取决于注册会计师的判断， </w:t>
      </w:r>
      <w:r>
        <w:rPr>
          <w:spacing w:val="-2"/>
        </w:rPr>
        <w:t>包括对由于舞弊或错误导致的财务报表重大错报风险的评估。在进行风险评估时，注册会计师考虑与财务报表编制和公允列</w:t>
      </w:r>
      <w:r>
        <w:rPr>
          <w:spacing w:val="-64"/>
        </w:rPr>
        <w:t> </w:t>
      </w:r>
      <w:r>
        <w:rPr>
          <w:spacing w:val="-64"/>
        </w:rPr>
      </w:r>
      <w:r>
        <w:rPr>
          <w:spacing w:val="-2"/>
        </w:rPr>
        <w:t>报相关的内部控制，以设计恰当的审计程序，但目的并非对内部控制的有效性发表意见。审计工作还包括评价管理层选用会</w:t>
      </w:r>
      <w:r>
        <w:rPr>
          <w:spacing w:val="-63"/>
        </w:rPr>
        <w:t> </w:t>
      </w:r>
      <w:r>
        <w:rPr>
          <w:spacing w:val="-63"/>
        </w:rPr>
      </w:r>
      <w:r>
        <w:rPr/>
        <w:t>计政策的适当性和作出会计估计的合理性，以及评价财务报表的总体列报。</w:t>
      </w:r>
    </w:p>
    <w:p>
      <w:pPr>
        <w:spacing w:line="240" w:lineRule="auto" w:before="3"/>
        <w:rPr>
          <w:rFonts w:ascii="宋体" w:hAnsi="宋体" w:cs="宋体" w:eastAsia="宋体" w:hint="default"/>
          <w:sz w:val="13"/>
          <w:szCs w:val="13"/>
        </w:rPr>
      </w:pPr>
    </w:p>
    <w:p>
      <w:pPr>
        <w:pStyle w:val="BodyText"/>
        <w:spacing w:line="477" w:lineRule="auto"/>
        <w:ind w:left="513" w:right="3153"/>
        <w:jc w:val="left"/>
      </w:pPr>
      <w:r>
        <w:rPr/>
        <w:t>我们相信，我们获取的审计证据是充分、适当的，为发表审计意见提供了基础。 三、审计意见</w:t>
      </w:r>
    </w:p>
    <w:p>
      <w:pPr>
        <w:pStyle w:val="BodyText"/>
        <w:spacing w:line="316" w:lineRule="auto" w:before="54"/>
        <w:ind w:right="191" w:firstLine="360"/>
        <w:jc w:val="both"/>
      </w:pPr>
      <w:r>
        <w:rPr>
          <w:spacing w:val="-2"/>
        </w:rPr>
        <w:t>我们认为，光环新网的财务报表已经按照企业会计准则的规定编制，在所有重大方面公允反映了光环新网</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 </w:t>
      </w:r>
      <w:r>
        <w:rPr/>
        <w:t>日的合并及母公司财务状况、以及</w:t>
      </w:r>
      <w:r>
        <w:rPr>
          <w:rFonts w:ascii="宋体" w:hAnsi="宋体" w:cs="宋体" w:eastAsia="宋体" w:hint="default"/>
        </w:rPr>
        <w:t>2015</w:t>
      </w:r>
      <w:r>
        <w:rPr/>
        <w:t>年度的合并及母公司经营成果和现金流量。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BodyText"/>
        <w:tabs>
          <w:tab w:pos="5467" w:val="left" w:leader="none"/>
        </w:tabs>
        <w:spacing w:line="477" w:lineRule="auto"/>
        <w:ind w:left="2226" w:right="2536" w:hanging="1714"/>
        <w:jc w:val="left"/>
      </w:pPr>
      <w:r>
        <w:rPr/>
        <w:t>中兴华会计师事务所（特殊普通合伙）</w:t>
        <w:tab/>
        <w:t>中国注册会计师：谢维 </w:t>
      </w:r>
      <w:r>
        <w:rPr>
          <w:spacing w:val="-1"/>
        </w:rPr>
        <w:t>中国·北京</w:t>
        <w:tab/>
      </w:r>
      <w:r>
        <w:rPr/>
        <w:t>中国注册会计师：袁冬梅</w:t>
      </w:r>
    </w:p>
    <w:p>
      <w:pPr>
        <w:spacing w:after="0" w:line="477"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240" w:lineRule="auto" w:before="44"/>
        <w:ind w:left="0" w:right="148"/>
        <w:jc w:val="right"/>
      </w:pPr>
      <w:r>
        <w:rPr>
          <w:rFonts w:ascii="宋体" w:hAnsi="宋体" w:cs="宋体" w:eastAsia="宋体" w:hint="default"/>
        </w:rPr>
        <w:t>2016</w:t>
      </w:r>
      <w:r>
        <w:rPr/>
        <w:t>年</w:t>
      </w:r>
      <w:r>
        <w:rPr>
          <w:rFonts w:ascii="宋体" w:hAnsi="宋体" w:cs="宋体" w:eastAsia="宋体" w:hint="default"/>
        </w:rPr>
        <w:t>3</w:t>
      </w:r>
      <w:r>
        <w:rPr/>
        <w:t>月</w:t>
      </w:r>
      <w:r>
        <w:rPr>
          <w:rFonts w:ascii="宋体" w:hAnsi="宋体" w:cs="宋体" w:eastAsia="宋体" w:hint="default"/>
        </w:rPr>
        <w:t>14</w:t>
      </w:r>
      <w:r>
        <w:rPr/>
        <w:t>日</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Heading2"/>
        <w:spacing w:line="240" w:lineRule="auto" w:before="26"/>
        <w:ind w:right="1134"/>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4"/>
        <w:jc w:val="left"/>
      </w:pPr>
      <w:r>
        <w:rPr/>
        <w:t>财务附注中报表的单位为：人民币元</w:t>
      </w:r>
    </w:p>
    <w:p>
      <w:pPr>
        <w:spacing w:line="240" w:lineRule="auto" w:before="0"/>
        <w:rPr>
          <w:rFonts w:ascii="宋体" w:hAnsi="宋体" w:cs="宋体" w:eastAsia="宋体" w:hint="default"/>
          <w:sz w:val="18"/>
          <w:szCs w:val="18"/>
        </w:rPr>
      </w:pPr>
    </w:p>
    <w:p>
      <w:pPr>
        <w:pStyle w:val="Heading3"/>
        <w:spacing w:line="240" w:lineRule="auto" w:before="118"/>
        <w:ind w:right="1134"/>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980"/>
        </w:sectPr>
      </w:pPr>
    </w:p>
    <w:p>
      <w:pPr>
        <w:pStyle w:val="BodyText"/>
        <w:spacing w:line="240" w:lineRule="auto" w:before="44"/>
        <w:ind w:right="-20"/>
        <w:jc w:val="left"/>
      </w:pPr>
      <w:r>
        <w:rPr/>
        <w:t>编制单位：北京光环新网科技股份有限公司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4"/>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3" w:equalWidth="0">
            <w:col w:w="3573" w:space="503"/>
            <w:col w:w="1642" w:space="3202"/>
            <w:col w:w="103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184,833,748.53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238,977,816.19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84,405,140.21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43,948,945.46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9,176,921.88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2,564,139.47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83,945,444.14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3,040,686.28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1,305,634.38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1,146,459.61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11,450,231.89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6,404,802.59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375,117,121.03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296,082,849.60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15,290,000.00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15,290,000.00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1,383,142.39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509,172,709.03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362,391,308.37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286,355,131.90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14,321,931.77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245,682,825.51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37,737,014.03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1,693,240.00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1,693,240.00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61,147,736.69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56,377,091.81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581,028.99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1,090,465.54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79,216,892.97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77,758,315.77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1,200,522,707.48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566,659,367.29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1,575,639,828.51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862,742,216.89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130,999,908.40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42,396,232.54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40"/>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103,798,815.44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54,869,590.27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55,179,698.42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50,248,171.62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0"/>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6,864,365.06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5,206,353.25</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6,175,798.66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3,467,169.06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13,889,841.32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5,249,376.74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316,908,427.30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161,436,893.48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103,216,542.11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1,156,000.00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1,248,000.00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1,927,329.69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1,982,396.25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106,299,871.80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3,230,396.25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423,208,299.10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164,667,289.73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545,800,000.00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109,160,000.00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10,973,183.83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311,163,183.83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39,582,838.34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29,948,561.02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165,694,962.49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247,312,830.19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762,050,984.66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697,584,575.04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390,380,544.75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490,352.12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1,152,431,529.41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698,074,927.16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1,575,639,828.51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862,742,216.89</w:t>
            </w:r>
          </w:p>
        </w:tc>
      </w:tr>
    </w:tbl>
    <w:p>
      <w:pPr>
        <w:spacing w:line="240" w:lineRule="auto" w:before="11"/>
        <w:rPr>
          <w:rFonts w:ascii="Times New Roman" w:hAnsi="Times New Roman" w:cs="Times New Roman" w:eastAsia="Times New Roman" w:hint="default"/>
          <w:sz w:val="22"/>
          <w:szCs w:val="22"/>
        </w:rPr>
      </w:pPr>
    </w:p>
    <w:p>
      <w:pPr>
        <w:pStyle w:val="BodyText"/>
        <w:tabs>
          <w:tab w:pos="3425" w:val="left" w:leader="none"/>
          <w:tab w:pos="7568" w:val="left" w:leader="none"/>
        </w:tabs>
        <w:spacing w:line="240" w:lineRule="auto" w:before="44"/>
        <w:ind w:left="0" w:right="243"/>
        <w:jc w:val="right"/>
      </w:pPr>
      <w:r>
        <w:rPr/>
        <w:t>法定代表人：耿殿根</w:t>
        <w:tab/>
      </w:r>
      <w:r>
        <w:rPr>
          <w:spacing w:val="-1"/>
        </w:rPr>
        <w:t>主管会计工作负责人：张利军</w:t>
        <w:tab/>
      </w:r>
      <w:r>
        <w:rPr/>
        <w:t>会计机构负责人：张利军</w:t>
      </w:r>
    </w:p>
    <w:p>
      <w:pPr>
        <w:spacing w:line="240" w:lineRule="auto" w:before="0"/>
        <w:rPr>
          <w:rFonts w:ascii="宋体" w:hAnsi="宋体" w:cs="宋体" w:eastAsia="宋体" w:hint="default"/>
          <w:sz w:val="18"/>
          <w:szCs w:val="18"/>
        </w:rPr>
      </w:pPr>
    </w:p>
    <w:p>
      <w:pPr>
        <w:pStyle w:val="Heading3"/>
        <w:spacing w:line="240" w:lineRule="auto" w:before="118"/>
        <w:ind w:right="1134"/>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140,304,148.40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227,891,283.13</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61,783,154.55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35,284,275.08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1,861,124.79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2,093,607.80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233,667,861.08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138,099,635.19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899,762.38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668,724.70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5,701,735.87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2,323,646.73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444,217,787.07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406,361,172.63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15,290,000.00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15,290,000.00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391,920,844.89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185,411,227.50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167,621,292.75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124,374,329.31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2,266,283.94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2,442,845.42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1,952,024.95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840,157.02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33,287,995.17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21,612,970.86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472,003.00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1,004,125.49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79,216,892.97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77,758,315.77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692,027,337.67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428,733,971.37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1,136,245,124.74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835,095,144.00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130,999,908.40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42,396,232.54</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85,507,869.73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36,309,742.39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52,472,910.86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48,742,533.24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6,093,284.39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4,634,237.94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5,088,094.35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3,438,719.40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19,945,387.21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13,681,324.02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300,107,454.94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149,202,789.53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103,216,542.11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1,056,000.00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1,248,000.00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104,272,542.11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1,248,000.00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404,379,997.05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150,450,789.53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545,800,000.00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109,160,000.00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9,975,862.23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310,165,862.23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39,582,838.34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29,948,561.02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136,506,427.12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235,369,931.22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731,865,127.69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684,644,354.47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1,136,245,124.74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835,095,144.00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4"/>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591,530,413.09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434,543,129.87</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591,530,413.09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434,543,129.87</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482,074,877.35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322,112,175.16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11.009995pt;margin-top:440.409973pt;width:158.9pt;height:20.65pt;mso-position-horizontal-relative:page;mso-position-vertical-relative:page;z-index:-1592752" coordorigin="4220,8808" coordsize="3178,413">
            <v:group style="position:absolute;left:4231;top:8819;width:2;height:392" coordorigin="4231,8819" coordsize="2,392">
              <v:shape style="position:absolute;left:4231;top:8819;width:2;height:392" coordorigin="4231,8819" coordsize="0,392" path="m4231,8819l4231,9210e" filled="false" stroked="true" strokeweight="1.08pt" strokecolor="#ffffff">
                <v:path arrowok="t"/>
              </v:shape>
            </v:group>
            <v:group style="position:absolute;left:4242;top:8819;width:3157;height:392" coordorigin="4242,8819" coordsize="3157,392">
              <v:shape style="position:absolute;left:4242;top:8819;width:3157;height:392" coordorigin="4242,8819" coordsize="3157,392" path="m4242,9210l7398,9210,7398,8819,4242,8819,4242,9210xe" filled="true" fillcolor="#ffffff" stroked="false">
                <v:path arrowok="t"/>
                <v:fill type="solid"/>
              </v:shape>
            </v:group>
            <w10:wrap type="none"/>
          </v:group>
        </w:pict>
      </w:r>
      <w:r>
        <w:rPr/>
        <w:pict>
          <v:group style="position:absolute;margin-left:211.009995pt;margin-top:561.015991pt;width:158.9pt;height:20.7pt;mso-position-horizontal-relative:page;mso-position-vertical-relative:page;z-index:-1592728" coordorigin="4220,11220" coordsize="3178,414">
            <v:group style="position:absolute;left:4231;top:11231;width:2;height:392" coordorigin="4231,11231" coordsize="2,392">
              <v:shape style="position:absolute;left:4231;top:11231;width:2;height:392" coordorigin="4231,11231" coordsize="0,392" path="m4231,11231l4231,11623e" filled="false" stroked="true" strokeweight="1.08pt" strokecolor="#ffffff">
                <v:path arrowok="t"/>
              </v:shape>
            </v:group>
            <v:group style="position:absolute;left:4242;top:11231;width:3157;height:392" coordorigin="4242,11231" coordsize="3157,392">
              <v:shape style="position:absolute;left:4242;top:11231;width:3157;height:392" coordorigin="4242,11231" coordsize="3157,392" path="m4242,11623l7398,11623,7398,11231,4242,11231,4242,11623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68"/>
        <w:gridCol w:w="1071"/>
        <w:gridCol w:w="2151"/>
        <w:gridCol w:w="3277"/>
      </w:tblGrid>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55" w:right="0"/>
              <w:jc w:val="left"/>
              <w:rPr>
                <w:rFonts w:ascii="Times New Roman" w:hAnsi="Times New Roman" w:cs="Times New Roman" w:eastAsia="Times New Roman" w:hint="default"/>
                <w:sz w:val="18"/>
                <w:szCs w:val="18"/>
              </w:rPr>
            </w:pPr>
            <w:r>
              <w:rPr>
                <w:rFonts w:ascii="Times New Roman"/>
                <w:sz w:val="18"/>
              </w:rPr>
              <w:t>396,217,599.80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247,699,370.31</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628,110.63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6,323,674.12</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15,562,104.51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17,821,544.04</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63,099,216.20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50,505,213.80</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5,250,490.16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-917,219.81</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1,317,356.05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679,592.70</w:t>
            </w: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506,822.09</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2"/>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055" w:right="0"/>
              <w:jc w:val="left"/>
              <w:rPr>
                <w:rFonts w:ascii="Times New Roman" w:hAnsi="Times New Roman" w:cs="Times New Roman" w:eastAsia="Times New Roman" w:hint="default"/>
                <w:sz w:val="18"/>
                <w:szCs w:val="18"/>
              </w:rPr>
            </w:pPr>
            <w:r>
              <w:rPr>
                <w:rFonts w:ascii="Times New Roman"/>
                <w:sz w:val="18"/>
              </w:rPr>
              <w:t>109,962,357.83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112,430,954.71</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21,959,000.00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198,480.00</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1,480.00</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298,011.09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140,687.00</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186.69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138,941.29</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71"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96" w:right="0"/>
              <w:jc w:val="left"/>
              <w:rPr>
                <w:rFonts w:ascii="Times New Roman" w:hAnsi="Times New Roman" w:cs="Times New Roman" w:eastAsia="Times New Roman" w:hint="default"/>
                <w:sz w:val="18"/>
                <w:szCs w:val="18"/>
              </w:rPr>
            </w:pPr>
            <w:r>
              <w:rPr>
                <w:rFonts w:ascii="Times New Roman"/>
                <w:sz w:val="18"/>
              </w:rPr>
              <w:t>131,623,346.74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112,488,747.71</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17,444,744.49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17,302,763.63</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62" w:right="0"/>
              <w:jc w:val="left"/>
              <w:rPr>
                <w:rFonts w:ascii="Times New Roman" w:hAnsi="Times New Roman" w:cs="Times New Roman" w:eastAsia="Times New Roman" w:hint="default"/>
                <w:sz w:val="18"/>
                <w:szCs w:val="18"/>
              </w:rPr>
            </w:pPr>
            <w:r>
              <w:rPr>
                <w:rFonts w:ascii="Times New Roman"/>
                <w:sz w:val="18"/>
              </w:rPr>
              <w:t>114,178,602.25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95,185,984.08</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062" w:right="0"/>
              <w:jc w:val="left"/>
              <w:rPr>
                <w:rFonts w:ascii="Times New Roman" w:hAnsi="Times New Roman" w:cs="Times New Roman" w:eastAsia="Times New Roman" w:hint="default"/>
                <w:sz w:val="18"/>
                <w:szCs w:val="18"/>
              </w:rPr>
            </w:pPr>
            <w:r>
              <w:rPr>
                <w:rFonts w:ascii="Times New Roman"/>
                <w:sz w:val="18"/>
              </w:rPr>
              <w:t>113,588,409.62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95,184,364.67</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590,192.63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1,619.41</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53"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 w:firstLine="341"/>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114,178,602.25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95,185,984.08</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113,588,409.62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95,184,364.67</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3"/>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590,192.63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1,619.41</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0.18</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0.21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0.18</w:t>
            </w:r>
          </w:p>
        </w:tc>
      </w:tr>
    </w:tbl>
    <w:p>
      <w:pPr>
        <w:pStyle w:val="BodyText"/>
        <w:tabs>
          <w:tab w:pos="3578" w:val="left" w:leader="none"/>
          <w:tab w:pos="7721" w:val="left" w:leader="none"/>
        </w:tabs>
        <w:spacing w:line="595" w:lineRule="auto" w:before="49"/>
        <w:ind w:right="243"/>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 </w:t>
      </w:r>
      <w:r>
        <w:rPr>
          <w:spacing w:val="-3"/>
        </w:rPr>
        <w:t>元。 </w:t>
      </w:r>
      <w:r>
        <w:rPr/>
        <w:t>法定代表人：耿殿根</w:t>
        <w:tab/>
      </w:r>
      <w:r>
        <w:rPr>
          <w:spacing w:val="-1"/>
        </w:rPr>
        <w:t>主管会计工作负责人：张利军</w:t>
        <w:tab/>
      </w:r>
      <w:r>
        <w:rPr/>
        <w:t>会计机构负责人：张利军</w:t>
      </w:r>
      <w:r>
        <w:rPr/>
        <w:t>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502,580,449.85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382,317,995.39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341,892,086.18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212,463,917.22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615,413.45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5,643,238.87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15,537,762.51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17,808,432.36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49,522,697.63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43,642,835.71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5,301,353.69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-890,446.20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944,793.71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580,841.01</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506,822.09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9,844,154.47</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89,273,164.77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112,913,330.89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21,859,000.00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198,480.00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1480.00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298,011.09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84,936.36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186.69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84,936.36</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74"/>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110,834,153.68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113,026,874.53</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14,491,380.46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15,573,079.68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96,342,773.22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97,453,794.85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9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现金流量套期损益的有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96,342,773.22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97,453,794.85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4"/>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588,924,929.67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431,477,751.81</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99,990,128.20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32,229,476.52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688,915,057.87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463,707,228.33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338,452,811.20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183,155,656.13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55,706,829.44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46,179,563.88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22,194,803.54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35,221,560.16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172,648,352.52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49,991,646.11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589,002,796.70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314,548,426.28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99,912,261.17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149,158,802.05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149,451,400.00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623,679.70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6,500.00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150,075,079.70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6,500.00</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103,990,007.31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141,054,608.98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212,781,400.00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102,338,098.84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89,102,169.05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419,109,506.15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230,156,778.03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-269,034,426.45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-230,150,278.03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16,488,000.00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319,391,670.00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16,488,000.00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244,103,675.86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60,974,668.94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647,301.34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2,523,230.49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261,238,977.20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382,889,569.43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83,262,149.19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75,490,854.86</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58,882,730.39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17,914,210.68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10,542,095.00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8,550,579.51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152,686,974.58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101,955,645.05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108,552,002.62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280,933,924.38</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-60,570,162.66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199,942,448.40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238,977,816.19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39,035,367.79</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178,407,653.53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238,977,816.19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4"/>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508,557,747.05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378,624,586.68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99,775,548.76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32,787,382.96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608,333,295.81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411,411,969.64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304,115,628.47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161,752,703.67</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49,672,531.32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42,872,753.35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19,627,299.78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31,752,302.65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174,573,950.14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106,975,715.65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547,989,409.71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343,353,475.32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60,343,886.10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68,058,494.32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149,451,400.00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623,679.70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6,500.00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157,261.26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150,075,079.70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163,761.26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47,367,079.80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56,778,866.25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150,951,400.00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198,177,718.35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89,110,000.00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396,496,198.15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145,888,866.25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-246,421,118.45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-145,725,104.99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319,391,670.00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244,103,675.86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60,974,668.94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647,301.34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2,523,230.49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244,750,977.20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382,889,569.43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83,262,149.19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75,490,854.86</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58,882,730.39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17,914,210.68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10,542,095.00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8,550,579.51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152,686,974.58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101,955,645.05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92,064,002.62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280,933,924.38</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-94,013,229.73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203,267,313.71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227,891,283.13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24,623,969.42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133,878,053.40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227,891,283.13</w:t>
            </w:r>
          </w:p>
        </w:tc>
      </w:tr>
    </w:tbl>
    <w:p>
      <w:pPr>
        <w:spacing w:line="240" w:lineRule="auto" w:before="3"/>
        <w:rPr>
          <w:rFonts w:ascii="宋体" w:hAnsi="宋体" w:cs="宋体" w:eastAsia="宋体" w:hint="default"/>
          <w:sz w:val="19"/>
          <w:szCs w:val="19"/>
        </w:rPr>
      </w:pPr>
    </w:p>
    <w:p>
      <w:pPr>
        <w:pStyle w:val="Heading3"/>
        <w:spacing w:line="240" w:lineRule="auto" w:before="36"/>
        <w:ind w:right="1134"/>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4"/>
        <w:jc w:val="left"/>
      </w:pPr>
      <w:r>
        <w:rPr/>
        <w:t>本期金额</w:t>
      </w:r>
    </w:p>
    <w:p>
      <w:pPr>
        <w:pStyle w:val="BodyText"/>
        <w:spacing w:line="240" w:lineRule="auto" w:before="117"/>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9"/>
        <w:gridCol w:w="562"/>
        <w:gridCol w:w="521"/>
        <w:gridCol w:w="531"/>
        <w:gridCol w:w="530"/>
        <w:gridCol w:w="665"/>
        <w:gridCol w:w="665"/>
        <w:gridCol w:w="665"/>
        <w:gridCol w:w="665"/>
        <w:gridCol w:w="665"/>
        <w:gridCol w:w="665"/>
        <w:gridCol w:w="665"/>
        <w:gridCol w:w="665"/>
        <w:gridCol w:w="648"/>
      </w:tblGrid>
      <w:tr>
        <w:trPr>
          <w:trHeight w:val="401" w:hRule="exact"/>
        </w:trPr>
        <w:tc>
          <w:tcPr>
            <w:tcW w:w="1449" w:type="dxa"/>
            <w:vMerge w:val="restart"/>
            <w:tcBorders>
              <w:top w:val="single" w:sz="4" w:space="0" w:color="000000"/>
              <w:left w:val="single" w:sz="4" w:space="0" w:color="000000"/>
              <w:right w:val="single" w:sz="4" w:space="0" w:color="000000"/>
            </w:tcBorders>
            <w:shd w:val="clear" w:color="auto" w:fill="D2D2D2"/>
          </w:tcPr>
          <w:p>
            <w:pPr/>
          </w:p>
        </w:tc>
        <w:tc>
          <w:tcPr>
            <w:tcW w:w="811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2" w:hRule="exact"/>
        </w:trPr>
        <w:tc>
          <w:tcPr>
            <w:tcW w:w="1449" w:type="dxa"/>
            <w:vMerge/>
            <w:tcBorders>
              <w:left w:val="single" w:sz="4" w:space="0" w:color="000000"/>
              <w:right w:val="single" w:sz="4" w:space="0" w:color="000000"/>
            </w:tcBorders>
            <w:shd w:val="clear" w:color="auto" w:fill="D2D2D2"/>
          </w:tcPr>
          <w:p>
            <w:pPr/>
          </w:p>
        </w:tc>
        <w:tc>
          <w:tcPr>
            <w:tcW w:w="6798"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4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49" w:type="dxa"/>
            <w:vMerge/>
            <w:tcBorders>
              <w:left w:val="single" w:sz="4" w:space="0" w:color="000000"/>
              <w:bottom w:val="nil" w:sz="6" w:space="0" w:color="auto"/>
              <w:right w:val="single" w:sz="4" w:space="0" w:color="000000"/>
            </w:tcBorders>
            <w:shd w:val="clear" w:color="auto" w:fill="D2D2D2"/>
          </w:tcPr>
          <w:p>
            <w:pPr/>
          </w:p>
        </w:tc>
        <w:tc>
          <w:tcPr>
            <w:tcW w:w="6798"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4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41"/>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4" w:hRule="exact"/>
        </w:trPr>
        <w:tc>
          <w:tcPr>
            <w:tcW w:w="144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4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3"/>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48" w:type="dxa"/>
            <w:vMerge/>
            <w:tcBorders>
              <w:left w:val="single" w:sz="4" w:space="0" w:color="000000"/>
              <w:right w:val="single" w:sz="4" w:space="0" w:color="000000"/>
            </w:tcBorders>
            <w:shd w:val="clear" w:color="auto" w:fill="D2D2D2"/>
          </w:tcPr>
          <w:p>
            <w:pPr/>
          </w:p>
        </w:tc>
      </w:tr>
      <w:tr>
        <w:trPr>
          <w:trHeight w:val="174" w:hRule="exact"/>
        </w:trPr>
        <w:tc>
          <w:tcPr>
            <w:tcW w:w="1449"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8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8" w:right="56"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48" w:type="dxa"/>
            <w:vMerge/>
            <w:tcBorders>
              <w:left w:val="single" w:sz="4" w:space="0" w:color="000000"/>
              <w:right w:val="single" w:sz="4" w:space="0" w:color="000000"/>
            </w:tcBorders>
            <w:shd w:val="clear" w:color="auto" w:fill="D2D2D2"/>
          </w:tcPr>
          <w:p>
            <w:pPr/>
          </w:p>
        </w:tc>
      </w:tr>
      <w:tr>
        <w:trPr>
          <w:trHeight w:val="184" w:hRule="exact"/>
        </w:trPr>
        <w:tc>
          <w:tcPr>
            <w:tcW w:w="1449"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8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2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58" w:right="79"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71" w:right="77"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48" w:type="dxa"/>
            <w:vMerge/>
            <w:tcBorders>
              <w:left w:val="single" w:sz="4" w:space="0" w:color="000000"/>
              <w:right w:val="single" w:sz="4" w:space="0" w:color="000000"/>
            </w:tcBorders>
            <w:shd w:val="clear" w:color="auto" w:fill="D2D2D2"/>
          </w:tcPr>
          <w:p>
            <w:pPr/>
          </w:p>
        </w:tc>
      </w:tr>
      <w:tr>
        <w:trPr>
          <w:trHeight w:val="169" w:hRule="exact"/>
        </w:trPr>
        <w:tc>
          <w:tcPr>
            <w:tcW w:w="1449"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21"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48" w:type="dxa"/>
            <w:vMerge/>
            <w:tcBorders>
              <w:left w:val="single" w:sz="4" w:space="0" w:color="000000"/>
              <w:right w:val="single" w:sz="4" w:space="0" w:color="000000"/>
            </w:tcBorders>
            <w:shd w:val="clear" w:color="auto" w:fill="D2D2D2"/>
          </w:tcPr>
          <w:p>
            <w:pPr/>
          </w:p>
        </w:tc>
      </w:tr>
      <w:tr>
        <w:trPr>
          <w:trHeight w:val="156" w:hRule="exact"/>
        </w:trPr>
        <w:tc>
          <w:tcPr>
            <w:tcW w:w="1449"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21"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48"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49"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21"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4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40" w:hRule="exact"/>
        </w:trPr>
        <w:tc>
          <w:tcPr>
            <w:tcW w:w="1449"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Style w:val="TableParagraph"/>
              <w:spacing w:line="240" w:lineRule="auto" w:before="91"/>
              <w:ind w:left="16" w:right="0"/>
              <w:jc w:val="left"/>
              <w:rPr>
                <w:rFonts w:ascii="Times New Roman" w:hAnsi="Times New Roman" w:cs="Times New Roman" w:eastAsia="Times New Roman" w:hint="default"/>
                <w:sz w:val="18"/>
                <w:szCs w:val="18"/>
              </w:rPr>
            </w:pPr>
            <w:r>
              <w:rPr>
                <w:rFonts w:ascii="Times New Roman"/>
                <w:sz w:val="18"/>
              </w:rPr>
              <w:t>109,16</w:t>
            </w:r>
          </w:p>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0,000.</w:t>
            </w:r>
          </w:p>
        </w:tc>
        <w:tc>
          <w:tcPr>
            <w:tcW w:w="521"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311,163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29,948,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247,312</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490,352</w:t>
            </w:r>
          </w:p>
        </w:tc>
        <w:tc>
          <w:tcPr>
            <w:tcW w:w="64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698,074</w:t>
            </w:r>
          </w:p>
        </w:tc>
      </w:tr>
      <w:tr>
        <w:trPr>
          <w:trHeight w:val="533" w:hRule="exact"/>
        </w:trPr>
        <w:tc>
          <w:tcPr>
            <w:tcW w:w="144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10" w:space="0" w:color="D2D2D2"/>
              <w:bottom w:val="single" w:sz="4" w:space="0" w:color="000000"/>
              <w:right w:val="single" w:sz="4" w:space="0" w:color="000000"/>
            </w:tcBorders>
          </w:tcPr>
          <w:p>
            <w:pPr/>
          </w:p>
        </w:tc>
        <w:tc>
          <w:tcPr>
            <w:tcW w:w="521"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48"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36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,183.83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36" w:right="0"/>
              <w:jc w:val="left"/>
              <w:rPr>
                <w:rFonts w:ascii="Times New Roman" w:hAnsi="Times New Roman" w:cs="Times New Roman" w:eastAsia="Times New Roman" w:hint="default"/>
                <w:sz w:val="18"/>
                <w:szCs w:val="18"/>
              </w:rPr>
            </w:pPr>
            <w:r>
              <w:rPr>
                <w:rFonts w:ascii="Times New Roman"/>
                <w:sz w:val="18"/>
              </w:rPr>
              <w:t>561.02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3" w:right="0"/>
              <w:jc w:val="left"/>
              <w:rPr>
                <w:rFonts w:ascii="Times New Roman" w:hAnsi="Times New Roman" w:cs="Times New Roman" w:eastAsia="Times New Roman" w:hint="default"/>
                <w:sz w:val="18"/>
                <w:szCs w:val="18"/>
              </w:rPr>
            </w:pPr>
            <w:r>
              <w:rPr>
                <w:rFonts w:ascii="Times New Roman"/>
                <w:sz w:val="18"/>
              </w:rPr>
              <w:t>,830.19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08" w:right="0"/>
              <w:jc w:val="left"/>
              <w:rPr>
                <w:rFonts w:ascii="Times New Roman" w:hAnsi="Times New Roman" w:cs="Times New Roman" w:eastAsia="Times New Roman" w:hint="default"/>
                <w:sz w:val="18"/>
                <w:szCs w:val="18"/>
              </w:rPr>
            </w:pPr>
            <w:r>
              <w:rPr>
                <w:rFonts w:ascii="Times New Roman"/>
                <w:sz w:val="18"/>
              </w:rPr>
              <w:t>.12</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6" w:right="0"/>
              <w:jc w:val="left"/>
              <w:rPr>
                <w:rFonts w:ascii="Times New Roman" w:hAnsi="Times New Roman" w:cs="Times New Roman" w:eastAsia="Times New Roman" w:hint="default"/>
                <w:sz w:val="18"/>
                <w:szCs w:val="18"/>
              </w:rPr>
            </w:pPr>
            <w:r>
              <w:rPr>
                <w:rFonts w:ascii="Times New Roman"/>
                <w:sz w:val="18"/>
              </w:rPr>
              <w:t>,927.16</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109,16</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311,163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,183.83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29,948,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561.02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247,312</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,830.19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490,352</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.12</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698,074</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,927.16</w:t>
            </w: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436,64</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-300,19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9,634,2</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77.32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-81,617,</w:t>
            </w:r>
          </w:p>
          <w:p>
            <w:pPr>
              <w:pStyle w:val="TableParagraph"/>
              <w:spacing w:line="240" w:lineRule="auto" w:before="105"/>
              <w:ind w:left="117" w:right="0"/>
              <w:jc w:val="center"/>
              <w:rPr>
                <w:rFonts w:ascii="Times New Roman" w:hAnsi="Times New Roman" w:cs="Times New Roman" w:eastAsia="Times New Roman" w:hint="default"/>
                <w:sz w:val="18"/>
                <w:szCs w:val="18"/>
              </w:rPr>
            </w:pPr>
            <w:r>
              <w:rPr>
                <w:rFonts w:ascii="Times New Roman"/>
                <w:sz w:val="18"/>
              </w:rPr>
              <w:t>867.70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389,890</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,192.63</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454,356</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,602.25</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113,588</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,409.62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590,192</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.63</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114,178</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,602.25</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389,300</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,000.00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389,300</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,000.00</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389,300</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,000.00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389,300</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,000.00</w:t>
            </w: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136,45</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9,634,2</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77.32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-195,20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6,277.3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-49,122,</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000.00</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9,634,2</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77.32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-9,634,2</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77.32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136,45</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-185,57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2,000.0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-49,122,</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000.00</w:t>
            </w: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pacing w:val="-8"/>
                <w:sz w:val="18"/>
                <w:szCs w:val="18"/>
              </w:rPr>
              <w:t>（四）所有者权益</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pacing w:val="-1"/>
                <w:sz w:val="18"/>
              </w:rPr>
              <w:t>300,19</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18"/>
                <w:szCs w:val="18"/>
              </w:rPr>
            </w:pPr>
            <w:r>
              <w:rPr>
                <w:rFonts w:ascii="Times New Roman"/>
                <w:spacing w:val="-1"/>
                <w:sz w:val="18"/>
              </w:rPr>
              <w:t>-300,19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67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300,19</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-300,19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545,80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10,973,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183.83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39,582,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838.34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165,694</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,962.49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390,380</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,544.75</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31,529.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41</w:t>
            </w:r>
          </w:p>
        </w:tc>
      </w:tr>
    </w:tbl>
    <w:p>
      <w:pPr>
        <w:pStyle w:val="BodyText"/>
        <w:spacing w:line="240" w:lineRule="auto" w:before="49"/>
        <w:ind w:right="1134"/>
        <w:jc w:val="left"/>
      </w:pPr>
      <w:r>
        <w:rPr/>
        <w:t>上期金额</w:t>
      </w:r>
    </w:p>
    <w:p>
      <w:pPr>
        <w:pStyle w:val="BodyText"/>
        <w:spacing w:line="240" w:lineRule="auto" w:before="117"/>
        <w:ind w:left="0" w:right="151"/>
        <w:jc w:val="right"/>
      </w:pPr>
      <w:r>
        <w:rPr/>
        <w:t>单位：元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5"/>
        <w:gridCol w:w="572"/>
        <w:gridCol w:w="530"/>
        <w:gridCol w:w="531"/>
        <w:gridCol w:w="533"/>
        <w:gridCol w:w="662"/>
        <w:gridCol w:w="665"/>
        <w:gridCol w:w="668"/>
        <w:gridCol w:w="665"/>
        <w:gridCol w:w="662"/>
        <w:gridCol w:w="665"/>
        <w:gridCol w:w="680"/>
        <w:gridCol w:w="653"/>
        <w:gridCol w:w="658"/>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4"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2" w:hRule="exact"/>
        </w:trPr>
        <w:tc>
          <w:tcPr>
            <w:tcW w:w="1415" w:type="dxa"/>
            <w:vMerge/>
            <w:tcBorders>
              <w:left w:val="single" w:sz="4" w:space="0" w:color="000000"/>
              <w:right w:val="single" w:sz="4" w:space="0" w:color="000000"/>
            </w:tcBorders>
            <w:shd w:val="clear" w:color="auto" w:fill="D2D2D2"/>
          </w:tcPr>
          <w:p>
            <w:pPr/>
          </w:p>
        </w:tc>
        <w:tc>
          <w:tcPr>
            <w:tcW w:w="6833"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0"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33" w:type="dxa"/>
            <w:gridSpan w:val="11"/>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5"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8"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0" w:type="dxa"/>
            <w:tcBorders>
              <w:top w:val="single" w:sz="4" w:space="0" w:color="000000"/>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5"/>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tcBorders>
              <w:left w:val="single" w:sz="4" w:space="0" w:color="000000"/>
              <w:right w:val="single" w:sz="4" w:space="0" w:color="000000"/>
            </w:tcBorders>
            <w:shd w:val="clear" w:color="auto" w:fill="D2D2D2"/>
          </w:tcPr>
          <w:p>
            <w:pPr/>
          </w:p>
        </w:tc>
      </w:tr>
      <w:tr>
        <w:trPr>
          <w:trHeight w:val="174"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9"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53" w:right="63"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10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71" w:right="77"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80"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69" w:hRule="exact"/>
        </w:trPr>
        <w:tc>
          <w:tcPr>
            <w:tcW w:w="1415" w:type="dxa"/>
            <w:vMerge/>
            <w:tcBorders>
              <w:left w:val="single" w:sz="4" w:space="0" w:color="000000"/>
              <w:right w:val="single" w:sz="4" w:space="0" w:color="000000"/>
            </w:tcBorders>
            <w:shd w:val="clear" w:color="auto" w:fill="D2D2D2"/>
          </w:tcPr>
          <w:p>
            <w:pPr/>
          </w:p>
        </w:tc>
        <w:tc>
          <w:tcPr>
            <w:tcW w:w="57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80" w:type="dxa"/>
            <w:vMerge/>
            <w:tcBorders>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3"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8"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80"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
        </w:tc>
        <w:tc>
          <w:tcPr>
            <w:tcW w:w="658" w:type="dxa"/>
            <w:vMerge/>
            <w:tcBorders>
              <w:left w:val="single" w:sz="4" w:space="0" w:color="000000"/>
              <w:bottom w:val="nil" w:sz="6" w:space="0" w:color="auto"/>
              <w:right w:val="single" w:sz="4" w:space="0" w:color="000000"/>
            </w:tcBorders>
            <w:shd w:val="clear" w:color="auto" w:fill="D2D2D2"/>
          </w:tcPr>
          <w:p>
            <w:pPr/>
          </w:p>
        </w:tc>
      </w:tr>
      <w:tr>
        <w:trPr>
          <w:trHeight w:val="227"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8"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0" w:type="dxa"/>
            <w:tcBorders>
              <w:top w:val="nil" w:sz="6" w:space="0" w:color="auto"/>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5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9"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9" w:space="0" w:color="D2D2D2"/>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45,800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63,714,</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913.83</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20,203,</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181.53</w:t>
            </w: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178,247</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,845.01</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488,732</w:t>
            </w:r>
          </w:p>
          <w:p>
            <w:pPr>
              <w:pStyle w:val="TableParagraph"/>
              <w:spacing w:line="240" w:lineRule="auto" w:before="102"/>
              <w:ind w:left="393" w:right="0"/>
              <w:jc w:val="left"/>
              <w:rPr>
                <w:rFonts w:ascii="Times New Roman" w:hAnsi="Times New Roman" w:cs="Times New Roman" w:eastAsia="Times New Roman" w:hint="default"/>
                <w:sz w:val="18"/>
                <w:szCs w:val="18"/>
              </w:rPr>
            </w:pPr>
            <w:r>
              <w:rPr>
                <w:rFonts w:ascii="Times New Roman"/>
                <w:sz w:val="18"/>
              </w:rPr>
              <w:t>.71</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308,454</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,673.08</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1"/>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9" w:space="0" w:color="D2D2D2"/>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45,800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63,714,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913.83</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20,203,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181.53</w:t>
            </w: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178,247</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,845.01</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488,732</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.71</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308,454</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,673.08</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1"/>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40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11"/>
              <w:jc w:val="right"/>
              <w:rPr>
                <w:rFonts w:ascii="宋体" w:hAnsi="宋体" w:cs="宋体" w:eastAsia="宋体" w:hint="default"/>
                <w:sz w:val="18"/>
                <w:szCs w:val="18"/>
              </w:rPr>
            </w:pPr>
            <w:r>
              <w:rPr>
                <w:rFonts w:ascii="宋体" w:hAnsi="宋体" w:cs="宋体" w:eastAsia="宋体" w:hint="default"/>
                <w:spacing w:val="-8"/>
                <w:sz w:val="18"/>
                <w:szCs w:val="18"/>
              </w:rPr>
              <w:t>三、本期增减变动</w:t>
            </w:r>
          </w:p>
        </w:tc>
        <w:tc>
          <w:tcPr>
            <w:tcW w:w="57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2"/>
              <w:ind w:left="35" w:right="0"/>
              <w:jc w:val="left"/>
              <w:rPr>
                <w:rFonts w:ascii="Times New Roman" w:hAnsi="Times New Roman" w:cs="Times New Roman" w:eastAsia="Times New Roman" w:hint="default"/>
                <w:sz w:val="18"/>
                <w:szCs w:val="18"/>
              </w:rPr>
            </w:pPr>
            <w:r>
              <w:rPr>
                <w:rFonts w:ascii="Times New Roman"/>
                <w:sz w:val="18"/>
              </w:rPr>
              <w:t>63,360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5" w:right="0"/>
              <w:jc w:val="left"/>
              <w:rPr>
                <w:rFonts w:ascii="Times New Roman" w:hAnsi="Times New Roman" w:cs="Times New Roman" w:eastAsia="Times New Roman" w:hint="default"/>
                <w:sz w:val="18"/>
                <w:szCs w:val="18"/>
              </w:rPr>
            </w:pPr>
            <w:r>
              <w:rPr>
                <w:rFonts w:ascii="Times New Roman"/>
                <w:sz w:val="18"/>
              </w:rPr>
              <w:t>247,448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91" w:right="0"/>
              <w:jc w:val="left"/>
              <w:rPr>
                <w:rFonts w:ascii="Times New Roman" w:hAnsi="Times New Roman" w:cs="Times New Roman" w:eastAsia="Times New Roman" w:hint="default"/>
                <w:sz w:val="18"/>
                <w:szCs w:val="18"/>
              </w:rPr>
            </w:pPr>
            <w:r>
              <w:rPr>
                <w:rFonts w:ascii="Times New Roman"/>
                <w:sz w:val="18"/>
              </w:rPr>
              <w:t>9,745,3</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5" w:right="0"/>
              <w:jc w:val="left"/>
              <w:rPr>
                <w:rFonts w:ascii="Times New Roman" w:hAnsi="Times New Roman" w:cs="Times New Roman" w:eastAsia="Times New Roman" w:hint="default"/>
                <w:sz w:val="18"/>
                <w:szCs w:val="18"/>
              </w:rPr>
            </w:pPr>
            <w:r>
              <w:rPr>
                <w:rFonts w:ascii="Times New Roman"/>
                <w:sz w:val="18"/>
              </w:rPr>
              <w:t>69,064,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9" w:right="0"/>
              <w:jc w:val="left"/>
              <w:rPr>
                <w:rFonts w:ascii="Times New Roman" w:hAnsi="Times New Roman" w:cs="Times New Roman" w:eastAsia="Times New Roman" w:hint="default"/>
                <w:sz w:val="18"/>
                <w:szCs w:val="18"/>
              </w:rPr>
            </w:pPr>
            <w:r>
              <w:rPr>
                <w:rFonts w:ascii="Times New Roman"/>
                <w:sz w:val="18"/>
              </w:rPr>
              <w:t>1,619.4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0" w:right="0"/>
              <w:jc w:val="left"/>
              <w:rPr>
                <w:rFonts w:ascii="Times New Roman" w:hAnsi="Times New Roman" w:cs="Times New Roman" w:eastAsia="Times New Roman" w:hint="default"/>
                <w:sz w:val="18"/>
                <w:szCs w:val="18"/>
              </w:rPr>
            </w:pPr>
            <w:r>
              <w:rPr>
                <w:rFonts w:ascii="Times New Roman"/>
                <w:sz w:val="18"/>
              </w:rPr>
              <w:t>389,620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67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22" w:right="21"/>
              <w:jc w:val="left"/>
              <w:rPr>
                <w:rFonts w:ascii="宋体" w:hAnsi="宋体" w:cs="宋体" w:eastAsia="宋体" w:hint="default"/>
                <w:sz w:val="18"/>
                <w:szCs w:val="18"/>
              </w:rPr>
            </w:pP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1" w:right="0"/>
              <w:jc w:val="left"/>
              <w:rPr>
                <w:rFonts w:ascii="Times New Roman" w:hAnsi="Times New Roman" w:cs="Times New Roman" w:eastAsia="Times New Roman" w:hint="default"/>
                <w:sz w:val="18"/>
                <w:szCs w:val="18"/>
              </w:rPr>
            </w:pPr>
            <w:r>
              <w:rPr>
                <w:rFonts w:ascii="Times New Roman"/>
                <w:sz w:val="18"/>
              </w:rPr>
              <w:t>,270.00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5" w:right="0"/>
              <w:jc w:val="left"/>
              <w:rPr>
                <w:rFonts w:ascii="Times New Roman" w:hAnsi="Times New Roman" w:cs="Times New Roman" w:eastAsia="Times New Roman" w:hint="default"/>
                <w:sz w:val="18"/>
                <w:szCs w:val="18"/>
              </w:rPr>
            </w:pPr>
            <w:r>
              <w:rPr>
                <w:rFonts w:ascii="Times New Roman"/>
                <w:sz w:val="18"/>
              </w:rPr>
              <w:t>79.49</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51" w:right="0"/>
              <w:jc w:val="left"/>
              <w:rPr>
                <w:rFonts w:ascii="Times New Roman" w:hAnsi="Times New Roman" w:cs="Times New Roman" w:eastAsia="Times New Roman" w:hint="default"/>
                <w:sz w:val="18"/>
                <w:szCs w:val="18"/>
              </w:rPr>
            </w:pPr>
            <w:r>
              <w:rPr>
                <w:rFonts w:ascii="Times New Roman"/>
                <w:sz w:val="18"/>
              </w:rPr>
              <w:t>985.18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6" w:right="0"/>
              <w:jc w:val="left"/>
              <w:rPr>
                <w:rFonts w:ascii="Times New Roman" w:hAnsi="Times New Roman" w:cs="Times New Roman" w:eastAsia="Times New Roman" w:hint="default"/>
                <w:sz w:val="18"/>
                <w:szCs w:val="18"/>
              </w:rPr>
            </w:pPr>
            <w:r>
              <w:rPr>
                <w:rFonts w:ascii="Times New Roman"/>
                <w:sz w:val="18"/>
              </w:rPr>
              <w:t>,254.08</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95,184,</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364.67</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1,619.4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95,185,</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984.08</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8,780,</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000.00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302,028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,270.00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310,808</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,270.00</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8,780,</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000.00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302,028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,270.00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310,808</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,270.00</w:t>
            </w: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9,745,3</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79.49</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-26,119,</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379.49</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-16,374,</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000.00</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9,745,3</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79.49</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-9,745,3</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79.49</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-16,374,</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000.00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-16,374,</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000.00</w:t>
            </w: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54,580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-54,580,</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54,580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-54,580,</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102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109,16</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311,163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,183.83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29,948,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561.02</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247,312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,830.19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490,352</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.12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698,074</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,927.16</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4"/>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4"/>
        <w:jc w:val="left"/>
      </w:pPr>
      <w:r>
        <w:rPr/>
        <w:t>本期金额</w:t>
      </w:r>
    </w:p>
    <w:p>
      <w:pPr>
        <w:pStyle w:val="BodyText"/>
        <w:spacing w:line="240" w:lineRule="auto" w:before="117"/>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8"/>
        <w:gridCol w:w="691"/>
        <w:gridCol w:w="665"/>
        <w:gridCol w:w="667"/>
        <w:gridCol w:w="665"/>
        <w:gridCol w:w="797"/>
        <w:gridCol w:w="797"/>
        <w:gridCol w:w="797"/>
        <w:gridCol w:w="799"/>
        <w:gridCol w:w="797"/>
        <w:gridCol w:w="677"/>
        <w:gridCol w:w="780"/>
      </w:tblGrid>
      <w:tr>
        <w:trPr>
          <w:trHeight w:val="396"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9"/>
              <w:ind w:left="305"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9"/>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5" w:hRule="exact"/>
        </w:trPr>
        <w:tc>
          <w:tcPr>
            <w:tcW w:w="1428"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97" w:hRule="exact"/>
        </w:trPr>
        <w:tc>
          <w:tcPr>
            <w:tcW w:w="1428"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6" w:hRule="exact"/>
        </w:trPr>
        <w:tc>
          <w:tcPr>
            <w:tcW w:w="1428"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109,160,</w:t>
            </w:r>
          </w:p>
          <w:p>
            <w:pPr>
              <w:pStyle w:val="TableParagraph"/>
              <w:spacing w:line="240" w:lineRule="auto" w:before="105"/>
              <w:ind w:left="14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310,165,8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62.23</w:t>
            </w:r>
          </w:p>
        </w:tc>
        <w:tc>
          <w:tcPr>
            <w:tcW w:w="797" w:type="dxa"/>
            <w:vMerge w:val="restart"/>
            <w:tcBorders>
              <w:top w:val="single" w:sz="18" w:space="0" w:color="D2D2D2"/>
              <w:left w:val="single" w:sz="4" w:space="0" w:color="000000"/>
              <w:right w:val="single" w:sz="4" w:space="0" w:color="000000"/>
            </w:tcBorders>
          </w:tcPr>
          <w:p>
            <w:pPr/>
          </w:p>
        </w:tc>
        <w:tc>
          <w:tcPr>
            <w:tcW w:w="797" w:type="dxa"/>
            <w:vMerge w:val="restart"/>
            <w:tcBorders>
              <w:top w:val="single" w:sz="18" w:space="0" w:color="D2D2D2"/>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29,948,56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1.02</w:t>
            </w:r>
          </w:p>
        </w:tc>
        <w:tc>
          <w:tcPr>
            <w:tcW w:w="677" w:type="dxa"/>
            <w:vMerge w:val="restart"/>
            <w:tcBorders>
              <w:top w:val="single" w:sz="18" w:space="0" w:color="D2D2D2"/>
              <w:left w:val="single" w:sz="4" w:space="0" w:color="000000"/>
              <w:right w:val="single" w:sz="4" w:space="0" w:color="000000"/>
            </w:tcBorders>
          </w:tcPr>
          <w:p>
            <w:pPr>
              <w:pStyle w:val="TableParagraph"/>
              <w:spacing w:line="240" w:lineRule="auto" w:before="73"/>
              <w:ind w:left="57" w:right="0"/>
              <w:jc w:val="left"/>
              <w:rPr>
                <w:rFonts w:ascii="Times New Roman" w:hAnsi="Times New Roman" w:cs="Times New Roman" w:eastAsia="Times New Roman" w:hint="default"/>
                <w:sz w:val="18"/>
                <w:szCs w:val="18"/>
              </w:rPr>
            </w:pPr>
            <w:r>
              <w:rPr>
                <w:rFonts w:ascii="Times New Roman"/>
                <w:sz w:val="18"/>
              </w:rPr>
              <w:t>235,369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,931.22</w:t>
            </w:r>
          </w:p>
        </w:tc>
        <w:tc>
          <w:tcPr>
            <w:tcW w:w="780" w:type="dxa"/>
            <w:vMerge w:val="restart"/>
            <w:tcBorders>
              <w:top w:val="single" w:sz="18" w:space="0" w:color="D2D2D2"/>
              <w:left w:val="single" w:sz="4" w:space="0" w:color="000000"/>
              <w:right w:val="single" w:sz="4" w:space="0" w:color="000000"/>
            </w:tcBorders>
          </w:tcPr>
          <w:p>
            <w:pPr>
              <w:pStyle w:val="TableParagraph"/>
              <w:spacing w:line="240" w:lineRule="auto" w:before="73"/>
              <w:ind w:left="28" w:right="0"/>
              <w:jc w:val="left"/>
              <w:rPr>
                <w:rFonts w:ascii="Times New Roman" w:hAnsi="Times New Roman" w:cs="Times New Roman" w:eastAsia="Times New Roman" w:hint="default"/>
                <w:sz w:val="18"/>
                <w:szCs w:val="18"/>
              </w:rPr>
            </w:pPr>
            <w:r>
              <w:rPr>
                <w:rFonts w:ascii="Times New Roman"/>
                <w:sz w:val="18"/>
              </w:rPr>
              <w:t>684,644,3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54.47</w:t>
            </w:r>
          </w:p>
        </w:tc>
      </w:tr>
      <w:tr>
        <w:trPr>
          <w:trHeight w:val="394"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109,160,</w:t>
            </w:r>
          </w:p>
          <w:p>
            <w:pPr>
              <w:pStyle w:val="TableParagraph"/>
              <w:spacing w:line="240" w:lineRule="auto" w:before="105"/>
              <w:ind w:left="14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310,165,8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62.23</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29,948,56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1.02</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235,369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,931.22</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684,644,3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54.47</w:t>
            </w:r>
          </w:p>
        </w:tc>
      </w:tr>
      <w:tr>
        <w:trPr>
          <w:trHeight w:val="394"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1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436,640,</w:t>
            </w:r>
          </w:p>
          <w:p>
            <w:pPr>
              <w:pStyle w:val="TableParagraph"/>
              <w:spacing w:line="240" w:lineRule="auto" w:before="102"/>
              <w:ind w:left="142"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-300,190,</w:t>
            </w:r>
          </w:p>
          <w:p>
            <w:pPr>
              <w:pStyle w:val="TableParagraph"/>
              <w:spacing w:line="240" w:lineRule="auto" w:before="102"/>
              <w:ind w:left="250" w:right="0"/>
              <w:jc w:val="center"/>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9,634,277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-98,863,</w:t>
            </w:r>
          </w:p>
          <w:p>
            <w:pPr>
              <w:pStyle w:val="TableParagraph"/>
              <w:spacing w:line="240" w:lineRule="auto" w:before="102"/>
              <w:ind w:left="125" w:right="0"/>
              <w:jc w:val="center"/>
              <w:rPr>
                <w:rFonts w:ascii="Times New Roman" w:hAnsi="Times New Roman" w:cs="Times New Roman" w:eastAsia="Times New Roman" w:hint="default"/>
                <w:sz w:val="18"/>
                <w:szCs w:val="18"/>
              </w:rPr>
            </w:pPr>
            <w:r>
              <w:rPr>
                <w:rFonts w:ascii="Times New Roman"/>
                <w:sz w:val="18"/>
              </w:rPr>
              <w:t>504.10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47,220,77</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3.22</w:t>
            </w: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96,342,</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773.22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96,342,77</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3.22</w:t>
            </w: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2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136,450,</w:t>
            </w:r>
          </w:p>
          <w:p>
            <w:pPr>
              <w:pStyle w:val="TableParagraph"/>
              <w:spacing w:line="240" w:lineRule="auto" w:before="105"/>
              <w:ind w:left="14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9,634,277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.32</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-195,20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6,277.3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-49,122,0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7"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5" w:right="0"/>
              <w:jc w:val="left"/>
              <w:rPr>
                <w:rFonts w:ascii="Times New Roman" w:hAnsi="Times New Roman" w:cs="Times New Roman" w:eastAsia="Times New Roman" w:hint="default"/>
                <w:sz w:val="18"/>
                <w:szCs w:val="18"/>
              </w:rPr>
            </w:pPr>
            <w:r>
              <w:rPr>
                <w:rFonts w:ascii="Times New Roman"/>
                <w:sz w:val="18"/>
              </w:rPr>
              <w:t>9,634,277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3" w:right="0"/>
              <w:jc w:val="left"/>
              <w:rPr>
                <w:rFonts w:ascii="Times New Roman" w:hAnsi="Times New Roman" w:cs="Times New Roman" w:eastAsia="Times New Roman" w:hint="default"/>
                <w:sz w:val="18"/>
                <w:szCs w:val="18"/>
              </w:rPr>
            </w:pPr>
            <w:r>
              <w:rPr>
                <w:rFonts w:ascii="Times New Roman"/>
                <w:sz w:val="18"/>
              </w:rPr>
              <w:t>-9,634,2</w:t>
            </w: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36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.32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7" w:right="0"/>
              <w:jc w:val="left"/>
              <w:rPr>
                <w:rFonts w:ascii="Times New Roman" w:hAnsi="Times New Roman" w:cs="Times New Roman" w:eastAsia="Times New Roman" w:hint="default"/>
                <w:sz w:val="18"/>
                <w:szCs w:val="18"/>
              </w:rPr>
            </w:pPr>
            <w:r>
              <w:rPr>
                <w:rFonts w:ascii="Times New Roman"/>
                <w:sz w:val="18"/>
              </w:rPr>
              <w:t>77.32</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136,450,</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-185,57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2,000.0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-49,122,0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300,190,</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-300,190,</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300,190,</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-300,190,</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545,800,</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9,975,862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39,582,83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8.34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136,506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,427.12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731,865,1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27.69</w:t>
            </w:r>
          </w:p>
        </w:tc>
      </w:tr>
    </w:tbl>
    <w:p>
      <w:pPr>
        <w:pStyle w:val="BodyText"/>
        <w:spacing w:line="240" w:lineRule="auto" w:before="49"/>
        <w:ind w:right="1134"/>
        <w:jc w:val="left"/>
      </w:pPr>
      <w:r>
        <w:rPr/>
        <w:t>上期金额</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8"/>
        <w:gridCol w:w="691"/>
        <w:gridCol w:w="665"/>
        <w:gridCol w:w="667"/>
        <w:gridCol w:w="665"/>
        <w:gridCol w:w="797"/>
        <w:gridCol w:w="797"/>
        <w:gridCol w:w="797"/>
        <w:gridCol w:w="799"/>
        <w:gridCol w:w="797"/>
        <w:gridCol w:w="677"/>
        <w:gridCol w:w="780"/>
      </w:tblGrid>
      <w:tr>
        <w:trPr>
          <w:trHeight w:val="396"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305"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28"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2" w:hRule="exact"/>
        </w:trPr>
        <w:tc>
          <w:tcPr>
            <w:tcW w:w="1428"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4" w:hRule="exact"/>
        </w:trPr>
        <w:tc>
          <w:tcPr>
            <w:tcW w:w="1428"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3"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45,800,0</w:t>
            </w:r>
          </w:p>
          <w:p>
            <w:pPr>
              <w:pStyle w:val="TableParagraph"/>
              <w:spacing w:line="240" w:lineRule="auto" w:before="102"/>
              <w:ind w:left="249"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62,717,59</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2.23</w:t>
            </w:r>
          </w:p>
        </w:tc>
        <w:tc>
          <w:tcPr>
            <w:tcW w:w="797" w:type="dxa"/>
            <w:vMerge w:val="restart"/>
            <w:tcBorders>
              <w:top w:val="single" w:sz="21" w:space="0" w:color="D2D2D2"/>
              <w:left w:val="single" w:sz="4" w:space="0" w:color="000000"/>
              <w:right w:val="single" w:sz="4" w:space="0" w:color="000000"/>
            </w:tcBorders>
          </w:tcPr>
          <w:p>
            <w:pPr/>
          </w:p>
        </w:tc>
        <w:tc>
          <w:tcPr>
            <w:tcW w:w="797" w:type="dxa"/>
            <w:vMerge w:val="restart"/>
            <w:tcBorders>
              <w:top w:val="single" w:sz="21" w:space="0" w:color="D2D2D2"/>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20,203,18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1.53</w:t>
            </w:r>
          </w:p>
        </w:tc>
        <w:tc>
          <w:tcPr>
            <w:tcW w:w="677" w:type="dxa"/>
            <w:vMerge w:val="restart"/>
            <w:tcBorders>
              <w:top w:val="single" w:sz="21" w:space="0" w:color="D2D2D2"/>
              <w:left w:val="single" w:sz="4" w:space="0" w:color="000000"/>
              <w:right w:val="single" w:sz="4" w:space="0" w:color="000000"/>
            </w:tcBorders>
          </w:tcPr>
          <w:p>
            <w:pPr>
              <w:pStyle w:val="TableParagraph"/>
              <w:spacing w:line="240" w:lineRule="auto" w:before="72"/>
              <w:ind w:left="57" w:right="0"/>
              <w:jc w:val="left"/>
              <w:rPr>
                <w:rFonts w:ascii="Times New Roman" w:hAnsi="Times New Roman" w:cs="Times New Roman" w:eastAsia="Times New Roman" w:hint="default"/>
                <w:sz w:val="18"/>
                <w:szCs w:val="18"/>
              </w:rPr>
            </w:pPr>
            <w:r>
              <w:rPr>
                <w:rFonts w:ascii="Times New Roman"/>
                <w:sz w:val="18"/>
              </w:rPr>
              <w:t>164,035</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,515.86</w:t>
            </w:r>
          </w:p>
        </w:tc>
        <w:tc>
          <w:tcPr>
            <w:tcW w:w="780" w:type="dxa"/>
            <w:vMerge w:val="restart"/>
            <w:tcBorders>
              <w:top w:val="single" w:sz="21" w:space="0" w:color="D2D2D2"/>
              <w:left w:val="single" w:sz="4" w:space="0" w:color="000000"/>
              <w:right w:val="single" w:sz="4" w:space="0" w:color="000000"/>
            </w:tcBorders>
          </w:tcPr>
          <w:p>
            <w:pPr>
              <w:pStyle w:val="TableParagraph"/>
              <w:spacing w:line="240" w:lineRule="auto" w:before="72"/>
              <w:ind w:left="28" w:right="0"/>
              <w:jc w:val="left"/>
              <w:rPr>
                <w:rFonts w:ascii="Times New Roman" w:hAnsi="Times New Roman" w:cs="Times New Roman" w:eastAsia="Times New Roman" w:hint="default"/>
                <w:sz w:val="18"/>
                <w:szCs w:val="18"/>
              </w:rPr>
            </w:pPr>
            <w:r>
              <w:rPr>
                <w:rFonts w:ascii="Times New Roman"/>
                <w:sz w:val="18"/>
              </w:rPr>
              <w:t>292,756,2</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89.62</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45,800,0</w:t>
            </w:r>
          </w:p>
          <w:p>
            <w:pPr>
              <w:pStyle w:val="TableParagraph"/>
              <w:spacing w:line="240" w:lineRule="auto" w:before="102"/>
              <w:ind w:left="249"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62,717,59</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2.23</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20,203,18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1.53</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164,035</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,515.86</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292,756,2</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89.62</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8"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63,360,0</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247,448,2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9,745,379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71,334,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415.36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391,888,0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64.85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97,453,</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794.85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97,453,79</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4.85</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8,780,00</w:t>
            </w:r>
          </w:p>
          <w:p>
            <w:pPr>
              <w:pStyle w:val="TableParagraph"/>
              <w:spacing w:line="240" w:lineRule="auto" w:before="102"/>
              <w:ind w:left="347"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302,028,2</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70.00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310,808,2</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70.00</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8,780,00</w:t>
            </w:r>
          </w:p>
          <w:p>
            <w:pPr>
              <w:pStyle w:val="TableParagraph"/>
              <w:spacing w:line="240" w:lineRule="auto" w:before="105"/>
              <w:ind w:left="347"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302,028,2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310,808,2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70.00</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9,745,379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-26,119,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379.49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-16,374,0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9,745,379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 w:right="0"/>
              <w:jc w:val="center"/>
              <w:rPr>
                <w:rFonts w:ascii="Times New Roman" w:hAnsi="Times New Roman" w:cs="Times New Roman" w:eastAsia="Times New Roman" w:hint="default"/>
                <w:sz w:val="18"/>
                <w:szCs w:val="18"/>
              </w:rPr>
            </w:pPr>
            <w:r>
              <w:rPr>
                <w:rFonts w:ascii="Times New Roman"/>
                <w:sz w:val="18"/>
              </w:rPr>
              <w:t>-9,745,3</w:t>
            </w:r>
          </w:p>
          <w:p>
            <w:pPr>
              <w:pStyle w:val="TableParagraph"/>
              <w:spacing w:line="240" w:lineRule="auto" w:before="102"/>
              <w:ind w:left="214" w:right="0"/>
              <w:jc w:val="center"/>
              <w:rPr>
                <w:rFonts w:ascii="Times New Roman" w:hAnsi="Times New Roman" w:cs="Times New Roman" w:eastAsia="Times New Roman" w:hint="default"/>
                <w:sz w:val="18"/>
                <w:szCs w:val="18"/>
              </w:rPr>
            </w:pPr>
            <w:r>
              <w:rPr>
                <w:rFonts w:ascii="Times New Roman"/>
                <w:sz w:val="18"/>
              </w:rPr>
              <w:t>79.49</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-16,374,</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-16,374,0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54,580,0</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-54,580,0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54,580,0</w:t>
            </w:r>
          </w:p>
          <w:p>
            <w:pPr>
              <w:pStyle w:val="TableParagraph"/>
              <w:spacing w:line="240" w:lineRule="auto" w:before="102"/>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-54,580,0</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109,160,</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310,165,8</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62.23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29,948,56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1.02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235,369</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,931.22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684,644,3</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54.47</w:t>
            </w:r>
          </w:p>
        </w:tc>
      </w:tr>
    </w:tbl>
    <w:p>
      <w:pPr>
        <w:spacing w:line="240" w:lineRule="auto" w:before="1"/>
        <w:rPr>
          <w:rFonts w:ascii="宋体" w:hAnsi="宋体" w:cs="宋体" w:eastAsia="宋体" w:hint="default"/>
          <w:sz w:val="18"/>
          <w:szCs w:val="18"/>
        </w:rPr>
      </w:pPr>
    </w:p>
    <w:p>
      <w:pPr>
        <w:pStyle w:val="Heading2"/>
        <w:spacing w:line="240" w:lineRule="auto" w:before="26"/>
        <w:ind w:right="1134"/>
        <w:jc w:val="left"/>
        <w:rPr>
          <w:b w:val="0"/>
          <w:bCs w:val="0"/>
        </w:rPr>
      </w:pPr>
      <w:r>
        <w:rPr/>
        <w:t>三、公司基本情况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1134"/>
        <w:jc w:val="left"/>
      </w:pPr>
      <w:r>
        <w:rPr>
          <w:rFonts w:ascii="宋体" w:hAnsi="宋体" w:cs="宋体" w:eastAsia="宋体" w:hint="default"/>
        </w:rPr>
        <w:t>1</w:t>
      </w:r>
      <w:r>
        <w:rPr/>
        <w:t>、公司注册登记情况：</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477" w:lineRule="auto" w:before="44"/>
        <w:ind w:left="513" w:right="3873"/>
        <w:jc w:val="left"/>
      </w:pPr>
      <w:r>
        <w:rPr/>
        <w:t>名称：北京光环新网科技股份有限公司（以下简称“公司或本公司”） 住所：北京市门头沟区石龙经济开发区永安路</w:t>
      </w:r>
      <w:r>
        <w:rPr>
          <w:rFonts w:ascii="宋体" w:hAnsi="宋体" w:cs="宋体" w:eastAsia="宋体" w:hint="default"/>
        </w:rPr>
        <w:t>20</w:t>
      </w:r>
      <w:r>
        <w:rPr/>
        <w:t>号</w:t>
      </w:r>
      <w:r>
        <w:rPr>
          <w:rFonts w:ascii="宋体" w:hAnsi="宋体" w:cs="宋体" w:eastAsia="宋体" w:hint="default"/>
        </w:rPr>
        <w:t>3</w:t>
      </w:r>
      <w:r>
        <w:rPr/>
        <w:t>号楼二层</w:t>
      </w:r>
      <w:r>
        <w:rPr>
          <w:rFonts w:ascii="宋体" w:hAnsi="宋体" w:cs="宋体" w:eastAsia="宋体" w:hint="default"/>
        </w:rPr>
        <w:t>202</w:t>
      </w:r>
      <w:r>
        <w:rPr/>
        <w:t>室。</w:t>
      </w:r>
      <w:r>
        <w:rPr>
          <w:spacing w:val="-87"/>
        </w:rPr>
        <w:t> </w:t>
      </w:r>
      <w:r>
        <w:rPr/>
        <w:t>法定代表人姓名：耿殿根</w:t>
      </w:r>
    </w:p>
    <w:p>
      <w:pPr>
        <w:pStyle w:val="BodyText"/>
        <w:spacing w:line="240" w:lineRule="auto" w:before="54"/>
        <w:ind w:left="513" w:right="106"/>
        <w:jc w:val="left"/>
      </w:pPr>
      <w:r>
        <w:rPr/>
        <w:t>注册资本：</w:t>
      </w:r>
      <w:r>
        <w:rPr>
          <w:rFonts w:ascii="宋体" w:hAnsi="宋体" w:cs="宋体" w:eastAsia="宋体" w:hint="default"/>
        </w:rPr>
        <w:t>54580</w:t>
      </w:r>
      <w:r>
        <w:rPr/>
        <w:t>万元</w:t>
      </w:r>
    </w:p>
    <w:p>
      <w:pPr>
        <w:spacing w:line="240" w:lineRule="auto" w:before="10"/>
        <w:rPr>
          <w:rFonts w:ascii="宋体" w:hAnsi="宋体" w:cs="宋体" w:eastAsia="宋体" w:hint="default"/>
          <w:sz w:val="17"/>
          <w:szCs w:val="17"/>
        </w:rPr>
      </w:pPr>
    </w:p>
    <w:p>
      <w:pPr>
        <w:pStyle w:val="BodyText"/>
        <w:spacing w:line="316" w:lineRule="auto"/>
        <w:ind w:right="195" w:firstLine="360"/>
        <w:jc w:val="both"/>
      </w:pPr>
      <w:r>
        <w:rPr>
          <w:spacing w:val="-2"/>
        </w:rPr>
        <w:t>经营范围：因特网接入服务业务；因特网数据中心业务；因特网信息服务业务。专业承包；信息系统集成；三维多媒体</w:t>
      </w:r>
      <w:r>
        <w:rPr/>
        <w:t> </w:t>
      </w:r>
      <w:r>
        <w:rPr>
          <w:spacing w:val="-2"/>
        </w:rPr>
        <w:t>集成；承接网络工程、智能大厦弱电系统集成；研发数字网络应用软件；从事计算机信息网络国际联网经营业务；销售通讯</w:t>
      </w:r>
      <w:r>
        <w:rPr>
          <w:spacing w:val="-67"/>
        </w:rPr>
        <w:t> </w:t>
      </w:r>
      <w:r>
        <w:rPr>
          <w:spacing w:val="-67"/>
        </w:rPr>
      </w:r>
      <w:r>
        <w:rPr/>
        <w:t>设备、计算机、软件及辅助设备。</w:t>
      </w:r>
    </w:p>
    <w:p>
      <w:pPr>
        <w:pStyle w:val="BodyText"/>
        <w:spacing w:line="468" w:lineRule="exact" w:before="10"/>
        <w:ind w:left="513" w:right="183"/>
        <w:jc w:val="left"/>
      </w:pPr>
      <w:r>
        <w:rPr>
          <w:rFonts w:ascii="宋体" w:hAnsi="宋体" w:cs="宋体" w:eastAsia="宋体" w:hint="default"/>
        </w:rPr>
        <w:t>2</w:t>
      </w:r>
      <w:r>
        <w:rPr/>
        <w:t>、行业性质 本公司经营业务属于中国证监会行业分类</w:t>
      </w:r>
      <w:r>
        <w:rPr>
          <w:rFonts w:ascii="宋体" w:hAnsi="宋体" w:cs="宋体" w:eastAsia="宋体" w:hint="default"/>
        </w:rPr>
        <w:t>I</w:t>
      </w:r>
      <w:r>
        <w:rPr/>
        <w:t>类信息传输、软件和信息技术服务业之</w:t>
      </w:r>
      <w:r>
        <w:rPr>
          <w:rFonts w:ascii="宋体" w:hAnsi="宋体" w:cs="宋体" w:eastAsia="宋体" w:hint="default"/>
        </w:rPr>
        <w:t>I64</w:t>
      </w:r>
      <w:r>
        <w:rPr/>
        <w:t>互联网和相关服务及</w:t>
      </w:r>
      <w:r>
        <w:rPr>
          <w:rFonts w:ascii="宋体" w:hAnsi="宋体" w:cs="宋体" w:eastAsia="宋体" w:hint="default"/>
        </w:rPr>
        <w:t>I65</w:t>
      </w:r>
      <w:r>
        <w:rPr/>
        <w:t>软件和信</w:t>
      </w:r>
    </w:p>
    <w:p>
      <w:pPr>
        <w:pStyle w:val="BodyText"/>
        <w:spacing w:line="477" w:lineRule="auto" w:before="8"/>
        <w:ind w:left="513" w:right="4413" w:hanging="361"/>
        <w:jc w:val="left"/>
      </w:pPr>
      <w:r>
        <w:rPr/>
        <w:t>息技术服务业。 </w:t>
      </w:r>
      <w:r>
        <w:rPr>
          <w:rFonts w:ascii="宋体" w:hAnsi="宋体" w:cs="宋体" w:eastAsia="宋体" w:hint="default"/>
        </w:rPr>
        <w:t>3</w:t>
      </w:r>
      <w:r>
        <w:rPr/>
        <w:t>、本公司财务报表于</w:t>
      </w:r>
      <w:r>
        <w:rPr>
          <w:rFonts w:ascii="宋体" w:hAnsi="宋体" w:cs="宋体" w:eastAsia="宋体" w:hint="default"/>
        </w:rPr>
        <w:t>2016</w:t>
      </w:r>
      <w:r>
        <w:rPr/>
        <w:t>年</w:t>
      </w:r>
      <w:r>
        <w:rPr>
          <w:rFonts w:ascii="宋体" w:hAnsi="宋体" w:cs="宋体" w:eastAsia="宋体" w:hint="default"/>
        </w:rPr>
        <w:t>3</w:t>
      </w:r>
      <w:r>
        <w:rPr/>
        <w:t>月</w:t>
      </w:r>
      <w:r>
        <w:rPr>
          <w:rFonts w:ascii="宋体" w:hAnsi="宋体" w:cs="宋体" w:eastAsia="宋体" w:hint="default"/>
        </w:rPr>
        <w:t>14</w:t>
      </w:r>
      <w:r>
        <w:rPr/>
        <w:t>日已经公司董事会批准报出。</w:t>
      </w:r>
    </w:p>
    <w:p>
      <w:pPr>
        <w:spacing w:line="240" w:lineRule="auto" w:before="1"/>
        <w:rPr>
          <w:rFonts w:ascii="宋体" w:hAnsi="宋体" w:cs="宋体" w:eastAsia="宋体" w:hint="default"/>
          <w:sz w:val="16"/>
          <w:szCs w:val="16"/>
        </w:rPr>
      </w:pPr>
    </w:p>
    <w:p>
      <w:pPr>
        <w:pStyle w:val="BodyText"/>
        <w:spacing w:line="300" w:lineRule="auto"/>
        <w:ind w:right="204"/>
        <w:jc w:val="left"/>
      </w:pPr>
      <w:r>
        <w:rPr/>
        <w:t>本公司</w:t>
      </w:r>
      <w:r>
        <w:rPr>
          <w:rFonts w:ascii="Times New Roman" w:hAnsi="Times New Roman" w:cs="Times New Roman" w:eastAsia="Times New Roman" w:hint="default"/>
        </w:rPr>
        <w:t>2015</w:t>
      </w:r>
      <w:r>
        <w:rPr/>
        <w:t>年度纳入合并集团范围的子公司共</w:t>
      </w:r>
      <w:r>
        <w:rPr>
          <w:rFonts w:ascii="Times New Roman" w:hAnsi="Times New Roman" w:cs="Times New Roman" w:eastAsia="Times New Roman" w:hint="default"/>
        </w:rPr>
        <w:t>8</w:t>
      </w:r>
      <w:r>
        <w:rPr/>
        <w:t>家，各家子公司情况详见本节</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。本公司本年度合 并范围较上年度增加</w:t>
      </w:r>
      <w:r>
        <w:rPr>
          <w:rFonts w:ascii="Times New Roman" w:hAnsi="Times New Roman" w:cs="Times New Roman" w:eastAsia="Times New Roman" w:hint="default"/>
        </w:rPr>
        <w:t>3</w:t>
      </w:r>
      <w:r>
        <w:rPr/>
        <w:t>家子公司，合并范围的变化情况详见本节</w:t>
      </w:r>
      <w:r>
        <w:rPr>
          <w:rFonts w:ascii="Times New Roman" w:hAnsi="Times New Roman" w:cs="Times New Roman" w:eastAsia="Times New Roman" w:hint="default"/>
        </w:rPr>
        <w:t>“</w:t>
      </w:r>
      <w:r>
        <w:rPr/>
        <w:t>八、合并范围的变更</w:t>
      </w:r>
      <w:r>
        <w:rPr>
          <w:rFonts w:ascii="Times New Roman" w:hAnsi="Times New Roman" w:cs="Times New Roman" w:eastAsia="Times New Roman" w:hint="default"/>
        </w:rPr>
        <w:t>”</w:t>
      </w:r>
      <w:r>
        <w:rPr/>
        <w:t>。</w:t>
      </w:r>
    </w:p>
    <w:p>
      <w:pPr>
        <w:spacing w:line="240" w:lineRule="auto" w:before="5"/>
        <w:rPr>
          <w:rFonts w:ascii="宋体" w:hAnsi="宋体" w:cs="宋体" w:eastAsia="宋体" w:hint="default"/>
          <w:sz w:val="20"/>
          <w:szCs w:val="20"/>
        </w:rPr>
      </w:pPr>
    </w:p>
    <w:p>
      <w:pPr>
        <w:pStyle w:val="Heading2"/>
        <w:spacing w:line="240" w:lineRule="auto"/>
        <w:ind w:right="106"/>
        <w:jc w:val="left"/>
        <w:rPr>
          <w:b w:val="0"/>
          <w:bCs w:val="0"/>
        </w:rPr>
      </w:pP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06"/>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93"/>
        <w:jc w:val="both"/>
      </w:pPr>
      <w:r>
        <w:rPr/>
        <w:t>本财务报表按照财政部颁布的《企业会计准则</w:t>
      </w:r>
      <w:r>
        <w:rPr>
          <w:rFonts w:ascii="Times New Roman" w:hAnsi="Times New Roman" w:cs="Times New Roman" w:eastAsia="Times New Roman" w:hint="default"/>
        </w:rPr>
        <w:t>——</w:t>
      </w:r>
      <w:r>
        <w:rPr/>
        <w:t>基本准则》，于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日及其后颁布和修订的</w:t>
      </w:r>
      <w:r>
        <w:rPr>
          <w:rFonts w:ascii="Times New Roman" w:hAnsi="Times New Roman" w:cs="Times New Roman" w:eastAsia="Times New Roman" w:hint="default"/>
        </w:rPr>
        <w:t>41</w:t>
      </w:r>
      <w:r>
        <w:rPr/>
        <w:t>项具体会计准则、 </w:t>
      </w:r>
      <w:r>
        <w:rPr>
          <w:spacing w:val="-5"/>
        </w:rPr>
        <w:t>企业会计准则应用指南、企业会计准则解释及其他相关规定（以下统称</w:t>
      </w:r>
      <w:r>
        <w:rPr>
          <w:rFonts w:ascii="Times New Roman" w:hAnsi="Times New Roman" w:cs="Times New Roman" w:eastAsia="Times New Roman" w:hint="default"/>
          <w:spacing w:val="-5"/>
        </w:rPr>
        <w:t>“</w:t>
      </w:r>
      <w:r>
        <w:rPr>
          <w:spacing w:val="-5"/>
        </w:rPr>
        <w:t>企业会计准则</w:t>
      </w:r>
      <w:r>
        <w:rPr>
          <w:rFonts w:ascii="Times New Roman" w:hAnsi="Times New Roman" w:cs="Times New Roman" w:eastAsia="Times New Roman" w:hint="default"/>
          <w:spacing w:val="-5"/>
        </w:rPr>
        <w:t>”</w:t>
      </w:r>
      <w:r>
        <w:rPr>
          <w:spacing w:val="-5"/>
        </w:rPr>
        <w:t>）、以及中国证券监督管理委员会《公</w:t>
      </w:r>
      <w:r>
        <w:rPr>
          <w:spacing w:val="-56"/>
        </w:rPr>
        <w:t> </w:t>
      </w:r>
      <w:r>
        <w:rPr>
          <w:spacing w:val="-56"/>
        </w:rPr>
      </w:r>
      <w:r>
        <w:rPr/>
        <w:t>开发行证券的公司信息披露编报规则第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年修订）的披露规定编制。</w:t>
      </w:r>
    </w:p>
    <w:p>
      <w:pPr>
        <w:spacing w:line="240" w:lineRule="auto" w:before="4"/>
        <w:rPr>
          <w:rFonts w:ascii="宋体" w:hAnsi="宋体" w:cs="宋体" w:eastAsia="宋体" w:hint="default"/>
          <w:sz w:val="22"/>
          <w:szCs w:val="22"/>
        </w:rPr>
      </w:pPr>
    </w:p>
    <w:p>
      <w:pPr>
        <w:pStyle w:val="Heading3"/>
        <w:spacing w:line="240" w:lineRule="auto"/>
        <w:ind w:right="106"/>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06"/>
        <w:jc w:val="left"/>
      </w:pPr>
      <w:r>
        <w:rPr/>
        <w:t>本财务报表以持续经营为基础列报，自报告期末起</w:t>
      </w:r>
      <w:r>
        <w:rPr>
          <w:rFonts w:ascii="Times New Roman" w:hAnsi="Times New Roman" w:cs="Times New Roman" w:eastAsia="Times New Roman" w:hint="default"/>
        </w:rPr>
        <w:t>12</w:t>
      </w:r>
      <w:r>
        <w:rPr/>
        <w:t>个月内具有持续经营能力。</w:t>
      </w:r>
    </w:p>
    <w:p>
      <w:pPr>
        <w:spacing w:line="240" w:lineRule="auto" w:before="3"/>
        <w:rPr>
          <w:rFonts w:ascii="宋体" w:hAnsi="宋体" w:cs="宋体" w:eastAsia="宋体" w:hint="default"/>
          <w:sz w:val="24"/>
          <w:szCs w:val="24"/>
        </w:rPr>
      </w:pPr>
    </w:p>
    <w:p>
      <w:pPr>
        <w:pStyle w:val="Heading2"/>
        <w:spacing w:line="240" w:lineRule="auto"/>
        <w:ind w:right="106"/>
        <w:jc w:val="left"/>
        <w:rPr>
          <w:b w:val="0"/>
          <w:bCs w:val="0"/>
        </w:rPr>
      </w:pPr>
      <w:r>
        <w:rPr/>
        <w:t>五、重要会计政策及会计估计</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94"/>
        <w:jc w:val="left"/>
      </w:pPr>
      <w:r>
        <w:rPr/>
        <w:t>具体会计政策和会计估计提示： 公司根据实际生产经营特点制定的具体会计政策和会计估计包括：应收款项、存货、固定资产、无形资产、长期待摊费用、</w:t>
      </w:r>
      <w:r>
        <w:rPr>
          <w:spacing w:val="-86"/>
        </w:rPr>
        <w:t> </w:t>
      </w:r>
      <w:r>
        <w:rPr>
          <w:spacing w:val="-86"/>
        </w:rPr>
      </w:r>
      <w:r>
        <w:rPr/>
        <w:t>收入等。</w:t>
      </w:r>
    </w:p>
    <w:p>
      <w:pPr>
        <w:spacing w:line="240" w:lineRule="auto" w:before="7"/>
        <w:rPr>
          <w:rFonts w:ascii="宋体" w:hAnsi="宋体" w:cs="宋体" w:eastAsia="宋体" w:hint="default"/>
          <w:sz w:val="21"/>
          <w:szCs w:val="21"/>
        </w:rPr>
      </w:pPr>
    </w:p>
    <w:p>
      <w:pPr>
        <w:pStyle w:val="Heading3"/>
        <w:spacing w:line="240" w:lineRule="auto"/>
        <w:ind w:right="106"/>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06"/>
        <w:jc w:val="left"/>
      </w:pPr>
      <w:r>
        <w:rPr>
          <w:spacing w:val="-2"/>
        </w:rPr>
        <w:t>本财务报表符合企业会计准则的要求，真实、完整地反映了本公司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日的合并及公司财务状况以及</w:t>
      </w:r>
      <w:r>
        <w:rPr>
          <w:rFonts w:ascii="Times New Roman" w:hAnsi="Times New Roman" w:cs="Times New Roman" w:eastAsia="Times New Roman" w:hint="default"/>
          <w:spacing w:val="-2"/>
        </w:rPr>
        <w:t>2015</w:t>
      </w:r>
      <w:r>
        <w:rPr>
          <w:spacing w:val="-2"/>
        </w:rPr>
        <w:t>年度的合</w:t>
      </w:r>
      <w:r>
        <w:rPr>
          <w:spacing w:val="-57"/>
        </w:rPr>
        <w:t> </w:t>
      </w:r>
      <w:r>
        <w:rPr>
          <w:spacing w:val="-57"/>
        </w:rPr>
      </w:r>
      <w:r>
        <w:rPr/>
        <w:t>并及公司经营成果和合并及公司现金流量等有关信息。</w:t>
      </w:r>
    </w:p>
    <w:p>
      <w:pPr>
        <w:spacing w:line="240" w:lineRule="auto" w:before="10"/>
        <w:rPr>
          <w:rFonts w:ascii="宋体" w:hAnsi="宋体" w:cs="宋体" w:eastAsia="宋体" w:hint="default"/>
          <w:sz w:val="23"/>
          <w:szCs w:val="23"/>
        </w:rPr>
      </w:pPr>
    </w:p>
    <w:p>
      <w:pPr>
        <w:pStyle w:val="Heading3"/>
        <w:spacing w:line="240" w:lineRule="auto"/>
        <w:ind w:right="106"/>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453" w:right="106"/>
        <w:jc w:val="left"/>
      </w:pPr>
      <w:r>
        <w:rPr/>
        <w:t>本公司会计期间采用公历年度，即每年自</w:t>
      </w:r>
      <w:r>
        <w:rPr>
          <w:rFonts w:ascii="Times New Roman" w:hAnsi="Times New Roman" w:cs="Times New Roman" w:eastAsia="Times New Roman" w:hint="default"/>
        </w:rPr>
        <w:t>1 </w:t>
      </w:r>
      <w:r>
        <w:rPr/>
        <w:t>月</w:t>
      </w:r>
      <w:r>
        <w:rPr>
          <w:rFonts w:ascii="Times New Roman" w:hAnsi="Times New Roman" w:cs="Times New Roman" w:eastAsia="Times New Roman" w:hint="default"/>
        </w:rPr>
        <w:t>1 </w:t>
      </w:r>
      <w:r>
        <w:rPr/>
        <w:t>日起至</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  </w:t>
      </w:r>
      <w:r>
        <w:rPr>
          <w:rFonts w:ascii="Times New Roman" w:hAnsi="Times New Roman" w:cs="Times New Roman" w:eastAsia="Times New Roman" w:hint="default"/>
          <w:spacing w:val="18"/>
        </w:rPr>
        <w:t> </w:t>
      </w:r>
      <w:r>
        <w:rPr/>
        <w:t>日止。</w:t>
      </w:r>
    </w:p>
    <w:p>
      <w:pPr>
        <w:spacing w:after="0" w:line="24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1134"/>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34"/>
        <w:jc w:val="left"/>
      </w:pPr>
      <w:r>
        <w:rPr/>
        <w:t>本公司以</w:t>
      </w:r>
      <w:r>
        <w:rPr>
          <w:rFonts w:ascii="Times New Roman" w:hAnsi="Times New Roman" w:cs="Times New Roman" w:eastAsia="Times New Roman" w:hint="default"/>
        </w:rPr>
        <w:t>12</w:t>
      </w:r>
      <w:r>
        <w:rPr/>
        <w:t>个月作为一个营业周期，并以其作为资产和负债的流动性划分标准。</w:t>
      </w:r>
    </w:p>
    <w:p>
      <w:pPr>
        <w:spacing w:line="240" w:lineRule="auto" w:before="2"/>
        <w:rPr>
          <w:rFonts w:ascii="宋体" w:hAnsi="宋体" w:cs="宋体" w:eastAsia="宋体" w:hint="default"/>
          <w:sz w:val="26"/>
          <w:szCs w:val="26"/>
        </w:rPr>
      </w:pPr>
    </w:p>
    <w:p>
      <w:pPr>
        <w:pStyle w:val="Heading3"/>
        <w:spacing w:line="240" w:lineRule="auto"/>
        <w:ind w:right="1134"/>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4"/>
        <w:jc w:val="left"/>
      </w:pPr>
      <w:r>
        <w:rPr/>
        <w:t>本公司以人民币为记账本位币。</w:t>
      </w:r>
    </w:p>
    <w:p>
      <w:pPr>
        <w:spacing w:line="240" w:lineRule="auto" w:before="0"/>
        <w:rPr>
          <w:rFonts w:ascii="宋体" w:hAnsi="宋体" w:cs="宋体" w:eastAsia="宋体" w:hint="default"/>
          <w:sz w:val="18"/>
          <w:szCs w:val="18"/>
        </w:rPr>
      </w:pPr>
    </w:p>
    <w:p>
      <w:pPr>
        <w:pStyle w:val="Heading3"/>
        <w:spacing w:line="240" w:lineRule="auto" w:before="120"/>
        <w:ind w:right="1134"/>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0" w:firstLine="360"/>
        <w:jc w:val="left"/>
      </w:pPr>
      <w:r>
        <w:rPr>
          <w:spacing w:val="-2"/>
        </w:rPr>
        <w:t>企业合并，是指将两个或两个以上单独的企业合并形成一个报告主体的交易或事项。企业合并分为同一控制下企业合并</w:t>
      </w:r>
      <w:r>
        <w:rPr/>
        <w:t> 和非同一控制下企业合并。</w:t>
      </w:r>
    </w:p>
    <w:p>
      <w:pPr>
        <w:pStyle w:val="BodyText"/>
        <w:spacing w:line="468" w:lineRule="exact" w:before="9"/>
        <w:ind w:left="513" w:right="0"/>
        <w:jc w:val="left"/>
      </w:pPr>
      <w:r>
        <w:rPr/>
        <w:t>（</w:t>
      </w:r>
      <w:r>
        <w:rPr>
          <w:rFonts w:ascii="宋体" w:hAnsi="宋体" w:cs="宋体" w:eastAsia="宋体" w:hint="default"/>
        </w:rPr>
        <w:t>1</w:t>
      </w:r>
      <w:r>
        <w:rPr/>
        <w:t>）同一控制下企业合并 </w:t>
      </w:r>
      <w:r>
        <w:rPr>
          <w:spacing w:val="-2"/>
        </w:rPr>
        <w:t>合并方在企业合并中取得的资产和负债，按合并日在被合并方的账面价值计量。合并方取得的净资产账面价值与支付的</w:t>
      </w:r>
    </w:p>
    <w:p>
      <w:pPr>
        <w:pStyle w:val="BodyText"/>
        <w:spacing w:line="316" w:lineRule="auto" w:before="8"/>
        <w:ind w:right="153"/>
        <w:jc w:val="left"/>
      </w:pPr>
      <w:r>
        <w:rPr>
          <w:spacing w:val="-2"/>
        </w:rPr>
        <w:t>合并对价的账面价值（或发行股份面值总额）的差额，调整资本公积中的股本溢价，不足冲减的则调整留存收益。合并方为</w:t>
      </w:r>
      <w:r>
        <w:rPr>
          <w:spacing w:val="-67"/>
        </w:rPr>
        <w:t> </w:t>
      </w:r>
      <w:r>
        <w:rPr>
          <w:spacing w:val="-67"/>
        </w:rPr>
      </w:r>
      <w:r>
        <w:rPr/>
        <w:t>进行企业合并发生的各项直接费用，于发生时计入当期损益。</w:t>
      </w:r>
    </w:p>
    <w:p>
      <w:pPr>
        <w:spacing w:line="240" w:lineRule="auto" w:before="5"/>
        <w:rPr>
          <w:rFonts w:ascii="宋体" w:hAnsi="宋体" w:cs="宋体" w:eastAsia="宋体" w:hint="default"/>
          <w:sz w:val="13"/>
          <w:szCs w:val="13"/>
        </w:rPr>
      </w:pPr>
    </w:p>
    <w:p>
      <w:pPr>
        <w:pStyle w:val="BodyText"/>
        <w:spacing w:line="316" w:lineRule="auto"/>
        <w:ind w:right="150" w:firstLine="360"/>
        <w:jc w:val="both"/>
      </w:pPr>
      <w:r>
        <w:rPr>
          <w:spacing w:val="-2"/>
        </w:rPr>
        <w:t>公司编制财务报表时，在被合并方是最终控制方以前年度从第三方收购来的情况下，视同合并后形成的报告主体自最终</w:t>
      </w:r>
      <w:r>
        <w:rPr/>
        <w:t> </w:t>
      </w:r>
      <w:r>
        <w:rPr>
          <w:spacing w:val="-2"/>
        </w:rPr>
        <w:t>控制方开始实施控制时起，一直是一体化存续下来的，以被合并方的资产、负债（包括最终控制方收购被合并方而形成的商</w:t>
      </w:r>
      <w:r>
        <w:rPr>
          <w:spacing w:val="-64"/>
        </w:rPr>
        <w:t> </w:t>
      </w:r>
      <w:r>
        <w:rPr>
          <w:spacing w:val="-64"/>
        </w:rPr>
      </w:r>
      <w:r>
        <w:rPr>
          <w:spacing w:val="-2"/>
        </w:rPr>
        <w:t>誉）在最终控制方财务报表中的账面价值为基础，进行相关会计处理。公司财务报表比较数据追溯调整的期间不早于双方处</w:t>
      </w:r>
      <w:r>
        <w:rPr>
          <w:spacing w:val="-63"/>
        </w:rPr>
        <w:t> </w:t>
      </w:r>
      <w:r>
        <w:rPr>
          <w:spacing w:val="-63"/>
        </w:rPr>
      </w:r>
      <w:r>
        <w:rPr/>
        <w:t>于最终控制方的控制之下孰晚的时间。</w:t>
      </w:r>
    </w:p>
    <w:p>
      <w:pPr>
        <w:pStyle w:val="BodyText"/>
        <w:spacing w:line="468" w:lineRule="exact" w:before="11"/>
        <w:ind w:left="513" w:right="0"/>
        <w:jc w:val="left"/>
      </w:pPr>
      <w:r>
        <w:rPr/>
        <w:t>（</w:t>
      </w:r>
      <w:r>
        <w:rPr>
          <w:rFonts w:ascii="宋体" w:hAnsi="宋体" w:cs="宋体" w:eastAsia="宋体" w:hint="default"/>
        </w:rPr>
        <w:t>2</w:t>
      </w:r>
      <w:r>
        <w:rPr/>
        <w:t>）非同一控制下企业合并 </w:t>
      </w:r>
      <w:r>
        <w:rPr>
          <w:spacing w:val="-2"/>
        </w:rPr>
        <w:t>参与合并的企业在合并前后不受同一方或相同的多方最终控制的，为非同一控制下的企业合并。非同一控制下的企业合</w:t>
      </w:r>
    </w:p>
    <w:p>
      <w:pPr>
        <w:pStyle w:val="BodyText"/>
        <w:spacing w:line="316" w:lineRule="auto" w:before="8"/>
        <w:ind w:right="0"/>
        <w:jc w:val="left"/>
      </w:pPr>
      <w:r>
        <w:rPr>
          <w:spacing w:val="-2"/>
        </w:rPr>
        <w:t>并，在购买日取得对其他参与合并企业控制权的一方为购买方，参与合并的其他企业为被购买方。购买日，是指为购买方实</w:t>
      </w:r>
      <w:r>
        <w:rPr>
          <w:spacing w:val="-64"/>
        </w:rPr>
        <w:t> </w:t>
      </w:r>
      <w:r>
        <w:rPr>
          <w:spacing w:val="-64"/>
        </w:rPr>
      </w:r>
      <w:r>
        <w:rPr/>
        <w:t>际取得对被购买方控制权的日期。</w:t>
      </w:r>
    </w:p>
    <w:p>
      <w:pPr>
        <w:spacing w:line="240" w:lineRule="auto" w:before="5"/>
        <w:rPr>
          <w:rFonts w:ascii="宋体" w:hAnsi="宋体" w:cs="宋体" w:eastAsia="宋体" w:hint="default"/>
          <w:sz w:val="13"/>
          <w:szCs w:val="13"/>
        </w:rPr>
      </w:pPr>
    </w:p>
    <w:p>
      <w:pPr>
        <w:pStyle w:val="BodyText"/>
        <w:spacing w:line="316" w:lineRule="auto"/>
        <w:ind w:right="151" w:firstLine="360"/>
        <w:jc w:val="both"/>
      </w:pPr>
      <w:r>
        <w:rPr>
          <w:spacing w:val="-2"/>
        </w:rPr>
        <w:t>对于非同一控制下的企业合并，合并成本包含购买日购买方为取得对被购买方的控制权而付出的资产、发生或承担的负</w:t>
      </w:r>
      <w:r>
        <w:rPr/>
        <w:t> </w:t>
      </w:r>
      <w:r>
        <w:rPr>
          <w:spacing w:val="-2"/>
        </w:rPr>
        <w:t>债以及发行的权益性证券的公允价值，为企业合并发生的审计、法律服务、评估咨询等中介费用以及其他管理费用于发生时</w:t>
      </w:r>
      <w:r>
        <w:rPr>
          <w:spacing w:val="-66"/>
        </w:rPr>
        <w:t> </w:t>
      </w:r>
      <w:r>
        <w:rPr>
          <w:spacing w:val="-66"/>
        </w:rPr>
      </w:r>
      <w:r>
        <w:rPr>
          <w:spacing w:val="-2"/>
        </w:rPr>
        <w:t>计入当期损益。购买方作为合并对价发行的权益性证券或债务性证券的交易费用，计入权益性证券或债务性证券的初始确认</w:t>
      </w:r>
      <w:r>
        <w:rPr>
          <w:spacing w:val="-64"/>
        </w:rPr>
        <w:t> </w:t>
      </w:r>
      <w:r>
        <w:rPr>
          <w:spacing w:val="-64"/>
        </w:rPr>
      </w:r>
      <w:r>
        <w:rPr>
          <w:spacing w:val="-2"/>
        </w:rPr>
        <w:t>金额。所涉及的或有对价按其在购买日的公允价值计入合并成本，购买日后</w:t>
      </w:r>
      <w:r>
        <w:rPr>
          <w:rFonts w:ascii="宋体" w:hAnsi="宋体" w:cs="宋体" w:eastAsia="宋体" w:hint="default"/>
          <w:spacing w:val="-2"/>
        </w:rPr>
        <w:t>12</w:t>
      </w:r>
      <w:r>
        <w:rPr>
          <w:spacing w:val="-2"/>
        </w:rPr>
        <w:t>个月内出现对购买日已存在情况的新的或进一</w:t>
      </w:r>
      <w:r>
        <w:rPr>
          <w:spacing w:val="-62"/>
        </w:rPr>
        <w:t> </w:t>
      </w:r>
      <w:r>
        <w:rPr>
          <w:spacing w:val="-62"/>
        </w:rPr>
      </w:r>
      <w:r>
        <w:rPr>
          <w:spacing w:val="-2"/>
        </w:rPr>
        <w:t>步证据而需要调整或有对价的，相应调整合并商誉。购买方发生的合并成本及在合并中取得的可辨认净资产按购买日的公允</w:t>
      </w:r>
      <w:r>
        <w:rPr>
          <w:spacing w:val="-64"/>
        </w:rPr>
        <w:t> </w:t>
      </w:r>
      <w:r>
        <w:rPr>
          <w:spacing w:val="-64"/>
        </w:rPr>
      </w:r>
      <w:r>
        <w:rPr>
          <w:spacing w:val="-2"/>
        </w:rPr>
        <w:t>价值计量。合并成本大于合并中取得的被购买方于购买日可辨认净资产公允价值份额的差额，确认为商誉。合并成本小于合</w:t>
      </w:r>
      <w:r>
        <w:rPr>
          <w:spacing w:val="-65"/>
        </w:rPr>
        <w:t> </w:t>
      </w:r>
      <w:r>
        <w:rPr>
          <w:spacing w:val="-65"/>
        </w:rPr>
      </w:r>
      <w:r>
        <w:rPr>
          <w:spacing w:val="-2"/>
        </w:rPr>
        <w:t>并中取得的被购买方可辨认净资产公允价值份额的，首先对取得的被购买方各项可辨认资产、负债及或有负债的公允价值以</w:t>
      </w:r>
      <w:r>
        <w:rPr>
          <w:spacing w:val="-64"/>
        </w:rPr>
        <w:t> </w:t>
      </w:r>
      <w:r>
        <w:rPr>
          <w:spacing w:val="-64"/>
        </w:rPr>
      </w:r>
      <w:r>
        <w:rPr>
          <w:spacing w:val="-2"/>
        </w:rPr>
        <w:t>及合并成本的计量进行复核，复核后合并成本仍小于合并中取得的被购买方可辨认净资产公允价值份额的，其差额计入当期</w:t>
      </w:r>
      <w:r>
        <w:rPr>
          <w:spacing w:val="-64"/>
        </w:rPr>
        <w:t> </w:t>
      </w:r>
      <w:r>
        <w:rPr>
          <w:spacing w:val="-64"/>
        </w:rPr>
      </w:r>
      <w:r>
        <w:rPr/>
        <w:t>损益。</w:t>
      </w:r>
    </w:p>
    <w:p>
      <w:pPr>
        <w:spacing w:line="240" w:lineRule="auto" w:before="5"/>
        <w:rPr>
          <w:rFonts w:ascii="宋体" w:hAnsi="宋体" w:cs="宋体" w:eastAsia="宋体" w:hint="default"/>
          <w:sz w:val="13"/>
          <w:szCs w:val="13"/>
        </w:rPr>
      </w:pPr>
    </w:p>
    <w:p>
      <w:pPr>
        <w:pStyle w:val="BodyText"/>
        <w:spacing w:line="316" w:lineRule="auto"/>
        <w:ind w:right="0" w:firstLine="360"/>
        <w:jc w:val="left"/>
      </w:pPr>
      <w:r>
        <w:rPr/>
        <w:t>购买方取得被购买方的可抵扣暂时性差异，在购买日因不符合递延所得税资产确认条件而未予确认的，在购买日后</w:t>
      </w:r>
      <w:r>
        <w:rPr>
          <w:rFonts w:ascii="宋体" w:hAnsi="宋体" w:cs="宋体" w:eastAsia="宋体" w:hint="default"/>
        </w:rPr>
        <w:t>12</w:t>
      </w:r>
      <w:r>
        <w:rPr>
          <w:rFonts w:ascii="宋体" w:hAnsi="宋体" w:cs="宋体" w:eastAsia="宋体" w:hint="default"/>
          <w:spacing w:val="1"/>
        </w:rPr>
        <w:t> </w:t>
      </w:r>
      <w:r>
        <w:rPr>
          <w:spacing w:val="-2"/>
        </w:rPr>
        <w:t>个月内，如取得新的或进一步的信息表明购买日的相关情况已经存在，预期被购买方在购买日可抵扣暂时性差异带来的经济</w:t>
      </w:r>
      <w:r>
        <w:rPr>
          <w:spacing w:val="-64"/>
        </w:rPr>
        <w:t> </w:t>
      </w:r>
      <w:r>
        <w:rPr>
          <w:spacing w:val="-64"/>
        </w:rPr>
      </w:r>
      <w:r>
        <w:rPr>
          <w:spacing w:val="-2"/>
        </w:rPr>
        <w:t>利益能够实现的，则确认相关的递延所得税资产，同时减少商誉，商誉不足冲减的，差额部分确认为当期损益；除上述情况</w:t>
      </w:r>
      <w:r>
        <w:rPr>
          <w:spacing w:val="-67"/>
        </w:rPr>
        <w:t> </w:t>
      </w:r>
      <w:r>
        <w:rPr>
          <w:spacing w:val="-67"/>
        </w:rPr>
      </w:r>
      <w:r>
        <w:rPr/>
        <w:t>以外，确认与企业合并相关的递延所得税资产的，计入当期损益。</w:t>
      </w:r>
    </w:p>
    <w:p>
      <w:pPr>
        <w:spacing w:line="240" w:lineRule="auto" w:before="5"/>
        <w:rPr>
          <w:rFonts w:ascii="宋体" w:hAnsi="宋体" w:cs="宋体" w:eastAsia="宋体" w:hint="default"/>
          <w:sz w:val="13"/>
          <w:szCs w:val="13"/>
        </w:rPr>
      </w:pPr>
    </w:p>
    <w:p>
      <w:pPr>
        <w:pStyle w:val="BodyText"/>
        <w:spacing w:line="240" w:lineRule="auto"/>
        <w:ind w:left="513" w:right="1134"/>
        <w:jc w:val="left"/>
      </w:pPr>
      <w:r>
        <w:rPr/>
        <w:t>“一揽子交易”的判断原则：</w:t>
      </w:r>
    </w:p>
    <w:p>
      <w:pPr>
        <w:spacing w:line="240" w:lineRule="auto" w:before="10"/>
        <w:rPr>
          <w:rFonts w:ascii="宋体" w:hAnsi="宋体" w:cs="宋体" w:eastAsia="宋体" w:hint="default"/>
          <w:sz w:val="17"/>
          <w:szCs w:val="17"/>
        </w:rPr>
      </w:pPr>
    </w:p>
    <w:p>
      <w:pPr>
        <w:pStyle w:val="BodyText"/>
        <w:spacing w:line="240" w:lineRule="auto"/>
        <w:ind w:left="513" w:right="1134"/>
        <w:jc w:val="left"/>
      </w:pPr>
      <w:r>
        <w:rPr/>
        <w:t>①这些交易是同时或者在考虑了彼此影响的情况下订立的；</w:t>
      </w:r>
    </w:p>
    <w:p>
      <w:pPr>
        <w:spacing w:line="240" w:lineRule="auto" w:before="10"/>
        <w:rPr>
          <w:rFonts w:ascii="宋体" w:hAnsi="宋体" w:cs="宋体" w:eastAsia="宋体" w:hint="default"/>
          <w:sz w:val="17"/>
          <w:szCs w:val="17"/>
        </w:rPr>
      </w:pPr>
    </w:p>
    <w:p>
      <w:pPr>
        <w:pStyle w:val="BodyText"/>
        <w:spacing w:line="240" w:lineRule="auto"/>
        <w:ind w:left="513" w:right="1134"/>
        <w:jc w:val="left"/>
      </w:pPr>
      <w:r>
        <w:rPr/>
        <w:t>②这些交易整体才能达成一项完整的商业结果；</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before="44"/>
        <w:ind w:left="513" w:right="1134"/>
        <w:jc w:val="left"/>
      </w:pPr>
      <w:r>
        <w:rPr/>
        <w:t>③一项交易的发生取决于其他至少一项交易的发生；</w:t>
      </w:r>
    </w:p>
    <w:p>
      <w:pPr>
        <w:pStyle w:val="BodyText"/>
        <w:spacing w:line="470" w:lineRule="atLeast"/>
        <w:ind w:left="513" w:right="0"/>
        <w:jc w:val="left"/>
      </w:pPr>
      <w:r>
        <w:rPr/>
        <w:t>④一项交易单独看是不经济的，但是和其他交易一并考虑时是经济的。 </w:t>
      </w:r>
      <w:r>
        <w:rPr>
          <w:spacing w:val="-2"/>
        </w:rPr>
        <w:t>通过多次交易分步实现的非同一控制下企业合并，属于一揽子交易的，合并方应当将各项交易作为一项取得控制权的交</w:t>
      </w:r>
    </w:p>
    <w:p>
      <w:pPr>
        <w:pStyle w:val="BodyText"/>
        <w:spacing w:line="240" w:lineRule="auto" w:before="76"/>
        <w:ind w:right="1134"/>
        <w:jc w:val="left"/>
      </w:pPr>
      <w:r>
        <w:rPr/>
        <w:t>易进行会计处理；不属于“一揽子交易”的，区分个别财务报表和合并财务报表进行相关会计处理：</w:t>
      </w:r>
    </w:p>
    <w:p>
      <w:pPr>
        <w:spacing w:line="240" w:lineRule="auto" w:before="10"/>
        <w:rPr>
          <w:rFonts w:ascii="宋体" w:hAnsi="宋体" w:cs="宋体" w:eastAsia="宋体" w:hint="default"/>
          <w:sz w:val="17"/>
          <w:szCs w:val="17"/>
        </w:rPr>
      </w:pPr>
    </w:p>
    <w:p>
      <w:pPr>
        <w:pStyle w:val="BodyText"/>
        <w:spacing w:line="316" w:lineRule="auto"/>
        <w:ind w:right="152" w:firstLine="360"/>
        <w:jc w:val="both"/>
      </w:pPr>
      <w:r>
        <w:rPr>
          <w:spacing w:val="-2"/>
        </w:rPr>
        <w:t>在个别财务报表中，以购买日之前所持被购买方的股权投资的账面价值与购买日新增投资成本之和，作为该项投资的初</w:t>
      </w:r>
      <w:r>
        <w:rPr/>
        <w:t> </w:t>
      </w:r>
      <w:r>
        <w:rPr>
          <w:spacing w:val="-2"/>
        </w:rPr>
        <w:t>始投资成本；购买日之前持有的被购买方的股权涉及其他综合收益的，在处置该项投资时将与其相关的其他综合收益采用与</w:t>
      </w:r>
      <w:r>
        <w:rPr>
          <w:spacing w:val="-64"/>
        </w:rPr>
        <w:t> </w:t>
      </w:r>
      <w:r>
        <w:rPr>
          <w:spacing w:val="-64"/>
        </w:rPr>
      </w:r>
      <w:r>
        <w:rPr>
          <w:spacing w:val="-2"/>
        </w:rPr>
        <w:t>被购买方直接处置相关资产或负债相同的基础进行会计处理（即，除了按照权益法核算的在被购买方重新计量设定受益计划</w:t>
      </w:r>
      <w:r>
        <w:rPr>
          <w:spacing w:val="-64"/>
        </w:rPr>
        <w:t> </w:t>
      </w:r>
      <w:r>
        <w:rPr>
          <w:spacing w:val="-64"/>
        </w:rPr>
      </w:r>
      <w:r>
        <w:rPr/>
        <w:t>净负债或净资产导致的变动中的相应份额以外，其余转入当期投资收益）。</w:t>
      </w:r>
    </w:p>
    <w:p>
      <w:pPr>
        <w:spacing w:line="240" w:lineRule="auto" w:before="5"/>
        <w:rPr>
          <w:rFonts w:ascii="宋体" w:hAnsi="宋体" w:cs="宋体" w:eastAsia="宋体" w:hint="default"/>
          <w:sz w:val="13"/>
          <w:szCs w:val="13"/>
        </w:rPr>
      </w:pPr>
    </w:p>
    <w:p>
      <w:pPr>
        <w:pStyle w:val="BodyText"/>
        <w:spacing w:line="319" w:lineRule="auto"/>
        <w:ind w:right="150" w:firstLine="360"/>
        <w:jc w:val="both"/>
      </w:pPr>
      <w:r>
        <w:rPr>
          <w:spacing w:val="-2"/>
        </w:rPr>
        <w:t>在合并财务报表中，对于购买日之前持有的被购买方的股权，按照该股权在购买日的公允价值进行重新计量，公允价值</w:t>
      </w:r>
      <w:r>
        <w:rPr/>
        <w:t> </w:t>
      </w:r>
      <w:r>
        <w:rPr>
          <w:spacing w:val="-2"/>
        </w:rPr>
        <w:t>与其账面价值的差额计入当期投资收益；购买日之前持有的被购买方的股权涉及其他综合收益的，与其相关的其他综合收益</w:t>
      </w:r>
      <w:r>
        <w:rPr>
          <w:spacing w:val="-64"/>
        </w:rPr>
        <w:t> </w:t>
      </w:r>
      <w:r>
        <w:rPr>
          <w:spacing w:val="-64"/>
        </w:rPr>
      </w:r>
      <w:r>
        <w:rPr>
          <w:spacing w:val="-2"/>
        </w:rPr>
        <w:t>应当采用与被购买方直接处置相关资产或负债相同的基础进行会计处理（即，除了按照权益法核算的在被购买方重新计量设</w:t>
      </w:r>
      <w:r>
        <w:rPr>
          <w:spacing w:val="-64"/>
        </w:rPr>
        <w:t> </w:t>
      </w:r>
      <w:r>
        <w:rPr>
          <w:spacing w:val="-64"/>
        </w:rPr>
      </w:r>
      <w:r>
        <w:rPr/>
        <w:t>定受益计划净负债或净资产导致的变动中的相应份额以外，其余转为购买日所属当期投资收益）。</w:t>
      </w:r>
    </w:p>
    <w:p>
      <w:pPr>
        <w:spacing w:line="240" w:lineRule="auto" w:before="9"/>
        <w:rPr>
          <w:rFonts w:ascii="宋体" w:hAnsi="宋体" w:cs="宋体" w:eastAsia="宋体" w:hint="default"/>
          <w:sz w:val="22"/>
          <w:szCs w:val="22"/>
        </w:rPr>
      </w:pPr>
    </w:p>
    <w:p>
      <w:pPr>
        <w:pStyle w:val="Heading3"/>
        <w:spacing w:line="240" w:lineRule="auto"/>
        <w:ind w:right="1134"/>
        <w:jc w:val="left"/>
        <w:rPr>
          <w:b w:val="0"/>
          <w:bCs w:val="0"/>
        </w:rPr>
      </w:pPr>
      <w:r>
        <w:rPr>
          <w:rFonts w:ascii="Times New Roman" w:hAnsi="Times New Roman" w:cs="Times New Roman" w:eastAsia="Times New Roman" w:hint="default"/>
        </w:rPr>
        <w:t>6</w:t>
      </w:r>
      <w:r>
        <w:rPr/>
        <w:t>、合并财务报表的编制方法</w:t>
      </w:r>
      <w:r>
        <w:rPr>
          <w:b w:val="0"/>
          <w:bCs w:val="0"/>
        </w:rPr>
      </w:r>
    </w:p>
    <w:p>
      <w:pPr>
        <w:pStyle w:val="BodyText"/>
        <w:spacing w:line="460" w:lineRule="atLeast" w:before="120"/>
        <w:ind w:left="513" w:right="0"/>
        <w:jc w:val="left"/>
      </w:pPr>
      <w:r>
        <w:rPr/>
        <w:t>（</w:t>
      </w:r>
      <w:r>
        <w:rPr>
          <w:rFonts w:ascii="宋体" w:hAnsi="宋体" w:cs="宋体" w:eastAsia="宋体" w:hint="default"/>
        </w:rPr>
        <w:t>1</w:t>
      </w:r>
      <w:r>
        <w:rPr/>
        <w:t>）合并财务报表范围的确定原则 </w:t>
      </w:r>
      <w:r>
        <w:rPr>
          <w:spacing w:val="-2"/>
        </w:rPr>
        <w:t>合并财务报表的合并范围以控制为基础予以确定。控制是指本公司拥有对被投资方的权力，通过参与被投资方的相关活</w:t>
      </w:r>
    </w:p>
    <w:p>
      <w:pPr>
        <w:pStyle w:val="BodyText"/>
        <w:spacing w:line="316" w:lineRule="auto" w:before="76"/>
        <w:ind w:right="0"/>
        <w:jc w:val="left"/>
      </w:pPr>
      <w:r>
        <w:rPr>
          <w:spacing w:val="-2"/>
        </w:rPr>
        <w:t>动而享有可变回报，并且有能力运用对被投资方的权力影响该回报金额。合并范围包括本公司及全部子公司。子公司，是指</w:t>
      </w:r>
      <w:r>
        <w:rPr>
          <w:spacing w:val="-64"/>
        </w:rPr>
        <w:t> </w:t>
      </w:r>
      <w:r>
        <w:rPr>
          <w:spacing w:val="-64"/>
        </w:rPr>
      </w:r>
      <w:r>
        <w:rPr/>
        <w:t>被本公司控制的主体。</w:t>
      </w:r>
    </w:p>
    <w:p>
      <w:pPr>
        <w:spacing w:line="240" w:lineRule="auto" w:before="5"/>
        <w:rPr>
          <w:rFonts w:ascii="宋体" w:hAnsi="宋体" w:cs="宋体" w:eastAsia="宋体" w:hint="default"/>
          <w:sz w:val="13"/>
          <w:szCs w:val="13"/>
        </w:rPr>
      </w:pPr>
    </w:p>
    <w:p>
      <w:pPr>
        <w:pStyle w:val="BodyText"/>
        <w:spacing w:line="240" w:lineRule="auto"/>
        <w:ind w:left="513" w:right="1134"/>
        <w:jc w:val="left"/>
      </w:pPr>
      <w:r>
        <w:rPr/>
        <w:t>一旦相关事实和情况的变化导致上述控制定义涉及的相关要素发生了变化，本公司将进行重新评估。</w:t>
      </w:r>
    </w:p>
    <w:p>
      <w:pPr>
        <w:pStyle w:val="BodyText"/>
        <w:spacing w:line="460" w:lineRule="atLeast" w:before="8"/>
        <w:ind w:left="513" w:right="0"/>
        <w:jc w:val="left"/>
      </w:pPr>
      <w:r>
        <w:rPr/>
        <w:t>（</w:t>
      </w:r>
      <w:r>
        <w:rPr>
          <w:rFonts w:ascii="宋体" w:hAnsi="宋体" w:cs="宋体" w:eastAsia="宋体" w:hint="default"/>
        </w:rPr>
        <w:t>2</w:t>
      </w:r>
      <w:r>
        <w:rPr/>
        <w:t>）合并财务报表编制的方法 </w:t>
      </w:r>
      <w:r>
        <w:rPr>
          <w:spacing w:val="-2"/>
        </w:rPr>
        <w:t>本公司以母公司和纳入合并范围的子公司的个别会计报表及其他相关资料为依据，在抵销母公司与子公司、子公司相互</w:t>
      </w:r>
    </w:p>
    <w:p>
      <w:pPr>
        <w:pStyle w:val="BodyText"/>
        <w:spacing w:line="316" w:lineRule="auto" w:before="76"/>
        <w:ind w:right="0"/>
        <w:jc w:val="left"/>
      </w:pPr>
      <w:r>
        <w:rPr>
          <w:spacing w:val="-2"/>
        </w:rPr>
        <w:t>间的债权与债务项目、内部销售收入和未实现的内部销售利润等项目，以及母公司对子公司权益性资本投资项目的数额与子</w:t>
      </w:r>
      <w:r>
        <w:rPr>
          <w:spacing w:val="-63"/>
        </w:rPr>
        <w:t> </w:t>
      </w:r>
      <w:r>
        <w:rPr>
          <w:spacing w:val="-63"/>
        </w:rPr>
      </w:r>
      <w:r>
        <w:rPr/>
        <w:t>公司所有者权益中母公司所持有的份额的基础上，合并各报表项目数额编制。</w:t>
      </w:r>
    </w:p>
    <w:p>
      <w:pPr>
        <w:spacing w:line="240" w:lineRule="auto" w:before="5"/>
        <w:rPr>
          <w:rFonts w:ascii="宋体" w:hAnsi="宋体" w:cs="宋体" w:eastAsia="宋体" w:hint="default"/>
          <w:sz w:val="13"/>
          <w:szCs w:val="13"/>
        </w:rPr>
      </w:pPr>
    </w:p>
    <w:p>
      <w:pPr>
        <w:pStyle w:val="BodyText"/>
        <w:spacing w:line="316" w:lineRule="auto"/>
        <w:ind w:right="152" w:firstLine="360"/>
        <w:jc w:val="both"/>
      </w:pPr>
      <w:r>
        <w:rPr>
          <w:spacing w:val="-2"/>
        </w:rPr>
        <w:t>在编制合并财务报表时，子公司与本公司采用的会计政策或会计期间不一致的，按照本公司的会计政策和会计期间对子</w:t>
      </w:r>
      <w:r>
        <w:rPr/>
        <w:t> </w:t>
      </w:r>
      <w:r>
        <w:rPr>
          <w:spacing w:val="-2"/>
        </w:rPr>
        <w:t>公司财务报表进行必要的调整。对于非同一控制下企业合并取得的子公司，以购买日可辨认净资产公允价值为基础对其财务</w:t>
      </w:r>
      <w:r>
        <w:rPr>
          <w:spacing w:val="-64"/>
        </w:rPr>
        <w:t> </w:t>
      </w:r>
      <w:r>
        <w:rPr>
          <w:spacing w:val="-64"/>
        </w:rPr>
      </w:r>
      <w:r>
        <w:rPr/>
        <w:t>报表进行调整。</w:t>
      </w:r>
    </w:p>
    <w:p>
      <w:pPr>
        <w:pStyle w:val="BodyText"/>
        <w:spacing w:line="468" w:lineRule="exact" w:before="11"/>
        <w:ind w:left="513" w:right="0"/>
        <w:jc w:val="left"/>
      </w:pPr>
      <w:r>
        <w:rPr/>
        <w:t>（</w:t>
      </w:r>
      <w:r>
        <w:rPr>
          <w:rFonts w:ascii="宋体" w:hAnsi="宋体" w:cs="宋体" w:eastAsia="宋体" w:hint="default"/>
        </w:rPr>
        <w:t>3</w:t>
      </w:r>
      <w:r>
        <w:rPr/>
        <w:t>）少数股东权益和损益的列报 </w:t>
      </w:r>
      <w:r>
        <w:rPr>
          <w:spacing w:val="-2"/>
        </w:rPr>
        <w:t>子公司的股东权益中不属于本公司所拥有的部分作为少数股东权益在合并资产负债表中股东权益项下单独列示。子公司</w:t>
      </w:r>
    </w:p>
    <w:p>
      <w:pPr>
        <w:pStyle w:val="BodyText"/>
        <w:spacing w:line="316" w:lineRule="auto" w:before="8"/>
        <w:ind w:right="0"/>
        <w:jc w:val="left"/>
      </w:pPr>
      <w:r>
        <w:rPr>
          <w:spacing w:val="-2"/>
        </w:rPr>
        <w:t>当期净损益中属于少数股东权益的份额，在合并利润表中净利润项目下以“少数股东损益”项目列示。少数股东分担的子公</w:t>
      </w:r>
      <w:r>
        <w:rPr>
          <w:spacing w:val="-63"/>
        </w:rPr>
        <w:t> </w:t>
      </w:r>
      <w:r>
        <w:rPr>
          <w:spacing w:val="-63"/>
        </w:rPr>
      </w:r>
      <w:r>
        <w:rPr/>
        <w:t>司的亏损超过了少数股东在该子公司期初所有者权益中所享有的份额，其余额仍冲减少数股东权益。</w:t>
      </w:r>
    </w:p>
    <w:p>
      <w:pPr>
        <w:pStyle w:val="BodyText"/>
        <w:spacing w:line="468" w:lineRule="exact" w:before="10"/>
        <w:ind w:left="513" w:right="0"/>
        <w:jc w:val="left"/>
      </w:pPr>
      <w:r>
        <w:rPr/>
        <w:t>（</w:t>
      </w:r>
      <w:r>
        <w:rPr>
          <w:rFonts w:ascii="宋体" w:hAnsi="宋体" w:cs="宋体" w:eastAsia="宋体" w:hint="default"/>
        </w:rPr>
        <w:t>4</w:t>
      </w:r>
      <w:r>
        <w:rPr/>
        <w:t>）当期增加减少子公司的合并报表处理 </w:t>
      </w:r>
      <w:r>
        <w:rPr>
          <w:spacing w:val="-2"/>
        </w:rPr>
        <w:t>在报告期内因同一控制下企业合并增加的子公司以及业务，调整合并资产负债表的期初数，并将该子公司以及业务合并</w:t>
      </w:r>
    </w:p>
    <w:p>
      <w:pPr>
        <w:pStyle w:val="BodyText"/>
        <w:spacing w:line="316" w:lineRule="auto" w:before="8"/>
        <w:ind w:right="0"/>
        <w:jc w:val="left"/>
      </w:pPr>
      <w:r>
        <w:rPr>
          <w:spacing w:val="-2"/>
        </w:rPr>
        <w:t>当期期初至报告期末的收入、费用、利润纳入合并利润表，将该子公司以及业务合并当期期初至报告期末的现金流量纳入合</w:t>
      </w:r>
      <w:r>
        <w:rPr>
          <w:spacing w:val="-65"/>
        </w:rPr>
        <w:t> </w:t>
      </w:r>
      <w:r>
        <w:rPr>
          <w:spacing w:val="-65"/>
        </w:rPr>
      </w:r>
      <w:r>
        <w:rPr/>
        <w:t>并现金流量表，同时对比较报表的相关项目进行调整，视同合并后的报告主体自最终控制方开始控制时点起一直存在。</w:t>
      </w:r>
    </w:p>
    <w:p>
      <w:pPr>
        <w:spacing w:line="240" w:lineRule="auto" w:before="5"/>
        <w:rPr>
          <w:rFonts w:ascii="宋体" w:hAnsi="宋体" w:cs="宋体" w:eastAsia="宋体" w:hint="default"/>
          <w:sz w:val="13"/>
          <w:szCs w:val="13"/>
        </w:rPr>
      </w:pPr>
    </w:p>
    <w:p>
      <w:pPr>
        <w:pStyle w:val="BodyText"/>
        <w:spacing w:line="316" w:lineRule="auto"/>
        <w:ind w:right="152" w:firstLine="360"/>
        <w:jc w:val="both"/>
      </w:pPr>
      <w:r>
        <w:rPr>
          <w:spacing w:val="-2"/>
        </w:rPr>
        <w:t>因非同一控制下企业合并或其他方式增加的子公司以及业务，不调整合并资产负债表的期初数，将该子公司以及业务购</w:t>
      </w:r>
      <w:r>
        <w:rPr/>
        <w:t> </w:t>
      </w:r>
      <w:r>
        <w:rPr>
          <w:spacing w:val="-2"/>
        </w:rPr>
        <w:t>买日至报告期末的收入、费用、利润纳入合并利润表，将该子公司以及业务购买日至报告期末的现金流量纳入合并现金流量</w:t>
      </w:r>
    </w:p>
    <w:p>
      <w:pPr>
        <w:spacing w:after="0" w:line="316" w:lineRule="auto"/>
        <w:jc w:val="both"/>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316" w:lineRule="auto" w:before="44"/>
        <w:ind w:right="189"/>
        <w:jc w:val="both"/>
      </w:pPr>
      <w:r>
        <w:rPr>
          <w:spacing w:val="-2"/>
        </w:rPr>
        <w:t>表。通过多次交易分步实现非同一控制下企业合并时，对于购买日之前持有的被购买方股权，本公司按照该股权在购买日的</w:t>
      </w:r>
      <w:r>
        <w:rPr>
          <w:spacing w:val="-63"/>
        </w:rPr>
        <w:t> </w:t>
      </w:r>
      <w:r>
        <w:rPr>
          <w:spacing w:val="-63"/>
        </w:rPr>
      </w:r>
      <w:r>
        <w:rPr>
          <w:spacing w:val="-2"/>
        </w:rPr>
        <w:t>公允价值进行重新计量，公允价值与其账面价值的差额计入当期投资收益。购买日之前持有的被购买方的股权涉及其他综合</w:t>
      </w:r>
      <w:r>
        <w:rPr>
          <w:spacing w:val="-64"/>
        </w:rPr>
        <w:t> </w:t>
      </w:r>
      <w:r>
        <w:rPr>
          <w:spacing w:val="-64"/>
        </w:rPr>
      </w:r>
      <w:r>
        <w:rPr>
          <w:spacing w:val="-2"/>
        </w:rPr>
        <w:t>收益以及其他所有者权益变动的，与其相关的其他综合收益、其他所有者权益转为购买日所属当期投资收益，由于被投资方</w:t>
      </w:r>
      <w:r>
        <w:rPr>
          <w:spacing w:val="-62"/>
        </w:rPr>
        <w:t> </w:t>
      </w:r>
      <w:r>
        <w:rPr>
          <w:spacing w:val="-62"/>
        </w:rPr>
      </w:r>
      <w:r>
        <w:rPr/>
        <w:t>重新计量设定受益计划净负债或净资产变动而产生的其他综合收益除外。</w:t>
      </w:r>
    </w:p>
    <w:p>
      <w:pPr>
        <w:spacing w:line="240" w:lineRule="auto" w:before="5"/>
        <w:rPr>
          <w:rFonts w:ascii="宋体" w:hAnsi="宋体" w:cs="宋体" w:eastAsia="宋体" w:hint="default"/>
          <w:sz w:val="13"/>
          <w:szCs w:val="13"/>
        </w:rPr>
      </w:pPr>
    </w:p>
    <w:p>
      <w:pPr>
        <w:pStyle w:val="BodyText"/>
        <w:spacing w:line="316" w:lineRule="auto"/>
        <w:ind w:right="94" w:firstLine="360"/>
        <w:jc w:val="left"/>
      </w:pPr>
      <w:r>
        <w:rPr/>
        <w:t>本公司在报告期内处置子公司以及业务，不调整合并资产负债表的期初数；将该子公司以及业务期初至处置日的收入、 费用、利润纳入合并利润表；将该子公司期初至处置日的现金流量纳入合并现金流量表。</w:t>
      </w:r>
    </w:p>
    <w:p>
      <w:pPr>
        <w:spacing w:line="240" w:lineRule="auto" w:before="5"/>
        <w:rPr>
          <w:rFonts w:ascii="宋体" w:hAnsi="宋体" w:cs="宋体" w:eastAsia="宋体" w:hint="default"/>
          <w:sz w:val="13"/>
          <w:szCs w:val="13"/>
        </w:rPr>
      </w:pPr>
    </w:p>
    <w:p>
      <w:pPr>
        <w:pStyle w:val="BodyText"/>
        <w:spacing w:line="319" w:lineRule="auto"/>
        <w:ind w:right="94" w:firstLine="360"/>
        <w:jc w:val="left"/>
      </w:pPr>
      <w:r>
        <w:rPr>
          <w:spacing w:val="-2"/>
        </w:rPr>
        <w:t>本公司通过多次交易分步处置对子公司股权投资直至丧失控制权的，需区分处置对子公司股权投资直至丧失控制权的各</w:t>
      </w:r>
      <w:r>
        <w:rPr/>
        <w:t> </w:t>
      </w:r>
      <w:r>
        <w:rPr>
          <w:spacing w:val="-2"/>
        </w:rPr>
        <w:t>项交易是否属于一揽子交易。不属于一揽子交易的，对其中的每一项交易视情况分别按照“不丧失控制权的情况下部分处置</w:t>
      </w:r>
      <w:r>
        <w:rPr>
          <w:spacing w:val="-61"/>
        </w:rPr>
        <w:t> </w:t>
      </w:r>
      <w:r>
        <w:rPr>
          <w:spacing w:val="-61"/>
        </w:rPr>
      </w:r>
      <w:r>
        <w:rPr/>
        <w:t>对子公司的长期股权投资”和“因处置部分股权投资或其他原因丧失了对原有子公司的控制权”适用的原则进行会计处理。</w:t>
      </w:r>
      <w:r>
        <w:rPr>
          <w:spacing w:val="-86"/>
        </w:rPr>
        <w:t> </w:t>
      </w:r>
      <w:r>
        <w:rPr>
          <w:spacing w:val="-86"/>
        </w:rPr>
      </w:r>
      <w:r>
        <w:rPr>
          <w:spacing w:val="-2"/>
        </w:rPr>
        <w:t>处置对子公司股权投资直至丧失控制权的各项交易属于一揽子交易的，将各项交易作为一项处置子公司并丧失控制权的交易</w:t>
      </w:r>
      <w:r>
        <w:rPr>
          <w:spacing w:val="-64"/>
        </w:rPr>
        <w:t> </w:t>
      </w:r>
      <w:r>
        <w:rPr>
          <w:spacing w:val="-64"/>
        </w:rPr>
      </w:r>
      <w:r>
        <w:rPr>
          <w:spacing w:val="-2"/>
        </w:rPr>
        <w:t>进行会计处理；但是，在丧失控制权之前每一次处置价款与处置投资对应的享有该子公司净资产份额的差额，在合并财务报</w:t>
      </w:r>
      <w:r>
        <w:rPr>
          <w:spacing w:val="-66"/>
        </w:rPr>
        <w:t> </w:t>
      </w:r>
      <w:r>
        <w:rPr>
          <w:spacing w:val="-66"/>
        </w:rPr>
      </w:r>
      <w:r>
        <w:rPr/>
        <w:t>表中确认为其他综合收益，在丧失控制权时一并转入丧失控制权当期的损益。</w:t>
      </w:r>
    </w:p>
    <w:p>
      <w:pPr>
        <w:spacing w:line="240" w:lineRule="auto" w:before="3"/>
        <w:rPr>
          <w:rFonts w:ascii="宋体" w:hAnsi="宋体" w:cs="宋体" w:eastAsia="宋体" w:hint="default"/>
          <w:sz w:val="13"/>
          <w:szCs w:val="13"/>
        </w:rPr>
      </w:pPr>
    </w:p>
    <w:p>
      <w:pPr>
        <w:pStyle w:val="BodyText"/>
        <w:spacing w:line="316" w:lineRule="auto"/>
        <w:ind w:right="192" w:firstLine="360"/>
        <w:jc w:val="both"/>
      </w:pPr>
      <w:r>
        <w:rPr>
          <w:spacing w:val="-2"/>
        </w:rPr>
        <w:t>对于购买子公司少数股权或因处置部分股权投资但没有丧失对该子公司控制权的交易，作为权益性交易核算，调整归属</w:t>
      </w:r>
      <w:r>
        <w:rPr/>
        <w:t> 于母公司所有者权益和少数股东权益的账面价值以反映其在子公司中相关权益的变化。少数股东权益的调整额与支付</w:t>
      </w:r>
      <w:r>
        <w:rPr>
          <w:rFonts w:ascii="宋体" w:hAnsi="宋体" w:cs="宋体" w:eastAsia="宋体" w:hint="default"/>
        </w:rPr>
        <w:t>/</w:t>
      </w:r>
      <w:r>
        <w:rPr/>
        <w:t>收到 对价的公允价值之间的差额调整资本公积，资本公积不足冲减的，调整留存收益。</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94" w:firstLine="360"/>
        <w:jc w:val="left"/>
      </w:pPr>
      <w:r>
        <w:rPr/>
        <w:t>合营安排，是指一项由两个或两个以上的参与方共同控制的安排。本公司根据在合营安排中享有的权利和承担的义务， </w:t>
      </w:r>
      <w:r>
        <w:rPr>
          <w:spacing w:val="-2"/>
        </w:rPr>
        <w:t>将合营安排分为共同经营和合营企业。共同经营，是指本公司享有该安排相关资产且承担该安排相关负债的合营安排。合营</w:t>
      </w:r>
      <w:r>
        <w:rPr>
          <w:spacing w:val="-66"/>
        </w:rPr>
        <w:t> </w:t>
      </w:r>
      <w:r>
        <w:rPr>
          <w:spacing w:val="-66"/>
        </w:rPr>
      </w:r>
      <w:r>
        <w:rPr/>
        <w:t>企业，是指本公司仅对该安排的净资产享有权利的合营安排。</w:t>
      </w:r>
    </w:p>
    <w:p>
      <w:pPr>
        <w:spacing w:line="240" w:lineRule="auto" w:before="3"/>
        <w:rPr>
          <w:rFonts w:ascii="宋体" w:hAnsi="宋体" w:cs="宋体" w:eastAsia="宋体" w:hint="default"/>
          <w:sz w:val="13"/>
          <w:szCs w:val="13"/>
        </w:rPr>
      </w:pPr>
    </w:p>
    <w:p>
      <w:pPr>
        <w:pStyle w:val="BodyText"/>
        <w:spacing w:line="316" w:lineRule="auto"/>
        <w:ind w:right="181" w:firstLine="360"/>
        <w:jc w:val="left"/>
      </w:pPr>
      <w:r>
        <w:rPr>
          <w:spacing w:val="-3"/>
        </w:rPr>
        <w:t>本公司对合营企业的投资采用权益法核算，按照本节五、</w:t>
      </w:r>
      <w:r>
        <w:rPr>
          <w:rFonts w:ascii="宋体" w:hAnsi="宋体" w:cs="宋体" w:eastAsia="宋体" w:hint="default"/>
          <w:spacing w:val="-3"/>
        </w:rPr>
        <w:t>14</w:t>
      </w:r>
      <w:r>
        <w:rPr>
          <w:spacing w:val="-3"/>
        </w:rPr>
        <w:t>（</w:t>
      </w:r>
      <w:r>
        <w:rPr>
          <w:rFonts w:ascii="宋体" w:hAnsi="宋体" w:cs="宋体" w:eastAsia="宋体" w:hint="default"/>
          <w:spacing w:val="-3"/>
        </w:rPr>
        <w:t>2</w:t>
      </w:r>
      <w:r>
        <w:rPr>
          <w:spacing w:val="-3"/>
        </w:rPr>
        <w:t>）②</w:t>
      </w:r>
      <w:r>
        <w:rPr>
          <w:spacing w:val="6"/>
        </w:rPr>
        <w:t> </w:t>
      </w:r>
      <w:r>
        <w:rPr/>
        <w:t>“对被投资单位具有共同控制或重大影响的长期股</w:t>
      </w:r>
      <w:r>
        <w:rPr/>
        <w:t> 权，采用益法核算”中所述的会计政策处理。</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93"/>
        <w:jc w:val="both"/>
      </w:pPr>
      <w:r>
        <w:rPr>
          <w:spacing w:val="-2"/>
        </w:rPr>
        <w:t>公司持有的期限短、流动性强、易于转换为已知金额现金、价值变动风险很小的投资。包括：现金、银行存款以及可在证券</w:t>
      </w:r>
      <w:r>
        <w:rPr>
          <w:spacing w:val="-68"/>
        </w:rPr>
        <w:t> </w:t>
      </w:r>
      <w:r>
        <w:rPr>
          <w:spacing w:val="-68"/>
        </w:rPr>
      </w:r>
      <w:r>
        <w:rPr/>
        <w:t>市场上流通的三个月内到期的短期债券投资等。</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5"/>
        <w:rPr>
          <w:rFonts w:ascii="宋体" w:hAnsi="宋体" w:cs="宋体" w:eastAsia="宋体" w:hint="default"/>
          <w:b/>
          <w:bCs/>
          <w:sz w:val="26"/>
          <w:szCs w:val="26"/>
        </w:rPr>
      </w:pPr>
    </w:p>
    <w:p>
      <w:pPr>
        <w:pStyle w:val="BodyText"/>
        <w:spacing w:line="477" w:lineRule="auto"/>
        <w:ind w:left="513" w:right="3693"/>
        <w:jc w:val="left"/>
      </w:pPr>
      <w:r>
        <w:rPr/>
        <w:t>（</w:t>
      </w:r>
      <w:r>
        <w:rPr>
          <w:rFonts w:ascii="宋体" w:hAnsi="宋体" w:cs="宋体" w:eastAsia="宋体" w:hint="default"/>
        </w:rPr>
        <w:t>1</w:t>
      </w:r>
      <w:r>
        <w:rPr/>
        <w:t>）外币业务 本公司发生外币业务，按交易发生日的即期汇率折算为记账本位币金额。</w:t>
      </w:r>
    </w:p>
    <w:p>
      <w:pPr>
        <w:pStyle w:val="BodyText"/>
        <w:spacing w:line="240" w:lineRule="auto" w:before="54"/>
        <w:ind w:left="513" w:right="106"/>
        <w:jc w:val="left"/>
      </w:pPr>
      <w:r>
        <w:rPr/>
        <w:t>（</w:t>
      </w:r>
      <w:r>
        <w:rPr>
          <w:rFonts w:ascii="宋体" w:hAnsi="宋体" w:cs="宋体" w:eastAsia="宋体" w:hint="default"/>
        </w:rPr>
        <w:t>2</w:t>
      </w:r>
      <w:r>
        <w:rPr/>
        <w:t>）外币财务报表的折算</w:t>
      </w:r>
    </w:p>
    <w:p>
      <w:pPr>
        <w:spacing w:line="240" w:lineRule="auto" w:before="10"/>
        <w:rPr>
          <w:rFonts w:ascii="宋体" w:hAnsi="宋体" w:cs="宋体" w:eastAsia="宋体" w:hint="default"/>
          <w:sz w:val="17"/>
          <w:szCs w:val="17"/>
        </w:rPr>
      </w:pPr>
    </w:p>
    <w:p>
      <w:pPr>
        <w:pStyle w:val="BodyText"/>
        <w:spacing w:line="316" w:lineRule="auto"/>
        <w:ind w:right="190" w:firstLine="360"/>
        <w:jc w:val="both"/>
      </w:pPr>
      <w:r>
        <w:rPr>
          <w:spacing w:val="-2"/>
        </w:rPr>
        <w:t>资产负债表日，对外币货币性项目，采用资产负债表日即期汇率折算。因资产负债表日即期汇率与初始确认时或者前一</w:t>
      </w:r>
      <w:r>
        <w:rPr/>
        <w:t> </w:t>
      </w:r>
      <w:r>
        <w:rPr>
          <w:spacing w:val="-2"/>
        </w:rPr>
        <w:t>资产负债表日即期汇率不同而产生的汇兑差额，计入当期损益；对以历史成本计量的外币非货币性项目，仍采用交易发生日</w:t>
      </w:r>
      <w:r>
        <w:rPr>
          <w:spacing w:val="-63"/>
        </w:rPr>
        <w:t> </w:t>
      </w:r>
      <w:r>
        <w:rPr>
          <w:spacing w:val="-63"/>
        </w:rPr>
      </w:r>
      <w:r>
        <w:rPr>
          <w:spacing w:val="-2"/>
        </w:rPr>
        <w:t>的即期汇率折算；对以公允价值计量的外币非货币性项目，采用公允价值确定日的即期汇率折算，折算后的记账本位币金额</w:t>
      </w:r>
      <w:r>
        <w:rPr>
          <w:spacing w:val="-63"/>
        </w:rPr>
        <w:t> </w:t>
      </w:r>
      <w:r>
        <w:rPr>
          <w:spacing w:val="-63"/>
        </w:rPr>
      </w:r>
      <w:r>
        <w:rPr/>
        <w:t>与原记账本位币金额的差额，计入当期损益。</w:t>
      </w:r>
    </w:p>
    <w:p>
      <w:pPr>
        <w:spacing w:after="0" w:line="316" w:lineRule="auto"/>
        <w:jc w:val="both"/>
        <w:sectPr>
          <w:pgSz w:w="11910" w:h="16840"/>
          <w:pgMar w:header="745" w:footer="979"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106"/>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06"/>
        <w:jc w:val="left"/>
      </w:pPr>
      <w:r>
        <w:rPr/>
        <w:t>金融工具是指形成一个企业的金融资产、并形成其他单位的金融负债或权益工具的合同。</w:t>
      </w:r>
    </w:p>
    <w:p>
      <w:pPr>
        <w:spacing w:line="240" w:lineRule="auto" w:before="10"/>
        <w:rPr>
          <w:rFonts w:ascii="宋体" w:hAnsi="宋体" w:cs="宋体" w:eastAsia="宋体" w:hint="default"/>
          <w:sz w:val="17"/>
          <w:szCs w:val="17"/>
        </w:rPr>
      </w:pPr>
    </w:p>
    <w:p>
      <w:pPr>
        <w:pStyle w:val="BodyText"/>
        <w:spacing w:line="240" w:lineRule="auto"/>
        <w:ind w:left="513" w:right="106"/>
        <w:jc w:val="left"/>
      </w:pPr>
      <w:r>
        <w:rPr/>
        <w:t>（</w:t>
      </w:r>
      <w:r>
        <w:rPr>
          <w:rFonts w:ascii="宋体" w:hAnsi="宋体" w:cs="宋体" w:eastAsia="宋体" w:hint="default"/>
        </w:rPr>
        <w:t>1</w:t>
      </w:r>
      <w:r>
        <w:rPr/>
        <w:t>）金融工具的分类</w:t>
      </w:r>
    </w:p>
    <w:p>
      <w:pPr>
        <w:spacing w:line="240" w:lineRule="auto" w:before="10"/>
        <w:rPr>
          <w:rFonts w:ascii="宋体" w:hAnsi="宋体" w:cs="宋体" w:eastAsia="宋体" w:hint="default"/>
          <w:sz w:val="17"/>
          <w:szCs w:val="17"/>
        </w:rPr>
      </w:pPr>
    </w:p>
    <w:p>
      <w:pPr>
        <w:pStyle w:val="BodyText"/>
        <w:spacing w:line="316" w:lineRule="auto"/>
        <w:ind w:right="189" w:firstLine="360"/>
        <w:jc w:val="both"/>
      </w:pPr>
      <w:r>
        <w:rPr>
          <w:spacing w:val="-2"/>
        </w:rPr>
        <w:t>①金融资产划分为：以公允价值计量且其变动计入当期损益的金融资产、持有至到期投资、贷款和应收款项以及可供出</w:t>
      </w:r>
      <w:r>
        <w:rPr/>
        <w:t> 售金融资产。</w:t>
      </w:r>
    </w:p>
    <w:p>
      <w:pPr>
        <w:spacing w:line="240" w:lineRule="auto" w:before="5"/>
        <w:rPr>
          <w:rFonts w:ascii="宋体" w:hAnsi="宋体" w:cs="宋体" w:eastAsia="宋体" w:hint="default"/>
          <w:sz w:val="13"/>
          <w:szCs w:val="13"/>
        </w:rPr>
      </w:pPr>
    </w:p>
    <w:p>
      <w:pPr>
        <w:pStyle w:val="BodyText"/>
        <w:spacing w:line="240" w:lineRule="auto"/>
        <w:ind w:left="513" w:right="106"/>
        <w:jc w:val="left"/>
      </w:pPr>
      <w:r>
        <w:rPr/>
        <w:t>②金融负债划分为：以公允价值计量且其变动计入当期损益的金融负债和其他金融负债。</w:t>
      </w:r>
    </w:p>
    <w:p>
      <w:pPr>
        <w:spacing w:line="240" w:lineRule="auto" w:before="10"/>
        <w:rPr>
          <w:rFonts w:ascii="宋体" w:hAnsi="宋体" w:cs="宋体" w:eastAsia="宋体" w:hint="default"/>
          <w:sz w:val="17"/>
          <w:szCs w:val="17"/>
        </w:rPr>
      </w:pPr>
    </w:p>
    <w:p>
      <w:pPr>
        <w:pStyle w:val="BodyText"/>
        <w:spacing w:line="477" w:lineRule="auto"/>
        <w:ind w:left="513" w:right="4053"/>
        <w:jc w:val="left"/>
      </w:pPr>
      <w:r>
        <w:rPr/>
        <w:t>（</w:t>
      </w:r>
      <w:r>
        <w:rPr>
          <w:rFonts w:ascii="宋体" w:hAnsi="宋体" w:cs="宋体" w:eastAsia="宋体" w:hint="default"/>
        </w:rPr>
        <w:t>2</w:t>
      </w:r>
      <w:r>
        <w:rPr/>
        <w:t>）金融工具的确认依据和计量方法 本公司于成为金融工具合同的一方时确认一项金融资产或金融负债。</w:t>
      </w:r>
    </w:p>
    <w:p>
      <w:pPr>
        <w:pStyle w:val="BodyText"/>
        <w:spacing w:line="316" w:lineRule="auto" w:before="54"/>
        <w:ind w:right="192" w:firstLine="360"/>
        <w:jc w:val="both"/>
      </w:pPr>
      <w:r>
        <w:rPr>
          <w:spacing w:val="-2"/>
        </w:rPr>
        <w:t>金融资产在初始确认时以公允价值计量。对于以公允价值计量且其变动计入当期损益的金融资产，相关交易费用直接计</w:t>
      </w:r>
      <w:r>
        <w:rPr/>
        <w:t> 入当期损益，其他类别的金融资产相关交易费用计入其初始确认金额。</w:t>
      </w:r>
    </w:p>
    <w:p>
      <w:pPr>
        <w:pStyle w:val="BodyText"/>
        <w:spacing w:line="468" w:lineRule="exact" w:before="10"/>
        <w:ind w:left="513" w:right="106"/>
        <w:jc w:val="left"/>
      </w:pPr>
      <w:r>
        <w:rPr/>
        <w:t>①以公允价值计量且其变动计入当期损益的金融资产 </w:t>
      </w:r>
      <w:r>
        <w:rPr>
          <w:spacing w:val="-2"/>
        </w:rPr>
        <w:t>以公允价值计量且其变动计入当期损益的金融资产，包括交易性金融资产和初始确认时指定为以公允价值计量且其变动</w:t>
      </w:r>
    </w:p>
    <w:p>
      <w:pPr>
        <w:pStyle w:val="BodyText"/>
        <w:spacing w:line="316" w:lineRule="auto" w:before="8"/>
        <w:ind w:right="106"/>
        <w:jc w:val="left"/>
      </w:pPr>
      <w:r>
        <w:rPr>
          <w:spacing w:val="-2"/>
        </w:rPr>
        <w:t>计入当期损益的金融资产。对于此类金融资产，采用公允价值进行后续计量，公允价值变动形成的利得或损失以及与该等金</w:t>
      </w:r>
      <w:r>
        <w:rPr>
          <w:spacing w:val="-63"/>
        </w:rPr>
        <w:t> </w:t>
      </w:r>
      <w:r>
        <w:rPr>
          <w:spacing w:val="-63"/>
        </w:rPr>
      </w:r>
      <w:r>
        <w:rPr/>
        <w:t>融资产相关的股利和利息收入计入当期损益。</w:t>
      </w:r>
    </w:p>
    <w:p>
      <w:pPr>
        <w:pStyle w:val="BodyText"/>
        <w:spacing w:line="468" w:lineRule="exact" w:before="10"/>
        <w:ind w:left="513" w:right="178"/>
        <w:jc w:val="left"/>
      </w:pPr>
      <w:r>
        <w:rPr/>
        <w:t>②持有至到期投资 </w:t>
      </w:r>
      <w:r>
        <w:rPr>
          <w:spacing w:val="-5"/>
        </w:rPr>
        <w:t>持有至到期投资，是指到期日固定、回收金额固定或可确定，且本公司有明确意图和能力持有至到期的非衍生金融资产。</w:t>
      </w:r>
    </w:p>
    <w:p>
      <w:pPr>
        <w:pStyle w:val="BodyText"/>
        <w:spacing w:line="316" w:lineRule="auto" w:before="8"/>
        <w:ind w:right="106"/>
        <w:jc w:val="left"/>
      </w:pPr>
      <w:r>
        <w:rPr>
          <w:spacing w:val="-2"/>
        </w:rPr>
        <w:t>持有至到期投资采用实际利率法，按照摊余成本进行后续计量，其终止确认、发生减值或摊销产生的利得或损失，均计入当</w:t>
      </w:r>
      <w:r>
        <w:rPr>
          <w:spacing w:val="-64"/>
        </w:rPr>
        <w:t> </w:t>
      </w:r>
      <w:r>
        <w:rPr>
          <w:spacing w:val="-64"/>
        </w:rPr>
      </w:r>
      <w:r>
        <w:rPr/>
        <w:t>期损益。</w:t>
      </w:r>
    </w:p>
    <w:p>
      <w:pPr>
        <w:pStyle w:val="BodyText"/>
        <w:spacing w:line="468" w:lineRule="exact" w:before="10"/>
        <w:ind w:left="513" w:right="106"/>
        <w:jc w:val="left"/>
      </w:pPr>
      <w:r>
        <w:rPr/>
        <w:t>③贷款和应收款项 </w:t>
      </w:r>
      <w:r>
        <w:rPr>
          <w:spacing w:val="-2"/>
        </w:rPr>
        <w:t>是指在活跃市场中没有报价、回收金额固定或可确定的非衍生金融资产。本公司划分为贷款和应收款的金融资产包括应</w:t>
      </w:r>
    </w:p>
    <w:p>
      <w:pPr>
        <w:pStyle w:val="BodyText"/>
        <w:spacing w:line="240" w:lineRule="auto" w:before="8"/>
        <w:ind w:right="106"/>
        <w:jc w:val="left"/>
      </w:pPr>
      <w:r>
        <w:rPr/>
        <w:t>收票据、应收账款、应收利息、应收股利及其他应收款等。</w:t>
      </w:r>
    </w:p>
    <w:p>
      <w:pPr>
        <w:spacing w:line="240" w:lineRule="auto" w:before="10"/>
        <w:rPr>
          <w:rFonts w:ascii="宋体" w:hAnsi="宋体" w:cs="宋体" w:eastAsia="宋体" w:hint="default"/>
          <w:sz w:val="17"/>
          <w:szCs w:val="17"/>
        </w:rPr>
      </w:pPr>
    </w:p>
    <w:p>
      <w:pPr>
        <w:pStyle w:val="BodyText"/>
        <w:spacing w:line="316" w:lineRule="auto"/>
        <w:ind w:right="193" w:firstLine="360"/>
        <w:jc w:val="both"/>
      </w:pPr>
      <w:r>
        <w:rPr>
          <w:spacing w:val="-2"/>
        </w:rPr>
        <w:t>贷款和应收款项采用实际利率法，按摊余成本进行后续计量，在终止确认、发生减值或摊销时产生的利得或损失，计入</w:t>
      </w:r>
      <w:r>
        <w:rPr/>
        <w:t> 当期损益。</w:t>
      </w:r>
    </w:p>
    <w:p>
      <w:pPr>
        <w:pStyle w:val="BodyText"/>
        <w:spacing w:line="468" w:lineRule="exact" w:before="10"/>
        <w:ind w:left="513" w:right="93"/>
        <w:jc w:val="left"/>
      </w:pPr>
      <w:r>
        <w:rPr/>
        <w:t>④可供出售金融资产 包括初始确认时即被指定为可供出售的非衍生金融资产，以及除了以公允价值计量且其变动计入当期损益的金融资产、</w:t>
      </w:r>
    </w:p>
    <w:p>
      <w:pPr>
        <w:pStyle w:val="BodyText"/>
        <w:spacing w:line="240" w:lineRule="auto" w:before="8"/>
        <w:ind w:right="106"/>
        <w:jc w:val="left"/>
      </w:pPr>
      <w:r>
        <w:rPr/>
        <w:t>贷款和应收款项、持有至到期投资以外的金融资产。</w:t>
      </w:r>
    </w:p>
    <w:p>
      <w:pPr>
        <w:spacing w:line="240" w:lineRule="auto" w:before="10"/>
        <w:rPr>
          <w:rFonts w:ascii="宋体" w:hAnsi="宋体" w:cs="宋体" w:eastAsia="宋体" w:hint="default"/>
          <w:sz w:val="17"/>
          <w:szCs w:val="17"/>
        </w:rPr>
      </w:pPr>
    </w:p>
    <w:p>
      <w:pPr>
        <w:pStyle w:val="BodyText"/>
        <w:spacing w:line="316" w:lineRule="auto"/>
        <w:ind w:right="191" w:firstLine="360"/>
        <w:jc w:val="both"/>
      </w:pPr>
      <w:r>
        <w:rPr>
          <w:spacing w:val="-2"/>
        </w:rPr>
        <w:t>可供出售金融资产采用公允价值进行后续计量，公允价值变动形成的利得或损失，除减值损失和外币货币性金融资产与</w:t>
      </w:r>
      <w:r>
        <w:rPr/>
        <w:t> </w:t>
      </w:r>
      <w:r>
        <w:rPr>
          <w:spacing w:val="-2"/>
        </w:rPr>
        <w:t>摊余成本相关的汇兑差额计入当期损益外，确认为其他综合收益，在该金融资产终止确认时转出，计入当期损益。但是，在</w:t>
      </w:r>
      <w:r>
        <w:rPr>
          <w:spacing w:val="-67"/>
        </w:rPr>
        <w:t> </w:t>
      </w:r>
      <w:r>
        <w:rPr>
          <w:spacing w:val="-67"/>
        </w:rPr>
      </w:r>
      <w:r>
        <w:rPr>
          <w:spacing w:val="-2"/>
        </w:rPr>
        <w:t>活跃市场中没有报价且其公允价值不能可靠计量的权益工具投资，以及与该权益工具挂钩并须通过交付该权益工具结算的衍</w:t>
      </w:r>
      <w:r>
        <w:rPr>
          <w:spacing w:val="-64"/>
        </w:rPr>
        <w:t> </w:t>
      </w:r>
      <w:r>
        <w:rPr>
          <w:spacing w:val="-64"/>
        </w:rPr>
      </w:r>
      <w:r>
        <w:rPr/>
        <w:t>生金融资产，按照成本进行后续计量。</w:t>
      </w:r>
    </w:p>
    <w:p>
      <w:pPr>
        <w:pStyle w:val="BodyText"/>
        <w:spacing w:line="468" w:lineRule="exact" w:before="10"/>
        <w:ind w:left="513" w:right="93"/>
        <w:jc w:val="left"/>
      </w:pPr>
      <w:r>
        <w:rPr/>
        <w:t>可供出售金融资产持有期间取得的利息及被投资单位宣告发放的现金股利，计入投资收益。 金融负债在初始确认时划分为以公允价值计量且其变动计入当期损益的金融负债和其他金融负债。初始确认金融负债，</w:t>
      </w:r>
    </w:p>
    <w:p>
      <w:pPr>
        <w:pStyle w:val="BodyText"/>
        <w:spacing w:line="316" w:lineRule="auto" w:before="8"/>
        <w:ind w:right="106"/>
        <w:jc w:val="left"/>
      </w:pPr>
      <w:r>
        <w:rPr>
          <w:spacing w:val="-2"/>
        </w:rPr>
        <w:t>以公允价值计量。对于以公允价值计量且其变动计入当期损益的金融负债，相关的交易费用直接计入当期损益，对于其他金</w:t>
      </w:r>
      <w:r>
        <w:rPr>
          <w:spacing w:val="-62"/>
        </w:rPr>
        <w:t> </w:t>
      </w:r>
      <w:r>
        <w:rPr>
          <w:spacing w:val="-62"/>
        </w:rPr>
      </w:r>
      <w:r>
        <w:rPr/>
        <w:t>融负债，相关交易费用计入初始确认金额。</w:t>
      </w:r>
    </w:p>
    <w:p>
      <w:pPr>
        <w:spacing w:after="0" w:line="316"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240" w:lineRule="auto" w:before="44"/>
        <w:ind w:left="513" w:right="1134"/>
        <w:jc w:val="left"/>
      </w:pPr>
      <w:r>
        <w:rPr/>
        <w:t>①以公允价值计量且其变动计入当期损益的金融负债</w:t>
      </w:r>
    </w:p>
    <w:p>
      <w:pPr>
        <w:spacing w:line="240" w:lineRule="auto" w:before="10"/>
        <w:rPr>
          <w:rFonts w:ascii="宋体" w:hAnsi="宋体" w:cs="宋体" w:eastAsia="宋体" w:hint="default"/>
          <w:sz w:val="17"/>
          <w:szCs w:val="17"/>
        </w:rPr>
      </w:pPr>
    </w:p>
    <w:p>
      <w:pPr>
        <w:pStyle w:val="BodyText"/>
        <w:spacing w:line="316" w:lineRule="auto"/>
        <w:ind w:right="150" w:firstLine="360"/>
        <w:jc w:val="both"/>
      </w:pPr>
      <w:r>
        <w:rPr>
          <w:spacing w:val="-2"/>
        </w:rPr>
        <w:t>以公允价值计量且其变动计入当期损益的金融负债，包括交易性金融负债和初始确认时指定为以公允价值计量且其变动</w:t>
      </w:r>
      <w:r>
        <w:rPr/>
        <w:t> </w:t>
      </w:r>
      <w:r>
        <w:rPr>
          <w:spacing w:val="-2"/>
        </w:rPr>
        <w:t>计入当期损益的金融负债。对于此类金融负债，按照公允价值进行后续计量，公允价值变动形成的利得或损失以及与该等金</w:t>
      </w:r>
      <w:r>
        <w:rPr>
          <w:spacing w:val="-63"/>
        </w:rPr>
        <w:t> </w:t>
      </w:r>
      <w:r>
        <w:rPr>
          <w:spacing w:val="-63"/>
        </w:rPr>
      </w:r>
      <w:r>
        <w:rPr/>
        <w:t>融负债相关的股利和利息支出计入当期损益。</w:t>
      </w:r>
    </w:p>
    <w:p>
      <w:pPr>
        <w:pStyle w:val="BodyText"/>
        <w:spacing w:line="468" w:lineRule="exact" w:before="10"/>
        <w:ind w:left="513" w:right="0"/>
        <w:jc w:val="left"/>
      </w:pPr>
      <w:r>
        <w:rPr/>
        <w:t>②其他金融负债 </w:t>
      </w:r>
      <w:r>
        <w:rPr>
          <w:spacing w:val="-2"/>
        </w:rPr>
        <w:t>与在活跃市场中没有报价、公允价值不能可靠计量的权益工具挂钩并须通过交付该权益工具结算的衍生金融负债，按照</w:t>
      </w:r>
    </w:p>
    <w:p>
      <w:pPr>
        <w:pStyle w:val="BodyText"/>
        <w:spacing w:line="316" w:lineRule="auto" w:before="8"/>
        <w:ind w:right="0"/>
        <w:jc w:val="left"/>
      </w:pPr>
      <w:r>
        <w:rPr>
          <w:spacing w:val="-2"/>
        </w:rPr>
        <w:t>成本进行后续计量。其他金融负债采用实际利率法，按摊余成本进行后续计量，终止确认或摊销产生的利得或损失计入当期</w:t>
      </w:r>
      <w:r>
        <w:rPr>
          <w:spacing w:val="-63"/>
        </w:rPr>
        <w:t> </w:t>
      </w:r>
      <w:r>
        <w:rPr>
          <w:spacing w:val="-63"/>
        </w:rPr>
      </w:r>
      <w:r>
        <w:rPr/>
        <w:t>损益。</w:t>
      </w:r>
    </w:p>
    <w:p>
      <w:pPr>
        <w:spacing w:line="240" w:lineRule="auto" w:before="5"/>
        <w:rPr>
          <w:rFonts w:ascii="宋体" w:hAnsi="宋体" w:cs="宋体" w:eastAsia="宋体" w:hint="default"/>
          <w:sz w:val="13"/>
          <w:szCs w:val="13"/>
        </w:rPr>
      </w:pPr>
    </w:p>
    <w:p>
      <w:pPr>
        <w:pStyle w:val="BodyText"/>
        <w:spacing w:line="240" w:lineRule="auto"/>
        <w:ind w:left="513" w:right="1134"/>
        <w:jc w:val="left"/>
      </w:pPr>
      <w:r>
        <w:rPr/>
        <w:t>（</w:t>
      </w:r>
      <w:r>
        <w:rPr>
          <w:rFonts w:ascii="宋体" w:hAnsi="宋体" w:cs="宋体" w:eastAsia="宋体" w:hint="default"/>
        </w:rPr>
        <w:t>3</w:t>
      </w:r>
      <w:r>
        <w:rPr/>
        <w:t>）金融资产转移的确认依据和计量方法</w:t>
      </w:r>
    </w:p>
    <w:p>
      <w:pPr>
        <w:pStyle w:val="BodyText"/>
        <w:spacing w:line="460" w:lineRule="atLeast" w:before="8"/>
        <w:ind w:left="513" w:right="0"/>
        <w:jc w:val="left"/>
      </w:pPr>
      <w:r>
        <w:rPr/>
        <w:t>金融资产转移，是指将金融资产让与或交付给该金融资产发行方以外的另一方（转入方）。 </w:t>
      </w:r>
      <w:r>
        <w:rPr>
          <w:spacing w:val="-2"/>
        </w:rPr>
        <w:t>本公司已将金融资产所有权上几乎所有的风险和报酬转移给转入方的，终止确认该金融资产；保留了金融资产所有权上</w:t>
      </w:r>
    </w:p>
    <w:p>
      <w:pPr>
        <w:pStyle w:val="BodyText"/>
        <w:spacing w:line="240" w:lineRule="auto" w:before="76"/>
        <w:ind w:right="1134"/>
        <w:jc w:val="left"/>
      </w:pPr>
      <w:r>
        <w:rPr/>
        <w:t>几乎所有的风险和报酬的，不终止确认该金融资产。</w:t>
      </w:r>
    </w:p>
    <w:p>
      <w:pPr>
        <w:spacing w:line="240" w:lineRule="auto" w:before="10"/>
        <w:rPr>
          <w:rFonts w:ascii="宋体" w:hAnsi="宋体" w:cs="宋体" w:eastAsia="宋体" w:hint="default"/>
          <w:sz w:val="17"/>
          <w:szCs w:val="17"/>
        </w:rPr>
      </w:pPr>
    </w:p>
    <w:p>
      <w:pPr>
        <w:pStyle w:val="BodyText"/>
        <w:spacing w:line="316" w:lineRule="auto"/>
        <w:ind w:right="150" w:firstLine="360"/>
        <w:jc w:val="both"/>
      </w:pPr>
      <w:r>
        <w:rPr>
          <w:spacing w:val="-2"/>
        </w:rPr>
        <w:t>本公司既没有转移也没有保留金融资产所有权上几乎所有的风险和报酬的，分别下列情况处理：放弃了对该金融资产控</w:t>
      </w:r>
      <w:r>
        <w:rPr/>
        <w:t> </w:t>
      </w:r>
      <w:r>
        <w:rPr>
          <w:spacing w:val="-2"/>
        </w:rPr>
        <w:t>制的，终止确认该金融资产并确认产生的资产和负债；未放弃对该金融资产控制的，按照其继续涉入所转移金融资产的程度</w:t>
      </w:r>
      <w:r>
        <w:rPr>
          <w:spacing w:val="-63"/>
        </w:rPr>
        <w:t> </w:t>
      </w:r>
      <w:r>
        <w:rPr>
          <w:spacing w:val="-63"/>
        </w:rPr>
      </w:r>
      <w:r>
        <w:rPr/>
        <w:t>确认有关金融资产，并相应确认有关负债。</w:t>
      </w:r>
    </w:p>
    <w:p>
      <w:pPr>
        <w:pStyle w:val="BodyText"/>
        <w:spacing w:line="468" w:lineRule="exact" w:before="10"/>
        <w:ind w:left="513" w:right="0"/>
        <w:jc w:val="left"/>
      </w:pPr>
      <w:r>
        <w:rPr/>
        <w:t>（</w:t>
      </w:r>
      <w:r>
        <w:rPr>
          <w:rFonts w:ascii="宋体" w:hAnsi="宋体" w:cs="宋体" w:eastAsia="宋体" w:hint="default"/>
        </w:rPr>
        <w:t>4</w:t>
      </w:r>
      <w:r>
        <w:rPr/>
        <w:t>）金融负债终止确认条件 </w:t>
      </w:r>
      <w:r>
        <w:rPr>
          <w:spacing w:val="-2"/>
        </w:rPr>
        <w:t>金融负债的现实义务全部或部分已经解除的，才能终止确认该金融负债或其一部分。公司将用于偿付金融负债的资产转</w:t>
      </w:r>
    </w:p>
    <w:p>
      <w:pPr>
        <w:pStyle w:val="BodyText"/>
        <w:spacing w:line="240" w:lineRule="auto" w:before="8"/>
        <w:ind w:right="153"/>
        <w:jc w:val="left"/>
      </w:pPr>
      <w:r>
        <w:rPr/>
        <w:t>入某个机构或设立信托，偿付债务的现实义务仍存在的，不应当终止确认该金融负债，也不能终止确认转出的资产。</w:t>
      </w:r>
    </w:p>
    <w:p>
      <w:pPr>
        <w:spacing w:line="240" w:lineRule="auto" w:before="10"/>
        <w:rPr>
          <w:rFonts w:ascii="宋体" w:hAnsi="宋体" w:cs="宋体" w:eastAsia="宋体" w:hint="default"/>
          <w:sz w:val="17"/>
          <w:szCs w:val="17"/>
        </w:rPr>
      </w:pPr>
    </w:p>
    <w:p>
      <w:pPr>
        <w:pStyle w:val="BodyText"/>
        <w:spacing w:line="316" w:lineRule="auto"/>
        <w:ind w:right="150" w:firstLine="360"/>
        <w:jc w:val="both"/>
      </w:pPr>
      <w:r>
        <w:rPr>
          <w:spacing w:val="-2"/>
        </w:rPr>
        <w:t>公司与债权人之间签订协议，以承担新金融负债方式替换现存金融负债，且新金融负债与现存金融负债的合同条款实质</w:t>
      </w:r>
      <w:r>
        <w:rPr/>
        <w:t> </w:t>
      </w:r>
      <w:r>
        <w:rPr>
          <w:spacing w:val="-2"/>
        </w:rPr>
        <w:t>上不同的，应当终止确认现存金融负债，并同时确认新金融负债。公司对现存金融负债全部或部分的合同条款做出实质性修</w:t>
      </w:r>
      <w:r>
        <w:rPr>
          <w:spacing w:val="-63"/>
        </w:rPr>
        <w:t> </w:t>
      </w:r>
      <w:r>
        <w:rPr>
          <w:spacing w:val="-63"/>
        </w:rPr>
      </w:r>
      <w:r>
        <w:rPr/>
        <w:t>改的，应当终止确认现存金融负债或其一部分，同时将修改条款后的金融负债确认为一项新金融负债。</w:t>
      </w:r>
    </w:p>
    <w:p>
      <w:pPr>
        <w:spacing w:line="240" w:lineRule="auto" w:before="5"/>
        <w:rPr>
          <w:rFonts w:ascii="宋体" w:hAnsi="宋体" w:cs="宋体" w:eastAsia="宋体" w:hint="default"/>
          <w:sz w:val="13"/>
          <w:szCs w:val="13"/>
        </w:rPr>
      </w:pPr>
    </w:p>
    <w:p>
      <w:pPr>
        <w:pStyle w:val="BodyText"/>
        <w:spacing w:line="316" w:lineRule="auto"/>
        <w:ind w:right="152" w:firstLine="360"/>
        <w:jc w:val="both"/>
      </w:pPr>
      <w:r>
        <w:rPr>
          <w:spacing w:val="-2"/>
        </w:rPr>
        <w:t>金融负债全部或部分终止确认的，公司应当将终止确认部分的账面价值于支付的对价（包括转出的非现金资产或承担的</w:t>
      </w:r>
      <w:r>
        <w:rPr/>
        <w:t> 新金融负债）之间的差额，计入当期损益。</w:t>
      </w:r>
    </w:p>
    <w:p>
      <w:pPr>
        <w:spacing w:line="240" w:lineRule="auto" w:before="5"/>
        <w:rPr>
          <w:rFonts w:ascii="宋体" w:hAnsi="宋体" w:cs="宋体" w:eastAsia="宋体" w:hint="default"/>
          <w:sz w:val="13"/>
          <w:szCs w:val="13"/>
        </w:rPr>
      </w:pPr>
    </w:p>
    <w:p>
      <w:pPr>
        <w:pStyle w:val="BodyText"/>
        <w:spacing w:line="316" w:lineRule="auto"/>
        <w:ind w:right="150" w:firstLine="360"/>
        <w:jc w:val="both"/>
      </w:pPr>
      <w:r>
        <w:rPr>
          <w:spacing w:val="-2"/>
        </w:rPr>
        <w:t>公司回购金融负债一部分的，应当在回购日按照继续确认部分或终止确认部分的相对公允价值，将该金融负债整体的账</w:t>
      </w:r>
      <w:r>
        <w:rPr/>
        <w:t> </w:t>
      </w:r>
      <w:r>
        <w:rPr>
          <w:spacing w:val="-5"/>
        </w:rPr>
        <w:t>面价值进行分配。分配给终止确认部分的账面价值与支付的对价（包括转出的非现金资产或承担的新金融负债）之间的差额，</w:t>
      </w:r>
      <w:r>
        <w:rPr>
          <w:spacing w:val="-76"/>
        </w:rPr>
        <w:t> </w:t>
      </w:r>
      <w:r>
        <w:rPr>
          <w:spacing w:val="-76"/>
        </w:rPr>
      </w:r>
      <w:r>
        <w:rPr/>
        <w:t>计入当期损益。</w:t>
      </w:r>
    </w:p>
    <w:p>
      <w:pPr>
        <w:pStyle w:val="BodyText"/>
        <w:spacing w:line="468" w:lineRule="exact" w:before="11"/>
        <w:ind w:left="513" w:right="0"/>
        <w:jc w:val="left"/>
      </w:pPr>
      <w:r>
        <w:rPr/>
        <w:t>（</w:t>
      </w:r>
      <w:r>
        <w:rPr>
          <w:rFonts w:ascii="宋体" w:hAnsi="宋体" w:cs="宋体" w:eastAsia="宋体" w:hint="default"/>
        </w:rPr>
        <w:t>5</w:t>
      </w:r>
      <w:r>
        <w:rPr/>
        <w:t>）金融资产和金融负债的公允价值确定方法 公允价值，指在公平交易中，熟悉情况的交易双方自愿进行资产交换或债务清偿的金额。 存在活跃市场的金融资产或金融负债，本公司采用活跃市场中的报价确定其公允价值。 </w:t>
      </w:r>
      <w:r>
        <w:rPr>
          <w:spacing w:val="-2"/>
        </w:rPr>
        <w:t>金融工具不存在活跃市场的，本公司采用估值技术确定其公允价值。采用估值技术得出的结果，反映估值日在公平交易</w:t>
      </w:r>
    </w:p>
    <w:p>
      <w:pPr>
        <w:pStyle w:val="BodyText"/>
        <w:spacing w:line="316" w:lineRule="auto" w:before="8"/>
        <w:ind w:right="0"/>
        <w:jc w:val="left"/>
      </w:pPr>
      <w:r>
        <w:rPr>
          <w:spacing w:val="-2"/>
        </w:rPr>
        <w:t>中可能采用的交易价格。估值技术包括参考熟悉情况并自愿交易的各方最近进行的市场交易中使用的价格、参照实质上相同</w:t>
      </w:r>
      <w:r>
        <w:rPr>
          <w:spacing w:val="-63"/>
        </w:rPr>
        <w:t> </w:t>
      </w:r>
      <w:r>
        <w:rPr>
          <w:spacing w:val="-63"/>
        </w:rPr>
      </w:r>
      <w:r>
        <w:rPr/>
        <w:t>的其他金融工具的当前公允价值、现金流量折现法和期权定价模型等。</w:t>
      </w:r>
    </w:p>
    <w:p>
      <w:pPr>
        <w:spacing w:line="240" w:lineRule="auto" w:before="5"/>
        <w:rPr>
          <w:rFonts w:ascii="宋体" w:hAnsi="宋体" w:cs="宋体" w:eastAsia="宋体" w:hint="default"/>
          <w:sz w:val="13"/>
          <w:szCs w:val="13"/>
        </w:rPr>
      </w:pPr>
    </w:p>
    <w:p>
      <w:pPr>
        <w:pStyle w:val="BodyText"/>
        <w:spacing w:line="319" w:lineRule="auto"/>
        <w:ind w:right="152" w:firstLine="360"/>
        <w:jc w:val="both"/>
      </w:pPr>
      <w:r>
        <w:rPr>
          <w:spacing w:val="-2"/>
        </w:rPr>
        <w:t>本公司选择市场参与者普遍认同，且被以往市场实际交易价格验证具有可靠性的估值技术确定金融工具的公允价值。采</w:t>
      </w:r>
      <w:r>
        <w:rPr/>
        <w:t> </w:t>
      </w:r>
      <w:r>
        <w:rPr>
          <w:spacing w:val="-2"/>
        </w:rPr>
        <w:t>用估值技术确定金融工具的公允价值时，本公司尽可能使用市场参与者在金融工具定价时考虑的所有市场参数和相同金融工</w:t>
      </w:r>
      <w:r>
        <w:rPr>
          <w:spacing w:val="-64"/>
        </w:rPr>
        <w:t> </w:t>
      </w:r>
      <w:r>
        <w:rPr>
          <w:spacing w:val="-64"/>
        </w:rPr>
      </w:r>
      <w:r>
        <w:rPr/>
        <w:t>具当前市场的可观察到的交易价格来测试估值技术的有效性。</w:t>
      </w:r>
    </w:p>
    <w:p>
      <w:pPr>
        <w:spacing w:after="0" w:line="319" w:lineRule="auto"/>
        <w:jc w:val="both"/>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before="44"/>
        <w:ind w:left="513" w:right="191"/>
        <w:jc w:val="left"/>
      </w:pPr>
      <w:r>
        <w:rPr/>
        <w:t>（</w:t>
      </w:r>
      <w:r>
        <w:rPr>
          <w:rFonts w:ascii="宋体" w:hAnsi="宋体" w:cs="宋体" w:eastAsia="宋体" w:hint="default"/>
        </w:rPr>
        <w:t>6</w:t>
      </w:r>
      <w:r>
        <w:rPr/>
        <w:t>）金融资产减值</w:t>
      </w:r>
    </w:p>
    <w:p>
      <w:pPr>
        <w:spacing w:line="240" w:lineRule="auto" w:before="10"/>
        <w:rPr>
          <w:rFonts w:ascii="宋体" w:hAnsi="宋体" w:cs="宋体" w:eastAsia="宋体" w:hint="default"/>
          <w:sz w:val="17"/>
          <w:szCs w:val="17"/>
        </w:rPr>
      </w:pPr>
    </w:p>
    <w:p>
      <w:pPr>
        <w:pStyle w:val="BodyText"/>
        <w:spacing w:line="316" w:lineRule="auto"/>
        <w:ind w:right="0" w:firstLine="360"/>
        <w:jc w:val="left"/>
      </w:pPr>
      <w:r>
        <w:rPr>
          <w:spacing w:val="-2"/>
        </w:rPr>
        <w:t>除了以公允价值计量且其变动计入当期损益的金融资产外，本公司于资产负债表日对其他金融资产的账面价值进行检查，</w:t>
      </w:r>
      <w:r>
        <w:rPr/>
        <w:t> 有客观证据表明该金融资产发生减值的，计提减值准备。表明金融资产发生减值的客观证据，是指金融资产初始确认后实际 发生的、对该金融资产的预计未来现金流量有影响，且企业能够对该影响进行可靠计量的事项。</w:t>
      </w:r>
    </w:p>
    <w:p>
      <w:pPr>
        <w:spacing w:line="240" w:lineRule="auto" w:before="5"/>
        <w:rPr>
          <w:rFonts w:ascii="宋体" w:hAnsi="宋体" w:cs="宋体" w:eastAsia="宋体" w:hint="default"/>
          <w:sz w:val="13"/>
          <w:szCs w:val="13"/>
        </w:rPr>
      </w:pPr>
    </w:p>
    <w:p>
      <w:pPr>
        <w:pStyle w:val="BodyText"/>
        <w:spacing w:line="240" w:lineRule="auto"/>
        <w:ind w:left="513" w:right="191"/>
        <w:jc w:val="left"/>
      </w:pPr>
      <w:r>
        <w:rPr/>
        <w:t>金融资产发生减值的客观证据，包括下列可观察到的情形：</w:t>
      </w:r>
    </w:p>
    <w:p>
      <w:pPr>
        <w:spacing w:line="240" w:lineRule="auto" w:before="10"/>
        <w:rPr>
          <w:rFonts w:ascii="宋体" w:hAnsi="宋体" w:cs="宋体" w:eastAsia="宋体" w:hint="default"/>
          <w:sz w:val="17"/>
          <w:szCs w:val="17"/>
        </w:rPr>
      </w:pPr>
    </w:p>
    <w:p>
      <w:pPr>
        <w:pStyle w:val="BodyText"/>
        <w:spacing w:line="240" w:lineRule="auto"/>
        <w:ind w:left="513" w:right="191"/>
        <w:jc w:val="left"/>
      </w:pPr>
      <w:r>
        <w:rPr/>
        <w:t>①行方或债务人发生严重财务困难；</w:t>
      </w:r>
    </w:p>
    <w:p>
      <w:pPr>
        <w:spacing w:line="240" w:lineRule="auto" w:before="10"/>
        <w:rPr>
          <w:rFonts w:ascii="宋体" w:hAnsi="宋体" w:cs="宋体" w:eastAsia="宋体" w:hint="default"/>
          <w:sz w:val="17"/>
          <w:szCs w:val="17"/>
        </w:rPr>
      </w:pPr>
    </w:p>
    <w:p>
      <w:pPr>
        <w:pStyle w:val="BodyText"/>
        <w:spacing w:line="240" w:lineRule="auto"/>
        <w:ind w:left="513" w:right="191"/>
        <w:jc w:val="left"/>
      </w:pPr>
      <w:r>
        <w:rPr/>
        <w:t>②债务人违反了合同条款，如偿付利息或本金发生违约或逾期等；</w:t>
      </w:r>
    </w:p>
    <w:p>
      <w:pPr>
        <w:spacing w:line="240" w:lineRule="auto" w:before="10"/>
        <w:rPr>
          <w:rFonts w:ascii="宋体" w:hAnsi="宋体" w:cs="宋体" w:eastAsia="宋体" w:hint="default"/>
          <w:sz w:val="17"/>
          <w:szCs w:val="17"/>
        </w:rPr>
      </w:pPr>
    </w:p>
    <w:p>
      <w:pPr>
        <w:pStyle w:val="BodyText"/>
        <w:spacing w:line="240" w:lineRule="auto"/>
        <w:ind w:left="513" w:right="191"/>
        <w:jc w:val="left"/>
      </w:pPr>
      <w:r>
        <w:rPr/>
        <w:t>③本公司出于经济或法律等方面因素的考虑，对发生财务困难的债务人作出让步；</w:t>
      </w:r>
    </w:p>
    <w:p>
      <w:pPr>
        <w:spacing w:line="240" w:lineRule="auto" w:before="11"/>
        <w:rPr>
          <w:rFonts w:ascii="宋体" w:hAnsi="宋体" w:cs="宋体" w:eastAsia="宋体" w:hint="default"/>
          <w:sz w:val="17"/>
          <w:szCs w:val="17"/>
        </w:rPr>
      </w:pPr>
    </w:p>
    <w:p>
      <w:pPr>
        <w:pStyle w:val="BodyText"/>
        <w:spacing w:line="240" w:lineRule="auto"/>
        <w:ind w:left="513" w:right="191"/>
        <w:jc w:val="left"/>
      </w:pPr>
      <w:r>
        <w:rPr/>
        <w:t>④债务人很可能倒闭或者进行其他财务重组；</w:t>
      </w:r>
    </w:p>
    <w:p>
      <w:pPr>
        <w:spacing w:line="240" w:lineRule="auto" w:before="10"/>
        <w:rPr>
          <w:rFonts w:ascii="宋体" w:hAnsi="宋体" w:cs="宋体" w:eastAsia="宋体" w:hint="default"/>
          <w:sz w:val="17"/>
          <w:szCs w:val="17"/>
        </w:rPr>
      </w:pPr>
    </w:p>
    <w:p>
      <w:pPr>
        <w:pStyle w:val="BodyText"/>
        <w:spacing w:line="240" w:lineRule="auto"/>
        <w:ind w:left="513" w:right="191"/>
        <w:jc w:val="left"/>
      </w:pPr>
      <w:r>
        <w:rPr/>
        <w:t>⑤因发行方发生重大财务困难，导致金融资产无法在活跃市场继续交易；</w:t>
      </w:r>
    </w:p>
    <w:p>
      <w:pPr>
        <w:spacing w:line="240" w:lineRule="auto" w:before="10"/>
        <w:rPr>
          <w:rFonts w:ascii="宋体" w:hAnsi="宋体" w:cs="宋体" w:eastAsia="宋体" w:hint="default"/>
          <w:sz w:val="17"/>
          <w:szCs w:val="17"/>
        </w:rPr>
      </w:pPr>
    </w:p>
    <w:p>
      <w:pPr>
        <w:pStyle w:val="BodyText"/>
        <w:spacing w:line="316" w:lineRule="auto"/>
        <w:ind w:right="191" w:firstLine="360"/>
        <w:jc w:val="left"/>
      </w:pPr>
      <w:r>
        <w:rPr>
          <w:spacing w:val="-2"/>
        </w:rPr>
        <w:t>⑥无法辨认一组金融资产中的某项资产的现金流量是否已经减少，但根据公开的数据对其进行总体评价后发现，该组金</w:t>
      </w:r>
      <w:r>
        <w:rPr/>
        <w:t> 融资产自初始确认以来的预计未来现金流量确已减少且可计量，包括：</w:t>
      </w:r>
    </w:p>
    <w:p>
      <w:pPr>
        <w:spacing w:line="240" w:lineRule="auto" w:before="5"/>
        <w:rPr>
          <w:rFonts w:ascii="宋体" w:hAnsi="宋体" w:cs="宋体" w:eastAsia="宋体" w:hint="default"/>
          <w:sz w:val="13"/>
          <w:szCs w:val="13"/>
        </w:rPr>
      </w:pPr>
    </w:p>
    <w:p>
      <w:pPr>
        <w:pStyle w:val="BodyText"/>
        <w:spacing w:line="240" w:lineRule="auto"/>
        <w:ind w:left="513" w:right="191"/>
        <w:jc w:val="left"/>
      </w:pPr>
      <w:r>
        <w:rPr>
          <w:rFonts w:ascii="宋体" w:hAnsi="宋体" w:cs="宋体" w:eastAsia="宋体" w:hint="default"/>
        </w:rPr>
        <w:t>-</w:t>
      </w:r>
      <w:r>
        <w:rPr/>
        <w:t>该组金融资产的债务人支付能力逐步恶化；</w:t>
      </w:r>
    </w:p>
    <w:p>
      <w:pPr>
        <w:spacing w:line="240" w:lineRule="auto" w:before="10"/>
        <w:rPr>
          <w:rFonts w:ascii="宋体" w:hAnsi="宋体" w:cs="宋体" w:eastAsia="宋体" w:hint="default"/>
          <w:sz w:val="17"/>
          <w:szCs w:val="17"/>
        </w:rPr>
      </w:pPr>
    </w:p>
    <w:p>
      <w:pPr>
        <w:pStyle w:val="BodyText"/>
        <w:spacing w:line="240" w:lineRule="auto"/>
        <w:ind w:left="513" w:right="191"/>
        <w:jc w:val="left"/>
      </w:pPr>
      <w:r>
        <w:rPr>
          <w:rFonts w:ascii="宋体" w:hAnsi="宋体" w:cs="宋体" w:eastAsia="宋体" w:hint="default"/>
        </w:rPr>
        <w:t>-</w:t>
      </w:r>
      <w:r>
        <w:rPr/>
        <w:t>债务人所在国家或地区经济出现了可能导致该组金融资产无法支付的状况；</w:t>
      </w:r>
    </w:p>
    <w:p>
      <w:pPr>
        <w:spacing w:line="240" w:lineRule="auto" w:before="10"/>
        <w:rPr>
          <w:rFonts w:ascii="宋体" w:hAnsi="宋体" w:cs="宋体" w:eastAsia="宋体" w:hint="default"/>
          <w:sz w:val="17"/>
          <w:szCs w:val="17"/>
        </w:rPr>
      </w:pPr>
    </w:p>
    <w:p>
      <w:pPr>
        <w:pStyle w:val="BodyText"/>
        <w:spacing w:line="240" w:lineRule="auto"/>
        <w:ind w:left="513" w:right="191"/>
        <w:jc w:val="left"/>
      </w:pPr>
      <w:r>
        <w:rPr/>
        <w:t>⑦债务人经营所处的技术、市场、经济或法律环境等发生重大不利变化，使权益工具投资人可能无法收回投资成本；</w:t>
      </w:r>
    </w:p>
    <w:p>
      <w:pPr>
        <w:spacing w:line="240" w:lineRule="auto" w:before="10"/>
        <w:rPr>
          <w:rFonts w:ascii="宋体" w:hAnsi="宋体" w:cs="宋体" w:eastAsia="宋体" w:hint="default"/>
          <w:sz w:val="17"/>
          <w:szCs w:val="17"/>
        </w:rPr>
      </w:pPr>
    </w:p>
    <w:p>
      <w:pPr>
        <w:pStyle w:val="BodyText"/>
        <w:spacing w:line="316" w:lineRule="auto"/>
        <w:ind w:right="191" w:firstLine="360"/>
        <w:jc w:val="left"/>
      </w:pPr>
      <w:r>
        <w:rPr>
          <w:spacing w:val="-2"/>
        </w:rPr>
        <w:t>⑧权益工具投资的公允价值发生严重或非暂时性下跌，如权益工具投资于资产负债表日的公允价值低于其初始投资成本</w:t>
      </w:r>
      <w:r>
        <w:rPr/>
        <w:t> 超过</w:t>
      </w:r>
      <w:r>
        <w:rPr>
          <w:rFonts w:ascii="宋体" w:hAnsi="宋体" w:cs="宋体" w:eastAsia="宋体" w:hint="default"/>
        </w:rPr>
        <w:t>50%</w:t>
      </w:r>
      <w:r>
        <w:rPr/>
        <w:t>（含</w:t>
      </w:r>
      <w:r>
        <w:rPr>
          <w:rFonts w:ascii="宋体" w:hAnsi="宋体" w:cs="宋体" w:eastAsia="宋体" w:hint="default"/>
        </w:rPr>
        <w:t>50%</w:t>
      </w:r>
      <w:r>
        <w:rPr/>
        <w:t>）或低于其初始投资成本持续时间超过</w:t>
      </w:r>
      <w:r>
        <w:rPr>
          <w:rFonts w:ascii="宋体" w:hAnsi="宋体" w:cs="宋体" w:eastAsia="宋体" w:hint="default"/>
        </w:rPr>
        <w:t>12</w:t>
      </w:r>
      <w:r>
        <w:rPr/>
        <w:t>个月（含</w:t>
      </w:r>
      <w:r>
        <w:rPr>
          <w:rFonts w:ascii="宋体" w:hAnsi="宋体" w:cs="宋体" w:eastAsia="宋体" w:hint="default"/>
        </w:rPr>
        <w:t>12</w:t>
      </w:r>
      <w:r>
        <w:rPr/>
        <w:t>个月）。</w:t>
      </w:r>
    </w:p>
    <w:p>
      <w:pPr>
        <w:spacing w:line="240" w:lineRule="auto" w:before="5"/>
        <w:rPr>
          <w:rFonts w:ascii="宋体" w:hAnsi="宋体" w:cs="宋体" w:eastAsia="宋体" w:hint="default"/>
          <w:sz w:val="13"/>
          <w:szCs w:val="13"/>
        </w:rPr>
      </w:pPr>
    </w:p>
    <w:p>
      <w:pPr>
        <w:pStyle w:val="BodyText"/>
        <w:spacing w:line="316" w:lineRule="auto"/>
        <w:ind w:right="191" w:firstLine="360"/>
        <w:jc w:val="left"/>
      </w:pPr>
      <w:r>
        <w:rPr>
          <w:spacing w:val="-2"/>
        </w:rPr>
        <w:t>低于其初始投资成本持续时间超过</w:t>
      </w:r>
      <w:r>
        <w:rPr>
          <w:rFonts w:ascii="宋体" w:hAnsi="宋体" w:cs="宋体" w:eastAsia="宋体" w:hint="default"/>
          <w:spacing w:val="-2"/>
        </w:rPr>
        <w:t>12</w:t>
      </w:r>
      <w:r>
        <w:rPr>
          <w:spacing w:val="-2"/>
        </w:rPr>
        <w:t>个月（含</w:t>
      </w:r>
      <w:r>
        <w:rPr>
          <w:rFonts w:ascii="宋体" w:hAnsi="宋体" w:cs="宋体" w:eastAsia="宋体" w:hint="default"/>
          <w:spacing w:val="-2"/>
        </w:rPr>
        <w:t>12</w:t>
      </w:r>
      <w:r>
        <w:rPr>
          <w:spacing w:val="-2"/>
        </w:rPr>
        <w:t>个月）是指，权益工具投资公允价值月度均值连续</w:t>
      </w:r>
      <w:r>
        <w:rPr>
          <w:rFonts w:ascii="宋体" w:hAnsi="宋体" w:cs="宋体" w:eastAsia="宋体" w:hint="default"/>
          <w:spacing w:val="-2"/>
        </w:rPr>
        <w:t>12</w:t>
      </w:r>
      <w:r>
        <w:rPr>
          <w:spacing w:val="-2"/>
        </w:rPr>
        <w:t>个月均低于其初始</w:t>
      </w:r>
      <w:r>
        <w:rPr/>
        <w:t> 投资成本。</w:t>
      </w:r>
    </w:p>
    <w:p>
      <w:pPr>
        <w:pStyle w:val="BodyText"/>
        <w:spacing w:line="468" w:lineRule="exact" w:before="10"/>
        <w:ind w:left="513" w:right="191"/>
        <w:jc w:val="left"/>
      </w:pPr>
      <w:r>
        <w:rPr/>
        <w:t>⑨其他表明金融资产发生减值的客观证据。 </w:t>
      </w:r>
      <w:r>
        <w:rPr>
          <w:spacing w:val="-2"/>
        </w:rPr>
        <w:t>本公司对可供出售权益工具投资的公允价值下跌“严重”的标准为：如果单项可供出售金融资产的公允价值出现较大幅</w:t>
      </w:r>
    </w:p>
    <w:p>
      <w:pPr>
        <w:pStyle w:val="BodyText"/>
        <w:spacing w:line="240" w:lineRule="auto" w:before="8"/>
        <w:ind w:right="191"/>
        <w:jc w:val="left"/>
      </w:pPr>
      <w:r>
        <w:rPr/>
        <w:t>度下降，超过其持有成本的</w:t>
      </w:r>
      <w:r>
        <w:rPr>
          <w:rFonts w:ascii="宋体" w:hAnsi="宋体" w:cs="宋体" w:eastAsia="宋体" w:hint="default"/>
        </w:rPr>
        <w:t>50%</w:t>
      </w:r>
      <w:r>
        <w:rPr/>
        <w:t>，认定该可供出售金融资产已发生减值为严重的，应计提减值准备，确认减值损失。</w:t>
      </w:r>
    </w:p>
    <w:p>
      <w:pPr>
        <w:spacing w:line="240" w:lineRule="auto" w:before="10"/>
        <w:rPr>
          <w:rFonts w:ascii="宋体" w:hAnsi="宋体" w:cs="宋体" w:eastAsia="宋体" w:hint="default"/>
          <w:sz w:val="17"/>
          <w:szCs w:val="17"/>
        </w:rPr>
      </w:pPr>
    </w:p>
    <w:p>
      <w:pPr>
        <w:pStyle w:val="BodyText"/>
        <w:spacing w:line="319" w:lineRule="auto"/>
        <w:ind w:right="291" w:firstLine="360"/>
        <w:jc w:val="both"/>
      </w:pPr>
      <w:r>
        <w:rPr>
          <w:spacing w:val="-2"/>
        </w:rPr>
        <w:t>本公司对可供出售权益工具投资的公允价值下跌“非暂时性”的标准为：如果单项可供出售金融资产的公允价值出现较</w:t>
      </w:r>
      <w:r>
        <w:rPr/>
        <w:t> </w:t>
      </w:r>
      <w:r>
        <w:rPr>
          <w:spacing w:val="-2"/>
        </w:rPr>
        <w:t>大幅度下降，预期这种下降趋势属于非暂时性的，持续时间超过一年，且在整个持有期间得不到根本改变时，认定该可供出</w:t>
      </w:r>
      <w:r>
        <w:rPr>
          <w:spacing w:val="-65"/>
        </w:rPr>
        <w:t> </w:t>
      </w:r>
      <w:r>
        <w:rPr>
          <w:spacing w:val="-65"/>
        </w:rPr>
      </w:r>
      <w:r>
        <w:rPr/>
        <w:t>售金融资产已发生减值为非暂时性的，应计提减值准备，确认减值损失。</w:t>
      </w:r>
    </w:p>
    <w:p>
      <w:pPr>
        <w:pStyle w:val="BodyText"/>
        <w:spacing w:line="468" w:lineRule="exact" w:before="9"/>
        <w:ind w:left="513" w:right="191"/>
        <w:jc w:val="left"/>
      </w:pPr>
      <w:r>
        <w:rPr/>
        <w:t>以摊余成本计量的金融资产 </w:t>
      </w:r>
      <w:r>
        <w:rPr>
          <w:spacing w:val="-2"/>
        </w:rPr>
        <w:t>如果有客观证据表明该金融资产发生减值，则将该金融资产的账面价值减记至预计未来现金流量（不包括尚未发生的未</w:t>
      </w:r>
    </w:p>
    <w:p>
      <w:pPr>
        <w:pStyle w:val="BodyText"/>
        <w:spacing w:line="316" w:lineRule="auto" w:before="8"/>
        <w:ind w:right="191"/>
        <w:jc w:val="left"/>
      </w:pPr>
      <w:r>
        <w:rPr>
          <w:spacing w:val="-2"/>
        </w:rPr>
        <w:t>来信用损失）现值，减记金额计入当期损益。预计未来现金流量现值，按照该金融资产原实际利率折现确定，并考虑相关担</w:t>
      </w:r>
      <w:r>
        <w:rPr>
          <w:spacing w:val="-67"/>
        </w:rPr>
        <w:t> </w:t>
      </w:r>
      <w:r>
        <w:rPr>
          <w:spacing w:val="-67"/>
        </w:rPr>
      </w:r>
      <w:r>
        <w:rPr/>
        <w:t>保物的价值。</w:t>
      </w:r>
    </w:p>
    <w:p>
      <w:pPr>
        <w:spacing w:line="240" w:lineRule="auto" w:before="5"/>
        <w:rPr>
          <w:rFonts w:ascii="宋体" w:hAnsi="宋体" w:cs="宋体" w:eastAsia="宋体" w:hint="default"/>
          <w:sz w:val="13"/>
          <w:szCs w:val="13"/>
        </w:rPr>
      </w:pPr>
    </w:p>
    <w:p>
      <w:pPr>
        <w:pStyle w:val="BodyText"/>
        <w:spacing w:line="316" w:lineRule="auto"/>
        <w:ind w:right="191" w:firstLine="360"/>
        <w:jc w:val="left"/>
      </w:pPr>
      <w:r>
        <w:rPr>
          <w:spacing w:val="-2"/>
        </w:rPr>
        <w:t>对单项金额重大的金融资产单独进行减值测试，如有客观证据表明其已发生减值，确认减值损失，计入当期损益。对单</w:t>
      </w:r>
      <w:r>
        <w:rPr/>
        <w:t> </w:t>
      </w:r>
      <w:r>
        <w:rPr>
          <w:spacing w:val="-2"/>
        </w:rPr>
        <w:t>项金额不重大的金融资产，包括在具有类似信用风险特征的金融资产组合中进行减值测试。单独测试未发生减值的金融资产</w:t>
      </w:r>
    </w:p>
    <w:p>
      <w:pPr>
        <w:pStyle w:val="BodyText"/>
        <w:spacing w:line="316" w:lineRule="auto" w:before="19"/>
        <w:ind w:right="191"/>
        <w:jc w:val="left"/>
      </w:pPr>
      <w:r>
        <w:rPr>
          <w:spacing w:val="-2"/>
        </w:rPr>
        <w:t>（包括单项金额重大和不重大的金融资产），包括在具有类似信用风险特征的金融资产组合中再进行减值测试。已单项确认</w:t>
      </w:r>
      <w:r>
        <w:rPr>
          <w:spacing w:val="-66"/>
        </w:rPr>
        <w:t> </w:t>
      </w:r>
      <w:r>
        <w:rPr>
          <w:spacing w:val="-66"/>
        </w:rPr>
      </w:r>
      <w:r>
        <w:rPr/>
        <w:t>减值损失的金融资产，不包括在具有类似信用风险特征的金融资产组合中进行减值测试。</w:t>
      </w:r>
    </w:p>
    <w:p>
      <w:pPr>
        <w:spacing w:line="240" w:lineRule="auto" w:before="5"/>
        <w:rPr>
          <w:rFonts w:ascii="宋体" w:hAnsi="宋体" w:cs="宋体" w:eastAsia="宋体" w:hint="default"/>
          <w:sz w:val="13"/>
          <w:szCs w:val="13"/>
        </w:rPr>
      </w:pPr>
    </w:p>
    <w:p>
      <w:pPr>
        <w:pStyle w:val="BodyText"/>
        <w:spacing w:line="240" w:lineRule="auto"/>
        <w:ind w:left="513" w:right="0"/>
        <w:jc w:val="left"/>
      </w:pPr>
      <w:r>
        <w:rPr/>
        <w:t>本公司对以摊余成本计量的金融资产确认减值损失后，如有客观证据表明该金融资产价值已恢复，且客观上与确认该损</w:t>
      </w:r>
    </w:p>
    <w:p>
      <w:pPr>
        <w:spacing w:after="0" w:line="240" w:lineRule="auto"/>
        <w:jc w:val="left"/>
        <w:sectPr>
          <w:pgSz w:w="11910" w:h="16840"/>
          <w:pgMar w:header="745" w:footer="979" w:top="1060" w:bottom="1160" w:left="980" w:right="840"/>
        </w:sectPr>
      </w:pPr>
    </w:p>
    <w:p>
      <w:pPr>
        <w:spacing w:line="240" w:lineRule="auto" w:before="10"/>
        <w:rPr>
          <w:rFonts w:ascii="宋体" w:hAnsi="宋体" w:cs="宋体" w:eastAsia="宋体" w:hint="default"/>
          <w:sz w:val="25"/>
          <w:szCs w:val="25"/>
        </w:rPr>
      </w:pPr>
    </w:p>
    <w:p>
      <w:pPr>
        <w:pStyle w:val="BodyText"/>
        <w:spacing w:line="316" w:lineRule="auto" w:before="44"/>
        <w:ind w:right="0"/>
        <w:jc w:val="left"/>
      </w:pPr>
      <w:r>
        <w:rPr>
          <w:spacing w:val="-2"/>
        </w:rPr>
        <w:t>失后发生的事项有关，原确认的减值损失予以转回，计入当期损益。但是，该转回后的账面价值不超过假定不计提减值准备</w:t>
      </w:r>
      <w:r>
        <w:rPr>
          <w:spacing w:val="-63"/>
        </w:rPr>
        <w:t> </w:t>
      </w:r>
      <w:r>
        <w:rPr>
          <w:spacing w:val="-63"/>
        </w:rPr>
      </w:r>
      <w:r>
        <w:rPr/>
        <w:t>情况下该金融资产在转回日的摊余成本。</w:t>
      </w:r>
    </w:p>
    <w:p>
      <w:pPr>
        <w:pStyle w:val="BodyText"/>
        <w:spacing w:line="468" w:lineRule="exact" w:before="10"/>
        <w:ind w:left="513" w:right="0"/>
        <w:jc w:val="left"/>
      </w:pPr>
      <w:r>
        <w:rPr/>
        <w:t>可供出售金融资产 </w:t>
      </w:r>
      <w:r>
        <w:rPr>
          <w:spacing w:val="-2"/>
        </w:rPr>
        <w:t>如果有客观证据表明该金融资产发生减值，原直接计入资本公积的因公允价值下降形成的累计损失，予以转出，计入当</w:t>
      </w:r>
    </w:p>
    <w:p>
      <w:pPr>
        <w:pStyle w:val="BodyText"/>
        <w:spacing w:line="316" w:lineRule="auto" w:before="8"/>
        <w:ind w:right="0"/>
        <w:jc w:val="left"/>
      </w:pPr>
      <w:r>
        <w:rPr>
          <w:spacing w:val="-2"/>
        </w:rPr>
        <w:t>期损益。该转出的累计损失，为可供出售金融资产的初始取得成本扣除已收回本金和已摊销金额、当前公允价值和原已计入</w:t>
      </w:r>
      <w:r>
        <w:rPr>
          <w:spacing w:val="-65"/>
        </w:rPr>
        <w:t> </w:t>
      </w:r>
      <w:r>
        <w:rPr>
          <w:spacing w:val="-65"/>
        </w:rPr>
      </w:r>
      <w:r>
        <w:rPr/>
        <w:t>损益的减值损失后的余额。</w:t>
      </w:r>
    </w:p>
    <w:p>
      <w:pPr>
        <w:spacing w:line="240" w:lineRule="auto" w:before="5"/>
        <w:rPr>
          <w:rFonts w:ascii="宋体" w:hAnsi="宋体" w:cs="宋体" w:eastAsia="宋体" w:hint="default"/>
          <w:sz w:val="13"/>
          <w:szCs w:val="13"/>
        </w:rPr>
      </w:pPr>
    </w:p>
    <w:p>
      <w:pPr>
        <w:pStyle w:val="BodyText"/>
        <w:spacing w:line="316" w:lineRule="auto"/>
        <w:ind w:right="150" w:firstLine="360"/>
        <w:jc w:val="both"/>
      </w:pPr>
      <w:r>
        <w:rPr>
          <w:spacing w:val="-2"/>
        </w:rPr>
        <w:t>在确认减值损失后，期后如有客观证据表明该金融资产价值已恢复，且客观上与确认该损失后发生的事项有关，原确认</w:t>
      </w:r>
      <w:r>
        <w:rPr/>
        <w:t> </w:t>
      </w:r>
      <w:r>
        <w:rPr>
          <w:spacing w:val="-2"/>
        </w:rPr>
        <w:t>的减值损失予以转回，可供出售权益工具投资的减值损失转回确认为其他综合收益，可供出售债务工具的减值损失转回计入</w:t>
      </w:r>
      <w:r>
        <w:rPr>
          <w:spacing w:val="-64"/>
        </w:rPr>
        <w:t> </w:t>
      </w:r>
      <w:r>
        <w:rPr>
          <w:spacing w:val="-64"/>
        </w:rPr>
      </w:r>
      <w:r>
        <w:rPr/>
        <w:t>当期损益。</w:t>
      </w:r>
    </w:p>
    <w:p>
      <w:pPr>
        <w:pStyle w:val="BodyText"/>
        <w:spacing w:line="468" w:lineRule="exact" w:before="11"/>
        <w:ind w:left="513" w:right="0"/>
        <w:jc w:val="left"/>
      </w:pPr>
      <w:r>
        <w:rPr/>
        <w:t>以成本计量的金融资产 </w:t>
      </w:r>
      <w:r>
        <w:rPr>
          <w:spacing w:val="-2"/>
        </w:rPr>
        <w:t>在活跃市场中没有报价且其公允价值不能可靠计量的权益工具投资，或与该权益工具挂钩并须通过交付该权益工具结算</w:t>
      </w:r>
    </w:p>
    <w:p>
      <w:pPr>
        <w:pStyle w:val="BodyText"/>
        <w:spacing w:line="316" w:lineRule="auto" w:before="8"/>
        <w:ind w:right="0"/>
        <w:jc w:val="left"/>
      </w:pPr>
      <w:r>
        <w:rPr>
          <w:spacing w:val="-2"/>
        </w:rPr>
        <w:t>的衍生金融资产发生减值时，将该金融资产的账面价值，与按照类似金融资产当时市场收益率对未来现金流量折现确定的现</w:t>
      </w:r>
      <w:r>
        <w:rPr>
          <w:spacing w:val="-64"/>
        </w:rPr>
        <w:t> </w:t>
      </w:r>
      <w:r>
        <w:rPr>
          <w:spacing w:val="-64"/>
        </w:rPr>
      </w:r>
      <w:r>
        <w:rPr/>
        <w:t>值之间的差额，确认为减值损失，计入当期损益。发生的减值损失一经确认，不得转回。</w:t>
      </w:r>
    </w:p>
    <w:p>
      <w:pPr>
        <w:spacing w:line="240" w:lineRule="auto" w:before="10"/>
        <w:rPr>
          <w:rFonts w:ascii="宋体" w:hAnsi="宋体" w:cs="宋体" w:eastAsia="宋体" w:hint="default"/>
          <w:sz w:val="22"/>
          <w:szCs w:val="22"/>
        </w:rPr>
      </w:pPr>
    </w:p>
    <w:p>
      <w:pPr>
        <w:pStyle w:val="Heading3"/>
        <w:spacing w:line="240" w:lineRule="auto"/>
        <w:ind w:right="1134"/>
        <w:jc w:val="left"/>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4"/>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716"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期末余额达到 </w:t>
            </w:r>
            <w:r>
              <w:rPr>
                <w:rFonts w:ascii="Times New Roman" w:hAnsi="Times New Roman" w:cs="Times New Roman" w:eastAsia="Times New Roman" w:hint="default"/>
                <w:sz w:val="18"/>
                <w:szCs w:val="18"/>
              </w:rPr>
              <w:t>100 </w:t>
            </w:r>
            <w:r>
              <w:rPr>
                <w:rFonts w:ascii="宋体" w:hAnsi="宋体" w:cs="宋体" w:eastAsia="宋体" w:hint="default"/>
                <w:spacing w:val="-6"/>
                <w:sz w:val="18"/>
                <w:szCs w:val="18"/>
              </w:rPr>
              <w:t>万元（含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万元）以上的应收款项为单 项金额重大的应收款项。</w:t>
            </w:r>
          </w:p>
        </w:tc>
      </w:tr>
      <w:tr>
        <w:trPr>
          <w:trHeight w:val="1649"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对于单项金额重大的应收款项单独进行减值测试，当存在客 观证据表明本公司将无法按应收款项的原有条款收回所有款 项时，根据其未来现金流量现值低于其账面价值的差额，单 独进行减值测试，计提坏账准备。单项金额重大经单独测试 未发生减值的应收款项，再按组合计提坏账准备。</w:t>
            </w:r>
          </w:p>
        </w:tc>
      </w:tr>
    </w:tbl>
    <w:p>
      <w:pPr>
        <w:spacing w:line="240" w:lineRule="auto" w:before="3"/>
        <w:rPr>
          <w:rFonts w:ascii="宋体" w:hAnsi="宋体" w:cs="宋体" w:eastAsia="宋体" w:hint="default"/>
          <w:b/>
          <w:bCs/>
          <w:sz w:val="19"/>
          <w:szCs w:val="19"/>
        </w:rPr>
      </w:pPr>
    </w:p>
    <w:p>
      <w:pPr>
        <w:pStyle w:val="Heading3"/>
        <w:spacing w:line="240" w:lineRule="auto" w:before="36"/>
        <w:ind w:right="1134"/>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按款项账龄的组合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按款项性质的组合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特定资产组合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49"/>
        <w:ind w:right="1134"/>
        <w:jc w:val="left"/>
      </w:pPr>
      <w:r>
        <w:rPr/>
        <w:t>组合中，采用账龄分析法计提坏账准备的：</w:t>
      </w:r>
    </w:p>
    <w:p>
      <w:pPr>
        <w:pStyle w:val="BodyText"/>
        <w:spacing w:line="240" w:lineRule="auto" w:before="115"/>
        <w:ind w:right="1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30.00%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1134"/>
        <w:jc w:val="left"/>
      </w:pPr>
      <w:r>
        <w:rPr/>
        <w:t>组合中，采用余额百分比法计提坏账准备的：</w:t>
      </w:r>
    </w:p>
    <w:p>
      <w:pPr>
        <w:pStyle w:val="BodyText"/>
        <w:spacing w:line="340" w:lineRule="auto" w:before="115"/>
        <w:ind w:right="65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before="39"/>
        <w:ind w:right="1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按款项性质的组合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特定资产组合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3"/>
        <w:rPr>
          <w:rFonts w:ascii="宋体" w:hAnsi="宋体" w:cs="宋体" w:eastAsia="宋体" w:hint="default"/>
          <w:sz w:val="19"/>
          <w:szCs w:val="19"/>
        </w:rPr>
      </w:pPr>
    </w:p>
    <w:p>
      <w:pPr>
        <w:pStyle w:val="Heading3"/>
        <w:spacing w:line="240" w:lineRule="auto" w:before="36"/>
        <w:ind w:right="1134"/>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1027"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对于单项金额非重大的应收款项，本公司将其与经单独测试 后未减值的应收款项一起按信用风险特征划分为若干组合， 计提坏账准备。</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line="240" w:lineRule="auto" w:before="3"/>
        <w:rPr>
          <w:rFonts w:ascii="宋体" w:hAnsi="宋体" w:cs="宋体" w:eastAsia="宋体" w:hint="default"/>
          <w:b/>
          <w:bCs/>
          <w:sz w:val="19"/>
          <w:szCs w:val="19"/>
        </w:rPr>
      </w:pPr>
    </w:p>
    <w:p>
      <w:pPr>
        <w:pStyle w:val="Heading3"/>
        <w:spacing w:line="240" w:lineRule="auto" w:before="36"/>
        <w:ind w:right="1134"/>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477" w:lineRule="auto"/>
        <w:ind w:left="513" w:right="4733"/>
        <w:jc w:val="left"/>
      </w:pPr>
      <w:r>
        <w:rPr/>
        <w:t>（</w:t>
      </w:r>
      <w:r>
        <w:rPr>
          <w:rFonts w:ascii="宋体" w:hAnsi="宋体" w:cs="宋体" w:eastAsia="宋体" w:hint="default"/>
        </w:rPr>
        <w:t>1</w:t>
      </w:r>
      <w:r>
        <w:rPr/>
        <w:t>）存货的分类 存货包括库存材料、库存商品、低值易耗品、备品备件等。</w:t>
      </w:r>
    </w:p>
    <w:p>
      <w:pPr>
        <w:pStyle w:val="BodyText"/>
        <w:spacing w:line="477" w:lineRule="auto" w:before="54"/>
        <w:ind w:left="513" w:right="4373"/>
        <w:jc w:val="left"/>
      </w:pPr>
      <w:r>
        <w:rPr/>
        <w:t>（</w:t>
      </w:r>
      <w:r>
        <w:rPr>
          <w:rFonts w:ascii="宋体" w:hAnsi="宋体" w:cs="宋体" w:eastAsia="宋体" w:hint="default"/>
        </w:rPr>
        <w:t>2</w:t>
      </w:r>
      <w:r>
        <w:rPr/>
        <w:t>）发出存货的计价方法 外购、自制的存货按实际成本计价，发出存货采用个别计价法。</w:t>
      </w:r>
    </w:p>
    <w:p>
      <w:pPr>
        <w:pStyle w:val="BodyText"/>
        <w:spacing w:line="240" w:lineRule="auto" w:before="54"/>
        <w:ind w:left="513" w:right="1134"/>
        <w:jc w:val="left"/>
      </w:pPr>
      <w:r>
        <w:rPr/>
        <w:t>（</w:t>
      </w:r>
      <w:r>
        <w:rPr>
          <w:rFonts w:ascii="宋体" w:hAnsi="宋体" w:cs="宋体" w:eastAsia="宋体" w:hint="default"/>
        </w:rPr>
        <w:t>3</w:t>
      </w:r>
      <w:r>
        <w:rPr/>
        <w:t>）存货可变现净值的确定依据及存货跌价准备的计提方法</w:t>
      </w:r>
    </w:p>
    <w:p>
      <w:pPr>
        <w:spacing w:line="240" w:lineRule="auto" w:before="10"/>
        <w:rPr>
          <w:rFonts w:ascii="宋体" w:hAnsi="宋体" w:cs="宋体" w:eastAsia="宋体" w:hint="default"/>
          <w:sz w:val="17"/>
          <w:szCs w:val="17"/>
        </w:rPr>
      </w:pPr>
    </w:p>
    <w:p>
      <w:pPr>
        <w:pStyle w:val="BodyText"/>
        <w:spacing w:line="319" w:lineRule="auto"/>
        <w:ind w:right="151" w:firstLine="360"/>
        <w:jc w:val="both"/>
      </w:pPr>
      <w:r>
        <w:rPr>
          <w:spacing w:val="-2"/>
        </w:rPr>
        <w:t>期末存货按成本与可变现净值孰低计价，并按单个存货项目比较存货成本与可变现净值孰低，如存货可变现净值低于存</w:t>
      </w:r>
      <w:r>
        <w:rPr/>
        <w:t> </w:t>
      </w:r>
      <w:r>
        <w:rPr>
          <w:spacing w:val="-2"/>
        </w:rPr>
        <w:t>货成本，按其差额计提存货跌价准备，计入当期损益。存货可变现净值以估计售价减去估计将要发生的成本、估计的销售费</w:t>
      </w:r>
      <w:r>
        <w:rPr>
          <w:spacing w:val="-64"/>
        </w:rPr>
        <w:t> </w:t>
      </w:r>
      <w:r>
        <w:rPr>
          <w:spacing w:val="-64"/>
        </w:rPr>
      </w:r>
      <w:r>
        <w:rPr/>
        <w:t>用以及相关税费后的金额确定。</w:t>
      </w:r>
    </w:p>
    <w:p>
      <w:pPr>
        <w:spacing w:line="240" w:lineRule="auto" w:before="3"/>
        <w:rPr>
          <w:rFonts w:ascii="宋体" w:hAnsi="宋体" w:cs="宋体" w:eastAsia="宋体" w:hint="default"/>
          <w:sz w:val="13"/>
          <w:szCs w:val="13"/>
        </w:rPr>
      </w:pPr>
    </w:p>
    <w:p>
      <w:pPr>
        <w:pStyle w:val="BodyText"/>
        <w:spacing w:line="477" w:lineRule="auto"/>
        <w:ind w:left="513" w:right="6353"/>
        <w:jc w:val="left"/>
      </w:pPr>
      <w:r>
        <w:rPr/>
        <w:t>（</w:t>
      </w:r>
      <w:r>
        <w:rPr>
          <w:rFonts w:ascii="宋体" w:hAnsi="宋体" w:cs="宋体" w:eastAsia="宋体" w:hint="default"/>
        </w:rPr>
        <w:t>4</w:t>
      </w:r>
      <w:r>
        <w:rPr/>
        <w:t>）存货的盘存制度 本公司的存货盘存制度为永续盘存制。</w:t>
      </w:r>
    </w:p>
    <w:p>
      <w:pPr>
        <w:pStyle w:val="BodyText"/>
        <w:spacing w:line="477" w:lineRule="auto" w:before="54"/>
        <w:ind w:left="513" w:right="5993"/>
        <w:jc w:val="left"/>
      </w:pPr>
      <w:r>
        <w:rPr/>
        <w:t>（</w:t>
      </w:r>
      <w:r>
        <w:rPr>
          <w:rFonts w:ascii="宋体" w:hAnsi="宋体" w:cs="宋体" w:eastAsia="宋体" w:hint="default"/>
        </w:rPr>
        <w:t>5</w:t>
      </w:r>
      <w:r>
        <w:rPr/>
        <w:t>）低值易耗品和包装物的摊销方法 低值易耗品和包装物采用一次转销法摊销。</w:t>
      </w:r>
    </w:p>
    <w:p>
      <w:pPr>
        <w:spacing w:line="240" w:lineRule="auto" w:before="7"/>
        <w:rPr>
          <w:rFonts w:ascii="宋体" w:hAnsi="宋体" w:cs="宋体" w:eastAsia="宋体" w:hint="default"/>
          <w:sz w:val="13"/>
          <w:szCs w:val="13"/>
        </w:rPr>
      </w:pPr>
    </w:p>
    <w:p>
      <w:pPr>
        <w:pStyle w:val="Heading3"/>
        <w:spacing w:line="240" w:lineRule="auto"/>
        <w:ind w:right="1134"/>
        <w:jc w:val="left"/>
        <w:rPr>
          <w:b w:val="0"/>
          <w:bCs w:val="0"/>
        </w:rPr>
      </w:pPr>
      <w:r>
        <w:rPr>
          <w:rFonts w:ascii="Times New Roman" w:hAnsi="Times New Roman" w:cs="Times New Roman" w:eastAsia="Times New Roman" w:hint="default"/>
        </w:rPr>
        <w:t>13</w:t>
      </w:r>
      <w:r>
        <w:rPr/>
        <w:t>、划分为持有待售资产</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50" w:firstLine="360"/>
        <w:jc w:val="both"/>
      </w:pPr>
      <w:r>
        <w:rPr>
          <w:spacing w:val="-2"/>
        </w:rPr>
        <w:t>若某项非流动资产在其当前状况下仅根据出售此类资产的惯常条款即可立即出售，本公司已就处置该项非流动资产作出</w:t>
      </w:r>
      <w:r>
        <w:rPr/>
        <w:t> </w:t>
      </w:r>
      <w:r>
        <w:rPr>
          <w:spacing w:val="-2"/>
        </w:rPr>
        <w:t>决议，已经与受让方签订了不可撤销的转让协议，且该项转让将在一年内完成，则该非流动资产作为持有待售非流动资产核</w:t>
      </w:r>
    </w:p>
    <w:p>
      <w:pPr>
        <w:spacing w:after="0" w:line="316" w:lineRule="auto"/>
        <w:jc w:val="both"/>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316" w:lineRule="auto" w:before="44"/>
        <w:ind w:right="150"/>
        <w:jc w:val="both"/>
      </w:pPr>
      <w:r>
        <w:rPr>
          <w:spacing w:val="-2"/>
        </w:rPr>
        <w:t>算，自划分为持有待售之日起不计提折旧或进行摊销，按照账面价值与公允价值减去处置费用后的净额孰低计量。持有待售</w:t>
      </w:r>
      <w:r>
        <w:rPr>
          <w:spacing w:val="-63"/>
        </w:rPr>
        <w:t> </w:t>
      </w:r>
      <w:r>
        <w:rPr>
          <w:spacing w:val="-63"/>
        </w:rPr>
      </w:r>
      <w:r>
        <w:rPr/>
        <w:t>的非流动资产包括单项资产和处置组。如果处置组是一个《企业会计准则第 </w:t>
      </w:r>
      <w:r>
        <w:rPr>
          <w:rFonts w:ascii="宋体" w:hAnsi="宋体" w:cs="宋体" w:eastAsia="宋体" w:hint="default"/>
        </w:rPr>
        <w:t>8</w:t>
      </w:r>
      <w:r>
        <w:rPr>
          <w:rFonts w:ascii="宋体" w:hAnsi="宋体" w:cs="宋体" w:eastAsia="宋体" w:hint="default"/>
          <w:spacing w:val="1"/>
        </w:rPr>
        <w:t> </w:t>
      </w:r>
      <w:r>
        <w:rPr/>
        <w:t>号——资产减值》所定义的资产组，并且按 </w:t>
      </w:r>
      <w:r>
        <w:rPr>
          <w:spacing w:val="-2"/>
        </w:rPr>
        <w:t>照该准则的规定将企业合并中取得的商誉分摊至该资产组，或者该处置组是资产组中的一项经营，则该处置组包括企业合并</w:t>
      </w:r>
      <w:r>
        <w:rPr>
          <w:spacing w:val="-64"/>
        </w:rPr>
        <w:t> </w:t>
      </w:r>
      <w:r>
        <w:rPr>
          <w:spacing w:val="-64"/>
        </w:rPr>
      </w:r>
      <w:r>
        <w:rPr/>
        <w:t>中所形成的商誉。</w:t>
      </w:r>
      <w:r>
        <w:rPr>
          <w:spacing w:val="1"/>
        </w:rPr>
        <w:t> </w:t>
      </w:r>
      <w:r>
        <w:rPr/>
        <w:t>被划分为持有待售的单项非流动资产和处置组中的资产，在资产负债表的流动资产部分单独列报；被划</w:t>
      </w:r>
      <w:r>
        <w:rPr/>
        <w:t> 分为持有待售的处置组中的与转让资产相关的负债，在资产负债表的流动负债部分单独列报。</w:t>
      </w:r>
    </w:p>
    <w:p>
      <w:pPr>
        <w:spacing w:line="240" w:lineRule="auto" w:before="5"/>
        <w:rPr>
          <w:rFonts w:ascii="宋体" w:hAnsi="宋体" w:cs="宋体" w:eastAsia="宋体" w:hint="default"/>
          <w:sz w:val="13"/>
          <w:szCs w:val="13"/>
        </w:rPr>
      </w:pPr>
    </w:p>
    <w:p>
      <w:pPr>
        <w:pStyle w:val="BodyText"/>
        <w:spacing w:line="316" w:lineRule="auto"/>
        <w:ind w:right="152" w:firstLine="360"/>
        <w:jc w:val="both"/>
      </w:pPr>
      <w:r>
        <w:rPr>
          <w:spacing w:val="-2"/>
        </w:rPr>
        <w:t>某项资产或处置组被划归为持有待售，但后来不再满足持有待售的非流动资产的确认条件，本公司停止将其划归为持有</w:t>
      </w:r>
      <w:r>
        <w:rPr/>
        <w:t> 待售，并按照下列两项金额中较低者进行计量：（</w:t>
      </w:r>
      <w:r>
        <w:rPr>
          <w:rFonts w:ascii="宋体" w:hAnsi="宋体" w:cs="宋体" w:eastAsia="宋体" w:hint="default"/>
        </w:rPr>
        <w:t>1</w:t>
      </w:r>
      <w:r>
        <w:rPr/>
        <w:t>）该资产或处置组被划归为持有待售之前的账面价值，按照其假定在没 有被划归为持有待售的情况下原应确认的折旧、摊销或减值进行调整后的金额；（</w:t>
      </w:r>
      <w:r>
        <w:rPr>
          <w:rFonts w:ascii="宋体" w:hAnsi="宋体" w:cs="宋体" w:eastAsia="宋体" w:hint="default"/>
        </w:rPr>
        <w:t>2</w:t>
      </w:r>
      <w:r>
        <w:rPr/>
        <w:t>）决定不再出售之日的可收回金额。</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52" w:firstLine="360"/>
        <w:jc w:val="both"/>
      </w:pPr>
      <w:r>
        <w:rPr>
          <w:spacing w:val="-2"/>
        </w:rPr>
        <w:t>本部分所指的长期股权投资是指本公司对被投资单位具有控制、共同控制或重大影响的长期股权投资。本公司对被投资</w:t>
      </w:r>
      <w:r>
        <w:rPr/>
        <w:t> </w:t>
      </w:r>
      <w:r>
        <w:rPr>
          <w:spacing w:val="-2"/>
        </w:rPr>
        <w:t>单位不具有控制、共同控制或重大影响的长期股权投资，作为可供出售金融资产或以公允价值计量且其变动计入当期损益的</w:t>
      </w:r>
      <w:r>
        <w:rPr>
          <w:spacing w:val="-64"/>
        </w:rPr>
        <w:t> </w:t>
      </w:r>
      <w:r>
        <w:rPr>
          <w:spacing w:val="-64"/>
        </w:rPr>
      </w:r>
      <w:r>
        <w:rPr/>
        <w:t>金融资产核算。</w:t>
      </w:r>
    </w:p>
    <w:p>
      <w:pPr>
        <w:pStyle w:val="BodyText"/>
        <w:spacing w:line="468" w:lineRule="exact" w:before="10"/>
        <w:ind w:left="513" w:right="0"/>
        <w:jc w:val="left"/>
      </w:pPr>
      <w:r>
        <w:rPr/>
        <w:t>（</w:t>
      </w:r>
      <w:r>
        <w:rPr>
          <w:rFonts w:ascii="宋体" w:hAnsi="宋体" w:cs="宋体" w:eastAsia="宋体" w:hint="default"/>
        </w:rPr>
        <w:t>1</w:t>
      </w:r>
      <w:r>
        <w:rPr/>
        <w:t>）投资成本的确定 </w:t>
      </w:r>
      <w:r>
        <w:rPr>
          <w:spacing w:val="-2"/>
        </w:rPr>
        <w:t>对于同一控制下的企业合并取得的长期股权投资，在合并日按照被合并方所有者权益在最终控制方合并财务报表中的账</w:t>
      </w:r>
    </w:p>
    <w:p>
      <w:pPr>
        <w:pStyle w:val="BodyText"/>
        <w:spacing w:line="316" w:lineRule="auto" w:before="8"/>
        <w:ind w:right="150"/>
        <w:jc w:val="both"/>
      </w:pPr>
      <w:r>
        <w:rPr>
          <w:spacing w:val="-2"/>
        </w:rPr>
        <w:t>面价值的份额作为长期股权投资的初始投资成本。长期股权投资初始投资成本与支付的现金、转让的非现金资产以及所承担</w:t>
      </w:r>
      <w:r>
        <w:rPr>
          <w:spacing w:val="-64"/>
        </w:rPr>
        <w:t> </w:t>
      </w:r>
      <w:r>
        <w:rPr>
          <w:spacing w:val="-64"/>
        </w:rPr>
      </w:r>
      <w:r>
        <w:rPr>
          <w:spacing w:val="-2"/>
        </w:rPr>
        <w:t>债务账面价值之间的差额，调整资本公积；资本公积不足冲减的，调整留存收益。以发行权益性证券作为合并对价的，在合</w:t>
      </w:r>
      <w:r>
        <w:rPr>
          <w:spacing w:val="-67"/>
        </w:rPr>
        <w:t> </w:t>
      </w:r>
      <w:r>
        <w:rPr>
          <w:spacing w:val="-67"/>
        </w:rPr>
      </w:r>
      <w:r>
        <w:rPr>
          <w:spacing w:val="-2"/>
        </w:rPr>
        <w:t>并日按照被合并方所有者权益在最终控制方合并财务报表中的账面价值的份额作为长期股权投资的初始投资成本，按照发行</w:t>
      </w:r>
      <w:r>
        <w:rPr>
          <w:spacing w:val="-64"/>
        </w:rPr>
        <w:t> </w:t>
      </w:r>
      <w:r>
        <w:rPr>
          <w:spacing w:val="-64"/>
        </w:rPr>
      </w:r>
      <w:r>
        <w:rPr>
          <w:spacing w:val="-2"/>
        </w:rPr>
        <w:t>股份的面值总额作为股本，长期股权投资初始投资成本与所发行股份面值总额之间的差额，调整资本公积；资本公积不足冲</w:t>
      </w:r>
      <w:r>
        <w:rPr>
          <w:spacing w:val="-65"/>
        </w:rPr>
        <w:t> </w:t>
      </w:r>
      <w:r>
        <w:rPr>
          <w:spacing w:val="-65"/>
        </w:rPr>
      </w:r>
      <w:r>
        <w:rPr>
          <w:spacing w:val="-2"/>
        </w:rPr>
        <w:t>减的，调整留存收益。通过多次交易分步取得同一控制下被合并方的股权，最终形成同一控制下企业合并的，应分别是否属</w:t>
      </w:r>
      <w:r>
        <w:rPr>
          <w:spacing w:val="-64"/>
        </w:rPr>
        <w:t> </w:t>
      </w:r>
      <w:r>
        <w:rPr>
          <w:spacing w:val="-64"/>
        </w:rPr>
      </w:r>
      <w:r>
        <w:rPr>
          <w:spacing w:val="-2"/>
        </w:rPr>
        <w:t>于“一揽子交易”进行处理：属于“一揽子交易”的，将各项交易作为一项取得控制权的交易进行会计处理。不属于“一揽</w:t>
      </w:r>
      <w:r>
        <w:rPr>
          <w:spacing w:val="-68"/>
        </w:rPr>
        <w:t> </w:t>
      </w:r>
      <w:r>
        <w:rPr>
          <w:spacing w:val="-68"/>
        </w:rPr>
      </w:r>
      <w:r>
        <w:rPr>
          <w:spacing w:val="-2"/>
        </w:rPr>
        <w:t>子交易”的，在合并日按照应享有被合并方股东权益在最终控制方合并财务报表中的账面价值的份额作为长期股权投资的初</w:t>
      </w:r>
      <w:r>
        <w:rPr>
          <w:spacing w:val="-64"/>
        </w:rPr>
        <w:t> </w:t>
      </w:r>
      <w:r>
        <w:rPr>
          <w:spacing w:val="-64"/>
        </w:rPr>
      </w:r>
      <w:r>
        <w:rPr>
          <w:spacing w:val="-2"/>
        </w:rPr>
        <w:t>始投资成本，长期股权投资初始投资成本与达到合并前的长期股权投资账面价值加上合并日进一步取得股份新支付对价的账</w:t>
      </w:r>
      <w:r>
        <w:rPr>
          <w:spacing w:val="-64"/>
        </w:rPr>
        <w:t> </w:t>
      </w:r>
      <w:r>
        <w:rPr>
          <w:spacing w:val="-64"/>
        </w:rPr>
      </w:r>
      <w:r>
        <w:rPr>
          <w:spacing w:val="-2"/>
        </w:rPr>
        <w:t>面价值之和的差额，调整资本公积；资本公积不足冲减的，调整留存收益。合并日之前持有的股权投资因采用权益法核算或</w:t>
      </w:r>
      <w:r>
        <w:rPr>
          <w:spacing w:val="-63"/>
        </w:rPr>
        <w:t> </w:t>
      </w:r>
      <w:r>
        <w:rPr>
          <w:spacing w:val="-63"/>
        </w:rPr>
      </w:r>
      <w:r>
        <w:rPr/>
        <w:t>为可供出售金融资产而确认的其他综合收益，暂不进行会计处理。</w:t>
      </w:r>
    </w:p>
    <w:p>
      <w:pPr>
        <w:spacing w:line="240" w:lineRule="auto" w:before="5"/>
        <w:rPr>
          <w:rFonts w:ascii="宋体" w:hAnsi="宋体" w:cs="宋体" w:eastAsia="宋体" w:hint="default"/>
          <w:sz w:val="13"/>
          <w:szCs w:val="13"/>
        </w:rPr>
      </w:pPr>
    </w:p>
    <w:p>
      <w:pPr>
        <w:pStyle w:val="BodyText"/>
        <w:spacing w:line="319" w:lineRule="auto"/>
        <w:ind w:right="150" w:firstLine="360"/>
        <w:jc w:val="both"/>
      </w:pPr>
      <w:r>
        <w:rPr>
          <w:spacing w:val="-2"/>
        </w:rPr>
        <w:t>对于非同一控制下的企业合并取得的长期股权投资，在购买日按照合并成本作为长期股权投资的初始投资成本，合并成</w:t>
      </w:r>
      <w:r>
        <w:rPr/>
        <w:t> </w:t>
      </w:r>
      <w:r>
        <w:rPr>
          <w:spacing w:val="-2"/>
        </w:rPr>
        <w:t>本包括包括购买方付出的资产、发生或承担的负债、发行的权益性证券的公允价值之和。通过多次交易分步取得被购买方的</w:t>
      </w:r>
      <w:r>
        <w:rPr>
          <w:spacing w:val="-66"/>
        </w:rPr>
        <w:t> </w:t>
      </w:r>
      <w:r>
        <w:rPr>
          <w:spacing w:val="-66"/>
        </w:rPr>
      </w:r>
      <w:r>
        <w:rPr>
          <w:spacing w:val="-2"/>
        </w:rPr>
        <w:t>股权，最终形成非同一控制下的企业合并的，应分别是否属于“一揽子交易”进行处理：属于“一揽子交易”的，将各项交</w:t>
      </w:r>
      <w:r>
        <w:rPr>
          <w:spacing w:val="-67"/>
        </w:rPr>
        <w:t> </w:t>
      </w:r>
      <w:r>
        <w:rPr>
          <w:spacing w:val="-67"/>
        </w:rPr>
      </w:r>
      <w:r>
        <w:rPr>
          <w:spacing w:val="-2"/>
        </w:rPr>
        <w:t>易作为一项取得控制权的交易进行会计处理。不属于“一揽子交易”的，按照原持有被购买方的股权投资账面价值加上新增</w:t>
      </w:r>
      <w:r>
        <w:rPr>
          <w:spacing w:val="-65"/>
        </w:rPr>
        <w:t> </w:t>
      </w:r>
      <w:r>
        <w:rPr>
          <w:spacing w:val="-65"/>
        </w:rPr>
      </w:r>
      <w:r>
        <w:rPr>
          <w:spacing w:val="-2"/>
        </w:rPr>
        <w:t>投资成本之和，作为改按成本法核算的长期股权投资的初始投资成本。原持有的股权采用权益法核算的，相关其他综合收益</w:t>
      </w:r>
      <w:r>
        <w:rPr>
          <w:spacing w:val="-63"/>
        </w:rPr>
        <w:t> </w:t>
      </w:r>
      <w:r>
        <w:rPr>
          <w:spacing w:val="-63"/>
        </w:rPr>
      </w:r>
      <w:r>
        <w:rPr>
          <w:spacing w:val="-2"/>
        </w:rPr>
        <w:t>暂不进行会计处理。原持有股权投资为可供出售金融资产的，其公允价值与账面价值之间的差额，以及原计入其他综合收益</w:t>
      </w:r>
      <w:r>
        <w:rPr>
          <w:spacing w:val="-63"/>
        </w:rPr>
        <w:t> </w:t>
      </w:r>
      <w:r>
        <w:rPr>
          <w:spacing w:val="-63"/>
        </w:rPr>
      </w:r>
      <w:r>
        <w:rPr/>
        <w:t>的累计公允价值变动转入当期损益。</w:t>
      </w:r>
    </w:p>
    <w:p>
      <w:pPr>
        <w:spacing w:line="240" w:lineRule="auto" w:before="11"/>
        <w:rPr>
          <w:rFonts w:ascii="宋体" w:hAnsi="宋体" w:cs="宋体" w:eastAsia="宋体" w:hint="default"/>
          <w:sz w:val="9"/>
          <w:szCs w:val="9"/>
        </w:rPr>
      </w:pPr>
    </w:p>
    <w:p>
      <w:pPr>
        <w:pStyle w:val="BodyText"/>
        <w:spacing w:line="240" w:lineRule="auto" w:before="44"/>
        <w:ind w:left="513" w:right="0"/>
        <w:jc w:val="left"/>
      </w:pPr>
      <w:r>
        <w:rPr/>
        <w:t>合并方或购买方为企业合并发生的审计、法律服务、评估咨询等中介费用以及其他相关管理费用，于发生时计入当期损</w:t>
      </w:r>
    </w:p>
    <w:p>
      <w:pPr>
        <w:pStyle w:val="BodyText"/>
        <w:spacing w:line="240" w:lineRule="auto" w:before="76"/>
        <w:ind w:right="1134"/>
        <w:jc w:val="left"/>
      </w:pPr>
      <w:r>
        <w:rPr/>
        <w:t>益。</w:t>
      </w:r>
    </w:p>
    <w:p>
      <w:pPr>
        <w:spacing w:line="240" w:lineRule="auto" w:before="5"/>
        <w:rPr>
          <w:rFonts w:ascii="宋体" w:hAnsi="宋体" w:cs="宋体" w:eastAsia="宋体" w:hint="default"/>
          <w:sz w:val="14"/>
          <w:szCs w:val="14"/>
        </w:rPr>
      </w:pPr>
    </w:p>
    <w:p>
      <w:pPr>
        <w:pStyle w:val="BodyText"/>
        <w:spacing w:line="316" w:lineRule="auto" w:before="44"/>
        <w:ind w:right="149" w:firstLine="360"/>
        <w:jc w:val="both"/>
      </w:pPr>
      <w:r>
        <w:rPr>
          <w:spacing w:val="-2"/>
        </w:rPr>
        <w:t>除企业合并形成的长期股权投资外的其他股权投资，按成本进行初始计量，该成本视长期股权投资取得方式的不同，分</w:t>
      </w:r>
      <w:r>
        <w:rPr/>
        <w:t> </w:t>
      </w:r>
      <w:r>
        <w:rPr>
          <w:spacing w:val="-2"/>
        </w:rPr>
        <w:t>别按照本公司实际支付的现金购买价款、本公司发行的权益性证券的公允价值、投资合同或协议约定的价值、非货币性资产</w:t>
      </w:r>
      <w:r>
        <w:rPr>
          <w:spacing w:val="-63"/>
        </w:rPr>
        <w:t> </w:t>
      </w:r>
      <w:r>
        <w:rPr>
          <w:spacing w:val="-63"/>
        </w:rPr>
      </w:r>
      <w:r>
        <w:rPr>
          <w:spacing w:val="-2"/>
        </w:rPr>
        <w:t>交换交易中换出资产的公允价值或原账面价值、该项长期股权投资自身的公允价值等方式确定。与取得长期股权投资直接相</w:t>
      </w:r>
      <w:r>
        <w:rPr>
          <w:spacing w:val="-64"/>
        </w:rPr>
        <w:t> </w:t>
      </w:r>
      <w:r>
        <w:rPr>
          <w:spacing w:val="-64"/>
        </w:rPr>
      </w:r>
      <w:r>
        <w:rPr>
          <w:spacing w:val="-2"/>
        </w:rPr>
        <w:t>关的费用、税金及其他必要支出也计入投资成本。对于因追加投资能够对被投资单位实施重大影响或实施共同控制但不构成</w:t>
      </w:r>
      <w:r>
        <w:rPr>
          <w:spacing w:val="-64"/>
        </w:rPr>
        <w:t> </w:t>
      </w:r>
      <w:r>
        <w:rPr>
          <w:spacing w:val="-64"/>
        </w:rPr>
      </w:r>
      <w:r>
        <w:rPr>
          <w:spacing w:val="-3"/>
        </w:rPr>
        <w:t>控制的，长期股权投资成本为按照《企业会计准则第 </w:t>
      </w:r>
      <w:r>
        <w:rPr>
          <w:rFonts w:ascii="宋体" w:hAnsi="宋体" w:cs="宋体" w:eastAsia="宋体" w:hint="default"/>
        </w:rPr>
        <w:t>22</w:t>
      </w:r>
      <w:r>
        <w:rPr>
          <w:rFonts w:ascii="宋体" w:hAnsi="宋体" w:cs="宋体" w:eastAsia="宋体" w:hint="default"/>
          <w:spacing w:val="-9"/>
        </w:rPr>
        <w:t> </w:t>
      </w:r>
      <w:r>
        <w:rPr/>
        <w:t>号——金融工具确认和计量》确定的原持有股权投资的公允价值加 上新增投资成本之和。</w:t>
      </w:r>
    </w:p>
    <w:p>
      <w:pPr>
        <w:spacing w:after="0" w:line="316" w:lineRule="auto"/>
        <w:jc w:val="both"/>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before="44"/>
        <w:ind w:left="513" w:right="1134"/>
        <w:jc w:val="left"/>
      </w:pPr>
      <w:r>
        <w:rPr/>
        <w:t>（</w:t>
      </w:r>
      <w:r>
        <w:rPr>
          <w:rFonts w:ascii="宋体" w:hAnsi="宋体" w:cs="宋体" w:eastAsia="宋体" w:hint="default"/>
        </w:rPr>
        <w:t>2</w:t>
      </w:r>
      <w:r>
        <w:rPr/>
        <w:t>）后续计量及损益确认</w:t>
      </w:r>
    </w:p>
    <w:p>
      <w:pPr>
        <w:spacing w:line="240" w:lineRule="auto" w:before="10"/>
        <w:rPr>
          <w:rFonts w:ascii="宋体" w:hAnsi="宋体" w:cs="宋体" w:eastAsia="宋体" w:hint="default"/>
          <w:sz w:val="17"/>
          <w:szCs w:val="17"/>
        </w:rPr>
      </w:pPr>
    </w:p>
    <w:p>
      <w:pPr>
        <w:pStyle w:val="BodyText"/>
        <w:spacing w:line="316" w:lineRule="auto"/>
        <w:ind w:right="154" w:firstLine="360"/>
        <w:jc w:val="both"/>
      </w:pPr>
      <w:r>
        <w:rPr>
          <w:spacing w:val="-2"/>
        </w:rPr>
        <w:t>对被投资单位具有共同控制（构成共同经营者除外）或重大影响的长期股权投资，采用权益法核算。此外，公司财务报</w:t>
      </w:r>
      <w:r>
        <w:rPr/>
        <w:t> 表采用成本法核算能够对被投资单位实施控制的长期股权投资。</w:t>
      </w:r>
    </w:p>
    <w:p>
      <w:pPr>
        <w:pStyle w:val="BodyText"/>
        <w:spacing w:line="468" w:lineRule="exact" w:before="10"/>
        <w:ind w:left="513" w:right="0"/>
        <w:jc w:val="left"/>
      </w:pPr>
      <w:r>
        <w:rPr/>
        <w:t>①本公司能够对被投资单位实施控制的长期股权投资按照成本法核算。 </w:t>
      </w:r>
      <w:r>
        <w:rPr>
          <w:spacing w:val="-2"/>
        </w:rPr>
        <w:t>采用成本法核算的长期股权投资按照初始投资成本计价；追加或收回投资调整长期股权投资的成本；被投资单位宣告分</w:t>
      </w:r>
    </w:p>
    <w:p>
      <w:pPr>
        <w:pStyle w:val="BodyText"/>
        <w:spacing w:line="316" w:lineRule="auto" w:before="8"/>
        <w:ind w:right="153"/>
        <w:jc w:val="both"/>
      </w:pPr>
      <w:r>
        <w:rPr>
          <w:spacing w:val="-2"/>
        </w:rPr>
        <w:t>派的现金股利或利润，确认为当期投资收益，除取得投资时实际支付的价款或对价中包含的已宣告但尚未发放的现金股利或</w:t>
      </w:r>
      <w:r>
        <w:rPr>
          <w:spacing w:val="-64"/>
        </w:rPr>
        <w:t> </w:t>
      </w:r>
      <w:r>
        <w:rPr>
          <w:spacing w:val="-64"/>
        </w:rPr>
      </w:r>
      <w:r>
        <w:rPr/>
        <w:t>利润作为初始投资成本的收回外，按照享有被投资单位宣告发放的现金股利或利润确认投资收益。</w:t>
      </w:r>
    </w:p>
    <w:p>
      <w:pPr>
        <w:pStyle w:val="BodyText"/>
        <w:spacing w:line="468" w:lineRule="exact" w:before="10"/>
        <w:ind w:left="513" w:right="0"/>
        <w:jc w:val="left"/>
      </w:pPr>
      <w:r>
        <w:rPr/>
        <w:t>②对被投资单位具有共同控制或重大影响的长期股权，采用益法核算。 </w:t>
      </w:r>
      <w:r>
        <w:rPr>
          <w:spacing w:val="-2"/>
        </w:rPr>
        <w:t>采用权益法核算时，长期股权投资的初始投资成本大于投资时应享有被投资单位可辨认净资产公允价值份额的，不调整</w:t>
      </w:r>
    </w:p>
    <w:p>
      <w:pPr>
        <w:pStyle w:val="BodyText"/>
        <w:spacing w:line="316" w:lineRule="auto" w:before="8"/>
        <w:ind w:right="153"/>
        <w:jc w:val="both"/>
      </w:pPr>
      <w:r>
        <w:rPr>
          <w:spacing w:val="-2"/>
        </w:rPr>
        <w:t>长期股权投资的初始投资成本；初始投资成本小于投资时应享有被投资单位可辨认净资产公允价值份额的，其差额计入当期</w:t>
      </w:r>
      <w:r>
        <w:rPr>
          <w:spacing w:val="-64"/>
        </w:rPr>
        <w:t> </w:t>
      </w:r>
      <w:r>
        <w:rPr>
          <w:spacing w:val="-64"/>
        </w:rPr>
      </w:r>
      <w:r>
        <w:rPr/>
        <w:t>损益，同时调整长期股权投资的成本。</w:t>
      </w:r>
    </w:p>
    <w:p>
      <w:pPr>
        <w:spacing w:line="240" w:lineRule="auto" w:before="5"/>
        <w:rPr>
          <w:rFonts w:ascii="宋体" w:hAnsi="宋体" w:cs="宋体" w:eastAsia="宋体" w:hint="default"/>
          <w:sz w:val="13"/>
          <w:szCs w:val="13"/>
        </w:rPr>
      </w:pPr>
    </w:p>
    <w:p>
      <w:pPr>
        <w:pStyle w:val="BodyText"/>
        <w:spacing w:line="316" w:lineRule="auto"/>
        <w:ind w:right="150" w:firstLine="360"/>
        <w:jc w:val="both"/>
      </w:pPr>
      <w:r>
        <w:rPr>
          <w:spacing w:val="-2"/>
        </w:rPr>
        <w:t>采用权益法核算时，按照应享有或应分担的被投资单位实现的净损益和其他综合收益的份额，分别确认投资收益和其他</w:t>
      </w:r>
      <w:r>
        <w:rPr/>
        <w:t> </w:t>
      </w:r>
      <w:r>
        <w:rPr>
          <w:spacing w:val="-2"/>
        </w:rPr>
        <w:t>综合收益，同时调整长期股权投资的账面价值；按照被投资单位宣告分派的利润或现金股利计算应享有的部分，相应减少长</w:t>
      </w:r>
      <w:r>
        <w:rPr>
          <w:spacing w:val="-63"/>
        </w:rPr>
        <w:t> </w:t>
      </w:r>
      <w:r>
        <w:rPr>
          <w:spacing w:val="-63"/>
        </w:rPr>
      </w:r>
      <w:r>
        <w:rPr>
          <w:spacing w:val="-2"/>
        </w:rPr>
        <w:t>期股权投资的账面价值；被投资单位除净损益、其他综合收益和利润分配以外所有者权益的其他变动，调整长期股权投资的</w:t>
      </w:r>
      <w:r>
        <w:rPr>
          <w:spacing w:val="-63"/>
        </w:rPr>
        <w:t> </w:t>
      </w:r>
      <w:r>
        <w:rPr>
          <w:spacing w:val="-63"/>
        </w:rPr>
      </w:r>
      <w:r>
        <w:rPr/>
        <w:t>账面价值并计入所有者权益。</w:t>
      </w:r>
    </w:p>
    <w:p>
      <w:pPr>
        <w:spacing w:line="240" w:lineRule="auto" w:before="5"/>
        <w:rPr>
          <w:rFonts w:ascii="宋体" w:hAnsi="宋体" w:cs="宋体" w:eastAsia="宋体" w:hint="default"/>
          <w:sz w:val="13"/>
          <w:szCs w:val="13"/>
        </w:rPr>
      </w:pPr>
    </w:p>
    <w:p>
      <w:pPr>
        <w:pStyle w:val="BodyText"/>
        <w:spacing w:line="316" w:lineRule="auto"/>
        <w:ind w:right="151" w:firstLine="360"/>
        <w:jc w:val="both"/>
      </w:pPr>
      <w:r>
        <w:rPr>
          <w:spacing w:val="-2"/>
        </w:rPr>
        <w:t>在确认应享有被投资单位净损益的份额时，以取得投资时被投资单位各项可辨认资产等的公允价值为基础，对被投资单</w:t>
      </w:r>
      <w:r>
        <w:rPr/>
        <w:t> </w:t>
      </w:r>
      <w:r>
        <w:rPr>
          <w:spacing w:val="-2"/>
        </w:rPr>
        <w:t>位的净利润进行调整后确认。被投资单位采用的会计政策及会计期间与本公司不一致的，按照本公司的会计政策及会计期间</w:t>
      </w:r>
      <w:r>
        <w:rPr>
          <w:spacing w:val="-63"/>
        </w:rPr>
        <w:t> </w:t>
      </w:r>
      <w:r>
        <w:rPr>
          <w:spacing w:val="-63"/>
        </w:rPr>
      </w:r>
      <w:r>
        <w:rPr/>
        <w:t>对被投资单位的财务报表进行调整，并据以确认投资收益和其他综合收益。</w:t>
      </w:r>
    </w:p>
    <w:p>
      <w:pPr>
        <w:spacing w:line="240" w:lineRule="auto" w:before="5"/>
        <w:rPr>
          <w:rFonts w:ascii="宋体" w:hAnsi="宋体" w:cs="宋体" w:eastAsia="宋体" w:hint="default"/>
          <w:sz w:val="13"/>
          <w:szCs w:val="13"/>
        </w:rPr>
      </w:pPr>
    </w:p>
    <w:p>
      <w:pPr>
        <w:pStyle w:val="BodyText"/>
        <w:spacing w:line="316" w:lineRule="auto"/>
        <w:ind w:right="148" w:firstLine="360"/>
        <w:jc w:val="both"/>
      </w:pPr>
      <w:r>
        <w:rPr>
          <w:spacing w:val="-2"/>
        </w:rPr>
        <w:t>对于本公司与联营企业及合营企业之间发生的交易，投出或出售的资产不构成业务的，未实现内部交易损益按照享有的</w:t>
      </w:r>
      <w:r>
        <w:rPr/>
        <w:t> </w:t>
      </w:r>
      <w:r>
        <w:rPr>
          <w:spacing w:val="-2"/>
        </w:rPr>
        <w:t>比例计算归属于本公司的部分予以抵销，在此基础上确认投资损益。但本公司与被投资单位发生的未实现内部交易损失，属</w:t>
      </w:r>
      <w:r>
        <w:rPr>
          <w:spacing w:val="-63"/>
        </w:rPr>
        <w:t> </w:t>
      </w:r>
      <w:r>
        <w:rPr>
          <w:spacing w:val="-63"/>
        </w:rPr>
      </w:r>
      <w:r>
        <w:rPr>
          <w:spacing w:val="-2"/>
        </w:rPr>
        <w:t>于所转让资产减值损失的，不予以抵销。本公司向合营企业或联营企业投出的资产构成业务的，投资方因此取得长期股权投</w:t>
      </w:r>
      <w:r>
        <w:rPr>
          <w:spacing w:val="-63"/>
        </w:rPr>
        <w:t> </w:t>
      </w:r>
      <w:r>
        <w:rPr>
          <w:spacing w:val="-63"/>
        </w:rPr>
      </w:r>
      <w:r>
        <w:rPr>
          <w:spacing w:val="-2"/>
        </w:rPr>
        <w:t>资但未取得控制权的，以投出业务的公允价值作为新增长期股权投资的初始投资成本，初始投资成本与投出业务的账面价值</w:t>
      </w:r>
      <w:r>
        <w:rPr>
          <w:spacing w:val="-63"/>
        </w:rPr>
        <w:t> </w:t>
      </w:r>
      <w:r>
        <w:rPr>
          <w:spacing w:val="-63"/>
        </w:rPr>
      </w:r>
      <w:r>
        <w:rPr>
          <w:spacing w:val="-2"/>
        </w:rPr>
        <w:t>之差，全额计入当期损益。本公司向合营企业或联营企业出售的资产构成业务的，取得的对价与业务的账面价值之差，全额</w:t>
      </w:r>
      <w:r>
        <w:rPr>
          <w:spacing w:val="-64"/>
        </w:rPr>
        <w:t> </w:t>
      </w:r>
      <w:r>
        <w:rPr>
          <w:spacing w:val="-64"/>
        </w:rPr>
      </w:r>
      <w:r>
        <w:rPr>
          <w:spacing w:val="-2"/>
        </w:rPr>
        <w:t>计入当期损益。本公司自联营企业及合营企业购入的资产构成业务的，按《企业会计准则第</w:t>
      </w:r>
      <w:r>
        <w:rPr>
          <w:rFonts w:ascii="宋体" w:hAnsi="宋体" w:cs="宋体" w:eastAsia="宋体" w:hint="default"/>
          <w:spacing w:val="-2"/>
        </w:rPr>
        <w:t>20</w:t>
      </w:r>
      <w:r>
        <w:rPr>
          <w:spacing w:val="-2"/>
        </w:rPr>
        <w:t>号——企业合并》的规定进行</w:t>
      </w:r>
      <w:r>
        <w:rPr>
          <w:spacing w:val="-61"/>
        </w:rPr>
        <w:t> </w:t>
      </w:r>
      <w:r>
        <w:rPr>
          <w:spacing w:val="-61"/>
        </w:rPr>
      </w:r>
      <w:r>
        <w:rPr/>
        <w:t>会计处理，全额确认与交易相关的利得或损失。</w:t>
      </w:r>
    </w:p>
    <w:p>
      <w:pPr>
        <w:spacing w:line="240" w:lineRule="auto" w:before="5"/>
        <w:rPr>
          <w:rFonts w:ascii="宋体" w:hAnsi="宋体" w:cs="宋体" w:eastAsia="宋体" w:hint="default"/>
          <w:sz w:val="13"/>
          <w:szCs w:val="13"/>
        </w:rPr>
      </w:pPr>
    </w:p>
    <w:p>
      <w:pPr>
        <w:pStyle w:val="BodyText"/>
        <w:spacing w:line="319" w:lineRule="auto"/>
        <w:ind w:right="151" w:firstLine="360"/>
        <w:jc w:val="both"/>
      </w:pPr>
      <w:r>
        <w:rPr>
          <w:spacing w:val="-2"/>
        </w:rPr>
        <w:t>在确认应分担被投资单位发生的净亏损时，以长期股权投资的账面价值和其他实质上构成对被投资单位净投资的长期权</w:t>
      </w:r>
      <w:r>
        <w:rPr/>
        <w:t> </w:t>
      </w:r>
      <w:r>
        <w:rPr>
          <w:spacing w:val="-2"/>
        </w:rPr>
        <w:t>益减记至零为限。此外，如本公司对被投资单位负有承担额外损失的义务，则按预计承担的义务确认预计负债，计入当期投</w:t>
      </w:r>
      <w:r>
        <w:rPr>
          <w:spacing w:val="-64"/>
        </w:rPr>
        <w:t> </w:t>
      </w:r>
      <w:r>
        <w:rPr>
          <w:spacing w:val="-64"/>
        </w:rPr>
      </w:r>
      <w:r>
        <w:rPr/>
        <w:t>资损失。被投资单位以后期间实现净利润的，本公司在收益分享额弥补未确认的亏损分担额后，恢复确认收益分享额。</w:t>
      </w:r>
    </w:p>
    <w:p>
      <w:pPr>
        <w:pStyle w:val="BodyText"/>
        <w:spacing w:line="468" w:lineRule="exact" w:before="9"/>
        <w:ind w:left="513" w:right="140"/>
        <w:jc w:val="left"/>
        <w:rPr>
          <w:rFonts w:ascii="宋体" w:hAnsi="宋体" w:cs="宋体" w:eastAsia="宋体" w:hint="default"/>
        </w:rPr>
      </w:pPr>
      <w:r>
        <w:rPr/>
        <w:t>③追加投资和处置股权的处置方法 本公司因追加投资等原因能够对被投资单位施加重大影响或实施共同控制但不构成控制的，按照《企业会计准则第</w:t>
      </w:r>
      <w:r>
        <w:rPr>
          <w:spacing w:val="3"/>
        </w:rPr>
        <w:t> </w:t>
      </w:r>
      <w:r>
        <w:rPr>
          <w:rFonts w:ascii="宋体" w:hAnsi="宋体" w:cs="宋体" w:eastAsia="宋体" w:hint="default"/>
        </w:rPr>
        <w:t>22</w:t>
      </w:r>
    </w:p>
    <w:p>
      <w:pPr>
        <w:pStyle w:val="BodyText"/>
        <w:spacing w:line="316" w:lineRule="auto" w:before="8"/>
        <w:ind w:right="150"/>
        <w:jc w:val="both"/>
      </w:pPr>
      <w:r>
        <w:rPr>
          <w:spacing w:val="-2"/>
        </w:rPr>
        <w:t>号——金融工具确认和计量》确定的原持有的股权投资的公允价值加上新增投资成本之和，作为改按权益法核算的初始投资</w:t>
      </w:r>
      <w:r>
        <w:rPr>
          <w:spacing w:val="-64"/>
        </w:rPr>
        <w:t> </w:t>
      </w:r>
      <w:r>
        <w:rPr>
          <w:spacing w:val="-64"/>
        </w:rPr>
      </w:r>
      <w:r>
        <w:rPr>
          <w:spacing w:val="-2"/>
        </w:rPr>
        <w:t>成本。原持有的股权投资分类为可供出售金融资产的，其公允价值与账面价值之间的差额，以及原计入其他综合收益的累计</w:t>
      </w:r>
      <w:r>
        <w:rPr>
          <w:spacing w:val="-63"/>
        </w:rPr>
        <w:t> </w:t>
      </w:r>
      <w:r>
        <w:rPr>
          <w:spacing w:val="-63"/>
        </w:rPr>
      </w:r>
      <w:r>
        <w:rPr/>
        <w:t>公允价值变动转入改按权益法核算的当期损益。</w:t>
      </w:r>
    </w:p>
    <w:p>
      <w:pPr>
        <w:spacing w:line="240" w:lineRule="auto" w:before="5"/>
        <w:rPr>
          <w:rFonts w:ascii="宋体" w:hAnsi="宋体" w:cs="宋体" w:eastAsia="宋体" w:hint="default"/>
          <w:sz w:val="13"/>
          <w:szCs w:val="13"/>
        </w:rPr>
      </w:pPr>
    </w:p>
    <w:p>
      <w:pPr>
        <w:pStyle w:val="BodyText"/>
        <w:spacing w:line="319" w:lineRule="auto"/>
        <w:ind w:right="149" w:firstLine="360"/>
        <w:jc w:val="both"/>
      </w:pPr>
      <w:r>
        <w:rPr>
          <w:spacing w:val="-2"/>
        </w:rPr>
        <w:t>本公司因追加投资等原因能够对非同一控制下的被投资单位实施控制的，在编制个别财务报表时，按照原持有的股权投</w:t>
      </w:r>
      <w:r>
        <w:rPr/>
        <w:t> </w:t>
      </w:r>
      <w:r>
        <w:rPr>
          <w:spacing w:val="-2"/>
        </w:rPr>
        <w:t>资账面价值加上新增投资成本之和，作为改按成本法核算的初始投资成本。购买日之前持有的股权投资因采用权益法核算而</w:t>
      </w:r>
      <w:r>
        <w:rPr>
          <w:spacing w:val="-64"/>
        </w:rPr>
        <w:t> </w:t>
      </w:r>
      <w:r>
        <w:rPr>
          <w:spacing w:val="-64"/>
        </w:rPr>
      </w:r>
      <w:r>
        <w:rPr>
          <w:spacing w:val="-2"/>
        </w:rPr>
        <w:t>确认的其他综合收益，应当在处置该项投资时采用与被投资单位直接处置相关资产或负债相同的基础进行会计处理。购买日</w:t>
      </w:r>
      <w:r>
        <w:rPr>
          <w:spacing w:val="-64"/>
        </w:rPr>
        <w:t> </w:t>
      </w:r>
      <w:r>
        <w:rPr>
          <w:spacing w:val="-64"/>
        </w:rPr>
      </w:r>
      <w:r>
        <w:rPr/>
        <w:t>之前持有的股权投资按照《企业会计准则第</w:t>
      </w:r>
      <w:r>
        <w:rPr>
          <w:spacing w:val="-38"/>
        </w:rPr>
        <w:t> </w:t>
      </w:r>
      <w:r>
        <w:rPr>
          <w:rFonts w:ascii="宋体" w:hAnsi="宋体" w:cs="宋体" w:eastAsia="宋体" w:hint="default"/>
        </w:rPr>
        <w:t>22</w:t>
      </w:r>
      <w:r>
        <w:rPr>
          <w:rFonts w:ascii="宋体" w:hAnsi="宋体" w:cs="宋体" w:eastAsia="宋体" w:hint="default"/>
          <w:spacing w:val="-39"/>
        </w:rPr>
        <w:t> </w:t>
      </w:r>
      <w:r>
        <w:rPr/>
        <w:t>号——金融工具确认和计量》的有关规定进行会计处理的，原计入其他综合 收益的累计公允价值变动应当在改按成本法核算时转入当期损益。</w:t>
      </w:r>
    </w:p>
    <w:p>
      <w:pPr>
        <w:spacing w:after="0" w:line="319" w:lineRule="auto"/>
        <w:jc w:val="both"/>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316" w:lineRule="auto" w:before="44"/>
        <w:ind w:right="152" w:firstLine="360"/>
        <w:jc w:val="both"/>
      </w:pPr>
      <w:r>
        <w:rPr>
          <w:spacing w:val="-2"/>
        </w:rPr>
        <w:t>本公司因处置部分股权投资等原因丧失了对被投资单位的共同控制或重大影响的，处置后的剩余股权应当改按《企业会</w:t>
      </w:r>
      <w:r>
        <w:rPr/>
        <w:t> 计准则第</w:t>
      </w:r>
      <w:r>
        <w:rPr>
          <w:spacing w:val="-40"/>
        </w:rPr>
        <w:t> </w:t>
      </w:r>
      <w:r>
        <w:rPr>
          <w:rFonts w:ascii="宋体" w:hAnsi="宋体" w:cs="宋体" w:eastAsia="宋体" w:hint="default"/>
        </w:rPr>
        <w:t>22</w:t>
      </w:r>
      <w:r>
        <w:rPr>
          <w:rFonts w:ascii="宋体" w:hAnsi="宋体" w:cs="宋体" w:eastAsia="宋体" w:hint="default"/>
          <w:spacing w:val="-40"/>
        </w:rPr>
        <w:t> </w:t>
      </w:r>
      <w:r>
        <w:rPr/>
        <w:t>号——金融工具确认和计量》核算，其在丧失共同控制或重大影响之日的公允价值与账面价值之间的差额计入 </w:t>
      </w:r>
      <w:r>
        <w:rPr>
          <w:spacing w:val="-2"/>
        </w:rPr>
        <w:t>当期损益。原股权投资因采用权益法核算而确认的其他综合收益，应当在终止采用权益法核算时采用与被投资单位直接处置</w:t>
      </w:r>
      <w:r>
        <w:rPr>
          <w:spacing w:val="-64"/>
        </w:rPr>
        <w:t> </w:t>
      </w:r>
      <w:r>
        <w:rPr>
          <w:spacing w:val="-64"/>
        </w:rPr>
      </w:r>
      <w:r>
        <w:rPr/>
        <w:t>相关资产或负债相同的基础进行会计处理。</w:t>
      </w:r>
    </w:p>
    <w:p>
      <w:pPr>
        <w:spacing w:line="240" w:lineRule="auto" w:before="5"/>
        <w:rPr>
          <w:rFonts w:ascii="宋体" w:hAnsi="宋体" w:cs="宋体" w:eastAsia="宋体" w:hint="default"/>
          <w:sz w:val="13"/>
          <w:szCs w:val="13"/>
        </w:rPr>
      </w:pPr>
    </w:p>
    <w:p>
      <w:pPr>
        <w:pStyle w:val="BodyText"/>
        <w:spacing w:line="316" w:lineRule="auto"/>
        <w:ind w:right="151" w:firstLine="360"/>
        <w:jc w:val="both"/>
      </w:pPr>
      <w:r>
        <w:rPr>
          <w:spacing w:val="-2"/>
        </w:rPr>
        <w:t>本公司因处置部分权益性投资等原因丧失了对被投资单位的控制的，在编制个别财务报表时，处置后的剩余股权能够对</w:t>
      </w:r>
      <w:r>
        <w:rPr/>
        <w:t> </w:t>
      </w:r>
      <w:r>
        <w:rPr>
          <w:spacing w:val="-2"/>
        </w:rPr>
        <w:t>被投资单位实施共同控制或施加重大影响的，应当改按权益法核算，并对该剩余股权视同自取得时即采用权益法核算进行调</w:t>
      </w:r>
      <w:r>
        <w:rPr>
          <w:spacing w:val="-63"/>
        </w:rPr>
        <w:t> </w:t>
      </w:r>
      <w:r>
        <w:rPr>
          <w:spacing w:val="-63"/>
        </w:rPr>
      </w:r>
      <w:r>
        <w:rPr/>
        <w:t>整；处置后的剩余股权不能对被投资单位实施共同控制或施加重大影响的，应当改按《企业会计准则第</w:t>
      </w:r>
      <w:r>
        <w:rPr>
          <w:spacing w:val="-39"/>
        </w:rPr>
        <w:t> </w:t>
      </w:r>
      <w:r>
        <w:rPr>
          <w:rFonts w:ascii="宋体" w:hAnsi="宋体" w:cs="宋体" w:eastAsia="宋体" w:hint="default"/>
        </w:rPr>
        <w:t>22</w:t>
      </w:r>
      <w:r>
        <w:rPr>
          <w:rFonts w:ascii="宋体" w:hAnsi="宋体" w:cs="宋体" w:eastAsia="宋体" w:hint="default"/>
          <w:spacing w:val="-41"/>
        </w:rPr>
        <w:t> </w:t>
      </w:r>
      <w:r>
        <w:rPr/>
        <w:t>号——金融工具 确认和计量》的有关规定进行会计处理，其在丧失控制之日的公允价值与账面价值间的差额计入当期损益。</w:t>
      </w:r>
    </w:p>
    <w:p>
      <w:pPr>
        <w:spacing w:line="240" w:lineRule="auto" w:before="5"/>
        <w:rPr>
          <w:rFonts w:ascii="宋体" w:hAnsi="宋体" w:cs="宋体" w:eastAsia="宋体" w:hint="default"/>
          <w:sz w:val="13"/>
          <w:szCs w:val="13"/>
        </w:rPr>
      </w:pPr>
    </w:p>
    <w:p>
      <w:pPr>
        <w:pStyle w:val="BodyText"/>
        <w:spacing w:line="240" w:lineRule="auto"/>
        <w:ind w:left="513" w:right="1134"/>
        <w:jc w:val="left"/>
      </w:pPr>
      <w:r>
        <w:rPr/>
        <w:t>（</w:t>
      </w:r>
      <w:r>
        <w:rPr>
          <w:rFonts w:ascii="宋体" w:hAnsi="宋体" w:cs="宋体" w:eastAsia="宋体" w:hint="default"/>
        </w:rPr>
        <w:t>3</w:t>
      </w:r>
      <w:r>
        <w:rPr/>
        <w:t>）确定对被投资单位具有共同控制、重大影响的依据</w:t>
      </w:r>
    </w:p>
    <w:p>
      <w:pPr>
        <w:pStyle w:val="BodyText"/>
        <w:spacing w:line="470" w:lineRule="atLeast"/>
        <w:ind w:left="513" w:right="0"/>
        <w:jc w:val="left"/>
      </w:pPr>
      <w:r>
        <w:rPr/>
        <w:t>控制的定义见本节五</w:t>
      </w:r>
      <w:r>
        <w:rPr>
          <w:rFonts w:ascii="宋体" w:hAnsi="宋体" w:cs="宋体" w:eastAsia="宋体" w:hint="default"/>
        </w:rPr>
        <w:t>6</w:t>
      </w:r>
      <w:r>
        <w:rPr/>
        <w:t>、（</w:t>
      </w:r>
      <w:r>
        <w:rPr>
          <w:rFonts w:ascii="宋体" w:hAnsi="宋体" w:cs="宋体" w:eastAsia="宋体" w:hint="default"/>
        </w:rPr>
        <w:t>1</w:t>
      </w:r>
      <w:r>
        <w:rPr/>
        <w:t>）“合并财务报表范围的确定原则” </w:t>
      </w:r>
      <w:r>
        <w:rPr>
          <w:spacing w:val="-2"/>
        </w:rPr>
        <w:t>共同控制，是指本公司按照相关约定对某项安排所共有的控制，并且该安排的相关活动必须经过分享控制权的参与方一</w:t>
      </w:r>
    </w:p>
    <w:p>
      <w:pPr>
        <w:pStyle w:val="BodyText"/>
        <w:spacing w:line="316" w:lineRule="auto" w:before="76"/>
        <w:ind w:right="149"/>
        <w:jc w:val="both"/>
      </w:pPr>
      <w:r>
        <w:rPr>
          <w:spacing w:val="-2"/>
        </w:rPr>
        <w:t>致同意后才能决策。重大影响，是指本公司对被投资单位的财务和经营政策有参与决策的权力，但并不能够控制或者与其他</w:t>
      </w:r>
      <w:r>
        <w:rPr>
          <w:spacing w:val="-62"/>
        </w:rPr>
        <w:t> </w:t>
      </w:r>
      <w:r>
        <w:rPr>
          <w:spacing w:val="-62"/>
        </w:rPr>
      </w:r>
      <w:r>
        <w:rPr>
          <w:spacing w:val="-2"/>
        </w:rPr>
        <w:t>方一起共同控制这些政策的制定。在确定能否对被投资单位实施控制或施加重大影响时，已考虑投资企业和其他方持有的被</w:t>
      </w:r>
      <w:r>
        <w:rPr>
          <w:spacing w:val="-64"/>
        </w:rPr>
        <w:t> </w:t>
      </w:r>
      <w:r>
        <w:rPr>
          <w:spacing w:val="-64"/>
        </w:rPr>
      </w:r>
      <w:r>
        <w:rPr/>
        <w:t>投资单位当期可转换公司债券、当期可执行认股权证等潜在表决权因素。</w:t>
      </w:r>
    </w:p>
    <w:p>
      <w:pPr>
        <w:spacing w:line="240" w:lineRule="auto" w:before="5"/>
        <w:rPr>
          <w:rFonts w:ascii="宋体" w:hAnsi="宋体" w:cs="宋体" w:eastAsia="宋体" w:hint="default"/>
          <w:sz w:val="13"/>
          <w:szCs w:val="13"/>
        </w:rPr>
      </w:pPr>
    </w:p>
    <w:p>
      <w:pPr>
        <w:pStyle w:val="BodyText"/>
        <w:spacing w:line="316" w:lineRule="auto"/>
        <w:ind w:right="150" w:firstLine="360"/>
        <w:jc w:val="both"/>
      </w:pPr>
      <w:r>
        <w:rPr/>
        <w:t>当本公司直接或通过子公司间接拥有被投资单位</w:t>
      </w:r>
      <w:r>
        <w:rPr>
          <w:rFonts w:ascii="宋体" w:hAnsi="宋体" w:cs="宋体" w:eastAsia="宋体" w:hint="default"/>
        </w:rPr>
        <w:t>20%</w:t>
      </w:r>
      <w:r>
        <w:rPr/>
        <w:t>（含</w:t>
      </w:r>
      <w:r>
        <w:rPr>
          <w:rFonts w:ascii="宋体" w:hAnsi="宋体" w:cs="宋体" w:eastAsia="宋体" w:hint="default"/>
        </w:rPr>
        <w:t>20%</w:t>
      </w:r>
      <w:r>
        <w:rPr/>
        <w:t>）以上但低于</w:t>
      </w:r>
      <w:r>
        <w:rPr>
          <w:rFonts w:ascii="宋体" w:hAnsi="宋体" w:cs="宋体" w:eastAsia="宋体" w:hint="default"/>
        </w:rPr>
        <w:t>50%</w:t>
      </w:r>
      <w:r>
        <w:rPr/>
        <w:t>的表决权股份时，除非有明确证据表明该 </w:t>
      </w:r>
      <w:r>
        <w:rPr>
          <w:spacing w:val="-2"/>
        </w:rPr>
        <w:t>种情况下不能参与被投资单位的生产经营决策，不形成重大影响外，均确定对被投资单位具有重大影响；本公司拥有被投资</w:t>
      </w:r>
      <w:r>
        <w:rPr>
          <w:spacing w:val="-63"/>
        </w:rPr>
        <w:t> </w:t>
      </w:r>
      <w:r>
        <w:rPr>
          <w:spacing w:val="-63"/>
        </w:rPr>
      </w:r>
      <w:r>
        <w:rPr/>
        <w:t>单位</w:t>
      </w:r>
      <w:r>
        <w:rPr>
          <w:rFonts w:ascii="宋体" w:hAnsi="宋体" w:cs="宋体" w:eastAsia="宋体" w:hint="default"/>
        </w:rPr>
        <w:t>20%</w:t>
      </w:r>
      <w:r>
        <w:rPr/>
        <w:t>（不含）以下的表决权股份，一般不认为对被投资单位具有重大影响，除非有明确证据表明该种情况下能够参与被 投资单位的生产经营决策，形成重大影响。</w:t>
      </w:r>
    </w:p>
    <w:p>
      <w:pPr>
        <w:spacing w:line="240" w:lineRule="auto" w:before="11"/>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15</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53"/>
        <w:jc w:val="both"/>
      </w:pPr>
      <w:r>
        <w:rPr>
          <w:spacing w:val="-2"/>
        </w:rPr>
        <w:t>固定资产是指为生商品、提供劳务出租或经营管理而持有并且使用寿命超过一个会计年度的形资产。固定资产在满足下列条</w:t>
      </w:r>
      <w:r>
        <w:rPr>
          <w:spacing w:val="-64"/>
        </w:rPr>
        <w:t> </w:t>
      </w:r>
      <w:r>
        <w:rPr>
          <w:spacing w:val="-64"/>
        </w:rPr>
      </w:r>
      <w:r>
        <w:rPr/>
        <w:t>件时予以确认： ①与该固定资产有关的经济利益很可能流入本公司；</w:t>
      </w:r>
      <w:r>
        <w:rPr>
          <w:spacing w:val="3"/>
        </w:rPr>
        <w:t> </w:t>
      </w:r>
      <w:r>
        <w:rPr/>
        <w:t>②该固定资产的成本能够可靠的计量。</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2.375%</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构筑物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5-20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4.75%-19%</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3-10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9.5%-32.33%</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3-10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9.5%-32.33%</w:t>
            </w:r>
          </w:p>
        </w:tc>
      </w:tr>
    </w:tbl>
    <w:p>
      <w:pPr>
        <w:spacing w:line="240" w:lineRule="auto" w:before="3"/>
        <w:rPr>
          <w:rFonts w:ascii="宋体" w:hAnsi="宋体" w:cs="宋体" w:eastAsia="宋体" w:hint="default"/>
          <w:b/>
          <w:bCs/>
          <w:sz w:val="19"/>
          <w:szCs w:val="19"/>
        </w:rPr>
      </w:pPr>
    </w:p>
    <w:p>
      <w:pPr>
        <w:pStyle w:val="Heading3"/>
        <w:spacing w:line="240" w:lineRule="auto" w:before="36"/>
        <w:ind w:right="1134"/>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150" w:firstLine="360"/>
        <w:jc w:val="both"/>
      </w:pPr>
      <w:r>
        <w:rPr/>
        <w:t>符合下列一项或数标准的</w:t>
      </w:r>
      <w:r>
        <w:rPr>
          <w:spacing w:val="1"/>
        </w:rPr>
        <w:t> </w:t>
      </w:r>
      <w:r>
        <w:rPr/>
        <w:t>，认定为融资租赁：①在租赁期届满时，资产的所有权转移给承人；②承租人有购买赁资产</w:t>
      </w:r>
      <w:r>
        <w:rPr/>
        <w:t> </w:t>
      </w:r>
      <w:r>
        <w:rPr>
          <w:spacing w:val="-2"/>
        </w:rPr>
        <w:t>的选择权，所订立价款预计将远远低于行使选择权时租赁资产的公允值，因而租赁在开始日就可以合理确定承租人将会行使</w:t>
      </w:r>
      <w:r>
        <w:rPr>
          <w:spacing w:val="-64"/>
        </w:rPr>
        <w:t> </w:t>
      </w:r>
      <w:r>
        <w:rPr>
          <w:spacing w:val="-64"/>
        </w:rPr>
      </w:r>
      <w:r>
        <w:rPr>
          <w:spacing w:val="-2"/>
        </w:rPr>
        <w:t>这种选择权；③即使资产的所有权不转移，但租赁期占租赁资产使用寿命的大部分；④承租人在赁开始日的最低租赁付款额</w:t>
      </w:r>
    </w:p>
    <w:p>
      <w:pPr>
        <w:spacing w:after="0" w:line="319" w:lineRule="auto"/>
        <w:jc w:val="both"/>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316" w:lineRule="auto" w:before="44"/>
        <w:ind w:right="290"/>
        <w:jc w:val="both"/>
      </w:pPr>
      <w:r>
        <w:rPr>
          <w:spacing w:val="-2"/>
        </w:rPr>
        <w:t>现值，几乎相当于租赁开始日租赁资产的公允价值；出承租人在赁开始日的最低租赁收款额现值，几乎相当于租赁开始日租</w:t>
      </w:r>
      <w:r>
        <w:rPr>
          <w:spacing w:val="-63"/>
        </w:rPr>
        <w:t> </w:t>
      </w:r>
      <w:r>
        <w:rPr>
          <w:spacing w:val="-63"/>
        </w:rPr>
      </w:r>
      <w:r>
        <w:rPr>
          <w:spacing w:val="-2"/>
        </w:rPr>
        <w:t>赁资产的公允价值；⑤租赁资产性质特殊，如果不作较大改造，只有承人才能使用。计价方法：在租赁期开始日，融资入固</w:t>
      </w:r>
      <w:r>
        <w:rPr>
          <w:spacing w:val="-68"/>
        </w:rPr>
        <w:t> </w:t>
      </w:r>
      <w:r>
        <w:rPr>
          <w:spacing w:val="-68"/>
        </w:rPr>
      </w:r>
      <w:r>
        <w:rPr/>
        <w:t>定产的入账价值为租赁开始日租赁资产的公允价值与最低租赁付款额的现值两着较低者。</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16</w:t>
      </w:r>
      <w:r>
        <w:rPr/>
        <w:t>、在建工程</w:t>
      </w:r>
      <w:r>
        <w:rPr>
          <w:b w:val="0"/>
          <w:bCs w:val="0"/>
        </w:rPr>
      </w:r>
    </w:p>
    <w:p>
      <w:pPr>
        <w:spacing w:line="240" w:lineRule="auto" w:before="4"/>
        <w:rPr>
          <w:rFonts w:ascii="宋体" w:hAnsi="宋体" w:cs="宋体" w:eastAsia="宋体" w:hint="default"/>
          <w:b/>
          <w:bCs/>
          <w:sz w:val="26"/>
          <w:szCs w:val="26"/>
        </w:rPr>
      </w:pPr>
    </w:p>
    <w:p>
      <w:pPr>
        <w:pStyle w:val="BodyText"/>
        <w:spacing w:line="477" w:lineRule="auto"/>
        <w:ind w:left="513" w:right="5593"/>
        <w:jc w:val="left"/>
      </w:pPr>
      <w:r>
        <w:rPr/>
        <w:t>（</w:t>
      </w:r>
      <w:r>
        <w:rPr>
          <w:rFonts w:ascii="宋体" w:hAnsi="宋体" w:cs="宋体" w:eastAsia="宋体" w:hint="default"/>
        </w:rPr>
        <w:t>1</w:t>
      </w:r>
      <w:r>
        <w:rPr/>
        <w:t>）在建工程的类别 在建工程指兴建中的厂房与设备及其他固定资产。</w:t>
      </w:r>
    </w:p>
    <w:p>
      <w:pPr>
        <w:pStyle w:val="BodyText"/>
        <w:spacing w:line="240" w:lineRule="auto" w:before="54"/>
        <w:ind w:left="513" w:right="191"/>
        <w:jc w:val="left"/>
      </w:pPr>
      <w:r>
        <w:rPr/>
        <w:t>（</w:t>
      </w:r>
      <w:r>
        <w:rPr>
          <w:rFonts w:ascii="宋体" w:hAnsi="宋体" w:cs="宋体" w:eastAsia="宋体" w:hint="default"/>
        </w:rPr>
        <w:t>2</w:t>
      </w:r>
      <w:r>
        <w:rPr/>
        <w:t>）在建工程结转为固定资产的标准和时点</w:t>
      </w:r>
    </w:p>
    <w:p>
      <w:pPr>
        <w:spacing w:line="240" w:lineRule="auto" w:before="11"/>
        <w:rPr>
          <w:rFonts w:ascii="宋体" w:hAnsi="宋体" w:cs="宋体" w:eastAsia="宋体" w:hint="default"/>
          <w:sz w:val="17"/>
          <w:szCs w:val="17"/>
        </w:rPr>
      </w:pPr>
    </w:p>
    <w:p>
      <w:pPr>
        <w:pStyle w:val="BodyText"/>
        <w:spacing w:line="316" w:lineRule="auto"/>
        <w:ind w:right="290" w:firstLine="360"/>
        <w:jc w:val="both"/>
      </w:pPr>
      <w:r>
        <w:rPr>
          <w:spacing w:val="-2"/>
        </w:rPr>
        <w:t>在建工程在达到预定可使用状态时，确认为固定资产，并停止利息资本化。在建工程达到预定可使用状态时，按工程实</w:t>
      </w:r>
      <w:r>
        <w:rPr/>
        <w:t> </w:t>
      </w:r>
      <w:r>
        <w:rPr>
          <w:spacing w:val="-2"/>
        </w:rPr>
        <w:t>际成本转入固定资产。已达到预定可使用状态但尚未办理竣工决算的，先按估计价值计入固定资产，待办理竣工决算后再按</w:t>
      </w:r>
      <w:r>
        <w:rPr>
          <w:spacing w:val="-63"/>
        </w:rPr>
        <w:t> </w:t>
      </w:r>
      <w:r>
        <w:rPr>
          <w:spacing w:val="-63"/>
        </w:rPr>
      </w:r>
      <w:r>
        <w:rPr/>
        <w:t>实际成本调整原暂估价值，但不再调整已计提的折旧。</w:t>
      </w:r>
    </w:p>
    <w:p>
      <w:pPr>
        <w:pStyle w:val="BodyText"/>
        <w:spacing w:line="468" w:lineRule="exact" w:before="10"/>
        <w:ind w:left="513" w:right="275"/>
        <w:jc w:val="left"/>
      </w:pPr>
      <w:r>
        <w:rPr/>
        <w:t>（</w:t>
      </w:r>
      <w:r>
        <w:rPr>
          <w:rFonts w:ascii="宋体" w:hAnsi="宋体" w:cs="宋体" w:eastAsia="宋体" w:hint="default"/>
        </w:rPr>
        <w:t>3</w:t>
      </w:r>
      <w:r>
        <w:rPr/>
        <w:t>）在建工程的减值测试方法、减值准备计提方法 期末需对在建工程进行全面检查，若在建工程长期停建并且预计在未来</w:t>
      </w:r>
      <w:r>
        <w:rPr>
          <w:rFonts w:ascii="宋体" w:hAnsi="宋体" w:cs="宋体" w:eastAsia="宋体" w:hint="default"/>
        </w:rPr>
        <w:t>3</w:t>
      </w:r>
      <w:r>
        <w:rPr>
          <w:rFonts w:ascii="宋体" w:hAnsi="宋体" w:cs="宋体" w:eastAsia="宋体" w:hint="default"/>
          <w:spacing w:val="-22"/>
        </w:rPr>
        <w:t> </w:t>
      </w:r>
      <w:r>
        <w:rPr>
          <w:spacing w:val="-3"/>
        </w:rPr>
        <w:t>年内不会重新开工，所建项目在性能上、技术</w:t>
      </w:r>
    </w:p>
    <w:p>
      <w:pPr>
        <w:pStyle w:val="BodyText"/>
        <w:spacing w:line="316" w:lineRule="auto" w:before="8"/>
        <w:ind w:right="293"/>
        <w:jc w:val="both"/>
      </w:pPr>
      <w:r>
        <w:rPr>
          <w:spacing w:val="-2"/>
        </w:rPr>
        <w:t>上已经落后并且所带来的经济效益具有很大的不确定性，或其他足以证明在建工程已经发生减值的，按可收回金额低于账面</w:t>
      </w:r>
      <w:r>
        <w:rPr>
          <w:spacing w:val="-64"/>
        </w:rPr>
        <w:t> </w:t>
      </w:r>
      <w:r>
        <w:rPr>
          <w:spacing w:val="-64"/>
        </w:rPr>
      </w:r>
      <w:r>
        <w:rPr/>
        <w:t>价值的差额计提在建工程减值准备。</w:t>
      </w:r>
    </w:p>
    <w:p>
      <w:pPr>
        <w:spacing w:line="240" w:lineRule="auto" w:before="5"/>
        <w:rPr>
          <w:rFonts w:ascii="宋体" w:hAnsi="宋体" w:cs="宋体" w:eastAsia="宋体" w:hint="default"/>
          <w:sz w:val="13"/>
          <w:szCs w:val="13"/>
        </w:rPr>
      </w:pPr>
    </w:p>
    <w:p>
      <w:pPr>
        <w:pStyle w:val="BodyText"/>
        <w:spacing w:line="240" w:lineRule="auto"/>
        <w:ind w:left="513" w:right="191"/>
        <w:jc w:val="left"/>
      </w:pPr>
      <w:r>
        <w:rPr/>
        <w:t>在建工程资产减值损失一经确认，在以后会计期间不得转回。</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rFonts w:ascii="Times New Roman" w:hAnsi="Times New Roman" w:cs="Times New Roman" w:eastAsia="Times New Roman" w:hint="default"/>
        </w:rPr>
        <w:t>17</w:t>
      </w:r>
      <w:r>
        <w:rPr/>
        <w:t>、借款费用</w:t>
      </w:r>
      <w:r>
        <w:rPr>
          <w:b w:val="0"/>
          <w:bCs w:val="0"/>
        </w:rPr>
      </w:r>
    </w:p>
    <w:p>
      <w:pPr>
        <w:pStyle w:val="BodyText"/>
        <w:spacing w:line="460" w:lineRule="atLeast" w:before="117"/>
        <w:ind w:left="513" w:right="0"/>
        <w:jc w:val="left"/>
      </w:pPr>
      <w:r>
        <w:rPr/>
        <w:t>（</w:t>
      </w:r>
      <w:r>
        <w:rPr>
          <w:rFonts w:ascii="宋体" w:hAnsi="宋体" w:cs="宋体" w:eastAsia="宋体" w:hint="default"/>
        </w:rPr>
        <w:t>1</w:t>
      </w:r>
      <w:r>
        <w:rPr/>
        <w:t>）借款费用资本化的确认原则 </w:t>
      </w:r>
      <w:r>
        <w:rPr>
          <w:spacing w:val="-2"/>
        </w:rPr>
        <w:t>符合资本化条件的资产，是指需要经过相当长时间的购建或者生产活动才能达到预定可使用或者可销售状态的固定资产、</w:t>
      </w:r>
    </w:p>
    <w:p>
      <w:pPr>
        <w:pStyle w:val="BodyText"/>
        <w:spacing w:line="240" w:lineRule="auto" w:before="76"/>
        <w:ind w:right="0"/>
        <w:jc w:val="both"/>
      </w:pPr>
      <w:r>
        <w:rPr/>
        <w:t>投资性房地产和存货等资产。</w:t>
      </w:r>
    </w:p>
    <w:p>
      <w:pPr>
        <w:spacing w:line="240" w:lineRule="auto" w:before="10"/>
        <w:rPr>
          <w:rFonts w:ascii="宋体" w:hAnsi="宋体" w:cs="宋体" w:eastAsia="宋体" w:hint="default"/>
          <w:sz w:val="17"/>
          <w:szCs w:val="17"/>
        </w:rPr>
      </w:pPr>
    </w:p>
    <w:p>
      <w:pPr>
        <w:pStyle w:val="BodyText"/>
        <w:spacing w:line="316" w:lineRule="auto"/>
        <w:ind w:right="290" w:firstLine="360"/>
        <w:jc w:val="both"/>
      </w:pPr>
      <w:r>
        <w:rPr>
          <w:spacing w:val="-5"/>
        </w:rPr>
        <w:t>借款费用包括借款利息、折价或者溢价的摊销、辅助费用以及因外币借款而发生的汇兑差额等。本公司发生的借款费用，</w:t>
      </w:r>
      <w:r>
        <w:rPr/>
        <w:t> </w:t>
      </w:r>
      <w:r>
        <w:rPr>
          <w:spacing w:val="-2"/>
        </w:rPr>
        <w:t>可直接归属于符合资本化条件的资产的购建或者生产的，予以资本化，计入相关资产成本；其他借款费用在发生时根据其发</w:t>
      </w:r>
      <w:r>
        <w:rPr>
          <w:spacing w:val="-63"/>
        </w:rPr>
        <w:t> </w:t>
      </w:r>
      <w:r>
        <w:rPr>
          <w:spacing w:val="-63"/>
        </w:rPr>
      </w:r>
      <w:r>
        <w:rPr/>
        <w:t>生额确认为费用，计入当期损益。</w:t>
      </w:r>
    </w:p>
    <w:p>
      <w:pPr>
        <w:spacing w:line="240" w:lineRule="auto" w:before="5"/>
        <w:rPr>
          <w:rFonts w:ascii="宋体" w:hAnsi="宋体" w:cs="宋体" w:eastAsia="宋体" w:hint="default"/>
          <w:sz w:val="13"/>
          <w:szCs w:val="13"/>
        </w:rPr>
      </w:pPr>
    </w:p>
    <w:p>
      <w:pPr>
        <w:pStyle w:val="BodyText"/>
        <w:spacing w:line="240" w:lineRule="auto"/>
        <w:ind w:left="513" w:right="191"/>
        <w:jc w:val="left"/>
      </w:pPr>
      <w:r>
        <w:rPr/>
        <w:t>借款费用同时满足下列条件时开始资本化：</w:t>
      </w:r>
    </w:p>
    <w:p>
      <w:pPr>
        <w:spacing w:line="240" w:lineRule="auto" w:before="11"/>
        <w:rPr>
          <w:rFonts w:ascii="宋体" w:hAnsi="宋体" w:cs="宋体" w:eastAsia="宋体" w:hint="default"/>
          <w:sz w:val="17"/>
          <w:szCs w:val="17"/>
        </w:rPr>
      </w:pPr>
    </w:p>
    <w:p>
      <w:pPr>
        <w:pStyle w:val="BodyText"/>
        <w:spacing w:line="316" w:lineRule="auto"/>
        <w:ind w:right="292" w:firstLine="360"/>
        <w:jc w:val="both"/>
      </w:pPr>
      <w:r>
        <w:rPr>
          <w:spacing w:val="-2"/>
        </w:rPr>
        <w:t>①资产支出已经发生，资产支出包括为购建或者生产符合资本化条件的资产而以支付现金、转移非现金资产或者承担带</w:t>
      </w:r>
      <w:r>
        <w:rPr/>
        <w:t> 息债务形式发生的支出；</w:t>
      </w:r>
    </w:p>
    <w:p>
      <w:pPr>
        <w:spacing w:line="240" w:lineRule="auto" w:before="5"/>
        <w:rPr>
          <w:rFonts w:ascii="宋体" w:hAnsi="宋体" w:cs="宋体" w:eastAsia="宋体" w:hint="default"/>
          <w:sz w:val="13"/>
          <w:szCs w:val="13"/>
        </w:rPr>
      </w:pPr>
    </w:p>
    <w:p>
      <w:pPr>
        <w:pStyle w:val="BodyText"/>
        <w:spacing w:line="240" w:lineRule="auto"/>
        <w:ind w:left="513" w:right="191"/>
        <w:jc w:val="left"/>
      </w:pPr>
      <w:r>
        <w:rPr/>
        <w:t>②借款费用已经发生；</w:t>
      </w:r>
    </w:p>
    <w:p>
      <w:pPr>
        <w:pStyle w:val="BodyText"/>
        <w:spacing w:line="470" w:lineRule="atLeast"/>
        <w:ind w:left="513" w:right="191"/>
        <w:jc w:val="left"/>
      </w:pPr>
      <w:r>
        <w:rPr/>
        <w:t>③为使资产达到预定可使用或者可销售状态所必要的购建或者生产活动已经开始。 </w:t>
      </w:r>
      <w:r>
        <w:rPr>
          <w:spacing w:val="-4"/>
        </w:rPr>
        <w:t>当符合资本化条件的资产在购建或者生产过程中发生非正常中断、且中断时间连续超过</w:t>
      </w:r>
      <w:r>
        <w:rPr>
          <w:rFonts w:ascii="宋体" w:hAnsi="宋体" w:cs="宋体" w:eastAsia="宋体" w:hint="default"/>
          <w:spacing w:val="-4"/>
        </w:rPr>
        <w:t>3</w:t>
      </w:r>
      <w:r>
        <w:rPr>
          <w:spacing w:val="-4"/>
        </w:rPr>
        <w:t>个月的，借款费用暂停资本化。</w:t>
      </w:r>
    </w:p>
    <w:p>
      <w:pPr>
        <w:pStyle w:val="BodyText"/>
        <w:spacing w:line="240" w:lineRule="auto" w:before="76"/>
        <w:ind w:right="0"/>
        <w:jc w:val="both"/>
      </w:pPr>
      <w:r>
        <w:rPr/>
        <w:t>当购建或者生产符合资本化条件的资产达到预定可使用或者可销售状态时，借款费用停止资本化。</w:t>
      </w:r>
    </w:p>
    <w:p>
      <w:pPr>
        <w:spacing w:line="240" w:lineRule="auto" w:before="10"/>
        <w:rPr>
          <w:rFonts w:ascii="宋体" w:hAnsi="宋体" w:cs="宋体" w:eastAsia="宋体" w:hint="default"/>
          <w:sz w:val="17"/>
          <w:szCs w:val="17"/>
        </w:rPr>
      </w:pPr>
    </w:p>
    <w:p>
      <w:pPr>
        <w:pStyle w:val="BodyText"/>
        <w:spacing w:line="477" w:lineRule="auto"/>
        <w:ind w:left="513" w:right="733"/>
        <w:jc w:val="left"/>
      </w:pPr>
      <w:r>
        <w:rPr/>
        <w:t>（</w:t>
      </w:r>
      <w:r>
        <w:rPr>
          <w:rFonts w:ascii="宋体" w:hAnsi="宋体" w:cs="宋体" w:eastAsia="宋体" w:hint="default"/>
        </w:rPr>
        <w:t>2</w:t>
      </w:r>
      <w:r>
        <w:rPr/>
        <w:t>）借款费用资本化期间 资本化期间，指从借款费用开始资本化时点到停止资本化时点的期间，借款费用暂停资本化的期间不包括在内。 当购建或者生产符合资本化条件的资产达到预定可使用或者可销售状态时，借款费用停止资本化。</w:t>
      </w:r>
    </w:p>
    <w:p>
      <w:pPr>
        <w:spacing w:after="0" w:line="477" w:lineRule="auto"/>
        <w:jc w:val="left"/>
        <w:sectPr>
          <w:pgSz w:w="11910" w:h="16840"/>
          <w:pgMar w:header="745" w:footer="979" w:top="1060" w:bottom="1160" w:left="980" w:right="840"/>
        </w:sectPr>
      </w:pPr>
    </w:p>
    <w:p>
      <w:pPr>
        <w:spacing w:line="240" w:lineRule="auto" w:before="10"/>
        <w:rPr>
          <w:rFonts w:ascii="宋体" w:hAnsi="宋体" w:cs="宋体" w:eastAsia="宋体" w:hint="default"/>
          <w:sz w:val="25"/>
          <w:szCs w:val="25"/>
        </w:rPr>
      </w:pPr>
    </w:p>
    <w:p>
      <w:pPr>
        <w:pStyle w:val="BodyText"/>
        <w:spacing w:line="240" w:lineRule="auto" w:before="44"/>
        <w:ind w:left="513" w:right="0"/>
        <w:jc w:val="left"/>
      </w:pPr>
      <w:r>
        <w:rPr/>
        <w:t>当购建或者生产符合资本化条件的资产中部分项目分别完工且可单独使用时，该部分资产借款费用停止资本化。</w:t>
      </w:r>
    </w:p>
    <w:p>
      <w:pPr>
        <w:spacing w:line="240" w:lineRule="auto" w:before="10"/>
        <w:rPr>
          <w:rFonts w:ascii="宋体" w:hAnsi="宋体" w:cs="宋体" w:eastAsia="宋体" w:hint="default"/>
          <w:sz w:val="17"/>
          <w:szCs w:val="17"/>
        </w:rPr>
      </w:pPr>
    </w:p>
    <w:p>
      <w:pPr>
        <w:pStyle w:val="BodyText"/>
        <w:spacing w:line="316" w:lineRule="auto"/>
        <w:ind w:right="552" w:firstLine="360"/>
        <w:jc w:val="both"/>
      </w:pPr>
      <w:r>
        <w:rPr>
          <w:spacing w:val="-2"/>
        </w:rPr>
        <w:t>购建或者生产的资产的各部分分别完工，但必须等到整体完工后才可使用或可对外销售的，在该资产整体完工时停止借</w:t>
      </w:r>
      <w:r>
        <w:rPr/>
        <w:t> 款费用资本化。</w:t>
      </w:r>
    </w:p>
    <w:p>
      <w:pPr>
        <w:pStyle w:val="BodyText"/>
        <w:spacing w:line="468" w:lineRule="exact" w:before="10"/>
        <w:ind w:left="513" w:right="0"/>
        <w:jc w:val="left"/>
      </w:pPr>
      <w:r>
        <w:rPr/>
        <w:t>（</w:t>
      </w:r>
      <w:r>
        <w:rPr>
          <w:rFonts w:ascii="宋体" w:hAnsi="宋体" w:cs="宋体" w:eastAsia="宋体" w:hint="default"/>
        </w:rPr>
        <w:t>3</w:t>
      </w:r>
      <w:r>
        <w:rPr/>
        <w:t>）暂停资本化期间 </w:t>
      </w:r>
      <w:r>
        <w:rPr>
          <w:spacing w:val="-2"/>
        </w:rPr>
        <w:t>购建或者生产的资产的各部分分别完工，但必须等到整体完工后才可使用或可对外销售的符合资本化条件的资产在购建</w:t>
      </w:r>
    </w:p>
    <w:p>
      <w:pPr>
        <w:pStyle w:val="BodyText"/>
        <w:spacing w:line="316" w:lineRule="auto" w:before="8"/>
        <w:ind w:right="464"/>
        <w:jc w:val="both"/>
      </w:pPr>
      <w:r>
        <w:rPr/>
        <w:t>或生产过程中发生的非正常中断、且中断时间连续超过</w:t>
      </w:r>
      <w:r>
        <w:rPr>
          <w:spacing w:val="-39"/>
        </w:rPr>
        <w:t> </w:t>
      </w:r>
      <w:r>
        <w:rPr>
          <w:rFonts w:ascii="宋体" w:hAnsi="宋体" w:cs="宋体" w:eastAsia="宋体" w:hint="default"/>
        </w:rPr>
        <w:t>3</w:t>
      </w:r>
      <w:r>
        <w:rPr/>
        <w:t>个月的，则借款费用暂停资本化；该项中断如是所购建或生产的符 </w:t>
      </w:r>
      <w:r>
        <w:rPr>
          <w:spacing w:val="-2"/>
        </w:rPr>
        <w:t>合资本化条件的资产达到预定可使用状态或者可销售状态必要的程序，则借款费用继续资本化。在中断期间发生的借款费用</w:t>
      </w:r>
      <w:r>
        <w:rPr>
          <w:spacing w:val="-64"/>
        </w:rPr>
        <w:t> </w:t>
      </w:r>
      <w:r>
        <w:rPr>
          <w:spacing w:val="-64"/>
        </w:rPr>
      </w:r>
      <w:r>
        <w:rPr>
          <w:spacing w:val="-4"/>
        </w:rPr>
        <w:t>确认为当期损益，直至资产的购建或者生产活动重新开始后借款费用继续资本化。在该资产整体完工时停止借款费用资本化。</w:t>
      </w:r>
    </w:p>
    <w:p>
      <w:pPr>
        <w:pStyle w:val="BodyText"/>
        <w:spacing w:line="468" w:lineRule="exact" w:before="10"/>
        <w:ind w:left="513" w:right="0"/>
        <w:jc w:val="left"/>
      </w:pPr>
      <w:r>
        <w:rPr/>
        <w:t>（</w:t>
      </w:r>
      <w:r>
        <w:rPr>
          <w:rFonts w:ascii="宋体" w:hAnsi="宋体" w:cs="宋体" w:eastAsia="宋体" w:hint="default"/>
        </w:rPr>
        <w:t>4</w:t>
      </w:r>
      <w:r>
        <w:rPr/>
        <w:t>）借款费用资本化金额的计算方法 </w:t>
      </w:r>
      <w:r>
        <w:rPr>
          <w:spacing w:val="-2"/>
        </w:rPr>
        <w:t>专门借款的利息费用（扣除尚未动用的借款资金存入银行取得的利息收入或者进行暂时性投资取得的投资收益）及其辅</w:t>
      </w:r>
    </w:p>
    <w:p>
      <w:pPr>
        <w:pStyle w:val="BodyText"/>
        <w:spacing w:line="240" w:lineRule="auto" w:before="8"/>
        <w:ind w:right="0"/>
        <w:jc w:val="both"/>
      </w:pPr>
      <w:r>
        <w:rPr/>
        <w:t>助费用在所购建或者生产的符合资本化条件的资产达到预定可使用或者可销售状态前，予以资本化。</w:t>
      </w:r>
    </w:p>
    <w:p>
      <w:pPr>
        <w:spacing w:line="240" w:lineRule="auto" w:before="10"/>
        <w:rPr>
          <w:rFonts w:ascii="宋体" w:hAnsi="宋体" w:cs="宋体" w:eastAsia="宋体" w:hint="default"/>
          <w:sz w:val="17"/>
          <w:szCs w:val="17"/>
        </w:rPr>
      </w:pPr>
    </w:p>
    <w:p>
      <w:pPr>
        <w:pStyle w:val="BodyText"/>
        <w:spacing w:line="316" w:lineRule="auto"/>
        <w:ind w:right="634" w:firstLine="360"/>
        <w:jc w:val="left"/>
      </w:pPr>
      <w:r>
        <w:rPr/>
        <w:t>一般借款应予资本化的利息金额根据累计资产支出超过专门借款部分的资产支出按年加权平均数乘以所占用一般借款 的资本化率计算确定。资本化率根据一般借款加权平均利率计算确定。</w:t>
      </w:r>
    </w:p>
    <w:p>
      <w:pPr>
        <w:spacing w:line="240" w:lineRule="auto" w:before="5"/>
        <w:rPr>
          <w:rFonts w:ascii="宋体" w:hAnsi="宋体" w:cs="宋体" w:eastAsia="宋体" w:hint="default"/>
          <w:sz w:val="13"/>
          <w:szCs w:val="13"/>
        </w:rPr>
      </w:pPr>
    </w:p>
    <w:p>
      <w:pPr>
        <w:pStyle w:val="BodyText"/>
        <w:spacing w:line="477" w:lineRule="auto"/>
        <w:ind w:left="513" w:right="993"/>
        <w:jc w:val="left"/>
      </w:pPr>
      <w:r>
        <w:rPr/>
        <w:t>借款存在折价或者溢价的，按照实际利率法确定每一会计期间应摊销的折价或者溢价金额，调整每期利息金额。 在资本化期间内，外币专门借款本金及利息的汇兑差额，应当予以资本化，计入符合资本化条件的资产成本。</w:t>
      </w:r>
    </w:p>
    <w:p>
      <w:pPr>
        <w:spacing w:line="240" w:lineRule="auto" w:before="7"/>
        <w:rPr>
          <w:rFonts w:ascii="宋体" w:hAnsi="宋体" w:cs="宋体" w:eastAsia="宋体" w:hint="default"/>
          <w:sz w:val="13"/>
          <w:szCs w:val="13"/>
        </w:rPr>
      </w:pPr>
    </w:p>
    <w:p>
      <w:pPr>
        <w:pStyle w:val="Heading3"/>
        <w:spacing w:line="240" w:lineRule="auto"/>
        <w:ind w:right="0"/>
        <w:jc w:val="both"/>
        <w:rPr>
          <w:b w:val="0"/>
          <w:bCs w:val="0"/>
        </w:rPr>
      </w:pPr>
      <w:r>
        <w:rPr>
          <w:rFonts w:ascii="Times New Roman" w:hAnsi="Times New Roman" w:cs="Times New Roman" w:eastAsia="Times New Roman" w:hint="default"/>
        </w:rPr>
        <w:t>18</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2"/>
        <w:rPr>
          <w:rFonts w:ascii="宋体" w:hAnsi="宋体" w:cs="宋体" w:eastAsia="宋体" w:hint="default"/>
          <w:b/>
          <w:bCs/>
          <w:sz w:val="26"/>
          <w:szCs w:val="26"/>
        </w:rPr>
      </w:pPr>
    </w:p>
    <w:p>
      <w:pPr>
        <w:pStyle w:val="BodyText"/>
        <w:spacing w:line="477" w:lineRule="auto"/>
        <w:ind w:left="513" w:right="7113"/>
        <w:jc w:val="left"/>
      </w:pPr>
      <w:r>
        <w:rPr/>
        <w:t>①计价方法、使用寿命、减值测试 无形资产按实际成本计价。</w:t>
      </w:r>
    </w:p>
    <w:p>
      <w:pPr>
        <w:pStyle w:val="BodyText"/>
        <w:spacing w:line="316" w:lineRule="auto" w:before="54"/>
        <w:ind w:right="550" w:firstLine="360"/>
        <w:jc w:val="both"/>
      </w:pPr>
      <w:r>
        <w:rPr>
          <w:spacing w:val="-2"/>
        </w:rPr>
        <w:t>外购无形资产按照成本（包括购买价款、相关税费以及直接归属于使该项资产达到预定用途所发生的其他支出）进行初</w:t>
      </w:r>
      <w:r>
        <w:rPr/>
        <w:t> </w:t>
      </w:r>
      <w:r>
        <w:rPr>
          <w:spacing w:val="-2"/>
        </w:rPr>
        <w:t>始计量；自行开发的无形资产成本按达到预定用途前所发生的支出总额确定；投资者投入的无形资产的成本，按投资合同或</w:t>
      </w:r>
      <w:r>
        <w:rPr>
          <w:spacing w:val="-63"/>
        </w:rPr>
        <w:t> </w:t>
      </w:r>
      <w:r>
        <w:rPr>
          <w:spacing w:val="-63"/>
        </w:rPr>
      </w:r>
      <w:r>
        <w:rPr>
          <w:spacing w:val="-2"/>
        </w:rPr>
        <w:t>协议约定的价值确定；非货币性交换、债务重组、企业合并和融资租赁取得的无形资产成本分别按照其他相关准则确定；计</w:t>
      </w:r>
      <w:r>
        <w:rPr>
          <w:spacing w:val="-66"/>
        </w:rPr>
        <w:t> </w:t>
      </w:r>
      <w:r>
        <w:rPr>
          <w:spacing w:val="-66"/>
        </w:rPr>
      </w:r>
      <w:r>
        <w:rPr/>
        <w:t>入无形资产成本的借款费用，按照《企业会计准则第</w:t>
      </w:r>
      <w:r>
        <w:rPr>
          <w:rFonts w:ascii="宋体" w:hAnsi="宋体" w:cs="宋体" w:eastAsia="宋体" w:hint="default"/>
        </w:rPr>
        <w:t>17</w:t>
      </w:r>
      <w:r>
        <w:rPr/>
        <w:t>号</w:t>
      </w:r>
      <w:r>
        <w:rPr>
          <w:rFonts w:ascii="宋体" w:hAnsi="宋体" w:cs="宋体" w:eastAsia="宋体" w:hint="default"/>
        </w:rPr>
        <w:t>-</w:t>
      </w:r>
      <w:r>
        <w:rPr/>
        <w:t>借款费用》的规定确定。</w:t>
      </w:r>
    </w:p>
    <w:p>
      <w:pPr>
        <w:pStyle w:val="BodyText"/>
        <w:spacing w:line="468" w:lineRule="exact" w:before="11"/>
        <w:ind w:left="513" w:right="0"/>
        <w:jc w:val="left"/>
      </w:pPr>
      <w:r>
        <w:rPr/>
        <w:t>②使用寿命有限的无形资产的使用寿命估计情况 使用寿命有限的无形资产在使用寿命内系统合理摊销，使用寿命不确定的无形资产不予摊销。 </w:t>
      </w:r>
      <w:r>
        <w:rPr>
          <w:spacing w:val="-2"/>
        </w:rPr>
        <w:t>公司于每年年度终了，对无形资产的使用寿命和摊销方法进行复核。使用寿命和摊销方法与以前估计不同的，改变其摊</w:t>
      </w:r>
    </w:p>
    <w:p>
      <w:pPr>
        <w:pStyle w:val="BodyText"/>
        <w:spacing w:line="240" w:lineRule="auto" w:before="8"/>
        <w:ind w:right="0"/>
        <w:jc w:val="both"/>
      </w:pPr>
      <w:r>
        <w:rPr/>
        <w:t>销期限和摊销方法。如果有证据表明无形资产的使用寿命是有限的，估计其使用寿命，并按规定处理。</w:t>
      </w:r>
    </w:p>
    <w:p>
      <w:pPr>
        <w:spacing w:line="240" w:lineRule="auto" w:before="5"/>
        <w:rPr>
          <w:rFonts w:ascii="宋体" w:hAnsi="宋体" w:cs="宋体" w:eastAsia="宋体" w:hint="default"/>
          <w:sz w:val="7"/>
          <w:szCs w:val="7"/>
        </w:rPr>
      </w:pPr>
    </w:p>
    <w:p>
      <w:pPr>
        <w:spacing w:line="1500" w:lineRule="exact"/>
        <w:ind w:left="184" w:right="0" w:firstLine="0"/>
        <w:rPr>
          <w:rFonts w:ascii="宋体" w:hAnsi="宋体" w:cs="宋体" w:eastAsia="宋体" w:hint="default"/>
          <w:sz w:val="20"/>
          <w:szCs w:val="20"/>
        </w:rPr>
      </w:pPr>
      <w:r>
        <w:rPr>
          <w:rFonts w:ascii="宋体" w:hAnsi="宋体" w:cs="宋体" w:eastAsia="宋体" w:hint="default"/>
          <w:position w:val="-29"/>
          <w:sz w:val="20"/>
          <w:szCs w:val="20"/>
        </w:rPr>
        <w:drawing>
          <wp:inline distT="0" distB="0" distL="0" distR="0">
            <wp:extent cx="6381750" cy="952500"/>
            <wp:effectExtent l="0" t="0" r="0" b="0"/>
            <wp:docPr id="19" name="image10.png" descr=""/>
            <wp:cNvGraphicFramePr>
              <a:graphicFrameLocks noChangeAspect="1"/>
            </wp:cNvGraphicFramePr>
            <a:graphic>
              <a:graphicData uri="http://schemas.openxmlformats.org/drawingml/2006/picture">
                <pic:pic>
                  <pic:nvPicPr>
                    <pic:cNvPr id="20" name="image10.png"/>
                    <pic:cNvPicPr/>
                  </pic:nvPicPr>
                  <pic:blipFill>
                    <a:blip r:embed="rId27" cstate="print"/>
                    <a:stretch>
                      <a:fillRect/>
                    </a:stretch>
                  </pic:blipFill>
                  <pic:spPr>
                    <a:xfrm>
                      <a:off x="0" y="0"/>
                      <a:ext cx="6381750" cy="952500"/>
                    </a:xfrm>
                    <a:prstGeom prst="rect">
                      <a:avLst/>
                    </a:prstGeom>
                  </pic:spPr>
                </pic:pic>
              </a:graphicData>
            </a:graphic>
          </wp:inline>
        </w:drawing>
      </w:r>
      <w:r>
        <w:rPr>
          <w:rFonts w:ascii="宋体" w:hAnsi="宋体" w:cs="宋体" w:eastAsia="宋体" w:hint="default"/>
          <w:position w:val="-29"/>
          <w:sz w:val="20"/>
          <w:szCs w:val="20"/>
        </w:rPr>
      </w:r>
    </w:p>
    <w:p>
      <w:pPr>
        <w:spacing w:after="0" w:line="1500" w:lineRule="exact"/>
        <w:rPr>
          <w:rFonts w:ascii="宋体" w:hAnsi="宋体" w:cs="宋体" w:eastAsia="宋体" w:hint="default"/>
          <w:sz w:val="20"/>
          <w:szCs w:val="20"/>
        </w:rPr>
        <w:sectPr>
          <w:pgSz w:w="11910" w:h="16840"/>
          <w:pgMar w:header="745" w:footer="979" w:top="1060" w:bottom="1160" w:left="980" w:right="580"/>
        </w:sectPr>
      </w:pPr>
    </w:p>
    <w:p>
      <w:pPr>
        <w:spacing w:line="240" w:lineRule="auto" w:before="10"/>
        <w:rPr>
          <w:rFonts w:ascii="宋体" w:hAnsi="宋体" w:cs="宋体" w:eastAsia="宋体" w:hint="default"/>
          <w:sz w:val="24"/>
          <w:szCs w:val="24"/>
        </w:rPr>
      </w:pPr>
    </w:p>
    <w:p>
      <w:pPr>
        <w:pStyle w:val="Heading3"/>
        <w:spacing w:line="240" w:lineRule="auto" w:before="36"/>
        <w:ind w:right="0"/>
        <w:jc w:val="both"/>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pStyle w:val="BodyText"/>
        <w:spacing w:line="460" w:lineRule="atLeast" w:before="120"/>
        <w:ind w:left="513" w:right="0"/>
        <w:jc w:val="left"/>
      </w:pPr>
      <w:r>
        <w:rPr/>
        <w:t>（</w:t>
      </w:r>
      <w:r>
        <w:rPr>
          <w:rFonts w:ascii="宋体" w:hAnsi="宋体" w:cs="宋体" w:eastAsia="宋体" w:hint="default"/>
        </w:rPr>
        <w:t>1</w:t>
      </w:r>
      <w:r>
        <w:rPr/>
        <w:t>）划分公司内部研究开发项目的研究阶段和开发阶段具体标准 研究阶段：为获取并理解新的科学或技术知识等而进行的独创性的有计划调查、研究活动的阶段。 </w:t>
      </w:r>
      <w:r>
        <w:rPr>
          <w:spacing w:val="-2"/>
        </w:rPr>
        <w:t>开发阶段：在进行商业性生产或使用前，将研究成果或其他知识应用于某项计划或设计，以生产出新的或具有实质性改</w:t>
      </w:r>
    </w:p>
    <w:p>
      <w:pPr>
        <w:pStyle w:val="BodyText"/>
        <w:spacing w:line="240" w:lineRule="auto" w:before="76"/>
        <w:ind w:right="0"/>
        <w:jc w:val="both"/>
      </w:pPr>
      <w:r>
        <w:rPr/>
        <w:t>进的材料、装置、产品等活动的阶段。</w:t>
      </w:r>
    </w:p>
    <w:p>
      <w:pPr>
        <w:spacing w:line="240" w:lineRule="auto" w:before="10"/>
        <w:rPr>
          <w:rFonts w:ascii="宋体" w:hAnsi="宋体" w:cs="宋体" w:eastAsia="宋体" w:hint="default"/>
          <w:sz w:val="17"/>
          <w:szCs w:val="17"/>
        </w:rPr>
      </w:pPr>
    </w:p>
    <w:p>
      <w:pPr>
        <w:pStyle w:val="BodyText"/>
        <w:spacing w:line="477" w:lineRule="auto"/>
        <w:ind w:left="513" w:right="4913"/>
        <w:jc w:val="left"/>
      </w:pPr>
      <w:r>
        <w:rPr/>
        <w:t>（</w:t>
      </w:r>
      <w:r>
        <w:rPr>
          <w:rFonts w:ascii="宋体" w:hAnsi="宋体" w:cs="宋体" w:eastAsia="宋体" w:hint="default"/>
        </w:rPr>
        <w:t>2</w:t>
      </w:r>
      <w:r>
        <w:rPr/>
        <w:t>）内部研究开发项目支出的核算 研究阶段的支出于发生时计入当期损益。 开发阶段的支出同时满足下列条件的，确认为无形资产：</w:t>
      </w:r>
    </w:p>
    <w:p>
      <w:pPr>
        <w:pStyle w:val="BodyText"/>
        <w:spacing w:line="240" w:lineRule="auto" w:before="54"/>
        <w:ind w:left="513" w:right="1134"/>
        <w:jc w:val="left"/>
      </w:pPr>
      <w:r>
        <w:rPr/>
        <w:t>①完成该无形资产以使其能够使用或出售在技术上具有可行性；</w:t>
      </w:r>
    </w:p>
    <w:p>
      <w:pPr>
        <w:spacing w:line="240" w:lineRule="auto" w:before="10"/>
        <w:rPr>
          <w:rFonts w:ascii="宋体" w:hAnsi="宋体" w:cs="宋体" w:eastAsia="宋体" w:hint="default"/>
          <w:sz w:val="17"/>
          <w:szCs w:val="17"/>
        </w:rPr>
      </w:pPr>
    </w:p>
    <w:p>
      <w:pPr>
        <w:pStyle w:val="BodyText"/>
        <w:spacing w:line="240" w:lineRule="auto"/>
        <w:ind w:left="513" w:right="1134"/>
        <w:jc w:val="left"/>
      </w:pPr>
      <w:r>
        <w:rPr/>
        <w:t>②具有完成该无形资产并使用或出售的意图；</w:t>
      </w:r>
    </w:p>
    <w:p>
      <w:pPr>
        <w:spacing w:line="240" w:lineRule="auto" w:before="10"/>
        <w:rPr>
          <w:rFonts w:ascii="宋体" w:hAnsi="宋体" w:cs="宋体" w:eastAsia="宋体" w:hint="default"/>
          <w:sz w:val="17"/>
          <w:szCs w:val="17"/>
        </w:rPr>
      </w:pPr>
    </w:p>
    <w:p>
      <w:pPr>
        <w:pStyle w:val="BodyText"/>
        <w:spacing w:line="316" w:lineRule="auto"/>
        <w:ind w:right="0" w:firstLine="360"/>
        <w:jc w:val="left"/>
      </w:pPr>
      <w:r>
        <w:rPr>
          <w:spacing w:val="-2"/>
        </w:rPr>
        <w:t>③无形资产产生经济利益的方式，包括能够证明运用该无形资产生产的产品存在市场或无形资产自身存在市场，无形资</w:t>
      </w:r>
      <w:r>
        <w:rPr/>
        <w:t> 产将在内部使用的，能够证明其有用性；</w:t>
      </w:r>
    </w:p>
    <w:p>
      <w:pPr>
        <w:spacing w:line="240" w:lineRule="auto" w:before="5"/>
        <w:rPr>
          <w:rFonts w:ascii="宋体" w:hAnsi="宋体" w:cs="宋体" w:eastAsia="宋体" w:hint="default"/>
          <w:sz w:val="13"/>
          <w:szCs w:val="13"/>
        </w:rPr>
      </w:pPr>
    </w:p>
    <w:p>
      <w:pPr>
        <w:pStyle w:val="BodyText"/>
        <w:spacing w:line="240" w:lineRule="auto"/>
        <w:ind w:left="513" w:right="153"/>
        <w:jc w:val="left"/>
      </w:pPr>
      <w:r>
        <w:rPr/>
        <w:t>④有足够的技术、财务资源和其他资源支持，以完成该无形资产的开发，并有能力使用或出售该无形资产；</w:t>
      </w:r>
    </w:p>
    <w:p>
      <w:pPr>
        <w:pStyle w:val="BodyText"/>
        <w:spacing w:line="460" w:lineRule="atLeast" w:before="8"/>
        <w:ind w:left="513" w:right="0"/>
        <w:jc w:val="left"/>
      </w:pPr>
      <w:r>
        <w:rPr/>
        <w:t>⑤归属于该无形资产开发阶段的支出能够可靠地计量。 </w:t>
      </w:r>
      <w:r>
        <w:rPr>
          <w:spacing w:val="-2"/>
        </w:rPr>
        <w:t>不能满足下述条件的开发阶段的支出计入当期损益；无法区分研究阶段支出和开发阶段支出的，将发生的研发支出全部</w:t>
      </w:r>
    </w:p>
    <w:p>
      <w:pPr>
        <w:pStyle w:val="BodyText"/>
        <w:spacing w:line="240" w:lineRule="auto" w:before="77"/>
        <w:ind w:right="0"/>
        <w:jc w:val="both"/>
      </w:pPr>
      <w:r>
        <w:rPr/>
        <w:t>计入当期损益。</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rFonts w:ascii="Times New Roman" w:hAnsi="Times New Roman" w:cs="Times New Roman" w:eastAsia="Times New Roman" w:hint="default"/>
        </w:rPr>
        <w:t>19</w:t>
      </w:r>
      <w:r>
        <w:rPr/>
        <w:t>、长期资产减值</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44" w:firstLine="360"/>
        <w:jc w:val="left"/>
      </w:pPr>
      <w:r>
        <w:rPr/>
        <w:t>在每个资产负债表日判断长期股权投资、固定资产、在建工程、使用寿命确定的无形资产等是否存在减值迹象</w:t>
      </w:r>
      <w:r>
        <w:rPr>
          <w:rFonts w:ascii="宋体" w:hAnsi="宋体" w:cs="宋体" w:eastAsia="宋体" w:hint="default"/>
        </w:rPr>
        <w:t>,</w:t>
      </w:r>
      <w:r>
        <w:rPr/>
        <w:t>对存在 减值迹象的</w:t>
      </w:r>
      <w:r>
        <w:rPr>
          <w:rFonts w:ascii="宋体" w:hAnsi="宋体" w:cs="宋体" w:eastAsia="宋体" w:hint="default"/>
        </w:rPr>
        <w:t>,</w:t>
      </w:r>
      <w:r>
        <w:rPr/>
        <w:t>估计其可收回金额</w:t>
      </w:r>
      <w:r>
        <w:rPr>
          <w:rFonts w:ascii="宋体" w:hAnsi="宋体" w:cs="宋体" w:eastAsia="宋体" w:hint="default"/>
        </w:rPr>
        <w:t>,</w:t>
      </w:r>
      <w:r>
        <w:rPr/>
        <w:t>可收回金额低于其账面价值的</w:t>
      </w:r>
      <w:r>
        <w:rPr>
          <w:rFonts w:ascii="宋体" w:hAnsi="宋体" w:cs="宋体" w:eastAsia="宋体" w:hint="default"/>
        </w:rPr>
        <w:t>,</w:t>
      </w:r>
      <w:r>
        <w:rPr/>
        <w:t>将资产的账面价值减记至可收回金额</w:t>
      </w:r>
      <w:r>
        <w:rPr>
          <w:rFonts w:ascii="宋体" w:hAnsi="宋体" w:cs="宋体" w:eastAsia="宋体" w:hint="default"/>
        </w:rPr>
        <w:t>,</w:t>
      </w:r>
      <w:r>
        <w:rPr/>
        <w:t>减记的金额确认相应</w:t>
      </w:r>
      <w:r>
        <w:rPr>
          <w:spacing w:val="-85"/>
        </w:rPr>
        <w:t> </w:t>
      </w:r>
      <w:r>
        <w:rPr/>
        <w:t>的减值损失</w:t>
      </w:r>
      <w:r>
        <w:rPr>
          <w:rFonts w:ascii="宋体" w:hAnsi="宋体" w:cs="宋体" w:eastAsia="宋体" w:hint="default"/>
        </w:rPr>
        <w:t>,</w:t>
      </w:r>
      <w:r>
        <w:rPr/>
        <w:t>计入当期损益</w:t>
      </w:r>
      <w:r>
        <w:rPr>
          <w:rFonts w:ascii="宋体" w:hAnsi="宋体" w:cs="宋体" w:eastAsia="宋体" w:hint="default"/>
        </w:rPr>
        <w:t>,</w:t>
      </w:r>
      <w:r>
        <w:rPr/>
        <w:t>同时计提相应的减值准备。</w:t>
      </w:r>
    </w:p>
    <w:p>
      <w:pPr>
        <w:spacing w:line="240" w:lineRule="auto" w:before="5"/>
        <w:rPr>
          <w:rFonts w:ascii="宋体" w:hAnsi="宋体" w:cs="宋体" w:eastAsia="宋体" w:hint="default"/>
          <w:sz w:val="13"/>
          <w:szCs w:val="13"/>
        </w:rPr>
      </w:pPr>
    </w:p>
    <w:p>
      <w:pPr>
        <w:pStyle w:val="BodyText"/>
        <w:spacing w:line="319" w:lineRule="auto"/>
        <w:ind w:right="144" w:firstLine="360"/>
        <w:jc w:val="left"/>
      </w:pPr>
      <w:r>
        <w:rPr/>
        <w:t>资产可收回金额的估计</w:t>
      </w:r>
      <w:r>
        <w:rPr>
          <w:rFonts w:ascii="宋体" w:hAnsi="宋体" w:cs="宋体" w:eastAsia="宋体" w:hint="default"/>
        </w:rPr>
        <w:t>,</w:t>
      </w:r>
      <w:r>
        <w:rPr/>
        <w:t>根据其公允价值减去处置费用后的诤额与其预计未来现金流量的现值两者之间较高者确定。公 司以单项资产为基础估计其可收回金额</w:t>
      </w:r>
      <w:r>
        <w:rPr>
          <w:rFonts w:ascii="宋体" w:hAnsi="宋体" w:cs="宋体" w:eastAsia="宋体" w:hint="default"/>
        </w:rPr>
        <w:t>,</w:t>
      </w:r>
      <w:r>
        <w:rPr/>
        <w:t>在难以对单项资产可回收金额进行估计的情况下</w:t>
      </w:r>
      <w:r>
        <w:rPr>
          <w:rFonts w:ascii="宋体" w:hAnsi="宋体" w:cs="宋体" w:eastAsia="宋体" w:hint="default"/>
        </w:rPr>
        <w:t>,</w:t>
      </w:r>
      <w:r>
        <w:rPr/>
        <w:t>以资产所属的资产组为基础确定</w:t>
      </w:r>
      <w:r>
        <w:rPr>
          <w:spacing w:val="-87"/>
        </w:rPr>
        <w:t> </w:t>
      </w:r>
      <w:r>
        <w:rPr/>
        <w:t>资产组的可收回金额。资产减值损失确认后</w:t>
      </w:r>
      <w:r>
        <w:rPr>
          <w:rFonts w:ascii="宋体" w:hAnsi="宋体" w:cs="宋体" w:eastAsia="宋体" w:hint="default"/>
        </w:rPr>
        <w:t>,</w:t>
      </w:r>
      <w:r>
        <w:rPr/>
        <w:t>减值资产的折旧或者摊销费用在未来期间做相应调整</w:t>
      </w:r>
      <w:r>
        <w:rPr>
          <w:rFonts w:ascii="宋体" w:hAnsi="宋体" w:cs="宋体" w:eastAsia="宋体" w:hint="default"/>
        </w:rPr>
        <w:t>,</w:t>
      </w:r>
      <w:r>
        <w:rPr/>
        <w:t>使资产在剩余寿命内</w:t>
      </w:r>
      <w:r>
        <w:rPr>
          <w:rFonts w:ascii="宋体" w:hAnsi="宋体" w:cs="宋体" w:eastAsia="宋体" w:hint="default"/>
        </w:rPr>
        <w:t>,</w:t>
      </w:r>
      <w:r>
        <w:rPr/>
        <w:t>系 统地分摊调整后的资产账面价值。</w:t>
      </w:r>
    </w:p>
    <w:p>
      <w:pPr>
        <w:pStyle w:val="BodyText"/>
        <w:spacing w:line="468" w:lineRule="exact" w:before="9"/>
        <w:ind w:left="513" w:right="143"/>
        <w:jc w:val="left"/>
      </w:pPr>
      <w:r>
        <w:rPr/>
        <w:t>对于使用寿命不确定的无形资产、尚未达到使用状态的无形资以及合并所形成的商誉每年年度终了进行减值测试。 关于商誉减值测试</w:t>
      </w:r>
      <w:r>
        <w:rPr>
          <w:rFonts w:ascii="宋体" w:hAnsi="宋体" w:cs="宋体" w:eastAsia="宋体" w:hint="default"/>
        </w:rPr>
        <w:t>,</w:t>
      </w:r>
      <w:r>
        <w:rPr/>
        <w:t>对于因企业合并形成的商誉的账面价值</w:t>
      </w:r>
      <w:r>
        <w:rPr>
          <w:rFonts w:ascii="宋体" w:hAnsi="宋体" w:cs="宋体" w:eastAsia="宋体" w:hint="default"/>
        </w:rPr>
        <w:t>,</w:t>
      </w:r>
      <w:r>
        <w:rPr/>
        <w:t>自购买日起按照合理的方法分摊至相关的资产组</w:t>
      </w:r>
      <w:r>
        <w:rPr>
          <w:rFonts w:ascii="宋体" w:hAnsi="宋体" w:cs="宋体" w:eastAsia="宋体" w:hint="default"/>
        </w:rPr>
        <w:t>;</w:t>
      </w:r>
      <w:r>
        <w:rPr/>
        <w:t>难以分摊</w:t>
      </w:r>
    </w:p>
    <w:p>
      <w:pPr>
        <w:pStyle w:val="BodyText"/>
        <w:spacing w:line="316" w:lineRule="auto" w:before="8"/>
        <w:ind w:right="148"/>
        <w:jc w:val="both"/>
      </w:pPr>
      <w:r>
        <w:rPr>
          <w:spacing w:val="-2"/>
        </w:rPr>
        <w:t>至相关的资产组的</w:t>
      </w:r>
      <w:r>
        <w:rPr>
          <w:rFonts w:ascii="宋体" w:hAnsi="宋体" w:cs="宋体" w:eastAsia="宋体" w:hint="default"/>
          <w:spacing w:val="-2"/>
        </w:rPr>
        <w:t>,</w:t>
      </w:r>
      <w:r>
        <w:rPr>
          <w:spacing w:val="-2"/>
        </w:rPr>
        <w:t>将其分摊至相关的资产组组合。在将商誉的账面价值分摊至相关的资产组或者资产组组合时</w:t>
      </w:r>
      <w:r>
        <w:rPr>
          <w:rFonts w:ascii="宋体" w:hAnsi="宋体" w:cs="宋体" w:eastAsia="宋体" w:hint="default"/>
          <w:spacing w:val="-2"/>
        </w:rPr>
        <w:t>,</w:t>
      </w:r>
      <w:r>
        <w:rPr>
          <w:spacing w:val="-2"/>
        </w:rPr>
        <w:t>按照各资产</w:t>
      </w:r>
      <w:r>
        <w:rPr>
          <w:spacing w:val="-59"/>
        </w:rPr>
        <w:t> </w:t>
      </w:r>
      <w:r>
        <w:rPr/>
        <w:t>组或者资产组组合的公允价值占相关资产组或者资产组组合公允价值总额的比例进行分摊。公允价值难以可靠计量的</w:t>
      </w:r>
      <w:r>
        <w:rPr>
          <w:rFonts w:ascii="宋体" w:hAnsi="宋体" w:cs="宋体" w:eastAsia="宋体" w:hint="default"/>
        </w:rPr>
        <w:t>,</w:t>
      </w:r>
      <w:r>
        <w:rPr/>
        <w:t>按照</w:t>
      </w:r>
      <w:r>
        <w:rPr>
          <w:spacing w:val="-87"/>
        </w:rPr>
        <w:t> </w:t>
      </w:r>
      <w:r>
        <w:rPr/>
        <w:t>各资产组或者资产组组合的账面价值占相关资产组或者资产组组合账面价值总额的比例进行分摊。</w:t>
      </w:r>
    </w:p>
    <w:p>
      <w:pPr>
        <w:spacing w:line="240" w:lineRule="auto" w:before="5"/>
        <w:rPr>
          <w:rFonts w:ascii="宋体" w:hAnsi="宋体" w:cs="宋体" w:eastAsia="宋体" w:hint="default"/>
          <w:sz w:val="13"/>
          <w:szCs w:val="13"/>
        </w:rPr>
      </w:pPr>
    </w:p>
    <w:p>
      <w:pPr>
        <w:pStyle w:val="BodyText"/>
        <w:spacing w:line="319" w:lineRule="auto"/>
        <w:ind w:right="144" w:firstLine="360"/>
        <w:jc w:val="left"/>
      </w:pPr>
      <w:r>
        <w:rPr/>
        <w:t>在对包含商誉的相关资产组或者资产组组合进行减值测试时</w:t>
      </w:r>
      <w:r>
        <w:rPr>
          <w:rFonts w:ascii="宋体" w:hAnsi="宋体" w:cs="宋体" w:eastAsia="宋体" w:hint="default"/>
        </w:rPr>
        <w:t>,</w:t>
      </w:r>
      <w:r>
        <w:rPr/>
        <w:t>如与商誉相关的资产组或者资产组组合存在减值迹象的</w:t>
      </w:r>
      <w:r>
        <w:rPr>
          <w:rFonts w:ascii="宋体" w:hAnsi="宋体" w:cs="宋体" w:eastAsia="宋体" w:hint="default"/>
        </w:rPr>
        <w:t>, </w:t>
      </w:r>
      <w:r>
        <w:rPr/>
        <w:t>先对不包含商誉的资产组或者资产组组合进行减值测试</w:t>
      </w:r>
      <w:r>
        <w:rPr>
          <w:rFonts w:ascii="宋体" w:hAnsi="宋体" w:cs="宋体" w:eastAsia="宋体" w:hint="default"/>
        </w:rPr>
        <w:t>,</w:t>
      </w:r>
      <w:r>
        <w:rPr/>
        <w:t>计算可收回金额</w:t>
      </w:r>
      <w:r>
        <w:rPr>
          <w:rFonts w:ascii="宋体" w:hAnsi="宋体" w:cs="宋体" w:eastAsia="宋体" w:hint="default"/>
        </w:rPr>
        <w:t>,</w:t>
      </w:r>
      <w:r>
        <w:rPr/>
        <w:t>并与相关账面价值相比较</w:t>
      </w:r>
      <w:r>
        <w:rPr>
          <w:rFonts w:ascii="宋体" w:hAnsi="宋体" w:cs="宋体" w:eastAsia="宋体" w:hint="default"/>
        </w:rPr>
        <w:t>,</w:t>
      </w:r>
      <w:r>
        <w:rPr/>
        <w:t>确认相应的减值损失。</w:t>
      </w:r>
      <w:r>
        <w:rPr>
          <w:spacing w:val="-87"/>
        </w:rPr>
        <w:t> </w:t>
      </w:r>
      <w:r>
        <w:rPr/>
        <w:t>再对包含商誉的资产组或者资产组组合进行减值测试</w:t>
      </w:r>
      <w:r>
        <w:rPr>
          <w:rFonts w:ascii="宋体" w:hAnsi="宋体" w:cs="宋体" w:eastAsia="宋体" w:hint="default"/>
        </w:rPr>
        <w:t>,</w:t>
      </w:r>
      <w:r>
        <w:rPr/>
        <w:t>比较这些相关资产组或者资产组组合的账面价值</w:t>
      </w:r>
      <w:r>
        <w:rPr>
          <w:rFonts w:ascii="宋体" w:hAnsi="宋体" w:cs="宋体" w:eastAsia="宋体" w:hint="default"/>
        </w:rPr>
        <w:t>(</w:t>
      </w:r>
      <w:r>
        <w:rPr/>
        <w:t>包括所分摊的商誉</w:t>
      </w:r>
      <w:r>
        <w:rPr>
          <w:spacing w:val="-86"/>
        </w:rPr>
        <w:t> </w:t>
      </w:r>
      <w:r>
        <w:rPr/>
        <w:t>的账面价值部分</w:t>
      </w:r>
      <w:r>
        <w:rPr>
          <w:rFonts w:ascii="宋体" w:hAnsi="宋体" w:cs="宋体" w:eastAsia="宋体" w:hint="default"/>
        </w:rPr>
        <w:t>)</w:t>
      </w:r>
      <w:r>
        <w:rPr/>
        <w:t>与其可收回金额</w:t>
      </w:r>
      <w:r>
        <w:rPr>
          <w:rFonts w:ascii="宋体" w:hAnsi="宋体" w:cs="宋体" w:eastAsia="宋体" w:hint="default"/>
        </w:rPr>
        <w:t>,</w:t>
      </w:r>
      <w:r>
        <w:rPr/>
        <w:t>如相关资产组或者资产组组合的可收回金额低于其账面价值的</w:t>
      </w:r>
      <w:r>
        <w:rPr>
          <w:rFonts w:ascii="宋体" w:hAnsi="宋体" w:cs="宋体" w:eastAsia="宋体" w:hint="default"/>
        </w:rPr>
        <w:t>,</w:t>
      </w:r>
      <w:r>
        <w:rPr/>
        <w:t>确认商誉的减值损失。</w:t>
      </w:r>
    </w:p>
    <w:p>
      <w:pPr>
        <w:spacing w:after="0" w:line="319"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91"/>
        <w:jc w:val="left"/>
        <w:rPr>
          <w:b w:val="0"/>
          <w:bCs w:val="0"/>
        </w:rPr>
      </w:pPr>
      <w:r>
        <w:rPr>
          <w:rFonts w:ascii="Times New Roman" w:hAnsi="Times New Roman" w:cs="Times New Roman" w:eastAsia="Times New Roman" w:hint="default"/>
        </w:rPr>
        <w:t>20</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1" w:firstLine="360"/>
        <w:jc w:val="left"/>
      </w:pPr>
      <w:r>
        <w:rPr>
          <w:spacing w:val="-2"/>
        </w:rPr>
        <w:t>长期待摊费用中能够确定收益期限的，采用平均年限法按受益期限分期平均摊销，不能确定受益期限的按照不超过十年</w:t>
      </w:r>
      <w:r>
        <w:rPr/>
        <w:t> 的期限分期平均摊销。</w:t>
      </w:r>
    </w:p>
    <w:p>
      <w:pPr>
        <w:spacing w:line="240" w:lineRule="auto" w:before="10"/>
        <w:rPr>
          <w:rFonts w:ascii="宋体" w:hAnsi="宋体" w:cs="宋体" w:eastAsia="宋体" w:hint="default"/>
          <w:sz w:val="22"/>
          <w:szCs w:val="22"/>
        </w:rPr>
      </w:pPr>
    </w:p>
    <w:p>
      <w:pPr>
        <w:pStyle w:val="Heading3"/>
        <w:spacing w:line="240" w:lineRule="auto"/>
        <w:ind w:right="191"/>
        <w:jc w:val="left"/>
        <w:rPr>
          <w:b w:val="0"/>
          <w:bCs w:val="0"/>
        </w:rPr>
      </w:pPr>
      <w:r>
        <w:rPr>
          <w:rFonts w:ascii="Times New Roman" w:hAnsi="Times New Roman" w:cs="Times New Roman" w:eastAsia="Times New Roman" w:hint="default"/>
        </w:rPr>
        <w:t>21</w:t>
      </w:r>
      <w:r>
        <w:rPr/>
        <w:t>、职工薪酬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91"/>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91" w:firstLine="360"/>
        <w:jc w:val="left"/>
      </w:pPr>
      <w:r>
        <w:rPr>
          <w:spacing w:val="-2"/>
        </w:rPr>
        <w:t>短期薪酬主要包括工资、奖金、津贴和补贴、职工福利费、医疗保险费、生育保险费、工伤保险费、住房公积金、工会</w:t>
      </w:r>
      <w:r>
        <w:rPr/>
        <w:t> </w:t>
      </w:r>
      <w:r>
        <w:rPr>
          <w:spacing w:val="-4"/>
        </w:rPr>
        <w:t>经费和职工教育经费、非货币性福利等。本公司在职工为本公司提供服务的会计期间将实际发生的短期职工薪酬确认为负债，</w:t>
      </w:r>
      <w:r>
        <w:rPr>
          <w:spacing w:val="-44"/>
        </w:rPr>
        <w:t> </w:t>
      </w:r>
      <w:r>
        <w:rPr>
          <w:spacing w:val="-44"/>
        </w:rPr>
      </w:r>
      <w:r>
        <w:rPr/>
        <w:t>并计入当期损益或相关资产成本。其中非货币性福利按公允价值计量。</w:t>
      </w:r>
    </w:p>
    <w:p>
      <w:pPr>
        <w:spacing w:line="240" w:lineRule="auto" w:before="9"/>
        <w:rPr>
          <w:rFonts w:ascii="宋体" w:hAnsi="宋体" w:cs="宋体" w:eastAsia="宋体" w:hint="default"/>
          <w:sz w:val="22"/>
          <w:szCs w:val="22"/>
        </w:rPr>
      </w:pPr>
    </w:p>
    <w:p>
      <w:pPr>
        <w:pStyle w:val="Heading3"/>
        <w:spacing w:line="240" w:lineRule="auto"/>
        <w:ind w:right="191"/>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pStyle w:val="BodyText"/>
        <w:spacing w:line="460" w:lineRule="atLeast" w:before="117"/>
        <w:ind w:left="513" w:right="191"/>
        <w:jc w:val="left"/>
      </w:pPr>
      <w:r>
        <w:rPr/>
        <w:t>离职后福利主要包括设定提存计划和设定受益计划。 </w:t>
      </w:r>
      <w:r>
        <w:rPr>
          <w:spacing w:val="-2"/>
        </w:rPr>
        <w:t>设定提存计划：本公司按当地政府的相关规定为职工缴纳基本养老保险和失业保险，在职工为本公司提供服务的会计期</w:t>
      </w:r>
    </w:p>
    <w:p>
      <w:pPr>
        <w:pStyle w:val="BodyText"/>
        <w:spacing w:line="240" w:lineRule="auto" w:before="76"/>
        <w:ind w:right="191"/>
        <w:jc w:val="left"/>
      </w:pPr>
      <w:r>
        <w:rPr/>
        <w:t>间，按以当地规定的缴纳基数和比例计算应缴纳金额，确认为负债，并计入当期损益或相关资产成本。</w:t>
      </w:r>
    </w:p>
    <w:p>
      <w:pPr>
        <w:spacing w:line="240" w:lineRule="auto" w:before="10"/>
        <w:rPr>
          <w:rFonts w:ascii="宋体" w:hAnsi="宋体" w:cs="宋体" w:eastAsia="宋体" w:hint="default"/>
          <w:sz w:val="17"/>
          <w:szCs w:val="17"/>
        </w:rPr>
      </w:pPr>
    </w:p>
    <w:p>
      <w:pPr>
        <w:pStyle w:val="BodyText"/>
        <w:spacing w:line="316" w:lineRule="auto"/>
        <w:ind w:right="0" w:firstLine="360"/>
        <w:jc w:val="left"/>
      </w:pPr>
      <w:r>
        <w:rPr>
          <w:spacing w:val="-2"/>
        </w:rPr>
        <w:t>设定受益计划：本公司根据预期累计福利单位法确定的公式将设定受益计划产生的福利义务归属于职工提供服务的期间，</w:t>
      </w:r>
      <w:r>
        <w:rPr/>
        <w:t> </w:t>
      </w:r>
      <w:r>
        <w:rPr>
          <w:spacing w:val="-2"/>
        </w:rPr>
        <w:t>并计入当期损益或相关资产成本。设定受益计划义务现值减去设定受益计划资产公允价值所形成的赤字或盈余确认为一项设</w:t>
      </w:r>
      <w:r>
        <w:rPr>
          <w:spacing w:val="-64"/>
        </w:rPr>
        <w:t> </w:t>
      </w:r>
      <w:r>
        <w:rPr>
          <w:spacing w:val="-64"/>
        </w:rPr>
      </w:r>
      <w:r>
        <w:rPr/>
        <w:t>定受益计划净负债或净资产。设定受益计划存在盈余的，本公司以设定受益计划的盈余和资产上限两项的孰低者计量设定受</w:t>
      </w:r>
      <w:r>
        <w:rPr/>
        <w:t> 益计划净资产。所有设定受益计划义务，包括预期在职工提供服务的年度报告期间结束后的十二个月内支付的义务，根据资 </w:t>
      </w:r>
      <w:r>
        <w:rPr>
          <w:spacing w:val="-2"/>
        </w:rPr>
        <w:t>产负债表日与设定受益计划义务期限和币种相匹配的国债或活跃市场上的高质量公司债券的市场收益率予以折现。设定受益</w:t>
      </w:r>
      <w:r>
        <w:rPr>
          <w:spacing w:val="-63"/>
        </w:rPr>
        <w:t> </w:t>
      </w:r>
      <w:r>
        <w:rPr>
          <w:spacing w:val="-63"/>
        </w:rPr>
      </w:r>
      <w:r>
        <w:rPr>
          <w:spacing w:val="-2"/>
        </w:rPr>
        <w:t>计划产生的服务成本和设定受益计划净负债或净资产的利息净额计入当期损益或相关资产成本；重新计量设定受益计划净负</w:t>
      </w:r>
      <w:r>
        <w:rPr>
          <w:spacing w:val="-64"/>
        </w:rPr>
        <w:t> </w:t>
      </w:r>
      <w:r>
        <w:rPr>
          <w:spacing w:val="-64"/>
        </w:rPr>
      </w:r>
      <w:r>
        <w:rPr/>
        <w:t>债或净资产所产生的变动计入其他综合收益，并且在后续会计期间不转回至损益。在设定受益计划结算时，按在结算日确定</w:t>
      </w:r>
      <w:r>
        <w:rPr/>
        <w:t> 的设定受益计划义务现值和结算价格两者的差额，确认结算利得或损失。</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191"/>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0"/>
        <w:jc w:val="left"/>
      </w:pPr>
      <w:r>
        <w:rPr/>
        <w:t>在职工劳动合同到期之前解除与职工的劳动关系，或为鼓励职工自愿接受裁减而提出给予补偿的建议，在本公司不能单方面 </w:t>
      </w:r>
      <w:r>
        <w:rPr>
          <w:spacing w:val="-2"/>
        </w:rPr>
        <w:t>撤回因解除劳动关系计划或裁减建议所提供的辞退福利时，和本公司确认与涉及支付辞退福利的重组相关的成本两者孰早日，</w:t>
      </w:r>
      <w:r>
        <w:rPr>
          <w:spacing w:val="-62"/>
        </w:rPr>
        <w:t> </w:t>
      </w:r>
      <w:r>
        <w:rPr>
          <w:spacing w:val="-62"/>
        </w:rPr>
      </w:r>
      <w:r>
        <w:rPr/>
        <w:t>确认辞退福利产生的职工薪酬负债，并计入当期损益。但辞退福利预期在年度报告期结束后十二个月不能完全支付的，按照</w:t>
      </w:r>
      <w:r>
        <w:rPr/>
        <w:t> 其他长期职工薪酬处理。职工内部退休计划采用上述辞退福利相同的原则处理。本公司将自职工停止提供服务日至正常退休 日的期间拟支付的内退人员工资和缴纳的社会保险费等，在符合预计负债确认条件时，计入当期损益（辞退福利）。</w:t>
      </w:r>
    </w:p>
    <w:p>
      <w:pPr>
        <w:spacing w:line="240" w:lineRule="auto" w:before="9"/>
        <w:rPr>
          <w:rFonts w:ascii="宋体" w:hAnsi="宋体" w:cs="宋体" w:eastAsia="宋体" w:hint="default"/>
          <w:sz w:val="22"/>
          <w:szCs w:val="22"/>
        </w:rPr>
      </w:pPr>
    </w:p>
    <w:p>
      <w:pPr>
        <w:pStyle w:val="Heading3"/>
        <w:spacing w:line="240" w:lineRule="auto"/>
        <w:ind w:right="191"/>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91"/>
        <w:jc w:val="left"/>
      </w:pPr>
      <w:r>
        <w:rPr>
          <w:spacing w:val="-2"/>
        </w:rPr>
        <w:t>本公司向职工提供的其他长期职工福利，符合设定提存计划的，按照设定提存计划进行会计处理，除此之外按照设定收益计</w:t>
      </w:r>
      <w:r>
        <w:rPr>
          <w:spacing w:val="-62"/>
        </w:rPr>
        <w:t> </w:t>
      </w:r>
      <w:r>
        <w:rPr>
          <w:spacing w:val="-62"/>
        </w:rPr>
      </w:r>
      <w:r>
        <w:rPr/>
        <w:t>划进行会计处理。</w:t>
      </w:r>
    </w:p>
    <w:p>
      <w:pPr>
        <w:spacing w:line="240" w:lineRule="auto" w:before="10"/>
        <w:rPr>
          <w:rFonts w:ascii="宋体" w:hAnsi="宋体" w:cs="宋体" w:eastAsia="宋体" w:hint="default"/>
          <w:sz w:val="22"/>
          <w:szCs w:val="22"/>
        </w:rPr>
      </w:pPr>
    </w:p>
    <w:p>
      <w:pPr>
        <w:pStyle w:val="Heading3"/>
        <w:spacing w:line="240" w:lineRule="auto"/>
        <w:ind w:right="191"/>
        <w:jc w:val="left"/>
        <w:rPr>
          <w:b w:val="0"/>
          <w:bCs w:val="0"/>
        </w:rPr>
      </w:pPr>
      <w:r>
        <w:rPr>
          <w:rFonts w:ascii="Times New Roman" w:hAnsi="Times New Roman" w:cs="Times New Roman" w:eastAsia="Times New Roman" w:hint="default"/>
        </w:rPr>
        <w:t>22</w:t>
      </w:r>
      <w:r>
        <w:rPr/>
        <w:t>、预计负债</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13" w:right="191"/>
        <w:jc w:val="left"/>
      </w:pPr>
      <w:r>
        <w:rPr/>
        <w:t>（</w:t>
      </w:r>
      <w:r>
        <w:rPr>
          <w:rFonts w:ascii="宋体" w:hAnsi="宋体" w:cs="宋体" w:eastAsia="宋体" w:hint="default"/>
        </w:rPr>
        <w:t>1</w:t>
      </w:r>
      <w:r>
        <w:rPr/>
        <w:t>）预计负债的确认标准</w:t>
      </w:r>
    </w:p>
    <w:p>
      <w:pPr>
        <w:spacing w:after="0" w:line="240" w:lineRule="auto"/>
        <w:jc w:val="left"/>
        <w:sectPr>
          <w:pgSz w:w="11910" w:h="16840"/>
          <w:pgMar w:header="745" w:footer="979" w:top="1060" w:bottom="1160" w:left="980" w:right="840"/>
        </w:sectPr>
      </w:pPr>
    </w:p>
    <w:p>
      <w:pPr>
        <w:spacing w:line="240" w:lineRule="auto" w:before="10"/>
        <w:rPr>
          <w:rFonts w:ascii="宋体" w:hAnsi="宋体" w:cs="宋体" w:eastAsia="宋体" w:hint="default"/>
          <w:sz w:val="25"/>
          <w:szCs w:val="25"/>
        </w:rPr>
      </w:pPr>
    </w:p>
    <w:p>
      <w:pPr>
        <w:pStyle w:val="BodyText"/>
        <w:spacing w:line="240" w:lineRule="auto" w:before="44"/>
        <w:ind w:left="513" w:right="106"/>
        <w:jc w:val="left"/>
      </w:pPr>
      <w:r>
        <w:rPr/>
        <w:t>如果与或有事项相关的义务同时符合以下条件，本公司将其确认为预计负债：</w:t>
      </w:r>
    </w:p>
    <w:p>
      <w:pPr>
        <w:spacing w:line="240" w:lineRule="auto" w:before="10"/>
        <w:rPr>
          <w:rFonts w:ascii="宋体" w:hAnsi="宋体" w:cs="宋体" w:eastAsia="宋体" w:hint="default"/>
          <w:sz w:val="17"/>
          <w:szCs w:val="17"/>
        </w:rPr>
      </w:pPr>
    </w:p>
    <w:p>
      <w:pPr>
        <w:pStyle w:val="BodyText"/>
        <w:spacing w:line="240" w:lineRule="auto"/>
        <w:ind w:left="513" w:right="106"/>
        <w:jc w:val="left"/>
      </w:pPr>
      <w:r>
        <w:rPr/>
        <w:t>①该义务是本公司承担的现时义务；</w:t>
      </w:r>
    </w:p>
    <w:p>
      <w:pPr>
        <w:spacing w:line="240" w:lineRule="auto" w:before="10"/>
        <w:rPr>
          <w:rFonts w:ascii="宋体" w:hAnsi="宋体" w:cs="宋体" w:eastAsia="宋体" w:hint="default"/>
          <w:sz w:val="17"/>
          <w:szCs w:val="17"/>
        </w:rPr>
      </w:pPr>
    </w:p>
    <w:p>
      <w:pPr>
        <w:pStyle w:val="BodyText"/>
        <w:spacing w:line="240" w:lineRule="auto"/>
        <w:ind w:left="513" w:right="106"/>
        <w:jc w:val="left"/>
      </w:pPr>
      <w:r>
        <w:rPr/>
        <w:t>②该义务的履行很可能导致经济利益流出本公司；</w:t>
      </w:r>
    </w:p>
    <w:p>
      <w:pPr>
        <w:spacing w:line="240" w:lineRule="auto" w:before="10"/>
        <w:rPr>
          <w:rFonts w:ascii="宋体" w:hAnsi="宋体" w:cs="宋体" w:eastAsia="宋体" w:hint="default"/>
          <w:sz w:val="17"/>
          <w:szCs w:val="17"/>
        </w:rPr>
      </w:pPr>
    </w:p>
    <w:p>
      <w:pPr>
        <w:pStyle w:val="BodyText"/>
        <w:spacing w:line="240" w:lineRule="auto"/>
        <w:ind w:left="513" w:right="106"/>
        <w:jc w:val="left"/>
      </w:pPr>
      <w:r>
        <w:rPr/>
        <w:t>③该义务的金额能够可靠地计量。</w:t>
      </w:r>
    </w:p>
    <w:p>
      <w:pPr>
        <w:pStyle w:val="BodyText"/>
        <w:spacing w:line="470" w:lineRule="atLeast"/>
        <w:ind w:left="513" w:right="106"/>
        <w:jc w:val="left"/>
      </w:pPr>
      <w:r>
        <w:rPr/>
        <w:t>（</w:t>
      </w:r>
      <w:r>
        <w:rPr>
          <w:rFonts w:ascii="宋体" w:hAnsi="宋体" w:cs="宋体" w:eastAsia="宋体" w:hint="default"/>
        </w:rPr>
        <w:t>2</w:t>
      </w:r>
      <w:r>
        <w:rPr/>
        <w:t>）预计负债的计量方法 </w:t>
      </w:r>
      <w:r>
        <w:rPr>
          <w:spacing w:val="-2"/>
        </w:rPr>
        <w:t>预计负债按照履行相关现时义务所需支出的最佳估计数进行初始计量，并综合考虑与或有事项有关的风险、不确定性和</w:t>
      </w:r>
    </w:p>
    <w:p>
      <w:pPr>
        <w:pStyle w:val="BodyText"/>
        <w:spacing w:line="316" w:lineRule="auto" w:before="76"/>
        <w:ind w:right="190"/>
        <w:jc w:val="both"/>
      </w:pPr>
      <w:r>
        <w:rPr>
          <w:spacing w:val="-2"/>
        </w:rPr>
        <w:t>货币时间价值等因素。货币时间价值影响重大的，通过对相关未来现金流出进行折现后确定最佳估计数。本公司于资产负债</w:t>
      </w:r>
      <w:r>
        <w:rPr>
          <w:spacing w:val="-63"/>
        </w:rPr>
        <w:t> </w:t>
      </w:r>
      <w:r>
        <w:rPr>
          <w:spacing w:val="-63"/>
        </w:rPr>
      </w:r>
      <w:r>
        <w:rPr/>
        <w:t>表日对预计负债的账面价值进行复核，并对账面价值进行调整以反映当前最佳估计数。</w:t>
      </w:r>
    </w:p>
    <w:p>
      <w:pPr>
        <w:spacing w:line="240" w:lineRule="auto" w:before="5"/>
        <w:rPr>
          <w:rFonts w:ascii="宋体" w:hAnsi="宋体" w:cs="宋体" w:eastAsia="宋体" w:hint="default"/>
          <w:sz w:val="13"/>
          <w:szCs w:val="13"/>
        </w:rPr>
      </w:pPr>
    </w:p>
    <w:p>
      <w:pPr>
        <w:pStyle w:val="BodyText"/>
        <w:spacing w:line="316" w:lineRule="auto"/>
        <w:ind w:right="192" w:firstLine="360"/>
        <w:jc w:val="both"/>
      </w:pPr>
      <w:r>
        <w:rPr>
          <w:spacing w:val="-2"/>
        </w:rPr>
        <w:t>如果清偿已确认预计负债所需支出全部或部分预期由第三方或其他方补偿，则补偿金额只能在基本确定能收到时，作为</w:t>
      </w:r>
      <w:r>
        <w:rPr/>
        <w:t> 资产单独确认。确认的补偿金额不超过所确认负债的账面价值。</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0"/>
        <w:jc w:val="both"/>
        <w:rPr>
          <w:b w:val="0"/>
          <w:bCs w:val="0"/>
        </w:rPr>
      </w:pPr>
      <w:r>
        <w:rPr>
          <w:rFonts w:ascii="Times New Roman" w:hAnsi="Times New Roman" w:cs="Times New Roman" w:eastAsia="Times New Roman" w:hint="default"/>
        </w:rPr>
        <w:t>23</w:t>
      </w:r>
      <w:r>
        <w:rPr/>
        <w:t>、股份支付</w:t>
      </w:r>
      <w:r>
        <w:rPr>
          <w:b w:val="0"/>
          <w:bCs w:val="0"/>
        </w:rPr>
      </w:r>
    </w:p>
    <w:p>
      <w:pPr>
        <w:pStyle w:val="BodyText"/>
        <w:spacing w:line="460" w:lineRule="atLeast" w:before="120"/>
        <w:ind w:left="513" w:right="106"/>
        <w:jc w:val="left"/>
      </w:pPr>
      <w:r>
        <w:rPr/>
        <w:t>（</w:t>
      </w:r>
      <w:r>
        <w:rPr>
          <w:rFonts w:ascii="宋体" w:hAnsi="宋体" w:cs="宋体" w:eastAsia="宋体" w:hint="default"/>
        </w:rPr>
        <w:t>1</w:t>
      </w:r>
      <w:r>
        <w:rPr/>
        <w:t>）股份支付的种类 </w:t>
      </w:r>
      <w:r>
        <w:rPr>
          <w:spacing w:val="-2"/>
        </w:rPr>
        <w:t>股份支付是为了获取职工或其他方提供服务而授予权益工具或者承担以权益工具为基础确定的负债的交易。股份支付分</w:t>
      </w:r>
    </w:p>
    <w:p>
      <w:pPr>
        <w:pStyle w:val="BodyText"/>
        <w:spacing w:line="240" w:lineRule="auto" w:before="76"/>
        <w:ind w:right="0"/>
        <w:jc w:val="both"/>
      </w:pPr>
      <w:r>
        <w:rPr/>
        <w:t>为以权益结算的股份支付和以现金结算的股份支付。</w:t>
      </w:r>
    </w:p>
    <w:p>
      <w:pPr>
        <w:spacing w:line="240" w:lineRule="auto" w:before="10"/>
        <w:rPr>
          <w:rFonts w:ascii="宋体" w:hAnsi="宋体" w:cs="宋体" w:eastAsia="宋体" w:hint="default"/>
          <w:sz w:val="17"/>
          <w:szCs w:val="17"/>
        </w:rPr>
      </w:pPr>
    </w:p>
    <w:p>
      <w:pPr>
        <w:pStyle w:val="BodyText"/>
        <w:spacing w:line="316" w:lineRule="auto"/>
        <w:ind w:right="192" w:firstLine="360"/>
        <w:jc w:val="both"/>
      </w:pPr>
      <w:r>
        <w:rPr>
          <w:spacing w:val="-2"/>
        </w:rPr>
        <w:t>①以权益结算的股份支付公司的股票期权计划为用以换取职工提供服务的权益结算的股份支付，以授予职工的权益工具</w:t>
      </w:r>
      <w:r>
        <w:rPr/>
        <w:t> </w:t>
      </w:r>
      <w:r>
        <w:rPr>
          <w:spacing w:val="-2"/>
        </w:rPr>
        <w:t>在授予日的公允价值计量。在完成等待期内的服务或达到规定业绩条件才可行权，在等待期内以对可行权权益工具数量的最</w:t>
      </w:r>
      <w:r>
        <w:rPr>
          <w:spacing w:val="-64"/>
        </w:rPr>
        <w:t> </w:t>
      </w:r>
      <w:r>
        <w:rPr>
          <w:spacing w:val="-64"/>
        </w:rPr>
      </w:r>
      <w:r>
        <w:rPr/>
        <w:t>佳估计为基础，按照权益工具授予日的公允价值，将当期取得的服务计入相关成本或费用，相应增加资本公积。</w:t>
      </w:r>
    </w:p>
    <w:p>
      <w:pPr>
        <w:spacing w:line="240" w:lineRule="auto" w:before="5"/>
        <w:rPr>
          <w:rFonts w:ascii="宋体" w:hAnsi="宋体" w:cs="宋体" w:eastAsia="宋体" w:hint="default"/>
          <w:sz w:val="13"/>
          <w:szCs w:val="13"/>
        </w:rPr>
      </w:pPr>
    </w:p>
    <w:p>
      <w:pPr>
        <w:pStyle w:val="BodyText"/>
        <w:spacing w:line="316" w:lineRule="auto"/>
        <w:ind w:right="192" w:firstLine="360"/>
        <w:jc w:val="both"/>
      </w:pPr>
      <w:r>
        <w:rPr>
          <w:spacing w:val="-2"/>
        </w:rPr>
        <w:t>②以现金结算的股份支付公司的股票增值权计划为以现金结算的股份支付，按照公司承担的以本公司股份数量为基础确</w:t>
      </w:r>
      <w:r>
        <w:rPr/>
        <w:t> </w:t>
      </w:r>
      <w:r>
        <w:rPr>
          <w:spacing w:val="-2"/>
        </w:rPr>
        <w:t>定的负债的公允价值计量。该以现金结算的股份支付须完成等待期内的服务或达到规定业绩条件以后才可行权，在等待期的</w:t>
      </w:r>
      <w:r>
        <w:rPr>
          <w:spacing w:val="-64"/>
        </w:rPr>
        <w:t> </w:t>
      </w:r>
      <w:r>
        <w:rPr>
          <w:spacing w:val="-64"/>
        </w:rPr>
      </w:r>
      <w:r>
        <w:rPr>
          <w:spacing w:val="-2"/>
        </w:rPr>
        <w:t>每个资产负债表日以对可行权情况的最佳估计为基础，按照公司承担负债的公允价值金额，将当期取得的服务计入成本或费</w:t>
      </w:r>
      <w:r>
        <w:rPr>
          <w:spacing w:val="-64"/>
        </w:rPr>
        <w:t> </w:t>
      </w:r>
      <w:r>
        <w:rPr>
          <w:spacing w:val="-64"/>
        </w:rPr>
      </w:r>
      <w:r>
        <w:rPr>
          <w:spacing w:val="-5"/>
        </w:rPr>
        <w:t>用，相应增加负债。在相关负债结算前的每个资产负债表日以及结算日，对负债的公允价值重新计量，其变动计入当期损益。</w:t>
      </w:r>
    </w:p>
    <w:p>
      <w:pPr>
        <w:pStyle w:val="BodyText"/>
        <w:spacing w:line="468" w:lineRule="exact" w:before="10"/>
        <w:ind w:left="513" w:right="106"/>
        <w:jc w:val="left"/>
      </w:pPr>
      <w:r>
        <w:rPr/>
        <w:t>（</w:t>
      </w:r>
      <w:r>
        <w:rPr>
          <w:rFonts w:ascii="宋体" w:hAnsi="宋体" w:cs="宋体" w:eastAsia="宋体" w:hint="default"/>
        </w:rPr>
        <w:t>2</w:t>
      </w:r>
      <w:r>
        <w:rPr/>
        <w:t>）权益工具公允价值的确定方法 </w:t>
      </w:r>
      <w:r>
        <w:rPr>
          <w:spacing w:val="-2"/>
        </w:rPr>
        <w:t>本公司对于授予的存在活跃市场的期权等权益工具，按照活跃市场中的报价确定其公允价值。对于授予的不存在活跃市</w:t>
      </w:r>
    </w:p>
    <w:p>
      <w:pPr>
        <w:pStyle w:val="BodyText"/>
        <w:spacing w:line="316" w:lineRule="auto" w:before="8"/>
        <w:ind w:right="102"/>
        <w:jc w:val="both"/>
      </w:pPr>
      <w:r>
        <w:rPr/>
        <w:t>场的期权等权益工具，采用期权定价模型等确定其公允价值。选用的期权定价模型考虑以下因素：</w:t>
      </w:r>
      <w:r>
        <w:rPr>
          <w:rFonts w:ascii="宋体" w:hAnsi="宋体" w:cs="宋体" w:eastAsia="宋体" w:hint="default"/>
        </w:rPr>
        <w:t>A</w:t>
      </w:r>
      <w:r>
        <w:rPr/>
        <w:t>、期权的行权价格；</w:t>
      </w:r>
      <w:r>
        <w:rPr>
          <w:rFonts w:ascii="宋体" w:hAnsi="宋体" w:cs="宋体" w:eastAsia="宋体" w:hint="default"/>
        </w:rPr>
        <w:t>B</w:t>
      </w:r>
      <w:r>
        <w:rPr/>
        <w:t>、</w:t>
      </w:r>
      <w:r>
        <w:rPr>
          <w:spacing w:val="-83"/>
        </w:rPr>
        <w:t> </w:t>
      </w:r>
      <w:r>
        <w:rPr/>
        <w:t>期权的有效期；</w:t>
      </w:r>
      <w:r>
        <w:rPr>
          <w:rFonts w:ascii="宋体" w:hAnsi="宋体" w:cs="宋体" w:eastAsia="宋体" w:hint="default"/>
        </w:rPr>
        <w:t>C</w:t>
      </w:r>
      <w:r>
        <w:rPr/>
        <w:t>、标的股份的现行价格；</w:t>
      </w:r>
      <w:r>
        <w:rPr>
          <w:rFonts w:ascii="宋体" w:hAnsi="宋体" w:cs="宋体" w:eastAsia="宋体" w:hint="default"/>
        </w:rPr>
        <w:t>D</w:t>
      </w:r>
      <w:r>
        <w:rPr/>
        <w:t>、股价预计波动率；</w:t>
      </w:r>
      <w:r>
        <w:rPr>
          <w:rFonts w:ascii="宋体" w:hAnsi="宋体" w:cs="宋体" w:eastAsia="宋体" w:hint="default"/>
        </w:rPr>
        <w:t>E</w:t>
      </w:r>
      <w:r>
        <w:rPr/>
        <w:t>、股份的预计股利；</w:t>
      </w:r>
      <w:r>
        <w:rPr>
          <w:rFonts w:ascii="宋体" w:hAnsi="宋体" w:cs="宋体" w:eastAsia="宋体" w:hint="default"/>
        </w:rPr>
        <w:t>F</w:t>
      </w:r>
      <w:r>
        <w:rPr/>
        <w:t>、期权有效期内的无风险利率。</w:t>
      </w:r>
    </w:p>
    <w:p>
      <w:pPr>
        <w:pStyle w:val="BodyText"/>
        <w:spacing w:line="468" w:lineRule="exact" w:before="10"/>
        <w:ind w:left="513" w:right="106"/>
        <w:jc w:val="left"/>
      </w:pPr>
      <w:r>
        <w:rPr/>
        <w:t>（</w:t>
      </w:r>
      <w:r>
        <w:rPr>
          <w:rFonts w:ascii="宋体" w:hAnsi="宋体" w:cs="宋体" w:eastAsia="宋体" w:hint="default"/>
        </w:rPr>
        <w:t>3</w:t>
      </w:r>
      <w:r>
        <w:rPr/>
        <w:t>）确认可行权权益工具最佳估计的依据 </w:t>
      </w:r>
      <w:r>
        <w:rPr>
          <w:spacing w:val="-2"/>
        </w:rPr>
        <w:t>等待期内每个资产负债表日，本公司根据最新取得的可行权职工人数变动等后续信息作出最佳估计，修正预计可行权的</w:t>
      </w:r>
    </w:p>
    <w:p>
      <w:pPr>
        <w:pStyle w:val="BodyText"/>
        <w:spacing w:line="240" w:lineRule="auto" w:before="8"/>
        <w:ind w:right="0"/>
        <w:jc w:val="both"/>
      </w:pPr>
      <w:r>
        <w:rPr/>
        <w:t>权益工具数量。在可行权日，最终预计可行权权益工具的数量应当与实际可行权数量一致。</w:t>
      </w:r>
    </w:p>
    <w:p>
      <w:pPr>
        <w:pStyle w:val="BodyText"/>
        <w:spacing w:line="460" w:lineRule="atLeast" w:before="8"/>
        <w:ind w:left="513" w:right="106"/>
        <w:jc w:val="left"/>
      </w:pPr>
      <w:r>
        <w:rPr/>
        <w:t>（</w:t>
      </w:r>
      <w:r>
        <w:rPr>
          <w:rFonts w:ascii="宋体" w:hAnsi="宋体" w:cs="宋体" w:eastAsia="宋体" w:hint="default"/>
        </w:rPr>
        <w:t>4</w:t>
      </w:r>
      <w:r>
        <w:rPr/>
        <w:t>）实施、修改、终止股份支付计划的相关会计处理 </w:t>
      </w:r>
      <w:r>
        <w:rPr>
          <w:spacing w:val="-2"/>
        </w:rPr>
        <w:t>以权益结算的股份支付，按授予职工权益工具的公允价值计量。授予后立即可行权的，在授予日按照权益工具的公允价</w:t>
      </w:r>
    </w:p>
    <w:p>
      <w:pPr>
        <w:pStyle w:val="BodyText"/>
        <w:spacing w:line="319" w:lineRule="auto" w:before="76"/>
        <w:ind w:right="190"/>
        <w:jc w:val="both"/>
      </w:pPr>
      <w:r>
        <w:rPr>
          <w:spacing w:val="-2"/>
        </w:rPr>
        <w:t>值计入相关成本或费用，相应增加资本公积。在完成等待期内的服务或达到规定业绩条件才可行权的，在等待期内的每个资</w:t>
      </w:r>
      <w:r>
        <w:rPr>
          <w:spacing w:val="-63"/>
        </w:rPr>
        <w:t> </w:t>
      </w:r>
      <w:r>
        <w:rPr>
          <w:spacing w:val="-63"/>
        </w:rPr>
      </w:r>
      <w:r>
        <w:rPr>
          <w:spacing w:val="-2"/>
        </w:rPr>
        <w:t>产负债表日，以对可行权权益工具数量的最佳估计为基础，按照权益工具授予日的公允价值，将当期取得的服务计入相关成</w:t>
      </w:r>
      <w:r>
        <w:rPr>
          <w:spacing w:val="-63"/>
        </w:rPr>
        <w:t> </w:t>
      </w:r>
      <w:r>
        <w:rPr>
          <w:spacing w:val="-63"/>
        </w:rPr>
      </w:r>
      <w:r>
        <w:rPr/>
        <w:t>本或费用和资本公积。在可行权日之后不再对已确认的相关成本或费用和所有者权益总额进行调整。</w:t>
      </w:r>
    </w:p>
    <w:p>
      <w:pPr>
        <w:spacing w:after="0" w:line="319" w:lineRule="auto"/>
        <w:jc w:val="both"/>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16" w:lineRule="auto" w:before="44"/>
        <w:ind w:right="190" w:firstLine="360"/>
        <w:jc w:val="both"/>
      </w:pPr>
      <w:r>
        <w:rPr>
          <w:spacing w:val="-2"/>
        </w:rPr>
        <w:t>以现金结算的股份支付，按照本公司承担的以股份或其他权益工具为基础计算确定的负债的公允价值计量。授予后立即</w:t>
      </w:r>
      <w:r>
        <w:rPr/>
        <w:t> </w:t>
      </w:r>
      <w:r>
        <w:rPr>
          <w:spacing w:val="-2"/>
        </w:rPr>
        <w:t>可行权的，在授予日以本公司承担负债的公允价值计入相关成本或费用，相应增加负债。在完成等待期内的服务或达到规定</w:t>
      </w:r>
      <w:r>
        <w:rPr>
          <w:spacing w:val="-65"/>
        </w:rPr>
        <w:t> </w:t>
      </w:r>
      <w:r>
        <w:rPr>
          <w:spacing w:val="-65"/>
        </w:rPr>
      </w:r>
      <w:r>
        <w:rPr>
          <w:spacing w:val="-2"/>
        </w:rPr>
        <w:t>业绩条件以后才可行权的以现金结算的股份支付，在等待期内的每个资产负债表日，以对可行权情况的最佳估计为基础，按</w:t>
      </w:r>
      <w:r>
        <w:rPr>
          <w:spacing w:val="-63"/>
        </w:rPr>
        <w:t> </w:t>
      </w:r>
      <w:r>
        <w:rPr>
          <w:spacing w:val="-63"/>
        </w:rPr>
      </w:r>
      <w:r>
        <w:rPr>
          <w:spacing w:val="-2"/>
        </w:rPr>
        <w:t>照本公司承担负债的公允价值金额，将当期取得的服务计入成本或费用和相应的负债。在相关负债结算前的每个资产负债表</w:t>
      </w:r>
      <w:r>
        <w:rPr>
          <w:spacing w:val="-64"/>
        </w:rPr>
        <w:t> </w:t>
      </w:r>
      <w:r>
        <w:rPr>
          <w:spacing w:val="-64"/>
        </w:rPr>
      </w:r>
      <w:r>
        <w:rPr/>
        <w:t>日以及结算日，对负债的公允价值重新计量，其变动计入当期损益。</w:t>
      </w:r>
    </w:p>
    <w:p>
      <w:pPr>
        <w:spacing w:line="240" w:lineRule="auto" w:before="5"/>
        <w:rPr>
          <w:rFonts w:ascii="宋体" w:hAnsi="宋体" w:cs="宋体" w:eastAsia="宋体" w:hint="default"/>
          <w:sz w:val="13"/>
          <w:szCs w:val="13"/>
        </w:rPr>
      </w:pPr>
    </w:p>
    <w:p>
      <w:pPr>
        <w:pStyle w:val="BodyText"/>
        <w:spacing w:line="316" w:lineRule="auto"/>
        <w:ind w:right="94" w:firstLine="360"/>
        <w:jc w:val="left"/>
      </w:pPr>
      <w:r>
        <w:rPr>
          <w:spacing w:val="-2"/>
        </w:rPr>
        <w:t>本公司对股份支付计划进行修改时，若修改增加了所授予权益工具的公允价值，按照权益工具公允价值的增加相应地确</w:t>
      </w:r>
      <w:r>
        <w:rPr/>
        <w:t> 认取得服务的增加；若修改增加了所授予权益工具的数量，则将增加的权益工具的公允价值相应地确认为取得服务的增加。</w:t>
      </w:r>
      <w:r>
        <w:rPr>
          <w:spacing w:val="-86"/>
        </w:rPr>
        <w:t> </w:t>
      </w:r>
      <w:r>
        <w:rPr>
          <w:spacing w:val="-86"/>
        </w:rPr>
      </w:r>
      <w:r>
        <w:rPr>
          <w:spacing w:val="-2"/>
        </w:rPr>
        <w:t>权益工具公允价值的增加是指修改前后的权益工具在修改日的公允价值之间的差额。若修改减少了股份支付公允价值总额或</w:t>
      </w:r>
      <w:r>
        <w:rPr>
          <w:spacing w:val="-64"/>
        </w:rPr>
        <w:t> </w:t>
      </w:r>
      <w:r>
        <w:rPr>
          <w:spacing w:val="-64"/>
        </w:rPr>
      </w:r>
      <w:r>
        <w:rPr>
          <w:spacing w:val="-4"/>
        </w:rPr>
        <w:t>采用了其他不利于职工的方式修改股份支付计划的条款和条件，则仍继续对取得的服务进行会计处理，视同该变更从未发生，</w:t>
      </w:r>
      <w:r>
        <w:rPr>
          <w:spacing w:val="-44"/>
        </w:rPr>
        <w:t> </w:t>
      </w:r>
      <w:r>
        <w:rPr>
          <w:spacing w:val="-44"/>
        </w:rPr>
      </w:r>
      <w:r>
        <w:rPr/>
        <w:t>除非本公司取消了部分或全部已授予的权益工具。</w:t>
      </w:r>
    </w:p>
    <w:p>
      <w:pPr>
        <w:spacing w:line="240" w:lineRule="auto" w:before="5"/>
        <w:rPr>
          <w:rFonts w:ascii="宋体" w:hAnsi="宋体" w:cs="宋体" w:eastAsia="宋体" w:hint="default"/>
          <w:sz w:val="13"/>
          <w:szCs w:val="13"/>
        </w:rPr>
      </w:pPr>
    </w:p>
    <w:p>
      <w:pPr>
        <w:pStyle w:val="BodyText"/>
        <w:spacing w:line="316" w:lineRule="auto"/>
        <w:ind w:right="189" w:firstLine="360"/>
        <w:jc w:val="both"/>
      </w:pPr>
      <w:r>
        <w:rPr>
          <w:spacing w:val="-2"/>
        </w:rPr>
        <w:t>在等待期内，如果取消了授予的权益工具（因未满足可行权条件的非市场条件而被取消的除外），本公司对取消所授予</w:t>
      </w:r>
      <w:r>
        <w:rPr/>
        <w:t> </w:t>
      </w:r>
      <w:r>
        <w:rPr>
          <w:spacing w:val="-2"/>
        </w:rPr>
        <w:t>的权益性工具作为加速行权处理，将剩余等待期内应确认的金额立即计入当期损益，同时确认资本公积。职工或其他方能够</w:t>
      </w:r>
      <w:r>
        <w:rPr>
          <w:spacing w:val="-62"/>
        </w:rPr>
        <w:t> </w:t>
      </w:r>
      <w:r>
        <w:rPr>
          <w:spacing w:val="-62"/>
        </w:rPr>
      </w:r>
      <w:r>
        <w:rPr/>
        <w:t>选择满足非可行权条件但在等待期内未满足的，本公司将其作为授予权益工具的取消处理。</w:t>
      </w:r>
    </w:p>
    <w:p>
      <w:pPr>
        <w:spacing w:line="240" w:lineRule="auto" w:before="10"/>
        <w:rPr>
          <w:rFonts w:ascii="宋体" w:hAnsi="宋体" w:cs="宋体" w:eastAsia="宋体" w:hint="default"/>
          <w:sz w:val="22"/>
          <w:szCs w:val="22"/>
        </w:rPr>
      </w:pPr>
    </w:p>
    <w:p>
      <w:pPr>
        <w:pStyle w:val="Heading3"/>
        <w:spacing w:line="240" w:lineRule="auto"/>
        <w:ind w:right="106"/>
        <w:jc w:val="left"/>
        <w:rPr>
          <w:b w:val="0"/>
          <w:bCs w:val="0"/>
        </w:rPr>
      </w:pPr>
      <w:r>
        <w:rPr>
          <w:rFonts w:ascii="Times New Roman" w:hAnsi="Times New Roman" w:cs="Times New Roman" w:eastAsia="Times New Roman" w:hint="default"/>
        </w:rPr>
        <w:t>24</w:t>
      </w:r>
      <w:r>
        <w:rPr/>
        <w:t>、优先股、永续债等其他金融工具</w:t>
      </w:r>
      <w:r>
        <w:rPr>
          <w:b w:val="0"/>
          <w:bCs w:val="0"/>
        </w:rPr>
      </w:r>
    </w:p>
    <w:p>
      <w:pPr>
        <w:spacing w:line="240" w:lineRule="auto" w:before="4"/>
        <w:rPr>
          <w:rFonts w:ascii="宋体" w:hAnsi="宋体" w:cs="宋体" w:eastAsia="宋体" w:hint="default"/>
          <w:b/>
          <w:bCs/>
          <w:sz w:val="26"/>
          <w:szCs w:val="26"/>
        </w:rPr>
      </w:pPr>
    </w:p>
    <w:p>
      <w:pPr>
        <w:pStyle w:val="BodyText"/>
        <w:spacing w:line="477" w:lineRule="auto"/>
        <w:ind w:left="513" w:right="2973"/>
        <w:jc w:val="left"/>
      </w:pPr>
      <w:r>
        <w:rPr/>
        <w:t>（</w:t>
      </w:r>
      <w:r>
        <w:rPr>
          <w:rFonts w:ascii="宋体" w:hAnsi="宋体" w:cs="宋体" w:eastAsia="宋体" w:hint="default"/>
        </w:rPr>
        <w:t>1</w:t>
      </w:r>
      <w:r>
        <w:rPr/>
        <w:t>）永续债和优先股等的区分 本公司发行的永续债和优先股等金融工具，同时符合以下条件的，作为权益工具：</w:t>
      </w:r>
    </w:p>
    <w:p>
      <w:pPr>
        <w:pStyle w:val="BodyText"/>
        <w:spacing w:line="319" w:lineRule="auto" w:before="54"/>
        <w:ind w:right="192" w:firstLine="360"/>
        <w:jc w:val="both"/>
      </w:pPr>
      <w:r>
        <w:rPr>
          <w:spacing w:val="-2"/>
        </w:rPr>
        <w:t>①该金融工具不包括交付现金或其他金融资产给其他方，或在潜在不利条件下与其他方交换金融资产或金融负债的合同</w:t>
      </w:r>
      <w:r>
        <w:rPr/>
        <w:t> 义务；</w:t>
      </w:r>
    </w:p>
    <w:p>
      <w:pPr>
        <w:spacing w:line="240" w:lineRule="auto" w:before="3"/>
        <w:rPr>
          <w:rFonts w:ascii="宋体" w:hAnsi="宋体" w:cs="宋体" w:eastAsia="宋体" w:hint="default"/>
          <w:sz w:val="13"/>
          <w:szCs w:val="13"/>
        </w:rPr>
      </w:pPr>
    </w:p>
    <w:p>
      <w:pPr>
        <w:pStyle w:val="BodyText"/>
        <w:spacing w:line="316" w:lineRule="auto"/>
        <w:ind w:right="192" w:firstLine="360"/>
        <w:jc w:val="both"/>
      </w:pPr>
      <w:r>
        <w:rPr>
          <w:spacing w:val="-2"/>
        </w:rPr>
        <w:t>②如将来须用或可用企业自身权益工具结算该金融工具的，如该金融工具为非衍生工具，则不包括交付可变数量的自身</w:t>
      </w:r>
      <w:r>
        <w:rPr/>
        <w:t> </w:t>
      </w:r>
      <w:r>
        <w:rPr>
          <w:spacing w:val="-2"/>
        </w:rPr>
        <w:t>权益工具进行结算的合同义务；如为衍生工具，则本公司只能通过以固定数量的自身权益工具交换固定金额的现金或其他金</w:t>
      </w:r>
      <w:r>
        <w:rPr>
          <w:spacing w:val="-64"/>
        </w:rPr>
        <w:t> </w:t>
      </w:r>
      <w:r>
        <w:rPr>
          <w:spacing w:val="-64"/>
        </w:rPr>
      </w:r>
      <w:r>
        <w:rPr/>
        <w:t>融资产结算该金融工具。</w:t>
      </w:r>
    </w:p>
    <w:p>
      <w:pPr>
        <w:pStyle w:val="BodyText"/>
        <w:spacing w:line="468" w:lineRule="exact" w:before="10"/>
        <w:ind w:left="513" w:right="106"/>
        <w:jc w:val="left"/>
      </w:pPr>
      <w:r>
        <w:rPr/>
        <w:t>除按上述条件可归类为权益工具的金融工具以外，本公司发行的其他金融工具应归类为金融负债。 </w:t>
      </w:r>
      <w:r>
        <w:rPr>
          <w:spacing w:val="-2"/>
        </w:rPr>
        <w:t>本公司发行的金融工具为复合金融工具的，按照负债成分的公允价值确认为一项负债，按实际收到的金额扣除负债成分</w:t>
      </w:r>
    </w:p>
    <w:p>
      <w:pPr>
        <w:pStyle w:val="BodyText"/>
        <w:spacing w:line="316" w:lineRule="auto" w:before="8"/>
        <w:ind w:right="106"/>
        <w:jc w:val="left"/>
      </w:pPr>
      <w:r>
        <w:rPr>
          <w:spacing w:val="-2"/>
        </w:rPr>
        <w:t>的公允价值后的金额，确认为“其他权益工具”。发行复合金融工具发生的交易费用，在负债成分和权益成分之间按照各自</w:t>
      </w:r>
      <w:r>
        <w:rPr>
          <w:spacing w:val="-65"/>
        </w:rPr>
        <w:t> </w:t>
      </w:r>
      <w:r>
        <w:rPr>
          <w:spacing w:val="-65"/>
        </w:rPr>
      </w:r>
      <w:r>
        <w:rPr/>
        <w:t>占总发行价款的比例进行分摊。</w:t>
      </w:r>
    </w:p>
    <w:p>
      <w:pPr>
        <w:pStyle w:val="BodyText"/>
        <w:spacing w:line="468" w:lineRule="exact" w:before="10"/>
        <w:ind w:left="513" w:right="106"/>
        <w:jc w:val="left"/>
      </w:pPr>
      <w:r>
        <w:rPr/>
        <w:t>（</w:t>
      </w:r>
      <w:r>
        <w:rPr>
          <w:rFonts w:ascii="宋体" w:hAnsi="宋体" w:cs="宋体" w:eastAsia="宋体" w:hint="default"/>
        </w:rPr>
        <w:t>2</w:t>
      </w:r>
      <w:r>
        <w:rPr/>
        <w:t>）永续债和优先股等的会计处理方法 </w:t>
      </w:r>
      <w:r>
        <w:rPr>
          <w:spacing w:val="-2"/>
        </w:rPr>
        <w:t>归类为金融负债的永续债和优先股等金融工具，其相关利息、股利（或股息）、利得或损失，以及赎回或再融资产生的</w:t>
      </w:r>
    </w:p>
    <w:p>
      <w:pPr>
        <w:pStyle w:val="BodyText"/>
        <w:spacing w:line="240" w:lineRule="auto" w:before="8"/>
        <w:ind w:right="106"/>
        <w:jc w:val="left"/>
      </w:pPr>
      <w:r>
        <w:rPr/>
        <w:t>利得或损失等，除符合资本化条件的借款费用以外，均计入当期损益。</w:t>
      </w:r>
    </w:p>
    <w:p>
      <w:pPr>
        <w:spacing w:line="240" w:lineRule="auto" w:before="10"/>
        <w:rPr>
          <w:rFonts w:ascii="宋体" w:hAnsi="宋体" w:cs="宋体" w:eastAsia="宋体" w:hint="default"/>
          <w:sz w:val="17"/>
          <w:szCs w:val="17"/>
        </w:rPr>
      </w:pPr>
    </w:p>
    <w:p>
      <w:pPr>
        <w:pStyle w:val="BodyText"/>
        <w:spacing w:line="316" w:lineRule="auto"/>
        <w:ind w:right="193" w:firstLine="360"/>
        <w:jc w:val="both"/>
      </w:pPr>
      <w:r>
        <w:rPr>
          <w:spacing w:val="-2"/>
        </w:rPr>
        <w:t>归类为权益工具的永续债和优先股等金融工具，其发行（含再融资）、回购、出售或注销时，本公司作为权益的变动处</w:t>
      </w:r>
      <w:r>
        <w:rPr/>
        <w:t> 理，相关交易费用亦从权益中扣减。本公司对权益工具持有方的分配作为利润分配处理。</w:t>
      </w:r>
    </w:p>
    <w:p>
      <w:pPr>
        <w:spacing w:line="240" w:lineRule="auto" w:before="5"/>
        <w:rPr>
          <w:rFonts w:ascii="宋体" w:hAnsi="宋体" w:cs="宋体" w:eastAsia="宋体" w:hint="default"/>
          <w:sz w:val="13"/>
          <w:szCs w:val="13"/>
        </w:rPr>
      </w:pPr>
    </w:p>
    <w:p>
      <w:pPr>
        <w:pStyle w:val="BodyText"/>
        <w:spacing w:line="240" w:lineRule="auto"/>
        <w:ind w:left="513" w:right="106"/>
        <w:jc w:val="left"/>
      </w:pPr>
      <w:r>
        <w:rPr/>
        <w:t>本公司不确认权益工具的公允价值变动。</w:t>
      </w:r>
    </w:p>
    <w:p>
      <w:pPr>
        <w:spacing w:line="240" w:lineRule="auto" w:before="0"/>
        <w:rPr>
          <w:rFonts w:ascii="宋体" w:hAnsi="宋体" w:cs="宋体" w:eastAsia="宋体" w:hint="default"/>
          <w:sz w:val="18"/>
          <w:szCs w:val="18"/>
        </w:rPr>
      </w:pPr>
    </w:p>
    <w:p>
      <w:pPr>
        <w:pStyle w:val="Heading3"/>
        <w:spacing w:line="240" w:lineRule="auto" w:before="120"/>
        <w:ind w:right="106"/>
        <w:jc w:val="left"/>
        <w:rPr>
          <w:b w:val="0"/>
          <w:bCs w:val="0"/>
        </w:rPr>
      </w:pPr>
      <w:r>
        <w:rPr>
          <w:rFonts w:ascii="Times New Roman" w:hAnsi="Times New Roman" w:cs="Times New Roman" w:eastAsia="Times New Roman" w:hint="default"/>
        </w:rPr>
        <w:t>25</w:t>
      </w:r>
      <w:r>
        <w:rPr/>
        <w:t>、收入</w:t>
      </w:r>
      <w:r>
        <w:rPr>
          <w:b w:val="0"/>
          <w:bCs w:val="0"/>
        </w:rPr>
      </w:r>
    </w:p>
    <w:p>
      <w:pPr>
        <w:pStyle w:val="BodyText"/>
        <w:spacing w:line="470" w:lineRule="atLeast" w:before="107"/>
        <w:ind w:left="513" w:right="106"/>
        <w:jc w:val="left"/>
      </w:pPr>
      <w:r>
        <w:rPr/>
        <w:t>（</w:t>
      </w:r>
      <w:r>
        <w:rPr>
          <w:rFonts w:ascii="宋体" w:hAnsi="宋体" w:cs="宋体" w:eastAsia="宋体" w:hint="default"/>
        </w:rPr>
        <w:t>1</w:t>
      </w:r>
      <w:r>
        <w:rPr/>
        <w:t>）销售商品收入确认时间的具体判断标准 </w:t>
      </w:r>
      <w:r>
        <w:rPr>
          <w:spacing w:val="-2"/>
        </w:rPr>
        <w:t>商品销售收入：主要是本公司为客户提供技术服务过程中，销售网络产品及相关设备配件获得的收入。对于商品销售本</w:t>
      </w:r>
    </w:p>
    <w:p>
      <w:pPr>
        <w:pStyle w:val="BodyText"/>
        <w:spacing w:line="240" w:lineRule="auto" w:before="76"/>
        <w:ind w:right="106"/>
        <w:jc w:val="left"/>
      </w:pPr>
      <w:r>
        <w:rPr/>
        <w:t>公司在相关的收入已经收到或取得了收款的证据时确认销售收入。</w:t>
      </w:r>
    </w:p>
    <w:p>
      <w:pPr>
        <w:spacing w:after="0" w:line="24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240" w:lineRule="auto" w:before="44"/>
        <w:ind w:left="513" w:right="106"/>
        <w:jc w:val="left"/>
      </w:pPr>
      <w:r>
        <w:rPr/>
        <w:t>（</w:t>
      </w:r>
      <w:r>
        <w:rPr>
          <w:rFonts w:ascii="宋体" w:hAnsi="宋体" w:cs="宋体" w:eastAsia="宋体" w:hint="default"/>
        </w:rPr>
        <w:t>2</w:t>
      </w:r>
      <w:r>
        <w:rPr/>
        <w:t>）确认提供劳务收入的依据</w:t>
      </w:r>
    </w:p>
    <w:p>
      <w:pPr>
        <w:spacing w:line="240" w:lineRule="auto" w:before="5"/>
        <w:rPr>
          <w:rFonts w:ascii="宋体" w:hAnsi="宋体" w:cs="宋体" w:eastAsia="宋体" w:hint="default"/>
          <w:sz w:val="14"/>
          <w:szCs w:val="14"/>
        </w:rPr>
      </w:pPr>
    </w:p>
    <w:p>
      <w:pPr>
        <w:pStyle w:val="BodyText"/>
        <w:spacing w:line="240" w:lineRule="auto" w:before="44"/>
        <w:ind w:left="513" w:right="0"/>
        <w:jc w:val="left"/>
      </w:pPr>
      <w:r>
        <w:rPr/>
        <w:t>本公司的提供劳务收入包括互联网宽带接入服务、</w:t>
      </w:r>
      <w:r>
        <w:rPr>
          <w:rFonts w:ascii="宋体" w:hAnsi="宋体" w:cs="宋体" w:eastAsia="宋体" w:hint="default"/>
        </w:rPr>
        <w:t>IDC</w:t>
      </w:r>
      <w:r>
        <w:rPr/>
        <w:t>及其增值服务收入、</w:t>
      </w:r>
      <w:r>
        <w:rPr>
          <w:rFonts w:ascii="宋体" w:hAnsi="宋体" w:cs="宋体" w:eastAsia="宋体" w:hint="default"/>
        </w:rPr>
        <w:t>IDC</w:t>
      </w:r>
      <w:r>
        <w:rPr/>
        <w:t>运营管理服务收入、云计算收入、其他收</w:t>
      </w:r>
    </w:p>
    <w:p>
      <w:pPr>
        <w:pStyle w:val="BodyText"/>
        <w:spacing w:line="240" w:lineRule="auto" w:before="76"/>
        <w:ind w:right="106"/>
        <w:jc w:val="left"/>
      </w:pPr>
      <w:r>
        <w:rPr/>
        <w:t>入。</w:t>
      </w:r>
    </w:p>
    <w:p>
      <w:pPr>
        <w:spacing w:line="240" w:lineRule="auto" w:before="5"/>
        <w:rPr>
          <w:rFonts w:ascii="宋体" w:hAnsi="宋体" w:cs="宋体" w:eastAsia="宋体" w:hint="default"/>
          <w:sz w:val="14"/>
          <w:szCs w:val="14"/>
        </w:rPr>
      </w:pPr>
    </w:p>
    <w:p>
      <w:pPr>
        <w:pStyle w:val="BodyText"/>
        <w:spacing w:line="240" w:lineRule="auto" w:before="44"/>
        <w:ind w:left="513" w:right="0"/>
        <w:jc w:val="left"/>
      </w:pPr>
      <w:r>
        <w:rPr/>
        <w:t>①互联网宽带接入服务：主要是通过专线、光纤等各种传输手段向用户提供将计算机或者其他终端设备接入互联网的服</w:t>
      </w:r>
    </w:p>
    <w:p>
      <w:pPr>
        <w:pStyle w:val="BodyText"/>
        <w:spacing w:line="240" w:lineRule="auto" w:before="76"/>
        <w:ind w:right="106"/>
        <w:jc w:val="left"/>
      </w:pPr>
      <w:r>
        <w:rPr/>
        <w:t>务。</w:t>
      </w:r>
    </w:p>
    <w:p>
      <w:pPr>
        <w:spacing w:line="240" w:lineRule="auto" w:before="5"/>
        <w:rPr>
          <w:rFonts w:ascii="宋体" w:hAnsi="宋体" w:cs="宋体" w:eastAsia="宋体" w:hint="default"/>
          <w:sz w:val="14"/>
          <w:szCs w:val="14"/>
        </w:rPr>
      </w:pPr>
    </w:p>
    <w:p>
      <w:pPr>
        <w:pStyle w:val="BodyText"/>
        <w:spacing w:line="316" w:lineRule="auto" w:before="44"/>
        <w:ind w:right="199" w:firstLine="360"/>
        <w:jc w:val="both"/>
      </w:pPr>
      <w:r>
        <w:rPr>
          <w:rFonts w:ascii="宋体" w:hAnsi="宋体" w:cs="宋体" w:eastAsia="宋体" w:hint="default"/>
        </w:rPr>
        <w:t>IDC</w:t>
      </w:r>
      <w:r>
        <w:rPr/>
        <w:t>及其增值服务收入：是电信企业利用已有的互联网通信线路、带宽资源，建立标准化的电信专业级机房环境，为企 业、政府部门等提供服务器托管、租用以及相关增值等方面的全方位服务。</w:t>
      </w:r>
    </w:p>
    <w:p>
      <w:pPr>
        <w:pStyle w:val="BodyText"/>
        <w:spacing w:line="468" w:lineRule="exact" w:before="10"/>
        <w:ind w:left="513" w:right="93"/>
        <w:jc w:val="left"/>
      </w:pPr>
      <w:r>
        <w:rPr>
          <w:rFonts w:ascii="宋体" w:hAnsi="宋体" w:cs="宋体" w:eastAsia="宋体" w:hint="default"/>
        </w:rPr>
        <w:t>IDC</w:t>
      </w:r>
      <w:r>
        <w:rPr/>
        <w:t>运营管理服务收入：公司为其他公司的数据中心提供运营管理服务，包括设计、建设、运维、销售等专业服务。 云计算收入：公司提供的云计算服务包括</w:t>
      </w:r>
      <w:r>
        <w:rPr>
          <w:rFonts w:ascii="宋体" w:hAnsi="宋体" w:cs="宋体" w:eastAsia="宋体" w:hint="default"/>
        </w:rPr>
        <w:t>IaaS</w:t>
      </w:r>
      <w:r>
        <w:rPr/>
        <w:t>、</w:t>
      </w:r>
      <w:r>
        <w:rPr>
          <w:rFonts w:ascii="宋体" w:hAnsi="宋体" w:cs="宋体" w:eastAsia="宋体" w:hint="default"/>
        </w:rPr>
        <w:t>PaaS</w:t>
      </w:r>
      <w:r>
        <w:rPr/>
        <w:t>、</w:t>
      </w:r>
      <w:r>
        <w:rPr>
          <w:rFonts w:ascii="宋体" w:hAnsi="宋体" w:cs="宋体" w:eastAsia="宋体" w:hint="default"/>
        </w:rPr>
        <w:t>SaaS</w:t>
      </w:r>
      <w:r>
        <w:rPr/>
        <w:t>及相关技术服务。</w:t>
      </w:r>
      <w:r>
        <w:rPr>
          <w:rFonts w:ascii="宋体" w:hAnsi="宋体" w:cs="宋体" w:eastAsia="宋体" w:hint="default"/>
        </w:rPr>
        <w:t>IaaS</w:t>
      </w:r>
      <w:r>
        <w:rPr/>
        <w:t>：即设施即服务，向客户提供处理、</w:t>
      </w:r>
    </w:p>
    <w:p>
      <w:pPr>
        <w:pStyle w:val="BodyText"/>
        <w:spacing w:line="316" w:lineRule="auto" w:before="8"/>
        <w:ind w:right="193"/>
        <w:jc w:val="both"/>
      </w:pPr>
      <w:r>
        <w:rPr>
          <w:spacing w:val="-2"/>
        </w:rPr>
        <w:t>存储、网络以及其他基础计算资源，客户可以在其上运行任意软件，包括操作系统和应用程序。</w:t>
      </w:r>
      <w:r>
        <w:rPr>
          <w:rFonts w:ascii="宋体" w:hAnsi="宋体" w:cs="宋体" w:eastAsia="宋体" w:hint="default"/>
          <w:spacing w:val="-2"/>
        </w:rPr>
        <w:t>PaaS</w:t>
      </w:r>
      <w:r>
        <w:rPr>
          <w:spacing w:val="-2"/>
        </w:rPr>
        <w:t>：平台即服务，客户使</w:t>
      </w:r>
      <w:r>
        <w:rPr>
          <w:spacing w:val="-64"/>
        </w:rPr>
        <w:t> </w:t>
      </w:r>
      <w:r>
        <w:rPr>
          <w:spacing w:val="-64"/>
        </w:rPr>
      </w:r>
      <w:r>
        <w:rPr>
          <w:spacing w:val="-2"/>
        </w:rPr>
        <w:t>用云供应商支持的开发语言和工具，开发出应用程序，并发布到云基础架构上。</w:t>
      </w:r>
      <w:r>
        <w:rPr>
          <w:rFonts w:ascii="宋体" w:hAnsi="宋体" w:cs="宋体" w:eastAsia="宋体" w:hint="default"/>
          <w:spacing w:val="-2"/>
        </w:rPr>
        <w:t>SaaS</w:t>
      </w:r>
      <w:r>
        <w:rPr>
          <w:spacing w:val="-2"/>
        </w:rPr>
        <w:t>：即软件即服务，客户所使用的服务商</w:t>
      </w:r>
      <w:r>
        <w:rPr>
          <w:spacing w:val="-64"/>
        </w:rPr>
        <w:t> </w:t>
      </w:r>
      <w:r>
        <w:rPr>
          <w:spacing w:val="-64"/>
        </w:rPr>
      </w:r>
      <w:r>
        <w:rPr/>
        <w:t>提供的运行在云基础设施上的应用程序。</w:t>
      </w:r>
    </w:p>
    <w:p>
      <w:pPr>
        <w:spacing w:line="240" w:lineRule="auto" w:before="5"/>
        <w:rPr>
          <w:rFonts w:ascii="宋体" w:hAnsi="宋体" w:cs="宋体" w:eastAsia="宋体" w:hint="default"/>
          <w:sz w:val="13"/>
          <w:szCs w:val="13"/>
        </w:rPr>
      </w:pPr>
    </w:p>
    <w:p>
      <w:pPr>
        <w:pStyle w:val="BodyText"/>
        <w:spacing w:line="316" w:lineRule="auto"/>
        <w:ind w:right="193" w:firstLine="360"/>
        <w:jc w:val="both"/>
      </w:pPr>
      <w:r>
        <w:rPr/>
        <w:t>②互联网宽带接入服务、</w:t>
      </w:r>
      <w:r>
        <w:rPr>
          <w:rFonts w:ascii="宋体" w:hAnsi="宋体" w:cs="宋体" w:eastAsia="宋体" w:hint="default"/>
        </w:rPr>
        <w:t>IDC</w:t>
      </w:r>
      <w:r>
        <w:rPr/>
        <w:t>及其增值服务收入确认原则：公司根据合同约定提供相应服务，公司统计客户的带宽使用 </w:t>
      </w:r>
      <w:r>
        <w:rPr>
          <w:spacing w:val="-2"/>
        </w:rPr>
        <w:t>量得到客户确认，相关的成本能够可靠计量时确认收入。公司的主要成本构成包括向电信运营商租用的带宽费用和房屋租赁</w:t>
      </w:r>
      <w:r>
        <w:rPr>
          <w:spacing w:val="-64"/>
        </w:rPr>
        <w:t> </w:t>
      </w:r>
      <w:r>
        <w:rPr>
          <w:spacing w:val="-64"/>
        </w:rPr>
      </w:r>
      <w:r>
        <w:rPr/>
        <w:t>费用、设备折旧费用及维修等其他费用。</w:t>
      </w:r>
    </w:p>
    <w:p>
      <w:pPr>
        <w:spacing w:line="240" w:lineRule="auto" w:before="5"/>
        <w:rPr>
          <w:rFonts w:ascii="宋体" w:hAnsi="宋体" w:cs="宋体" w:eastAsia="宋体" w:hint="default"/>
          <w:sz w:val="13"/>
          <w:szCs w:val="13"/>
        </w:rPr>
      </w:pPr>
    </w:p>
    <w:p>
      <w:pPr>
        <w:pStyle w:val="BodyText"/>
        <w:spacing w:line="477" w:lineRule="auto"/>
        <w:ind w:left="513" w:right="106"/>
        <w:jc w:val="left"/>
      </w:pPr>
      <w:r>
        <w:rPr/>
        <w:t>互联网宽带接入服务、</w:t>
      </w:r>
      <w:r>
        <w:rPr>
          <w:rFonts w:ascii="宋体" w:hAnsi="宋体" w:cs="宋体" w:eastAsia="宋体" w:hint="default"/>
        </w:rPr>
        <w:t>IDC</w:t>
      </w:r>
      <w:r>
        <w:rPr/>
        <w:t>及其增值服务收入确认的具体方法： 公司互联网宽带接入服务的合同一般为固定合同，该类合同一般为明确约定服务提供量，每月按固定金额确认收入。</w:t>
      </w:r>
    </w:p>
    <w:p>
      <w:pPr>
        <w:pStyle w:val="BodyText"/>
        <w:spacing w:line="316" w:lineRule="auto" w:before="54"/>
        <w:ind w:right="190" w:firstLine="360"/>
        <w:jc w:val="both"/>
      </w:pPr>
      <w:r>
        <w:rPr>
          <w:rFonts w:ascii="宋体" w:hAnsi="宋体" w:cs="宋体" w:eastAsia="宋体" w:hint="default"/>
        </w:rPr>
        <w:t>IDC</w:t>
      </w:r>
      <w:r>
        <w:rPr>
          <w:rFonts w:ascii="宋体" w:hAnsi="宋体" w:cs="宋体" w:eastAsia="宋体" w:hint="default"/>
          <w:spacing w:val="16"/>
        </w:rPr>
        <w:t> </w:t>
      </w:r>
      <w:r>
        <w:rPr>
          <w:spacing w:val="-2"/>
        </w:rPr>
        <w:t>服务及其增值服务合同分为固定合同与敞口合同。固定合同即合同明确约定服务提供量，敞口合同仅约定单价，主</w:t>
      </w:r>
      <w:r>
        <w:rPr/>
        <w:t> </w:t>
      </w:r>
      <w:r>
        <w:rPr>
          <w:spacing w:val="-2"/>
        </w:rPr>
        <w:t>要约定带宽与电费的单价。对于固定合同，在合同服务期限内按月平均确认；对于敞口合同，实际使用带宽流量根据监控系</w:t>
      </w:r>
      <w:r>
        <w:rPr>
          <w:spacing w:val="-65"/>
        </w:rPr>
        <w:t> </w:t>
      </w:r>
      <w:r>
        <w:rPr>
          <w:spacing w:val="-65"/>
        </w:rPr>
      </w:r>
      <w:r>
        <w:rPr>
          <w:spacing w:val="-2"/>
        </w:rPr>
        <w:t>统统计的当月平均带宽使用量编制月客户收费通知单，并经客户核对确认，实际使用电费根据电表计量编制月客户收费通知</w:t>
      </w:r>
      <w:r>
        <w:rPr>
          <w:spacing w:val="-64"/>
        </w:rPr>
        <w:t> </w:t>
      </w:r>
      <w:r>
        <w:rPr>
          <w:spacing w:val="-64"/>
        </w:rPr>
      </w:r>
      <w:r>
        <w:rPr/>
        <w:t>单，并经客户核对确认。</w:t>
      </w:r>
    </w:p>
    <w:p>
      <w:pPr>
        <w:spacing w:line="240" w:lineRule="auto" w:before="5"/>
        <w:rPr>
          <w:rFonts w:ascii="宋体" w:hAnsi="宋体" w:cs="宋体" w:eastAsia="宋体" w:hint="default"/>
          <w:sz w:val="13"/>
          <w:szCs w:val="13"/>
        </w:rPr>
      </w:pPr>
    </w:p>
    <w:p>
      <w:pPr>
        <w:pStyle w:val="BodyText"/>
        <w:spacing w:line="240" w:lineRule="auto"/>
        <w:ind w:left="513" w:right="106"/>
        <w:jc w:val="left"/>
      </w:pPr>
      <w:r>
        <w:rPr/>
        <w:t>③</w:t>
      </w:r>
      <w:r>
        <w:rPr>
          <w:rFonts w:ascii="宋体" w:hAnsi="宋体" w:cs="宋体" w:eastAsia="宋体" w:hint="default"/>
        </w:rPr>
        <w:t>IDC</w:t>
      </w:r>
      <w:r>
        <w:rPr/>
        <w:t>运营管理服务收入确认原则和收入确认的具体方法按照</w:t>
      </w:r>
      <w:r>
        <w:rPr>
          <w:rFonts w:ascii="宋体" w:hAnsi="宋体" w:cs="宋体" w:eastAsia="宋体" w:hint="default"/>
        </w:rPr>
        <w:t>IDC</w:t>
      </w:r>
      <w:r>
        <w:rPr/>
        <w:t>及其增值服务收入的确认原则和方法。</w:t>
      </w:r>
    </w:p>
    <w:p>
      <w:pPr>
        <w:spacing w:line="240" w:lineRule="auto" w:before="10"/>
        <w:rPr>
          <w:rFonts w:ascii="宋体" w:hAnsi="宋体" w:cs="宋体" w:eastAsia="宋体" w:hint="default"/>
          <w:sz w:val="17"/>
          <w:szCs w:val="17"/>
        </w:rPr>
      </w:pPr>
    </w:p>
    <w:p>
      <w:pPr>
        <w:pStyle w:val="BodyText"/>
        <w:spacing w:line="316" w:lineRule="auto"/>
        <w:ind w:right="190" w:firstLine="360"/>
        <w:jc w:val="both"/>
      </w:pPr>
      <w:r>
        <w:rPr>
          <w:spacing w:val="-2"/>
        </w:rPr>
        <w:t>④云计算收入确认原则：公司根据合同约定提供相应服务，公司统计客户的使用量得到客户确认，相关的成本能够可靠</w:t>
      </w:r>
      <w:r>
        <w:rPr/>
        <w:t> 计量时确认收入。</w:t>
      </w:r>
    </w:p>
    <w:p>
      <w:pPr>
        <w:spacing w:line="240" w:lineRule="auto" w:before="5"/>
        <w:rPr>
          <w:rFonts w:ascii="宋体" w:hAnsi="宋体" w:cs="宋体" w:eastAsia="宋体" w:hint="default"/>
          <w:sz w:val="13"/>
          <w:szCs w:val="13"/>
        </w:rPr>
      </w:pPr>
    </w:p>
    <w:p>
      <w:pPr>
        <w:pStyle w:val="BodyText"/>
        <w:spacing w:line="316" w:lineRule="auto"/>
        <w:ind w:right="106" w:firstLine="360"/>
        <w:jc w:val="both"/>
      </w:pPr>
      <w:r>
        <w:rPr/>
        <w:t>云计算收入确认的具体方法：云计算合同分为固定合同与敞口合同。对于固定合同，在合同服务期限内按月平均确认； 对于敞口合同，根据系统统计的当月使用量确认收入。</w:t>
      </w:r>
    </w:p>
    <w:p>
      <w:pPr>
        <w:pStyle w:val="BodyText"/>
        <w:spacing w:line="468" w:lineRule="exact" w:before="11"/>
        <w:ind w:left="513" w:right="106"/>
        <w:jc w:val="left"/>
      </w:pPr>
      <w:r>
        <w:rPr/>
        <w:t>（</w:t>
      </w:r>
      <w:r>
        <w:rPr>
          <w:rFonts w:ascii="宋体" w:hAnsi="宋体" w:cs="宋体" w:eastAsia="宋体" w:hint="default"/>
        </w:rPr>
        <w:t>3</w:t>
      </w:r>
      <w:r>
        <w:rPr/>
        <w:t>）按完工百分比法确认提供劳务的收入和建造合同收入时，确定合同完工进度的依据和方法 </w:t>
      </w:r>
      <w:r>
        <w:rPr>
          <w:spacing w:val="-2"/>
        </w:rPr>
        <w:t>系统集成收入：主要是本公司为客户提供网络及综合布线系统、自动化控制系统、安全防范系统、视频及多媒体系统等</w:t>
      </w:r>
    </w:p>
    <w:p>
      <w:pPr>
        <w:pStyle w:val="BodyText"/>
        <w:spacing w:line="477" w:lineRule="auto" w:before="8"/>
        <w:ind w:left="513" w:right="5673" w:hanging="361"/>
        <w:jc w:val="left"/>
      </w:pPr>
      <w:r>
        <w:rPr/>
        <w:t>智能化系统工程所获得的收入。 对于系统集成收入按照项目进度比例确认收入。</w:t>
      </w:r>
    </w:p>
    <w:p>
      <w:pPr>
        <w:pStyle w:val="BodyText"/>
        <w:spacing w:line="477" w:lineRule="auto" w:before="54"/>
        <w:ind w:left="513" w:right="5313"/>
        <w:jc w:val="left"/>
      </w:pPr>
      <w:r>
        <w:rPr/>
        <w:t>（</w:t>
      </w:r>
      <w:r>
        <w:rPr>
          <w:rFonts w:ascii="宋体" w:hAnsi="宋体" w:cs="宋体" w:eastAsia="宋体" w:hint="default"/>
        </w:rPr>
        <w:t>4</w:t>
      </w:r>
      <w:r>
        <w:rPr/>
        <w:t>）确认让渡资产使用权收入的依据 让渡资产使用权收入包括利息收入、使用费收入等。</w:t>
      </w:r>
    </w:p>
    <w:p>
      <w:pPr>
        <w:pStyle w:val="BodyText"/>
        <w:spacing w:line="319" w:lineRule="auto" w:before="54"/>
        <w:ind w:right="190" w:firstLine="360"/>
        <w:jc w:val="both"/>
      </w:pPr>
      <w:r>
        <w:rPr>
          <w:spacing w:val="-2"/>
        </w:rPr>
        <w:t>利息收入金额，按照他人使用本企业货币资金的时间和实际利率计算确定；使用费收入金额，按照有关合同或协议约定</w:t>
      </w:r>
      <w:r>
        <w:rPr/>
        <w:t> 的收费时间和方法计算确定。</w:t>
      </w:r>
    </w:p>
    <w:p>
      <w:pPr>
        <w:spacing w:after="0" w:line="319" w:lineRule="auto"/>
        <w:jc w:val="both"/>
        <w:sectPr>
          <w:pgSz w:w="11910" w:h="16840"/>
          <w:pgMar w:header="745" w:footer="979"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106"/>
        <w:jc w:val="left"/>
        <w:rPr>
          <w:b w:val="0"/>
          <w:bCs w:val="0"/>
        </w:rPr>
      </w:pPr>
      <w:r>
        <w:rPr>
          <w:rFonts w:ascii="Times New Roman" w:hAnsi="Times New Roman" w:cs="Times New Roman" w:eastAsia="Times New Roman" w:hint="default"/>
        </w:rPr>
        <w:t>26</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6"/>
        <w:jc w:val="left"/>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06" w:firstLine="360"/>
        <w:jc w:val="left"/>
      </w:pPr>
      <w:r>
        <w:rPr>
          <w:spacing w:val="-2"/>
        </w:rPr>
        <w:t>本公司政府补助包括与资产相关的政府补助和与收益相关的政府补助。对取得的、用于购建或以其他方式形成长期资产</w:t>
      </w:r>
      <w:r>
        <w:rPr/>
        <w:t> 的政府补助划分为与资产相关的政府补助。除与资产相关的政府补助之外的政府补助划分为与收益相关的政府补助。</w:t>
      </w:r>
    </w:p>
    <w:p>
      <w:pPr>
        <w:pStyle w:val="BodyText"/>
        <w:spacing w:line="468" w:lineRule="exact" w:before="10"/>
        <w:ind w:left="513" w:right="89"/>
        <w:jc w:val="left"/>
      </w:pPr>
      <w:r>
        <w:rPr/>
        <w:t>政府补助在同时满足下列条件的，才能予以确认： ① 公司能够满足政府补助所附条件； ②</w:t>
      </w:r>
      <w:r>
        <w:rPr>
          <w:spacing w:val="4"/>
        </w:rPr>
        <w:t> </w:t>
      </w:r>
      <w:r>
        <w:rPr/>
        <w:t>公司能够收到政府补助。</w:t>
      </w:r>
      <w:r>
        <w:rPr/>
        <w:t> </w:t>
      </w:r>
      <w:r>
        <w:rPr>
          <w:spacing w:val="-2"/>
        </w:rPr>
        <w:t>政府补助为货币性资产的，按照收到或应收的金额计量．政府补助为非货币性资产的，按照公允价值计量；公允价值不</w:t>
      </w:r>
    </w:p>
    <w:p>
      <w:pPr>
        <w:pStyle w:val="BodyText"/>
        <w:spacing w:line="240" w:lineRule="auto" w:before="8"/>
        <w:ind w:right="106"/>
        <w:jc w:val="left"/>
      </w:pPr>
      <w:r>
        <w:rPr/>
        <w:t>能可靠取得的，按照名义金额（</w:t>
      </w:r>
      <w:r>
        <w:rPr>
          <w:rFonts w:ascii="宋体" w:hAnsi="宋体" w:cs="宋体" w:eastAsia="宋体" w:hint="default"/>
        </w:rPr>
        <w:t>1</w:t>
      </w:r>
      <w:r>
        <w:rPr/>
        <w:t>元）计量。</w:t>
      </w:r>
    </w:p>
    <w:p>
      <w:pPr>
        <w:spacing w:line="240" w:lineRule="auto" w:before="11"/>
        <w:rPr>
          <w:rFonts w:ascii="宋体" w:hAnsi="宋体" w:cs="宋体" w:eastAsia="宋体" w:hint="default"/>
          <w:sz w:val="17"/>
          <w:szCs w:val="17"/>
        </w:rPr>
      </w:pPr>
    </w:p>
    <w:p>
      <w:pPr>
        <w:pStyle w:val="BodyText"/>
        <w:spacing w:line="316" w:lineRule="auto"/>
        <w:ind w:right="106" w:firstLine="360"/>
        <w:jc w:val="left"/>
      </w:pPr>
      <w:r>
        <w:rPr>
          <w:spacing w:val="-2"/>
        </w:rPr>
        <w:t>与资产相关的政府补助，确认为递延收益，并在相关资产使用寿命内平均分配，计入当期损益。但是，按照名义金额计</w:t>
      </w:r>
      <w:r>
        <w:rPr/>
        <w:t> 量的政府补助，直接计入当期损益。</w:t>
      </w:r>
    </w:p>
    <w:p>
      <w:pPr>
        <w:spacing w:line="240" w:lineRule="auto" w:before="10"/>
        <w:rPr>
          <w:rFonts w:ascii="宋体" w:hAnsi="宋体" w:cs="宋体" w:eastAsia="宋体" w:hint="default"/>
          <w:sz w:val="22"/>
          <w:szCs w:val="22"/>
        </w:rPr>
      </w:pPr>
    </w:p>
    <w:p>
      <w:pPr>
        <w:pStyle w:val="Heading3"/>
        <w:spacing w:line="240" w:lineRule="auto"/>
        <w:ind w:right="106"/>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06"/>
        <w:jc w:val="left"/>
      </w:pPr>
      <w:r>
        <w:rPr>
          <w:spacing w:val="-2"/>
        </w:rPr>
        <w:t>与收益相关的政府补助，分别情况处理：用于补偿本公司以后期间的相关费用或损失的，确认为递延收益，并在确认相关费</w:t>
      </w:r>
      <w:r>
        <w:rPr>
          <w:spacing w:val="-64"/>
        </w:rPr>
        <w:t> </w:t>
      </w:r>
      <w:r>
        <w:rPr>
          <w:spacing w:val="-64"/>
        </w:rPr>
      </w:r>
      <w:r>
        <w:rPr/>
        <w:t>用的期间，计入当期损益。用于补偿本公司已发生的相关费用或损失的，直接计入当期损益。</w:t>
      </w:r>
    </w:p>
    <w:p>
      <w:pPr>
        <w:spacing w:line="240" w:lineRule="auto" w:before="10"/>
        <w:rPr>
          <w:rFonts w:ascii="宋体" w:hAnsi="宋体" w:cs="宋体" w:eastAsia="宋体" w:hint="default"/>
          <w:sz w:val="22"/>
          <w:szCs w:val="22"/>
        </w:rPr>
      </w:pPr>
    </w:p>
    <w:p>
      <w:pPr>
        <w:pStyle w:val="Heading3"/>
        <w:spacing w:line="240" w:lineRule="auto"/>
        <w:ind w:right="106"/>
        <w:jc w:val="left"/>
        <w:rPr>
          <w:b w:val="0"/>
          <w:bCs w:val="0"/>
        </w:rPr>
      </w:pPr>
      <w:r>
        <w:rPr>
          <w:rFonts w:ascii="Times New Roman" w:hAnsi="Times New Roman" w:cs="Times New Roman" w:eastAsia="Times New Roman" w:hint="default"/>
        </w:rPr>
        <w:t>27</w:t>
      </w:r>
      <w:r>
        <w:rPr/>
        <w:t>、递延所得税资产</w:t>
      </w:r>
      <w:r>
        <w:rPr>
          <w:rFonts w:ascii="Times New Roman" w:hAnsi="Times New Roman" w:cs="Times New Roman" w:eastAsia="Times New Roman" w:hint="default"/>
        </w:rPr>
        <w:t>/</w:t>
      </w:r>
      <w:r>
        <w:rPr/>
        <w:t>递延所得税负债</w:t>
      </w:r>
      <w:r>
        <w:rPr>
          <w:b w:val="0"/>
          <w:bCs w:val="0"/>
        </w:rPr>
      </w:r>
    </w:p>
    <w:p>
      <w:pPr>
        <w:pStyle w:val="BodyText"/>
        <w:spacing w:line="470" w:lineRule="atLeast" w:before="107"/>
        <w:ind w:left="513" w:right="106"/>
        <w:jc w:val="left"/>
      </w:pPr>
      <w:r>
        <w:rPr/>
        <w:t>（</w:t>
      </w:r>
      <w:r>
        <w:rPr>
          <w:rFonts w:ascii="宋体" w:hAnsi="宋体" w:cs="宋体" w:eastAsia="宋体" w:hint="default"/>
        </w:rPr>
        <w:t>1</w:t>
      </w:r>
      <w:r>
        <w:rPr/>
        <w:t>）确认递延所得税资产的依据 </w:t>
      </w:r>
      <w:r>
        <w:rPr>
          <w:spacing w:val="-2"/>
        </w:rPr>
        <w:t>根据资产、负债的账面价值与其计税基础之间的差额（未作为资产和负债确认的项目按照税法规定可以确定其计税基础</w:t>
      </w:r>
    </w:p>
    <w:p>
      <w:pPr>
        <w:pStyle w:val="BodyText"/>
        <w:spacing w:line="316" w:lineRule="auto" w:before="76"/>
        <w:ind w:right="106"/>
        <w:jc w:val="left"/>
      </w:pPr>
      <w:r>
        <w:rPr>
          <w:spacing w:val="-2"/>
        </w:rPr>
        <w:t>的，该计税基础与其账面数之间的差额），按照预期收回该资产或清偿该负债期间的适用税率计算确认递延所得税资产或递</w:t>
      </w:r>
      <w:r>
        <w:rPr>
          <w:spacing w:val="-66"/>
        </w:rPr>
        <w:t> </w:t>
      </w:r>
      <w:r>
        <w:rPr>
          <w:spacing w:val="-66"/>
        </w:rPr>
      </w:r>
      <w:r>
        <w:rPr/>
        <w:t>延所得税负债。</w:t>
      </w:r>
    </w:p>
    <w:p>
      <w:pPr>
        <w:pStyle w:val="BodyText"/>
        <w:spacing w:line="468" w:lineRule="exact" w:before="10"/>
        <w:ind w:left="513" w:right="106"/>
        <w:jc w:val="left"/>
      </w:pPr>
      <w:r>
        <w:rPr/>
        <w:t>（</w:t>
      </w:r>
      <w:r>
        <w:rPr>
          <w:rFonts w:ascii="宋体" w:hAnsi="宋体" w:cs="宋体" w:eastAsia="宋体" w:hint="default"/>
        </w:rPr>
        <w:t>2</w:t>
      </w:r>
      <w:r>
        <w:rPr/>
        <w:t>）确认递延所得税负债的依据 </w:t>
      </w:r>
      <w:r>
        <w:rPr>
          <w:spacing w:val="-2"/>
        </w:rPr>
        <w:t>根据资产、负债的账面价值与其计税基础之间的差额（未作为资产和负债确认的项目按照税法规定可以确定其计税基础</w:t>
      </w:r>
    </w:p>
    <w:p>
      <w:pPr>
        <w:pStyle w:val="BodyText"/>
        <w:spacing w:line="316" w:lineRule="auto" w:before="8"/>
        <w:ind w:right="106"/>
        <w:jc w:val="left"/>
      </w:pPr>
      <w:r>
        <w:rPr>
          <w:spacing w:val="-2"/>
        </w:rPr>
        <w:t>的，该计税基础与其账面数之间的差额），按照预期收回该资产或清偿该负债期间的适用税率计算确认递延所得税资产或递</w:t>
      </w:r>
      <w:r>
        <w:rPr>
          <w:spacing w:val="-66"/>
        </w:rPr>
        <w:t> </w:t>
      </w:r>
      <w:r>
        <w:rPr>
          <w:spacing w:val="-66"/>
        </w:rPr>
      </w:r>
      <w:r>
        <w:rPr/>
        <w:t>延所得税负债。</w:t>
      </w:r>
    </w:p>
    <w:p>
      <w:pPr>
        <w:spacing w:line="240" w:lineRule="auto" w:before="10"/>
        <w:rPr>
          <w:rFonts w:ascii="宋体" w:hAnsi="宋体" w:cs="宋体" w:eastAsia="宋体" w:hint="default"/>
          <w:sz w:val="22"/>
          <w:szCs w:val="22"/>
        </w:rPr>
      </w:pPr>
    </w:p>
    <w:p>
      <w:pPr>
        <w:pStyle w:val="Heading3"/>
        <w:spacing w:line="240" w:lineRule="auto"/>
        <w:ind w:right="106"/>
        <w:jc w:val="left"/>
        <w:rPr>
          <w:b w:val="0"/>
          <w:bCs w:val="0"/>
        </w:rPr>
      </w:pPr>
      <w:r>
        <w:rPr>
          <w:rFonts w:ascii="Times New Roman" w:hAnsi="Times New Roman" w:cs="Times New Roman" w:eastAsia="Times New Roman" w:hint="default"/>
        </w:rPr>
        <w:t>28</w:t>
      </w:r>
      <w:r>
        <w:rPr/>
        <w:t>、租赁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6"/>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201"/>
        <w:jc w:val="left"/>
      </w:pPr>
      <w:r>
        <w:rPr/>
        <w:t>对于经营租赁的租金，出租人、承租人在租赁期内各个期间按照直线法确认为当期损益。</w:t>
      </w:r>
      <w:r>
        <w:rPr>
          <w:spacing w:val="-17"/>
        </w:rPr>
        <w:t> </w:t>
      </w:r>
      <w:r>
        <w:rPr/>
        <w:t>出租人、承租人发生的初始直接</w:t>
      </w:r>
      <w:r>
        <w:rPr/>
        <w:t> 费用，计入当期损益。或有租金在实际发生时计入当期损益。</w:t>
      </w:r>
    </w:p>
    <w:p>
      <w:pPr>
        <w:spacing w:line="240" w:lineRule="auto" w:before="10"/>
        <w:rPr>
          <w:rFonts w:ascii="宋体" w:hAnsi="宋体" w:cs="宋体" w:eastAsia="宋体" w:hint="default"/>
          <w:sz w:val="22"/>
          <w:szCs w:val="22"/>
        </w:rPr>
      </w:pPr>
    </w:p>
    <w:p>
      <w:pPr>
        <w:pStyle w:val="Heading3"/>
        <w:spacing w:line="240" w:lineRule="auto"/>
        <w:ind w:right="106"/>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pStyle w:val="BodyText"/>
        <w:spacing w:line="470" w:lineRule="atLeast" w:before="110"/>
        <w:ind w:left="513" w:right="106"/>
        <w:jc w:val="left"/>
      </w:pPr>
      <w:r>
        <w:rPr/>
        <w:t>①</w:t>
      </w:r>
      <w:r>
        <w:rPr>
          <w:spacing w:val="1"/>
        </w:rPr>
        <w:t> </w:t>
      </w:r>
      <w:r>
        <w:rPr/>
        <w:t>承租人的会计处理</w:t>
      </w:r>
      <w:r>
        <w:rPr/>
        <w:t> </w:t>
      </w:r>
      <w:r>
        <w:rPr>
          <w:spacing w:val="-2"/>
        </w:rPr>
        <w:t>在租赁期开始日，将租赁开始日租赁资产公允价值与最低租赁付款额现值两者中较低者作为租入资产的入账价值，将最</w:t>
      </w:r>
    </w:p>
    <w:p>
      <w:pPr>
        <w:pStyle w:val="BodyText"/>
        <w:spacing w:line="316" w:lineRule="auto" w:before="77"/>
        <w:ind w:right="106"/>
        <w:jc w:val="left"/>
      </w:pPr>
      <w:r>
        <w:rPr>
          <w:spacing w:val="-2"/>
        </w:rPr>
        <w:t>低租赁付款额作为长期应付款的入账价值，其差额作为未确认融资费用．在租赁谈判和签订租赁合同过程中发生的，可归属</w:t>
      </w:r>
      <w:r>
        <w:rPr>
          <w:spacing w:val="-63"/>
        </w:rPr>
        <w:t> </w:t>
      </w:r>
      <w:r>
        <w:rPr>
          <w:spacing w:val="-63"/>
        </w:rPr>
      </w:r>
      <w:r>
        <w:rPr>
          <w:spacing w:val="-2"/>
        </w:rPr>
        <w:t>于租赁项目的手续费等初始直接费用（下同），计入租入资产价值．未确认融资费用在租赁期内按照实际利率法计算确认当</w:t>
      </w:r>
    </w:p>
    <w:p>
      <w:pPr>
        <w:spacing w:after="0" w:line="316"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16" w:lineRule="auto" w:before="44"/>
        <w:ind w:right="150"/>
        <w:jc w:val="both"/>
      </w:pPr>
      <w:r>
        <w:rPr>
          <w:spacing w:val="-2"/>
        </w:rPr>
        <w:t>期的融资费用。或有租金在实际发生时计入当期损益。本公司采用与自有固定资产相一致的折旧政策计提租赁资产折旧。能</w:t>
      </w:r>
      <w:r>
        <w:rPr>
          <w:spacing w:val="-63"/>
        </w:rPr>
        <w:t> </w:t>
      </w:r>
      <w:r>
        <w:rPr>
          <w:spacing w:val="-63"/>
        </w:rPr>
      </w:r>
      <w:r>
        <w:rPr>
          <w:spacing w:val="-2"/>
        </w:rPr>
        <w:t>够合理确定租赁期届满时取得租赁资产所有权的，在租赁资产使用寿命内计提折旧。无法合理确定租赁期届满时能够取得租</w:t>
      </w:r>
      <w:r>
        <w:rPr>
          <w:spacing w:val="-64"/>
        </w:rPr>
        <w:t> </w:t>
      </w:r>
      <w:r>
        <w:rPr>
          <w:spacing w:val="-64"/>
        </w:rPr>
      </w:r>
      <w:r>
        <w:rPr/>
        <w:t>赁资产所有权的，在租赁期与租赁资产使用寿命两者中较短的期间内计提折旧。</w:t>
      </w:r>
    </w:p>
    <w:p>
      <w:pPr>
        <w:pStyle w:val="BodyText"/>
        <w:spacing w:line="468" w:lineRule="exact" w:before="10"/>
        <w:ind w:left="513" w:right="0"/>
        <w:jc w:val="left"/>
      </w:pPr>
      <w:r>
        <w:rPr/>
        <w:t>②</w:t>
      </w:r>
      <w:r>
        <w:rPr>
          <w:spacing w:val="1"/>
        </w:rPr>
        <w:t> </w:t>
      </w:r>
      <w:r>
        <w:rPr/>
        <w:t>出租人的会计处理</w:t>
      </w:r>
      <w:r>
        <w:rPr/>
        <w:t> </w:t>
      </w:r>
      <w:r>
        <w:rPr>
          <w:spacing w:val="-2"/>
        </w:rPr>
        <w:t>在租赁期开始日，出租人将租赁开始日最低租赁收款额与初始直接费用之和作为应收融资租赁款的入账价值，同时记录</w:t>
      </w:r>
    </w:p>
    <w:p>
      <w:pPr>
        <w:pStyle w:val="BodyText"/>
        <w:spacing w:line="316" w:lineRule="auto" w:before="8"/>
        <w:ind w:right="150"/>
        <w:jc w:val="both"/>
      </w:pPr>
      <w:r>
        <w:rPr>
          <w:spacing w:val="-2"/>
        </w:rPr>
        <w:t>未担保余值；将最低租赁收款额、初始直接费用及未担保余值之和与其现值之和的差额确认为未实现融资收益．未实现融资</w:t>
      </w:r>
      <w:r>
        <w:rPr>
          <w:spacing w:val="-63"/>
        </w:rPr>
        <w:t> </w:t>
      </w:r>
      <w:r>
        <w:rPr>
          <w:spacing w:val="-63"/>
        </w:rPr>
      </w:r>
      <w:r>
        <w:rPr/>
        <w:t>收益在租赁期内按照实际利率法计算确认当期的融资收入。或有租金在实际发生时计入当期损益。</w:t>
      </w:r>
    </w:p>
    <w:p>
      <w:pPr>
        <w:spacing w:line="240" w:lineRule="auto" w:before="11"/>
        <w:rPr>
          <w:rFonts w:ascii="宋体" w:hAnsi="宋体" w:cs="宋体" w:eastAsia="宋体" w:hint="default"/>
          <w:sz w:val="20"/>
          <w:szCs w:val="20"/>
        </w:rPr>
      </w:pPr>
    </w:p>
    <w:p>
      <w:pPr>
        <w:pStyle w:val="Heading2"/>
        <w:spacing w:line="240" w:lineRule="auto"/>
        <w:ind w:right="0"/>
        <w:jc w:val="both"/>
        <w:rPr>
          <w:b w:val="0"/>
          <w:bCs w:val="0"/>
        </w:rPr>
      </w:pPr>
      <w:r>
        <w:rPr/>
        <w:t>六、税项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按应税销售额计缴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按应税销售额计缴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按应缴流转税额计缴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按应纳税所得额计缴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按应缴流转税额计缴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按应缴流转税额计缴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49"/>
        <w:ind w:right="1134"/>
        <w:jc w:val="left"/>
      </w:pPr>
      <w:r>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北京光环新网科技股份有限公司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光环云谷科技有限公司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光环新网（上海）信息服务有限公司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北京光环金网科技有限公司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西安博凯创达数字科技有限公司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北京瑞科新网科技有限公司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北京科信盛彩置业有限公司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3"/>
        <w:spacing w:line="240" w:lineRule="auto" w:before="36"/>
        <w:ind w:right="1134"/>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51" w:firstLine="360"/>
        <w:jc w:val="both"/>
      </w:pPr>
      <w:r>
        <w:rPr>
          <w:spacing w:val="-2"/>
        </w:rPr>
        <w:t>本公司于</w:t>
      </w:r>
      <w:r>
        <w:rPr>
          <w:rFonts w:ascii="宋体" w:hAnsi="宋体" w:cs="宋体" w:eastAsia="宋体" w:hint="default"/>
          <w:spacing w:val="-2"/>
        </w:rPr>
        <w:t>2014</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30</w:t>
      </w:r>
      <w:r>
        <w:rPr>
          <w:spacing w:val="-2"/>
        </w:rPr>
        <w:t>日经北京市科学技术委员会批准取得编号为</w:t>
      </w:r>
      <w:r>
        <w:rPr>
          <w:rFonts w:ascii="宋体" w:hAnsi="宋体" w:cs="宋体" w:eastAsia="宋体" w:hint="default"/>
          <w:spacing w:val="-2"/>
        </w:rPr>
        <w:t>GR201411000556</w:t>
      </w:r>
      <w:r>
        <w:rPr>
          <w:spacing w:val="-2"/>
        </w:rPr>
        <w:t>号的高新技术企业证书，根据《国家</w:t>
      </w:r>
      <w:r>
        <w:rPr/>
        <w:t> </w:t>
      </w:r>
      <w:r>
        <w:rPr>
          <w:spacing w:val="-2"/>
        </w:rPr>
        <w:t>税务总局关于企业所得税减免税管理问题的通知》（国税发</w:t>
      </w:r>
      <w:r>
        <w:rPr>
          <w:rFonts w:ascii="宋体" w:hAnsi="宋体" w:cs="宋体" w:eastAsia="宋体" w:hint="default"/>
          <w:spacing w:val="-2"/>
        </w:rPr>
        <w:t>[2008]111</w:t>
      </w:r>
      <w:r>
        <w:rPr>
          <w:spacing w:val="-2"/>
        </w:rPr>
        <w:t>号）文件的相关规定，公司自</w:t>
      </w:r>
      <w:r>
        <w:rPr>
          <w:rFonts w:ascii="宋体" w:hAnsi="宋体" w:cs="宋体" w:eastAsia="宋体" w:hint="default"/>
          <w:spacing w:val="-2"/>
        </w:rPr>
        <w:t>2014</w:t>
      </w:r>
      <w:r>
        <w:rPr>
          <w:spacing w:val="-2"/>
        </w:rPr>
        <w:t>年开始按</w:t>
      </w:r>
      <w:r>
        <w:rPr>
          <w:rFonts w:ascii="宋体" w:hAnsi="宋体" w:cs="宋体" w:eastAsia="宋体" w:hint="default"/>
          <w:spacing w:val="-2"/>
        </w:rPr>
        <w:t>15%</w:t>
      </w:r>
      <w:r>
        <w:rPr>
          <w:spacing w:val="-2"/>
        </w:rPr>
        <w:t>征收企</w:t>
      </w:r>
      <w:r>
        <w:rPr>
          <w:spacing w:val="-54"/>
        </w:rPr>
        <w:t> </w:t>
      </w:r>
      <w:r>
        <w:rPr>
          <w:spacing w:val="-54"/>
        </w:rPr>
      </w:r>
      <w:r>
        <w:rPr/>
        <w:t>业所得税，有效期三年。</w:t>
      </w:r>
    </w:p>
    <w:p>
      <w:pPr>
        <w:spacing w:line="240" w:lineRule="auto" w:before="5"/>
        <w:rPr>
          <w:rFonts w:ascii="宋体" w:hAnsi="宋体" w:cs="宋体" w:eastAsia="宋体" w:hint="default"/>
          <w:sz w:val="13"/>
          <w:szCs w:val="13"/>
        </w:rPr>
      </w:pPr>
    </w:p>
    <w:p>
      <w:pPr>
        <w:pStyle w:val="BodyText"/>
        <w:spacing w:line="319" w:lineRule="auto"/>
        <w:ind w:right="153" w:firstLine="360"/>
        <w:jc w:val="both"/>
      </w:pPr>
      <w:r>
        <w:rPr/>
        <w:t>本公司子公司光环云谷科技有限公司于</w:t>
      </w: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19</w:t>
      </w:r>
      <w:r>
        <w:rPr/>
        <w:t>日河北省科学技术厅批准取得编号为</w:t>
      </w:r>
      <w:r>
        <w:rPr>
          <w:rFonts w:ascii="宋体" w:hAnsi="宋体" w:cs="宋体" w:eastAsia="宋体" w:hint="default"/>
        </w:rPr>
        <w:t>GR201413000164</w:t>
      </w:r>
      <w:r>
        <w:rPr/>
        <w:t>号的高新技术 企业证书，根据《国家税务总局关于企业所得税减免税管理问题的通知》（国税发</w:t>
      </w:r>
      <w:r>
        <w:rPr>
          <w:rFonts w:ascii="宋体" w:hAnsi="宋体" w:cs="宋体" w:eastAsia="宋体" w:hint="default"/>
        </w:rPr>
        <w:t>[2008]111</w:t>
      </w:r>
      <w:r>
        <w:rPr/>
        <w:t>号）文件的相关规定，光环云 谷科技有限公司自</w:t>
      </w:r>
      <w:r>
        <w:rPr>
          <w:rFonts w:ascii="宋体" w:hAnsi="宋体" w:cs="宋体" w:eastAsia="宋体" w:hint="default"/>
        </w:rPr>
        <w:t>2014</w:t>
      </w:r>
      <w:r>
        <w:rPr/>
        <w:t>年开始按</w:t>
      </w:r>
      <w:r>
        <w:rPr>
          <w:rFonts w:ascii="宋体" w:hAnsi="宋体" w:cs="宋体" w:eastAsia="宋体" w:hint="default"/>
        </w:rPr>
        <w:t>15%</w:t>
      </w:r>
      <w:r>
        <w:rPr/>
        <w:t>征收企业所得税，有效期三年。</w:t>
      </w:r>
    </w:p>
    <w:p>
      <w:pPr>
        <w:spacing w:after="0" w:line="319" w:lineRule="auto"/>
        <w:jc w:val="both"/>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134"/>
        <w:jc w:val="left"/>
        <w:rPr>
          <w:b w:val="0"/>
          <w:bCs w:val="0"/>
        </w:rPr>
      </w:pPr>
      <w:r>
        <w:rPr>
          <w:rFonts w:ascii="Times New Roman" w:hAnsi="Times New Roman" w:cs="Times New Roman" w:eastAsia="Times New Roman" w:hint="default"/>
        </w:rPr>
        <w:t>3</w:t>
      </w:r>
      <w:r>
        <w:rPr/>
        <w:t>、其他</w:t>
      </w:r>
      <w:r>
        <w:rPr>
          <w:b w:val="0"/>
          <w:bCs w:val="0"/>
        </w:rPr>
      </w:r>
    </w:p>
    <w:p>
      <w:pPr>
        <w:pStyle w:val="BodyText"/>
        <w:spacing w:line="470" w:lineRule="atLeast" w:before="110"/>
        <w:ind w:left="513" w:right="0"/>
        <w:jc w:val="left"/>
      </w:pPr>
      <w:r>
        <w:rPr/>
        <w:t>本公司之子公司北京瑞科新网科技有限公司的技术推广服务收入为增值税应税收入，增值税率为</w:t>
      </w:r>
      <w:r>
        <w:rPr>
          <w:rFonts w:ascii="宋体" w:hAnsi="宋体" w:cs="宋体" w:eastAsia="宋体" w:hint="default"/>
        </w:rPr>
        <w:t>3%</w:t>
      </w:r>
      <w:r>
        <w:rPr/>
        <w:t>。</w:t>
      </w:r>
      <w:r>
        <w:rPr>
          <w:spacing w:val="-87"/>
        </w:rPr>
        <w:t> </w:t>
      </w:r>
      <w:r>
        <w:rPr>
          <w:spacing w:val="-2"/>
        </w:rPr>
        <w:t>本公司及子公司光环云谷科技有限公司主要业务自</w:t>
      </w:r>
      <w:r>
        <w:rPr>
          <w:rFonts w:ascii="宋体" w:hAnsi="宋体" w:cs="宋体" w:eastAsia="宋体" w:hint="default"/>
          <w:spacing w:val="-2"/>
        </w:rPr>
        <w:t>2014</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w:t>
      </w:r>
      <w:r>
        <w:rPr>
          <w:spacing w:val="-2"/>
        </w:rPr>
        <w:t>日起按增值电信服务类别纳入电信业营改增，增值税税率</w:t>
      </w:r>
    </w:p>
    <w:p>
      <w:pPr>
        <w:pStyle w:val="BodyText"/>
        <w:spacing w:line="240" w:lineRule="auto" w:before="76"/>
        <w:ind w:right="1134"/>
        <w:jc w:val="left"/>
      </w:pPr>
      <w:r>
        <w:rPr/>
        <w:t>为</w:t>
      </w:r>
      <w:r>
        <w:rPr>
          <w:rFonts w:ascii="宋体" w:hAnsi="宋体" w:cs="宋体" w:eastAsia="宋体" w:hint="default"/>
        </w:rPr>
        <w:t>6%</w:t>
      </w:r>
      <w:r>
        <w:rPr/>
        <w:t>。</w:t>
      </w:r>
    </w:p>
    <w:p>
      <w:pPr>
        <w:spacing w:line="240" w:lineRule="auto" w:before="3"/>
        <w:rPr>
          <w:rFonts w:ascii="宋体" w:hAnsi="宋体" w:cs="宋体" w:eastAsia="宋体" w:hint="default"/>
          <w:sz w:val="25"/>
          <w:szCs w:val="25"/>
        </w:rPr>
      </w:pPr>
    </w:p>
    <w:p>
      <w:pPr>
        <w:pStyle w:val="Heading2"/>
        <w:spacing w:line="240" w:lineRule="auto"/>
        <w:ind w:right="1134"/>
        <w:jc w:val="left"/>
        <w:rPr>
          <w:b w:val="0"/>
          <w:bCs w:val="0"/>
        </w:rPr>
      </w:pP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4"/>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81,843.11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44,653.98</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184,751,905.42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238,933,162.21</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184,833,748.53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238,977,816.19</w:t>
            </w:r>
          </w:p>
        </w:tc>
      </w:tr>
    </w:tbl>
    <w:p>
      <w:pPr>
        <w:pStyle w:val="BodyText"/>
        <w:spacing w:line="240" w:lineRule="auto" w:before="49"/>
        <w:ind w:right="1134"/>
        <w:jc w:val="left"/>
      </w:pPr>
      <w:r>
        <w:rPr/>
        <w:t>其他说明</w:t>
      </w:r>
    </w:p>
    <w:p>
      <w:pPr>
        <w:spacing w:line="240" w:lineRule="auto" w:before="12"/>
        <w:rPr>
          <w:rFonts w:ascii="宋体" w:hAnsi="宋体" w:cs="宋体" w:eastAsia="宋体" w:hint="default"/>
          <w:sz w:val="17"/>
          <w:szCs w:val="17"/>
        </w:rPr>
      </w:pPr>
    </w:p>
    <w:p>
      <w:pPr>
        <w:pStyle w:val="BodyText"/>
        <w:spacing w:line="240" w:lineRule="auto"/>
        <w:ind w:left="513" w:right="1134"/>
        <w:jc w:val="left"/>
      </w:pPr>
      <w:r>
        <w:rPr/>
        <w:t>（</w:t>
      </w:r>
      <w:r>
        <w:rPr>
          <w:rFonts w:ascii="宋体" w:hAnsi="宋体" w:cs="宋体" w:eastAsia="宋体" w:hint="default"/>
        </w:rPr>
        <w:t>1</w:t>
      </w:r>
      <w:r>
        <w:rPr/>
        <w:t>）期末银行存款余额中募投资金账户余额</w:t>
      </w:r>
      <w:r>
        <w:rPr>
          <w:rFonts w:ascii="宋体" w:hAnsi="宋体" w:cs="宋体" w:eastAsia="宋体" w:hint="default"/>
        </w:rPr>
        <w:t>15,945,157.71</w:t>
      </w:r>
      <w:r>
        <w:rPr/>
        <w:t>元。</w:t>
      </w:r>
    </w:p>
    <w:p>
      <w:pPr>
        <w:spacing w:line="240" w:lineRule="auto" w:before="8"/>
        <w:rPr>
          <w:rFonts w:ascii="宋体" w:hAnsi="宋体" w:cs="宋体" w:eastAsia="宋体" w:hint="default"/>
          <w:sz w:val="17"/>
          <w:szCs w:val="17"/>
        </w:rPr>
      </w:pPr>
    </w:p>
    <w:p>
      <w:pPr>
        <w:pStyle w:val="BodyText"/>
        <w:spacing w:line="240" w:lineRule="auto"/>
        <w:ind w:left="513" w:right="1134"/>
        <w:jc w:val="left"/>
      </w:pPr>
      <w:r>
        <w:rPr/>
        <w:t>（</w:t>
      </w:r>
      <w:r>
        <w:rPr>
          <w:rFonts w:ascii="宋体" w:hAnsi="宋体" w:cs="宋体" w:eastAsia="宋体" w:hint="default"/>
        </w:rPr>
        <w:t>2</w:t>
      </w:r>
      <w:r>
        <w:rPr/>
        <w:t>）截止</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日，公司用做银行贷款质押的货币资金</w:t>
      </w:r>
      <w:r>
        <w:rPr>
          <w:rFonts w:ascii="宋体" w:hAnsi="宋体" w:cs="宋体" w:eastAsia="宋体" w:hint="default"/>
        </w:rPr>
        <w:t>6,426,095.00</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6"/>
          <w:szCs w:val="26"/>
        </w:rPr>
      </w:pPr>
    </w:p>
    <w:p>
      <w:pPr>
        <w:pStyle w:val="Heading3"/>
        <w:spacing w:line="240" w:lineRule="auto"/>
        <w:ind w:right="1134"/>
        <w:jc w:val="left"/>
        <w:rPr>
          <w:b w:val="0"/>
          <w:bCs w:val="0"/>
        </w:rPr>
      </w:pPr>
      <w:r>
        <w:rPr>
          <w:rFonts w:ascii="Times New Roman" w:hAnsi="Times New Roman" w:cs="Times New Roman" w:eastAsia="Times New Roman" w:hint="default"/>
        </w:rPr>
        <w:t>2</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4"/>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402"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2"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5"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7"/>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7"/>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7"/>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87,265,0</w:t>
            </w:r>
          </w:p>
          <w:p>
            <w:pPr>
              <w:pStyle w:val="TableParagraph"/>
              <w:spacing w:line="240" w:lineRule="auto" w:before="102"/>
              <w:ind w:left="331" w:right="0"/>
              <w:jc w:val="left"/>
              <w:rPr>
                <w:rFonts w:ascii="Times New Roman" w:hAnsi="Times New Roman" w:cs="Times New Roman" w:eastAsia="Times New Roman" w:hint="default"/>
                <w:sz w:val="18"/>
                <w:szCs w:val="18"/>
              </w:rPr>
            </w:pPr>
            <w:r>
              <w:rPr>
                <w:rFonts w:ascii="Times New Roman"/>
                <w:sz w:val="18"/>
              </w:rPr>
              <w:t>45.95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2,859,90</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5.74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3.28%</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84,405,14</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0.21</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45,414,</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298.86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1,465,353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3.23%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43,948,945.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46</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87,265,0</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45.95</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2,859,90</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5.74</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3.28%</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84,405,14</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0.21</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45,414,</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298.86</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1,465,353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.40</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3.23%</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43,948,945.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46</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3"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pStyle w:val="BodyText"/>
        <w:spacing w:line="240" w:lineRule="auto" w:before="49"/>
        <w:ind w:right="-20"/>
        <w:jc w:val="left"/>
      </w:pPr>
      <w:r>
        <w:rPr/>
        <w:t>期末单项金额重大并单项计提坏账准备的应收账款：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3" w:space="4536"/>
            <w:col w:w="1121"/>
          </w:cols>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85,850,453.34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2,575,513.61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3.00%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85,850,453.34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2,575,513.61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951,112.30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95,111.23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274,296.27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82,288.88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161,184.04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80,592.02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6,400.00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87,265,045.95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2,859,905.74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3.28%</w:t>
            </w:r>
          </w:p>
        </w:tc>
      </w:tr>
    </w:tbl>
    <w:p>
      <w:pPr>
        <w:pStyle w:val="BodyText"/>
        <w:spacing w:line="357" w:lineRule="auto" w:before="49"/>
        <w:ind w:right="5454"/>
        <w:jc w:val="left"/>
      </w:pPr>
      <w:r>
        <w:rPr/>
        <w:t>确定该组合依据的说明： 组合中，采用余额百分比法计提坏账准备的应收账款：</w:t>
      </w:r>
    </w:p>
    <w:p>
      <w:pPr>
        <w:pStyle w:val="BodyText"/>
        <w:spacing w:line="338" w:lineRule="auto" w:before="29"/>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spacing w:line="240" w:lineRule="auto" w:before="7"/>
        <w:rPr>
          <w:rFonts w:ascii="宋体" w:hAnsi="宋体" w:cs="宋体" w:eastAsia="宋体" w:hint="default"/>
          <w:sz w:val="21"/>
          <w:szCs w:val="21"/>
        </w:rPr>
      </w:pPr>
    </w:p>
    <w:p>
      <w:pPr>
        <w:pStyle w:val="Heading3"/>
        <w:spacing w:line="240" w:lineRule="auto"/>
        <w:ind w:right="1134"/>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4"/>
        <w:jc w:val="left"/>
      </w:pPr>
      <w:r>
        <w:rPr/>
        <w:t>本期计提坏账准备金额</w:t>
      </w:r>
      <w:r>
        <w:rPr>
          <w:spacing w:val="-46"/>
        </w:rPr>
        <w:t> </w:t>
      </w:r>
      <w:r>
        <w:rPr>
          <w:rFonts w:ascii="Times New Roman" w:hAnsi="Times New Roman" w:cs="Times New Roman" w:eastAsia="Times New Roman" w:hint="default"/>
        </w:rPr>
        <w:t>1,328,341.50</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w:t>
      </w:r>
    </w:p>
    <w:p>
      <w:pPr>
        <w:spacing w:line="240" w:lineRule="auto" w:before="2"/>
        <w:rPr>
          <w:rFonts w:ascii="宋体" w:hAnsi="宋体" w:cs="宋体" w:eastAsia="宋体" w:hint="default"/>
          <w:sz w:val="26"/>
          <w:szCs w:val="26"/>
        </w:rPr>
      </w:pPr>
    </w:p>
    <w:p>
      <w:pPr>
        <w:pStyle w:val="Heading3"/>
        <w:spacing w:line="240" w:lineRule="auto"/>
        <w:ind w:right="1134"/>
        <w:jc w:val="left"/>
        <w:rPr>
          <w:b w:val="0"/>
          <w:bCs w:val="0"/>
        </w:rPr>
      </w:pP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58" w:firstLine="360"/>
        <w:jc w:val="both"/>
      </w:pPr>
      <w:r>
        <w:rPr/>
        <w:t>本公司本期按欠款方归集的期末余额前五名应收账款汇总金额为</w:t>
      </w:r>
      <w:r>
        <w:rPr>
          <w:rFonts w:ascii="宋体" w:hAnsi="宋体" w:cs="宋体" w:eastAsia="宋体" w:hint="default"/>
        </w:rPr>
        <w:t>64,577,273.42</w:t>
      </w:r>
      <w:r>
        <w:rPr/>
        <w:t>元，占应收账款期末余额合计数的比例 为</w:t>
      </w:r>
      <w:r>
        <w:rPr>
          <w:rFonts w:ascii="宋体" w:hAnsi="宋体" w:cs="宋体" w:eastAsia="宋体" w:hint="default"/>
        </w:rPr>
        <w:t>74.00%</w:t>
      </w:r>
      <w:r>
        <w:rPr/>
        <w:t>，相应计提的坏账准备期末余额汇总金额为</w:t>
      </w:r>
      <w:r>
        <w:rPr>
          <w:rFonts w:ascii="宋体" w:hAnsi="宋体" w:cs="宋体" w:eastAsia="宋体" w:hint="default"/>
        </w:rPr>
        <w:t>1,937,318.20</w:t>
      </w:r>
      <w:r>
        <w:rPr/>
        <w:t>元。</w:t>
      </w:r>
    </w:p>
    <w:p>
      <w:pPr>
        <w:spacing w:line="240" w:lineRule="auto" w:before="10"/>
        <w:rPr>
          <w:rFonts w:ascii="宋体" w:hAnsi="宋体" w:cs="宋体" w:eastAsia="宋体" w:hint="default"/>
          <w:sz w:val="22"/>
          <w:szCs w:val="22"/>
        </w:rPr>
      </w:pPr>
    </w:p>
    <w:p>
      <w:pPr>
        <w:pStyle w:val="Heading3"/>
        <w:spacing w:line="240" w:lineRule="auto"/>
        <w:ind w:right="1134"/>
        <w:jc w:val="left"/>
        <w:rPr>
          <w:b w:val="0"/>
          <w:bCs w:val="0"/>
        </w:rPr>
      </w:pPr>
      <w:r>
        <w:rPr/>
        <w:t>（</w:t>
      </w:r>
      <w:r>
        <w:rPr>
          <w:rFonts w:ascii="Times New Roman" w:hAnsi="Times New Roman" w:cs="Times New Roman" w:eastAsia="Times New Roman" w:hint="default"/>
        </w:rPr>
        <w:t>4</w:t>
      </w:r>
      <w:r>
        <w:rPr/>
        <w:t>）转移应收账款且继续涉入形成的资产、负债金额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4"/>
        <w:jc w:val="left"/>
      </w:pPr>
      <w:r>
        <w:rPr/>
        <w:t>其他说明：</w:t>
      </w:r>
    </w:p>
    <w:p>
      <w:pPr>
        <w:spacing w:line="240" w:lineRule="auto" w:before="13"/>
        <w:rPr>
          <w:rFonts w:ascii="宋体" w:hAnsi="宋体" w:cs="宋体" w:eastAsia="宋体" w:hint="default"/>
          <w:sz w:val="17"/>
          <w:szCs w:val="17"/>
        </w:rPr>
      </w:pPr>
    </w:p>
    <w:p>
      <w:pPr>
        <w:pStyle w:val="BodyText"/>
        <w:spacing w:line="314" w:lineRule="auto"/>
        <w:ind w:right="156" w:firstLine="360"/>
        <w:jc w:val="both"/>
      </w:pPr>
      <w:r>
        <w:rPr/>
        <w:t>（</w:t>
      </w:r>
      <w:r>
        <w:rPr>
          <w:rFonts w:ascii="宋体" w:hAnsi="宋体" w:cs="宋体" w:eastAsia="宋体" w:hint="default"/>
        </w:rPr>
        <w:t>1</w:t>
      </w:r>
      <w:r>
        <w:rPr/>
        <w:t>）本年收购北京科信盛彩置业有限公司</w:t>
      </w:r>
      <w:r>
        <w:rPr>
          <w:spacing w:val="-1"/>
        </w:rPr>
        <w:t> </w:t>
      </w:r>
      <w:r>
        <w:rPr/>
        <w:t>使应收账款余额增加</w:t>
      </w:r>
      <w:r>
        <w:rPr>
          <w:rFonts w:ascii="宋体" w:hAnsi="宋体" w:cs="宋体" w:eastAsia="宋体" w:hint="default"/>
        </w:rPr>
        <w:t>453,470.64</w:t>
      </w:r>
      <w:r>
        <w:rPr/>
        <w:t>元，全部为</w:t>
      </w:r>
      <w:r>
        <w:rPr>
          <w:rFonts w:ascii="宋体" w:hAnsi="宋体" w:cs="宋体" w:eastAsia="宋体" w:hint="default"/>
        </w:rPr>
        <w:t>1</w:t>
      </w:r>
      <w:r>
        <w:rPr/>
        <w:t>年以内金额，同时转入坏账准 备</w:t>
      </w:r>
      <w:r>
        <w:rPr>
          <w:rFonts w:ascii="宋体" w:hAnsi="宋体" w:cs="宋体" w:eastAsia="宋体" w:hint="default"/>
        </w:rPr>
        <w:t>66,210.84</w:t>
      </w:r>
      <w:r>
        <w:rPr/>
        <w:t>元。</w:t>
      </w:r>
    </w:p>
    <w:p>
      <w:pPr>
        <w:spacing w:line="240" w:lineRule="auto" w:before="7"/>
        <w:rPr>
          <w:rFonts w:ascii="宋体" w:hAnsi="宋体" w:cs="宋体" w:eastAsia="宋体" w:hint="default"/>
          <w:sz w:val="13"/>
          <w:szCs w:val="13"/>
        </w:rPr>
      </w:pPr>
    </w:p>
    <w:p>
      <w:pPr>
        <w:pStyle w:val="BodyText"/>
        <w:spacing w:line="316" w:lineRule="auto"/>
        <w:ind w:right="151" w:firstLine="360"/>
        <w:jc w:val="both"/>
      </w:pPr>
      <w:r>
        <w:rPr/>
        <w:t>（</w:t>
      </w:r>
      <w:r>
        <w:rPr>
          <w:rFonts w:ascii="宋体" w:hAnsi="宋体" w:cs="宋体" w:eastAsia="宋体" w:hint="default"/>
        </w:rPr>
        <w:t>2</w:t>
      </w:r>
      <w:r>
        <w:rPr/>
        <w:t>）应收账款质押情况：公司以贷款余额为限额的应收账款作为质押，与花旗银行（中国）有限公司北京分行于</w:t>
      </w:r>
      <w:r>
        <w:rPr>
          <w:rFonts w:ascii="宋体" w:hAnsi="宋体" w:cs="宋体" w:eastAsia="宋体" w:hint="default"/>
        </w:rPr>
        <w:t>2015 </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6</w:t>
      </w:r>
      <w:r>
        <w:rPr>
          <w:spacing w:val="-2"/>
        </w:rPr>
        <w:t>日签订非承诺性短期循环融资协议，截止</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日，花旗银行贷款余额为</w:t>
      </w:r>
      <w:r>
        <w:rPr>
          <w:rFonts w:ascii="宋体" w:hAnsi="宋体" w:cs="宋体" w:eastAsia="宋体" w:hint="default"/>
          <w:spacing w:val="-2"/>
        </w:rPr>
        <w:t>30,999,908.40</w:t>
      </w:r>
      <w:r>
        <w:rPr>
          <w:spacing w:val="-2"/>
        </w:rPr>
        <w:t>元，</w:t>
      </w:r>
      <w:r>
        <w:rPr/>
        <w:t> </w:t>
      </w:r>
      <w:r>
        <w:rPr>
          <w:spacing w:val="-1"/>
        </w:rPr>
        <w:t>公司以相应应收</w:t>
      </w:r>
      <w:r>
        <w:rPr>
          <w:spacing w:val="-62"/>
        </w:rPr>
        <w:t> </w:t>
      </w:r>
      <w:r>
        <w:rPr>
          <w:spacing w:val="-62"/>
        </w:rPr>
      </w:r>
      <w:r>
        <w:rPr/>
        <w:t>账款作为质押。</w:t>
      </w:r>
    </w:p>
    <w:p>
      <w:pPr>
        <w:spacing w:line="240" w:lineRule="auto" w:before="10"/>
        <w:rPr>
          <w:rFonts w:ascii="宋体" w:hAnsi="宋体" w:cs="宋体" w:eastAsia="宋体" w:hint="default"/>
          <w:sz w:val="22"/>
          <w:szCs w:val="22"/>
        </w:rPr>
      </w:pPr>
    </w:p>
    <w:p>
      <w:pPr>
        <w:pStyle w:val="Heading3"/>
        <w:spacing w:line="240" w:lineRule="auto"/>
        <w:ind w:right="1134"/>
        <w:jc w:val="left"/>
        <w:rPr>
          <w:b w:val="0"/>
          <w:bCs w:val="0"/>
        </w:rPr>
      </w:pPr>
      <w:r>
        <w:rPr>
          <w:rFonts w:ascii="Times New Roman" w:hAnsi="Times New Roman" w:cs="Times New Roman" w:eastAsia="Times New Roman" w:hint="default"/>
        </w:rPr>
        <w:t>3</w:t>
      </w:r>
      <w:r>
        <w:rPr/>
        <w:t>、预付款项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4"/>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after="0" w:line="240" w:lineRule="auto"/>
        <w:jc w:val="righ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01"/>
        <w:gridCol w:w="1928"/>
        <w:gridCol w:w="1913"/>
        <w:gridCol w:w="1915"/>
        <w:gridCol w:w="1916"/>
      </w:tblGrid>
      <w:tr>
        <w:trPr>
          <w:trHeight w:val="207"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9,153,521.88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99.74%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2,564,139.47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8" w:right="0"/>
              <w:jc w:val="lef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3,400.00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0.04%</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0.22%</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9,176,921.88</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2,564,139.47</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4"/>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3"/>
        <w:rPr>
          <w:rFonts w:ascii="宋体" w:hAnsi="宋体" w:cs="宋体" w:eastAsia="宋体" w:hint="default"/>
          <w:sz w:val="25"/>
          <w:szCs w:val="25"/>
        </w:rPr>
      </w:pPr>
    </w:p>
    <w:p>
      <w:pPr>
        <w:pStyle w:val="Heading3"/>
        <w:spacing w:line="240" w:lineRule="auto"/>
        <w:ind w:right="1134"/>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13" w:right="153"/>
        <w:jc w:val="left"/>
      </w:pPr>
      <w:r>
        <w:rPr/>
        <w:t>本公司按预付对象归集的期末余额前五名预付账款汇总金额为</w:t>
      </w:r>
      <w:r>
        <w:rPr>
          <w:rFonts w:ascii="宋体" w:hAnsi="宋体" w:cs="宋体" w:eastAsia="宋体" w:hint="default"/>
        </w:rPr>
        <w:t>7,087,379.69</w:t>
      </w:r>
      <w:r>
        <w:rPr/>
        <w:t>元，占预付账款期末余额合计数的比例为</w:t>
      </w:r>
    </w:p>
    <w:p>
      <w:pPr>
        <w:pStyle w:val="BodyText"/>
        <w:spacing w:line="240" w:lineRule="auto" w:before="76"/>
        <w:ind w:right="1134"/>
        <w:jc w:val="left"/>
      </w:pPr>
      <w:r>
        <w:rPr>
          <w:rFonts w:ascii="宋体" w:hAnsi="宋体" w:cs="宋体" w:eastAsia="宋体" w:hint="default"/>
        </w:rPr>
        <w:t>77.23</w:t>
      </w:r>
      <w:r>
        <w:rPr>
          <w:rFonts w:ascii="宋体" w:hAnsi="宋体" w:cs="宋体" w:eastAsia="宋体" w:hint="default"/>
          <w:spacing w:val="2"/>
        </w:rPr>
        <w:t> </w:t>
      </w:r>
      <w:r>
        <w:rPr>
          <w:rFonts w:ascii="宋体" w:hAnsi="宋体" w:cs="宋体" w:eastAsia="宋体" w:hint="default"/>
        </w:rPr>
        <w:t>%</w:t>
      </w:r>
      <w:r>
        <w:rPr/>
        <w:t>。</w:t>
      </w:r>
    </w:p>
    <w:p>
      <w:pPr>
        <w:spacing w:line="240" w:lineRule="auto" w:before="10"/>
        <w:rPr>
          <w:rFonts w:ascii="宋体" w:hAnsi="宋体" w:cs="宋体" w:eastAsia="宋体" w:hint="default"/>
          <w:sz w:val="17"/>
          <w:szCs w:val="17"/>
        </w:rPr>
      </w:pPr>
    </w:p>
    <w:p>
      <w:pPr>
        <w:pStyle w:val="BodyText"/>
        <w:spacing w:line="240" w:lineRule="auto"/>
        <w:ind w:left="513" w:right="1134"/>
        <w:jc w:val="left"/>
      </w:pPr>
      <w:r>
        <w:rPr/>
        <w:t>其他说明：</w:t>
      </w:r>
    </w:p>
    <w:p>
      <w:pPr>
        <w:spacing w:line="240" w:lineRule="auto" w:before="10"/>
        <w:rPr>
          <w:rFonts w:ascii="宋体" w:hAnsi="宋体" w:cs="宋体" w:eastAsia="宋体" w:hint="default"/>
          <w:sz w:val="17"/>
          <w:szCs w:val="17"/>
        </w:rPr>
      </w:pPr>
    </w:p>
    <w:p>
      <w:pPr>
        <w:pStyle w:val="BodyText"/>
        <w:spacing w:line="316" w:lineRule="auto"/>
        <w:ind w:right="156" w:firstLine="360"/>
        <w:jc w:val="left"/>
      </w:pPr>
      <w:r>
        <w:rPr/>
        <w:t>本年收购北京科信盛彩置业有限公司</w:t>
      </w:r>
      <w:r>
        <w:rPr>
          <w:spacing w:val="-5"/>
        </w:rPr>
        <w:t> </w:t>
      </w:r>
      <w:r>
        <w:rPr/>
        <w:t>使预付账款本期增加金额</w:t>
      </w:r>
      <w:r>
        <w:rPr>
          <w:rFonts w:ascii="宋体" w:hAnsi="宋体" w:cs="宋体" w:eastAsia="宋体" w:hint="default"/>
        </w:rPr>
        <w:t>4,307,204.01</w:t>
      </w:r>
      <w:r>
        <w:rPr/>
        <w:t>元，其中一年以内金额</w:t>
      </w:r>
      <w:r>
        <w:rPr>
          <w:rFonts w:ascii="宋体" w:hAnsi="宋体" w:cs="宋体" w:eastAsia="宋体" w:hint="default"/>
        </w:rPr>
        <w:t>4,283,804.01</w:t>
      </w:r>
      <w:r>
        <w:rPr/>
        <w:t>元， </w:t>
      </w:r>
      <w:r>
        <w:rPr>
          <w:rFonts w:ascii="宋体" w:hAnsi="宋体" w:cs="宋体" w:eastAsia="宋体" w:hint="default"/>
        </w:rPr>
        <w:t>1-2</w:t>
      </w:r>
      <w:r>
        <w:rPr/>
        <w:t>年金额</w:t>
      </w:r>
      <w:r>
        <w:rPr>
          <w:rFonts w:ascii="宋体" w:hAnsi="宋体" w:cs="宋体" w:eastAsia="宋体" w:hint="default"/>
        </w:rPr>
        <w:t>3,400.00</w:t>
      </w:r>
      <w:r>
        <w:rPr/>
        <w:t>元，</w:t>
      </w:r>
      <w:r>
        <w:rPr>
          <w:rFonts w:ascii="宋体" w:hAnsi="宋体" w:cs="宋体" w:eastAsia="宋体" w:hint="default"/>
        </w:rPr>
        <w:t>2-3</w:t>
      </w:r>
      <w:r>
        <w:rPr/>
        <w:t>年金额</w:t>
      </w:r>
      <w:r>
        <w:rPr>
          <w:rFonts w:ascii="宋体" w:hAnsi="宋体" w:cs="宋体" w:eastAsia="宋体" w:hint="default"/>
        </w:rPr>
        <w:t>20,000.00</w:t>
      </w:r>
      <w:r>
        <w:rPr/>
        <w:t>元。</w:t>
      </w:r>
    </w:p>
    <w:p>
      <w:pPr>
        <w:spacing w:line="240" w:lineRule="auto" w:before="10"/>
        <w:rPr>
          <w:rFonts w:ascii="宋体" w:hAnsi="宋体" w:cs="宋体" w:eastAsia="宋体" w:hint="default"/>
          <w:sz w:val="22"/>
          <w:szCs w:val="22"/>
        </w:rPr>
      </w:pPr>
    </w:p>
    <w:p>
      <w:pPr>
        <w:pStyle w:val="Heading3"/>
        <w:spacing w:line="240" w:lineRule="auto"/>
        <w:ind w:right="1134"/>
        <w:jc w:val="left"/>
        <w:rPr>
          <w:b w:val="0"/>
          <w:bCs w:val="0"/>
        </w:rPr>
      </w:pPr>
      <w:r>
        <w:rPr>
          <w:rFonts w:ascii="Times New Roman" w:hAnsi="Times New Roman" w:cs="Times New Roman" w:eastAsia="Times New Roman" w:hint="default"/>
        </w:rPr>
        <w:t>4</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4"/>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398"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84,164,1</w:t>
            </w:r>
          </w:p>
          <w:p>
            <w:pPr>
              <w:pStyle w:val="TableParagraph"/>
              <w:spacing w:line="240" w:lineRule="auto" w:before="102"/>
              <w:ind w:left="331" w:right="0"/>
              <w:jc w:val="left"/>
              <w:rPr>
                <w:rFonts w:ascii="Times New Roman" w:hAnsi="Times New Roman" w:cs="Times New Roman" w:eastAsia="Times New Roman" w:hint="default"/>
                <w:sz w:val="18"/>
                <w:szCs w:val="18"/>
              </w:rPr>
            </w:pPr>
            <w:r>
              <w:rPr>
                <w:rFonts w:ascii="Times New Roman"/>
                <w:sz w:val="18"/>
              </w:rPr>
              <w:t>51.06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218,706.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0.26%</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83,945,44</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4.14</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3,270,3</w:t>
            </w:r>
          </w:p>
          <w:p>
            <w:pPr>
              <w:pStyle w:val="TableParagraph"/>
              <w:spacing w:line="240" w:lineRule="auto" w:before="102"/>
              <w:ind w:left="197" w:right="0"/>
              <w:jc w:val="center"/>
              <w:rPr>
                <w:rFonts w:ascii="Times New Roman" w:hAnsi="Times New Roman" w:cs="Times New Roman" w:eastAsia="Times New Roman" w:hint="default"/>
                <w:sz w:val="18"/>
                <w:szCs w:val="18"/>
              </w:rPr>
            </w:pPr>
            <w:r>
              <w:rPr>
                <w:rFonts w:ascii="Times New Roman"/>
                <w:sz w:val="18"/>
              </w:rPr>
              <w:t>78.65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229,692.3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7.02%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3,040,686.2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84,164,1</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51.06</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218,706.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92</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0.26%</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83,945,44</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4.14</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3,270,3</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78.65</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229,692.3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7.02%</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3,040,686.2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r>
        <w:trPr>
          <w:trHeight w:val="394"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pStyle w:val="BodyText"/>
        <w:spacing w:line="240" w:lineRule="auto" w:before="49"/>
        <w:ind w:right="-20"/>
        <w:jc w:val="left"/>
      </w:pPr>
      <w:r>
        <w:rPr/>
        <w:t>期末单项金额重大并单项计提坏账准备的其他应收款：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473" w:space="4356"/>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3"/>
        <w:gridCol w:w="2393"/>
      </w:tblGrid>
      <w:tr>
        <w:trPr>
          <w:trHeight w:val="401" w:hRule="exact"/>
        </w:trPr>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2390"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3"/>
        <w:gridCol w:w="2393"/>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2,798,280.75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83,948.42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2,798,280.75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83,948.42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3.00%</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26,590.00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2,659.00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12,750.00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8,000.00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6,400.00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70,949.50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70,949.50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3,069,320.25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218,706.92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7.13%</w:t>
            </w:r>
          </w:p>
        </w:tc>
      </w:tr>
    </w:tbl>
    <w:p>
      <w:pPr>
        <w:pStyle w:val="BodyText"/>
        <w:spacing w:line="357" w:lineRule="auto" w:before="49"/>
        <w:ind w:right="5274"/>
        <w:jc w:val="left"/>
      </w:pPr>
      <w:r>
        <w:rPr/>
        <w:t>确定该组合依据的说明： 组合中，采用余额百分比法计提坏账准备的其他应收款：</w:t>
      </w:r>
    </w:p>
    <w:p>
      <w:pPr>
        <w:pStyle w:val="BodyText"/>
        <w:spacing w:line="340" w:lineRule="auto" w:before="29"/>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39"/>
        <w:ind w:right="1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2"/>
        <w:rPr>
          <w:rFonts w:ascii="宋体" w:hAnsi="宋体" w:cs="宋体" w:eastAsia="宋体" w:hint="default"/>
          <w:sz w:val="16"/>
          <w:szCs w:val="16"/>
        </w:rPr>
      </w:pPr>
    </w:p>
    <w:p>
      <w:pPr>
        <w:pStyle w:val="BodyText"/>
        <w:spacing w:line="314" w:lineRule="auto"/>
        <w:ind w:right="144" w:firstLine="360"/>
        <w:jc w:val="left"/>
      </w:pPr>
      <w:r>
        <w:rPr/>
        <w:t>截止</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日，按照款项性质组合</w:t>
      </w:r>
      <w:r>
        <w:rPr>
          <w:rFonts w:ascii="宋体" w:hAnsi="宋体" w:cs="宋体" w:eastAsia="宋体" w:hint="default"/>
        </w:rPr>
        <w:t>81,094,830.81</w:t>
      </w:r>
      <w:r>
        <w:rPr/>
        <w:t>元，为意向保证金、员工备用金，经过减值测试未发生减值迹 象，不计提坏账准备。</w:t>
      </w:r>
    </w:p>
    <w:p>
      <w:pPr>
        <w:spacing w:line="240" w:lineRule="auto" w:before="12"/>
        <w:rPr>
          <w:rFonts w:ascii="宋体" w:hAnsi="宋体" w:cs="宋体" w:eastAsia="宋体" w:hint="default"/>
          <w:sz w:val="22"/>
          <w:szCs w:val="22"/>
        </w:rPr>
      </w:pPr>
    </w:p>
    <w:p>
      <w:pPr>
        <w:pStyle w:val="Heading3"/>
        <w:spacing w:line="240" w:lineRule="auto"/>
        <w:ind w:right="1134"/>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4"/>
        <w:jc w:val="left"/>
      </w:pPr>
      <w:r>
        <w:rPr/>
        <w:t>本期计提坏账准备金额</w:t>
      </w:r>
      <w:r>
        <w:rPr>
          <w:rFonts w:ascii="Times New Roman" w:hAnsi="Times New Roman" w:cs="Times New Roman" w:eastAsia="Times New Roman" w:hint="default"/>
        </w:rPr>
        <w:t>-10,985.45 </w:t>
      </w:r>
      <w:r>
        <w:rPr/>
        <w:t>元；本期收回或转回坏账准备金额</w:t>
      </w:r>
      <w:r>
        <w:rPr>
          <w:spacing w:val="-46"/>
        </w:rPr>
        <w:t> </w:t>
      </w:r>
      <w:r>
        <w:rPr>
          <w:rFonts w:ascii="Times New Roman" w:hAnsi="Times New Roman" w:cs="Times New Roman" w:eastAsia="Times New Roman" w:hint="default"/>
        </w:rPr>
        <w:t>0.00 </w:t>
      </w:r>
      <w:r>
        <w:rPr/>
        <w:t>元。</w:t>
      </w:r>
    </w:p>
    <w:p>
      <w:pPr>
        <w:spacing w:line="240" w:lineRule="auto" w:before="2"/>
        <w:rPr>
          <w:rFonts w:ascii="宋体" w:hAnsi="宋体" w:cs="宋体" w:eastAsia="宋体" w:hint="default"/>
          <w:sz w:val="26"/>
          <w:szCs w:val="26"/>
        </w:rPr>
      </w:pPr>
    </w:p>
    <w:p>
      <w:pPr>
        <w:pStyle w:val="Heading3"/>
        <w:spacing w:line="240" w:lineRule="auto"/>
        <w:ind w:right="1134"/>
        <w:jc w:val="left"/>
        <w:rPr>
          <w:b w:val="0"/>
          <w:bCs w:val="0"/>
        </w:rPr>
      </w:pP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192,469.60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91,811.00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押金、意向保证金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83,956,271.03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3,123,567.65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15,410.43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84,164,151.06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3,270,378.65</w:t>
            </w:r>
          </w:p>
        </w:tc>
      </w:tr>
    </w:tbl>
    <w:p>
      <w:pPr>
        <w:spacing w:line="240" w:lineRule="auto" w:before="3"/>
        <w:rPr>
          <w:rFonts w:ascii="宋体" w:hAnsi="宋体" w:cs="宋体" w:eastAsia="宋体" w:hint="default"/>
          <w:sz w:val="19"/>
          <w:szCs w:val="19"/>
        </w:rPr>
      </w:pPr>
    </w:p>
    <w:p>
      <w:pPr>
        <w:pStyle w:val="Heading3"/>
        <w:spacing w:line="240" w:lineRule="auto" w:before="36"/>
        <w:ind w:right="1134"/>
        <w:jc w:val="left"/>
        <w:rPr>
          <w:b w:val="0"/>
          <w:bCs w:val="0"/>
        </w:rPr>
      </w:pP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德信无线通讯科技</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意向保证金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66,094,521.38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78.53%</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0"/>
              <w:jc w:val="left"/>
              <w:rPr>
                <w:rFonts w:ascii="宋体" w:hAnsi="宋体" w:cs="宋体" w:eastAsia="宋体" w:hint="default"/>
                <w:sz w:val="18"/>
                <w:szCs w:val="18"/>
              </w:rPr>
            </w:pPr>
            <w:r>
              <w:rPr>
                <w:rFonts w:ascii="宋体" w:hAnsi="宋体" w:cs="宋体" w:eastAsia="宋体" w:hint="default"/>
                <w:spacing w:val="-10"/>
                <w:sz w:val="18"/>
                <w:szCs w:val="18"/>
              </w:rPr>
              <w:t>远东宏信（天津）融</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资租赁有限公司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融资租赁保证金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17.82%</w:t>
            </w:r>
          </w:p>
        </w:tc>
        <w:tc>
          <w:tcPr>
            <w:tcW w:w="159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北京银达物业管理 有限责任公司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房租押金</w:t>
            </w:r>
            <w:r>
              <w:rPr>
                <w:rFonts w:ascii="宋体" w:hAnsi="宋体" w:cs="宋体" w:eastAsia="宋体" w:hint="default"/>
                <w:spacing w:val="-82"/>
                <w:sz w:val="18"/>
                <w:szCs w:val="18"/>
              </w:rPr>
              <w:t>、</w:t>
            </w:r>
            <w:r>
              <w:rPr>
                <w:rFonts w:ascii="宋体" w:hAnsi="宋体" w:cs="宋体" w:eastAsia="宋体" w:hint="default"/>
                <w:sz w:val="18"/>
                <w:szCs w:val="18"/>
              </w:rPr>
              <w:t>物业押金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1,333,488.15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40,004.64</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廊坊三河供电有限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27,000.00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中技国际招标公司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83,528,009.53</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99.24%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73,004.64</w:t>
            </w:r>
          </w:p>
        </w:tc>
      </w:tr>
    </w:tbl>
    <w:p>
      <w:pPr>
        <w:spacing w:line="240" w:lineRule="auto" w:before="3"/>
        <w:rPr>
          <w:rFonts w:ascii="宋体" w:hAnsi="宋体" w:cs="宋体" w:eastAsia="宋体" w:hint="default"/>
          <w:sz w:val="19"/>
          <w:szCs w:val="19"/>
        </w:rPr>
      </w:pPr>
    </w:p>
    <w:p>
      <w:pPr>
        <w:pStyle w:val="Heading3"/>
        <w:spacing w:line="240" w:lineRule="auto" w:before="36"/>
        <w:ind w:right="191"/>
        <w:jc w:val="left"/>
        <w:rPr>
          <w:b w:val="0"/>
          <w:bCs w:val="0"/>
        </w:rPr>
      </w:pPr>
      <w:r>
        <w:rPr/>
        <w:t>（</w:t>
      </w:r>
      <w:r>
        <w:rPr>
          <w:rFonts w:ascii="Times New Roman" w:hAnsi="Times New Roman" w:cs="Times New Roman" w:eastAsia="Times New Roman" w:hint="default"/>
        </w:rPr>
        <w:t>5</w:t>
      </w:r>
      <w:r>
        <w:rPr/>
        <w:t>）转移其他应收款且继续涉入形成的资产、负债金额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91"/>
        <w:jc w:val="left"/>
      </w:pPr>
      <w:r>
        <w:rPr/>
        <w:t>其他说明：</w:t>
      </w:r>
    </w:p>
    <w:p>
      <w:pPr>
        <w:spacing w:line="240" w:lineRule="auto" w:before="11"/>
        <w:rPr>
          <w:rFonts w:ascii="宋体" w:hAnsi="宋体" w:cs="宋体" w:eastAsia="宋体" w:hint="default"/>
          <w:sz w:val="17"/>
          <w:szCs w:val="17"/>
        </w:rPr>
      </w:pPr>
    </w:p>
    <w:p>
      <w:pPr>
        <w:pStyle w:val="BodyText"/>
        <w:spacing w:line="316" w:lineRule="auto"/>
        <w:ind w:right="0" w:firstLine="360"/>
        <w:jc w:val="left"/>
      </w:pPr>
      <w:r>
        <w:rPr>
          <w:spacing w:val="-2"/>
        </w:rPr>
        <w:t>公司意向收购德信无线通讯科技</w:t>
      </w:r>
      <w:r>
        <w:rPr>
          <w:rFonts w:ascii="宋体" w:hAnsi="宋体" w:cs="宋体" w:eastAsia="宋体" w:hint="default"/>
          <w:spacing w:val="-2"/>
        </w:rPr>
        <w:t>(</w:t>
      </w:r>
      <w:r>
        <w:rPr>
          <w:spacing w:val="-2"/>
        </w:rPr>
        <w:t>北京</w:t>
      </w:r>
      <w:r>
        <w:rPr>
          <w:rFonts w:ascii="宋体" w:hAnsi="宋体" w:cs="宋体" w:eastAsia="宋体" w:hint="default"/>
          <w:spacing w:val="-2"/>
        </w:rPr>
        <w:t>)</w:t>
      </w:r>
      <w:r>
        <w:rPr>
          <w:spacing w:val="-2"/>
        </w:rPr>
        <w:t>有限公司全资子公司北京亚逊新网科技有限公司</w:t>
      </w:r>
      <w:r>
        <w:rPr>
          <w:rFonts w:ascii="宋体" w:hAnsi="宋体" w:cs="宋体" w:eastAsia="宋体" w:hint="default"/>
          <w:spacing w:val="-2"/>
        </w:rPr>
        <w:t>100%</w:t>
      </w:r>
      <w:r>
        <w:rPr>
          <w:spacing w:val="-2"/>
        </w:rPr>
        <w:t>股权，为保证交易顺利进行，</w:t>
      </w:r>
      <w:r>
        <w:rPr/>
        <w:t> 支付意向保证金</w:t>
      </w:r>
      <w:r>
        <w:rPr>
          <w:rFonts w:ascii="宋体" w:hAnsi="宋体" w:cs="宋体" w:eastAsia="宋体" w:hint="default"/>
        </w:rPr>
        <w:t>66,094,521.38</w:t>
      </w:r>
      <w:r>
        <w:rPr/>
        <w:t>元，该股权交易事项尚需董事会批准。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191"/>
        <w:jc w:val="left"/>
        <w:rPr>
          <w:b w:val="0"/>
          <w:bCs w:val="0"/>
        </w:rPr>
      </w:pPr>
      <w:r>
        <w:rPr>
          <w:rFonts w:ascii="Times New Roman" w:hAnsi="Times New Roman" w:cs="Times New Roman" w:eastAsia="Times New Roman" w:hint="default"/>
        </w:rPr>
        <w:t>5</w:t>
      </w:r>
      <w:r>
        <w:rPr/>
        <w:t>、存货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91"/>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29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8"/>
        <w:gridCol w:w="1366"/>
        <w:gridCol w:w="1368"/>
        <w:gridCol w:w="1366"/>
        <w:gridCol w:w="1368"/>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1,305,634.38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1,305,634.38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1,146,459.61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1,146,459.61</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1,305,634.38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1,305,634.38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1,146,459.61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1,146,459.61</w:t>
            </w:r>
          </w:p>
        </w:tc>
      </w:tr>
    </w:tbl>
    <w:p>
      <w:pPr>
        <w:spacing w:line="240" w:lineRule="auto" w:before="3"/>
        <w:rPr>
          <w:rFonts w:ascii="宋体" w:hAnsi="宋体" w:cs="宋体" w:eastAsia="宋体" w:hint="default"/>
          <w:sz w:val="19"/>
          <w:szCs w:val="19"/>
        </w:rPr>
      </w:pPr>
    </w:p>
    <w:p>
      <w:pPr>
        <w:pStyle w:val="Heading3"/>
        <w:spacing w:line="240" w:lineRule="auto" w:before="36"/>
        <w:ind w:right="191"/>
        <w:jc w:val="left"/>
        <w:rPr>
          <w:b w:val="0"/>
          <w:bCs w:val="0"/>
        </w:rPr>
      </w:pPr>
      <w:r>
        <w:rPr/>
        <w:t>（</w:t>
      </w:r>
      <w:r>
        <w:rPr>
          <w:rFonts w:ascii="Times New Roman" w:hAnsi="Times New Roman" w:cs="Times New Roman" w:eastAsia="Times New Roman" w:hint="default"/>
        </w:rPr>
        <w:t>2</w:t>
      </w:r>
      <w:r>
        <w:rPr/>
        <w:t>）期末建造合同形成的已完工未结算资产情况</w:t>
      </w:r>
      <w:r>
        <w:rPr>
          <w:b w:val="0"/>
          <w:bCs w:val="0"/>
        </w:rPr>
      </w:r>
    </w:p>
    <w:p>
      <w:pPr>
        <w:spacing w:line="240" w:lineRule="auto" w:before="2"/>
        <w:rPr>
          <w:rFonts w:ascii="宋体" w:hAnsi="宋体" w:cs="宋体" w:eastAsia="宋体" w:hint="default"/>
          <w:b/>
          <w:bCs/>
          <w:sz w:val="26"/>
          <w:szCs w:val="26"/>
        </w:rPr>
      </w:pPr>
    </w:p>
    <w:p>
      <w:pPr>
        <w:pStyle w:val="BodyText"/>
        <w:spacing w:line="480" w:lineRule="auto"/>
        <w:ind w:right="7034"/>
        <w:jc w:val="left"/>
      </w:pPr>
      <w:r>
        <w:rPr/>
        <w:t>其他说明： 本公司期末无用于债务担保的存货。</w:t>
      </w:r>
    </w:p>
    <w:p>
      <w:pPr>
        <w:spacing w:line="240" w:lineRule="auto" w:before="4"/>
        <w:rPr>
          <w:rFonts w:ascii="宋体" w:hAnsi="宋体" w:cs="宋体" w:eastAsia="宋体" w:hint="default"/>
          <w:sz w:val="13"/>
          <w:szCs w:val="13"/>
        </w:rPr>
      </w:pPr>
    </w:p>
    <w:p>
      <w:pPr>
        <w:pStyle w:val="Heading3"/>
        <w:spacing w:line="240" w:lineRule="auto"/>
        <w:ind w:right="191"/>
        <w:jc w:val="left"/>
        <w:rPr>
          <w:b w:val="0"/>
          <w:bCs w:val="0"/>
        </w:rPr>
      </w:pPr>
      <w:r>
        <w:rPr>
          <w:rFonts w:ascii="Times New Roman" w:hAnsi="Times New Roman" w:cs="Times New Roman" w:eastAsia="Times New Roman" w:hint="default"/>
        </w:rPr>
        <w:t>6</w:t>
      </w:r>
      <w:r>
        <w:rPr/>
        <w:t>、其他流动资产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9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8,964,366.80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6,404,802.59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预缴增值税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2,485,069.49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碳排放指标</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795.60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11,450,231.89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6,404,802.59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840"/>
        </w:sectPr>
      </w:pPr>
    </w:p>
    <w:p>
      <w:pPr>
        <w:spacing w:line="240" w:lineRule="auto" w:before="10"/>
        <w:rPr>
          <w:rFonts w:ascii="宋体" w:hAnsi="宋体" w:cs="宋体" w:eastAsia="宋体" w:hint="default"/>
          <w:sz w:val="24"/>
          <w:szCs w:val="24"/>
        </w:rPr>
      </w:pPr>
    </w:p>
    <w:p>
      <w:pPr>
        <w:pStyle w:val="Heading3"/>
        <w:spacing w:line="240" w:lineRule="auto" w:before="36"/>
        <w:ind w:right="1134"/>
        <w:jc w:val="left"/>
        <w:rPr>
          <w:b w:val="0"/>
          <w:bCs w:val="0"/>
        </w:rPr>
      </w:pPr>
      <w:r>
        <w:rPr>
          <w:rFonts w:ascii="Times New Roman" w:hAnsi="Times New Roman" w:cs="Times New Roman" w:eastAsia="Times New Roman" w:hint="default"/>
        </w:rPr>
        <w:t>7</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4"/>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9"/>
        <w:gridCol w:w="1195"/>
        <w:gridCol w:w="1198"/>
        <w:gridCol w:w="1196"/>
        <w:gridCol w:w="1248"/>
        <w:gridCol w:w="1369"/>
        <w:gridCol w:w="1366"/>
      </w:tblGrid>
      <w:tr>
        <w:trPr>
          <w:trHeight w:val="206"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3588"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89"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15,290,000.00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15,290,000.00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15,290,000.00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15,290,000.00</w:t>
            </w:r>
          </w:p>
        </w:tc>
      </w:tr>
      <w:tr>
        <w:trPr>
          <w:trHeight w:val="403"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15,290,000.00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15,290,000.00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15,290,000.00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15,290,000.00</w:t>
            </w:r>
          </w:p>
        </w:tc>
      </w:tr>
      <w:tr>
        <w:trPr>
          <w:trHeight w:val="401"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15,290,000.00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15,290,000.00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15,290,000.00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15,290,000.00</w:t>
            </w:r>
          </w:p>
        </w:tc>
      </w:tr>
    </w:tbl>
    <w:p>
      <w:pPr>
        <w:spacing w:line="240" w:lineRule="auto" w:before="3"/>
        <w:rPr>
          <w:rFonts w:ascii="宋体" w:hAnsi="宋体" w:cs="宋体" w:eastAsia="宋体" w:hint="default"/>
          <w:sz w:val="19"/>
          <w:szCs w:val="19"/>
        </w:rPr>
      </w:pPr>
    </w:p>
    <w:p>
      <w:pPr>
        <w:pStyle w:val="Heading3"/>
        <w:spacing w:line="240" w:lineRule="auto" w:before="36"/>
        <w:ind w:right="1134"/>
        <w:jc w:val="left"/>
        <w:rPr>
          <w:b w:val="0"/>
          <w:bCs w:val="0"/>
        </w:rPr>
      </w:pP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1"/>
        <w:gridCol w:w="869"/>
        <w:gridCol w:w="871"/>
        <w:gridCol w:w="869"/>
        <w:gridCol w:w="871"/>
        <w:gridCol w:w="869"/>
        <w:gridCol w:w="872"/>
        <w:gridCol w:w="869"/>
        <w:gridCol w:w="871"/>
      </w:tblGrid>
      <w:tr>
        <w:trPr>
          <w:trHeight w:val="401" w:hRule="exact"/>
        </w:trPr>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36"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9" w:right="7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4" w:type="dxa"/>
            <w:vMerge/>
            <w:tcBorders>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7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4" w:space="0" w:color="000000"/>
              <w:bottom w:val="single" w:sz="4" w:space="0" w:color="000000"/>
              <w:right w:val="single" w:sz="4" w:space="0" w:color="000000"/>
            </w:tcBorders>
            <w:shd w:val="clear" w:color="auto" w:fill="D2D2D2"/>
          </w:tcPr>
          <w:p>
            <w:pPr/>
          </w:p>
        </w:tc>
        <w:tc>
          <w:tcPr>
            <w:tcW w:w="871" w:type="dxa"/>
            <w:vMerge/>
            <w:tcBorders>
              <w:left w:val="single" w:sz="4" w:space="0" w:color="000000"/>
              <w:bottom w:val="single" w:sz="4" w:space="0" w:color="000000"/>
              <w:right w:val="single" w:sz="4" w:space="0" w:color="000000"/>
            </w:tcBorders>
            <w:shd w:val="clear" w:color="auto" w:fill="D2D2D2"/>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北京亚太 中立信息 技术有限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15,290,000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15,290,000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5.00%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15,290,000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15,290,000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4"/>
        <w:jc w:val="left"/>
        <w:rPr>
          <w:b w:val="0"/>
          <w:bCs w:val="0"/>
        </w:rPr>
      </w:pPr>
      <w:r>
        <w:rPr>
          <w:rFonts w:ascii="Times New Roman" w:hAnsi="Times New Roman" w:cs="Times New Roman" w:eastAsia="Times New Roman" w:hint="default"/>
        </w:rPr>
        <w:t>8</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2"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19" w:lineRule="auto"/>
              <w:ind w:left="302"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19"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北京长城 光环宽带 网络技术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5"/>
                <w:sz w:val="18"/>
              </w:rPr>
              <w:t>811,046.0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811,046.0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811,046.0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北京华爱 光环科技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-116,857.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1,383,142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713"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w w:val="95"/>
                <w:sz w:val="18"/>
              </w:rPr>
              <w:t>811,046.0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-116,857.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2,194,188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811,046.0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w w:val="95"/>
                <w:sz w:val="18"/>
              </w:rPr>
              <w:t>811,046.0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-116,857.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2,194,188</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811,046.0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r>
    </w:tbl>
    <w:p>
      <w:pPr>
        <w:pStyle w:val="BodyText"/>
        <w:spacing w:line="240" w:lineRule="auto" w:before="49"/>
        <w:ind w:right="1134"/>
        <w:jc w:val="left"/>
      </w:pPr>
      <w:r>
        <w:rPr/>
        <w:t>其他说明</w:t>
      </w:r>
    </w:p>
    <w:p>
      <w:pPr>
        <w:spacing w:line="240" w:lineRule="auto" w:before="10"/>
        <w:rPr>
          <w:rFonts w:ascii="宋体" w:hAnsi="宋体" w:cs="宋体" w:eastAsia="宋体" w:hint="default"/>
          <w:sz w:val="17"/>
          <w:szCs w:val="17"/>
        </w:rPr>
      </w:pPr>
    </w:p>
    <w:p>
      <w:pPr>
        <w:pStyle w:val="BodyText"/>
        <w:spacing w:line="240" w:lineRule="auto"/>
        <w:ind w:left="513" w:right="153"/>
        <w:jc w:val="left"/>
      </w:pPr>
      <w:r>
        <w:rPr/>
        <w:t>（</w:t>
      </w:r>
      <w:r>
        <w:rPr>
          <w:rFonts w:ascii="宋体" w:hAnsi="宋体" w:cs="宋体" w:eastAsia="宋体" w:hint="default"/>
        </w:rPr>
        <w:t>1</w:t>
      </w:r>
      <w:r>
        <w:rPr/>
        <w:t>）北京长城光环宽带网络技术有限公司于</w:t>
      </w:r>
      <w:r>
        <w:rPr>
          <w:rFonts w:ascii="宋体" w:hAnsi="宋体" w:cs="宋体" w:eastAsia="宋体" w:hint="default"/>
        </w:rPr>
        <w:t>2007</w:t>
      </w:r>
      <w:r>
        <w:rPr/>
        <w:t>年</w:t>
      </w:r>
      <w:r>
        <w:rPr>
          <w:rFonts w:ascii="宋体" w:hAnsi="宋体" w:cs="宋体" w:eastAsia="宋体" w:hint="default"/>
        </w:rPr>
        <w:t>5</w:t>
      </w:r>
      <w:r>
        <w:rPr/>
        <w:t>月已经开始清算，在</w:t>
      </w:r>
      <w:r>
        <w:rPr>
          <w:rFonts w:ascii="宋体" w:hAnsi="宋体" w:cs="宋体" w:eastAsia="宋体" w:hint="default"/>
        </w:rPr>
        <w:t>2013</w:t>
      </w:r>
      <w:r>
        <w:rPr/>
        <w:t>年以前已经全额计提减值准备。</w:t>
      </w:r>
    </w:p>
    <w:p>
      <w:pPr>
        <w:spacing w:line="240" w:lineRule="auto" w:before="10"/>
        <w:rPr>
          <w:rFonts w:ascii="宋体" w:hAnsi="宋体" w:cs="宋体" w:eastAsia="宋体" w:hint="default"/>
          <w:sz w:val="17"/>
          <w:szCs w:val="17"/>
        </w:rPr>
      </w:pPr>
    </w:p>
    <w:p>
      <w:pPr>
        <w:pStyle w:val="BodyText"/>
        <w:spacing w:line="319" w:lineRule="auto"/>
        <w:ind w:right="144" w:firstLine="360"/>
        <w:jc w:val="left"/>
      </w:pPr>
      <w:r>
        <w:rPr/>
        <w:t>（</w:t>
      </w:r>
      <w:r>
        <w:rPr>
          <w:rFonts w:ascii="宋体" w:hAnsi="宋体" w:cs="宋体" w:eastAsia="宋体" w:hint="default"/>
        </w:rPr>
        <w:t>2</w:t>
      </w:r>
      <w:r>
        <w:rPr/>
        <w:t>）北京华爱光环科技有限公司由本公司与北京爱华天使医疗投资股份有限公司共同出资组建，注册资本 </w:t>
      </w:r>
      <w:r>
        <w:rPr>
          <w:rFonts w:ascii="宋体" w:hAnsi="宋体" w:cs="宋体" w:eastAsia="宋体" w:hint="default"/>
        </w:rPr>
        <w:t>10,000,000.00</w:t>
      </w:r>
      <w:r>
        <w:rPr/>
        <w:t>元，本公司出资</w:t>
      </w:r>
      <w:r>
        <w:rPr>
          <w:rFonts w:ascii="宋体" w:hAnsi="宋体" w:cs="宋体" w:eastAsia="宋体" w:hint="default"/>
        </w:rPr>
        <w:t>1,500,000.00</w:t>
      </w:r>
      <w:r>
        <w:rPr/>
        <w:t>元，持股比例为</w:t>
      </w:r>
      <w:r>
        <w:rPr>
          <w:rFonts w:ascii="宋体" w:hAnsi="宋体" w:cs="宋体" w:eastAsia="宋体" w:hint="default"/>
        </w:rPr>
        <w:t>15%</w:t>
      </w:r>
      <w:r>
        <w:rPr/>
        <w:t>，根据北京华爱光环科技有限公司章程约定，董事会由</w:t>
      </w:r>
      <w:r>
        <w:rPr>
          <w:rFonts w:ascii="宋体" w:hAnsi="宋体" w:cs="宋体" w:eastAsia="宋体" w:hint="default"/>
        </w:rPr>
        <w:t>3</w:t>
      </w:r>
      <w:r>
        <w:rPr/>
        <w:t>名 董事组成，由本公司推荐</w:t>
      </w:r>
      <w:r>
        <w:rPr>
          <w:rFonts w:ascii="宋体" w:hAnsi="宋体" w:cs="宋体" w:eastAsia="宋体" w:hint="default"/>
        </w:rPr>
        <w:t>1</w:t>
      </w:r>
      <w:r>
        <w:rPr/>
        <w:t>名董事；设总经理一名，由本公司推荐。本公司对北京华爱光环科技有限公司具有重大影响，选 用权益法进行核算。</w:t>
      </w:r>
    </w:p>
    <w:p>
      <w:pPr>
        <w:spacing w:line="240" w:lineRule="auto" w:before="9"/>
        <w:rPr>
          <w:rFonts w:ascii="宋体" w:hAnsi="宋体" w:cs="宋体" w:eastAsia="宋体" w:hint="default"/>
          <w:sz w:val="22"/>
          <w:szCs w:val="22"/>
        </w:rPr>
      </w:pPr>
    </w:p>
    <w:p>
      <w:pPr>
        <w:pStyle w:val="Heading3"/>
        <w:spacing w:line="240" w:lineRule="auto"/>
        <w:ind w:right="1134"/>
        <w:jc w:val="left"/>
        <w:rPr>
          <w:b w:val="0"/>
          <w:bCs w:val="0"/>
        </w:rPr>
      </w:pPr>
      <w:r>
        <w:rPr>
          <w:rFonts w:ascii="Times New Roman" w:hAnsi="Times New Roman" w:cs="Times New Roman" w:eastAsia="Times New Roman" w:hint="default"/>
        </w:rPr>
        <w:t>9</w:t>
      </w:r>
      <w:r>
        <w:rPr/>
        <w:t>、固定资产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4"/>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构筑物</w:t>
            </w:r>
          </w:p>
        </w:tc>
        <w:tc>
          <w:tcPr>
            <w:tcW w:w="136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3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办公设备及其他</w:t>
            </w:r>
          </w:p>
        </w:tc>
        <w:tc>
          <w:tcPr>
            <w:tcW w:w="1366" w:type="dxa"/>
            <w:tcBorders>
              <w:top w:val="single" w:sz="4" w:space="0" w:color="000000"/>
              <w:left w:val="single" w:sz="13" w:space="0" w:color="E0FFFF"/>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88,763,114.44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290,210,284.02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55,667,695.07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7,421,370.45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3,556,314.40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445,618,778.38</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122,573,807.78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47,367,807.96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15,997,442.03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861,467.52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375,226.23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187,175,751.52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14,519,411.43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14,406,884.24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861,467.52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359,689.23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30,147,452.42</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5,497,968.00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32,848,396.53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1,590,557.79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39,936,922.32</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4"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117,075,839.78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15,537.00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117,091,376.78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62,230.00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62,230.00</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62,230.00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62,230.00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211,336,922.22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337,578,091.98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71,602,907.10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8,282,837.97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3,931,540.63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632,732,299.90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5,349,453.80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46,424,399.72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26,930,942.85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2,075,450.12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2,447,223.52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83,227,470.01</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4,681,429.06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27,413,285.98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7,165,179.29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726,338.91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407,930.93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40,394,164.17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2,419,959.66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27,413,285.98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7,165,179.29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726,338.91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404,665.59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38,129,429.43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49"/>
              <w:ind w:left="24" w:right="19"/>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）企业合并增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加</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2,261,469.40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3,265.34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2,264,734.74</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62,043.31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62,043.31</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62,043.31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62,043.31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10,030,882.86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73,837,685.70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34,034,078.83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2,801,789.03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2,855,154.45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123,559,590.87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201,306,039.36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263,740,406.28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37,568,828.27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5,481,048.94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1,076,386.18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509,172,709.03</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83,413,660.64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243,785,884.30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28,736,752.22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5,345,920.33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1,109,090.88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362,391,308.37</w:t>
            </w:r>
          </w:p>
        </w:tc>
      </w:tr>
    </w:tbl>
    <w:p>
      <w:pPr>
        <w:spacing w:line="240" w:lineRule="auto" w:before="3"/>
        <w:rPr>
          <w:rFonts w:ascii="宋体" w:hAnsi="宋体" w:cs="宋体" w:eastAsia="宋体" w:hint="default"/>
          <w:sz w:val="19"/>
          <w:szCs w:val="19"/>
        </w:rPr>
      </w:pPr>
    </w:p>
    <w:p>
      <w:pPr>
        <w:pStyle w:val="Heading3"/>
        <w:spacing w:line="240" w:lineRule="auto" w:before="36"/>
        <w:ind w:right="0"/>
        <w:jc w:val="both"/>
        <w:rPr>
          <w:b w:val="0"/>
          <w:bCs w:val="0"/>
        </w:rPr>
      </w:pP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t>其他说明</w:t>
      </w:r>
    </w:p>
    <w:p>
      <w:pPr>
        <w:pStyle w:val="BodyText"/>
        <w:spacing w:line="460" w:lineRule="atLeast" w:before="10"/>
        <w:ind w:left="513" w:right="0"/>
        <w:jc w:val="left"/>
      </w:pPr>
      <w:r>
        <w:rPr/>
        <w:t>（</w:t>
      </w:r>
      <w:r>
        <w:rPr>
          <w:rFonts w:ascii="宋体" w:hAnsi="宋体" w:cs="宋体" w:eastAsia="宋体" w:hint="default"/>
        </w:rPr>
        <w:t>1</w:t>
      </w:r>
      <w:r>
        <w:rPr/>
        <w:t>）截至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日，固定资产抵押和所有权受限情况： </w:t>
      </w:r>
      <w:r>
        <w:rPr>
          <w:spacing w:val="-2"/>
        </w:rPr>
        <w:t>子公司北京瑞科新网科技有限公司与招商银行股份有限公司北京建国路支行于</w:t>
      </w:r>
      <w:r>
        <w:rPr>
          <w:rFonts w:ascii="宋体" w:hAnsi="宋体" w:cs="宋体" w:eastAsia="宋体" w:hint="default"/>
          <w:spacing w:val="-2"/>
        </w:rPr>
        <w:t>2014</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28</w:t>
      </w:r>
      <w:r>
        <w:rPr>
          <w:spacing w:val="-2"/>
        </w:rPr>
        <w:t>日签订了编号为“</w:t>
      </w:r>
      <w:r>
        <w:rPr>
          <w:rFonts w:ascii="宋体" w:hAnsi="宋体" w:cs="宋体" w:eastAsia="宋体" w:hint="default"/>
          <w:spacing w:val="-2"/>
        </w:rPr>
        <w:t>2014</w:t>
      </w:r>
      <w:r>
        <w:rPr>
          <w:spacing w:val="-2"/>
        </w:rPr>
        <w:t>年建</w:t>
      </w:r>
    </w:p>
    <w:p>
      <w:pPr>
        <w:pStyle w:val="BodyText"/>
        <w:spacing w:line="316" w:lineRule="auto" w:before="76"/>
        <w:ind w:right="148"/>
        <w:jc w:val="both"/>
      </w:pPr>
      <w:r>
        <w:rPr>
          <w:spacing w:val="-2"/>
        </w:rPr>
        <w:t>授字第</w:t>
      </w:r>
      <w:r>
        <w:rPr>
          <w:rFonts w:ascii="宋体" w:hAnsi="宋体" w:cs="宋体" w:eastAsia="宋体" w:hint="default"/>
          <w:spacing w:val="-2"/>
        </w:rPr>
        <w:t>010</w:t>
      </w:r>
      <w:r>
        <w:rPr>
          <w:spacing w:val="-2"/>
        </w:rPr>
        <w:t>号”《最高额抵押合同》，将位于朝阳区酒仙桥北路甲</w:t>
      </w:r>
      <w:r>
        <w:rPr>
          <w:rFonts w:ascii="宋体" w:hAnsi="宋体" w:cs="宋体" w:eastAsia="宋体" w:hint="default"/>
          <w:spacing w:val="-2"/>
        </w:rPr>
        <w:t>10</w:t>
      </w:r>
      <w:r>
        <w:rPr>
          <w:spacing w:val="-2"/>
        </w:rPr>
        <w:t>号院</w:t>
      </w:r>
      <w:r>
        <w:rPr>
          <w:rFonts w:ascii="宋体" w:hAnsi="宋体" w:cs="宋体" w:eastAsia="宋体" w:hint="default"/>
          <w:spacing w:val="-2"/>
        </w:rPr>
        <w:t>402</w:t>
      </w:r>
      <w:r>
        <w:rPr>
          <w:spacing w:val="-2"/>
        </w:rPr>
        <w:t>号楼</w:t>
      </w:r>
      <w:r>
        <w:rPr>
          <w:rFonts w:ascii="宋体" w:hAnsi="宋体" w:cs="宋体" w:eastAsia="宋体" w:hint="default"/>
          <w:spacing w:val="-2"/>
        </w:rPr>
        <w:t>6</w:t>
      </w:r>
      <w:r>
        <w:rPr>
          <w:spacing w:val="-2"/>
        </w:rPr>
        <w:t>层</w:t>
      </w:r>
      <w:r>
        <w:rPr>
          <w:rFonts w:ascii="宋体" w:hAnsi="宋体" w:cs="宋体" w:eastAsia="宋体" w:hint="default"/>
          <w:spacing w:val="-2"/>
        </w:rPr>
        <w:t>601</w:t>
      </w:r>
      <w:r>
        <w:rPr>
          <w:spacing w:val="-2"/>
        </w:rPr>
        <w:t>的房产（即德信大厦</w:t>
      </w:r>
      <w:r>
        <w:rPr>
          <w:rFonts w:ascii="宋体" w:hAnsi="宋体" w:cs="宋体" w:eastAsia="宋体" w:hint="default"/>
          <w:spacing w:val="-2"/>
        </w:rPr>
        <w:t>6</w:t>
      </w:r>
      <w:r>
        <w:rPr>
          <w:spacing w:val="-2"/>
        </w:rPr>
        <w:t>层，</w:t>
      </w:r>
      <w:r>
        <w:rPr>
          <w:rFonts w:ascii="宋体" w:hAnsi="宋体" w:cs="宋体" w:eastAsia="宋体" w:hint="default"/>
          <w:spacing w:val="-2"/>
        </w:rPr>
        <w:t>X</w:t>
      </w:r>
      <w:r>
        <w:rPr>
          <w:spacing w:val="-2"/>
        </w:rPr>
        <w:t>京房权证</w:t>
      </w:r>
      <w:r>
        <w:rPr>
          <w:spacing w:val="-57"/>
        </w:rPr>
        <w:t> </w:t>
      </w:r>
      <w:r>
        <w:rPr>
          <w:spacing w:val="-2"/>
        </w:rPr>
        <w:t>朝字第</w:t>
      </w:r>
      <w:r>
        <w:rPr>
          <w:rFonts w:ascii="宋体" w:hAnsi="宋体" w:cs="宋体" w:eastAsia="宋体" w:hint="default"/>
          <w:spacing w:val="-2"/>
        </w:rPr>
        <w:t>937056</w:t>
      </w:r>
      <w:r>
        <w:rPr>
          <w:spacing w:val="-2"/>
        </w:rPr>
        <w:t>号）用于抵押。截至</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日，该房产账面净值</w:t>
      </w:r>
      <w:r>
        <w:rPr>
          <w:rFonts w:ascii="宋体" w:hAnsi="宋体" w:cs="宋体" w:eastAsia="宋体" w:hint="default"/>
          <w:spacing w:val="-2"/>
        </w:rPr>
        <w:t>26,214,605.15</w:t>
      </w:r>
      <w:r>
        <w:rPr>
          <w:spacing w:val="-2"/>
        </w:rPr>
        <w:t>元，抵押期限</w:t>
      </w:r>
      <w:r>
        <w:rPr>
          <w:rFonts w:ascii="宋体" w:hAnsi="宋体" w:cs="宋体" w:eastAsia="宋体" w:hint="default"/>
          <w:spacing w:val="-2"/>
        </w:rPr>
        <w:t>2014</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28</w:t>
      </w:r>
      <w:r>
        <w:rPr>
          <w:spacing w:val="-2"/>
        </w:rPr>
        <w:t>日至</w:t>
      </w:r>
      <w:r>
        <w:rPr>
          <w:rFonts w:ascii="宋体" w:hAnsi="宋体" w:cs="宋体" w:eastAsia="宋体" w:hint="default"/>
          <w:spacing w:val="-2"/>
        </w:rPr>
        <w:t>2016</w:t>
      </w:r>
      <w:r>
        <w:rPr>
          <w:spacing w:val="-2"/>
        </w:rPr>
        <w:t>年</w:t>
      </w:r>
      <w:r>
        <w:rPr>
          <w:rFonts w:ascii="宋体" w:hAnsi="宋体" w:cs="宋体" w:eastAsia="宋体" w:hint="default"/>
          <w:spacing w:val="-2"/>
        </w:rPr>
        <w:t>9</w:t>
      </w:r>
      <w:r>
        <w:rPr>
          <w:rFonts w:ascii="宋体" w:hAnsi="宋体" w:cs="宋体" w:eastAsia="宋体" w:hint="default"/>
          <w:spacing w:val="-39"/>
        </w:rPr>
        <w:t> </w:t>
      </w:r>
      <w:r>
        <w:rPr>
          <w:spacing w:val="-6"/>
        </w:rPr>
        <w:t>月</w:t>
      </w:r>
      <w:r>
        <w:rPr>
          <w:rFonts w:ascii="宋体" w:hAnsi="宋体" w:cs="宋体" w:eastAsia="宋体" w:hint="default"/>
          <w:spacing w:val="-6"/>
        </w:rPr>
        <w:t>16</w:t>
      </w:r>
      <w:r>
        <w:rPr>
          <w:spacing w:val="-6"/>
        </w:rPr>
        <w:t>日。招商银行股份有限公司北京建国路支行向公司提供人民币叁仟万元的授信额度（详见本节“七、</w:t>
      </w:r>
      <w:r>
        <w:rPr>
          <w:rFonts w:ascii="宋体" w:hAnsi="宋体" w:cs="宋体" w:eastAsia="宋体" w:hint="default"/>
          <w:spacing w:val="-6"/>
        </w:rPr>
        <w:t>16</w:t>
      </w:r>
      <w:r>
        <w:rPr>
          <w:spacing w:val="-6"/>
        </w:rPr>
        <w:t>、短期借款”）。</w:t>
      </w:r>
      <w:r>
        <w:rPr/>
      </w:r>
    </w:p>
    <w:p>
      <w:pPr>
        <w:spacing w:line="240" w:lineRule="auto" w:before="5"/>
        <w:rPr>
          <w:rFonts w:ascii="宋体" w:hAnsi="宋体" w:cs="宋体" w:eastAsia="宋体" w:hint="default"/>
          <w:sz w:val="13"/>
          <w:szCs w:val="13"/>
        </w:rPr>
      </w:pPr>
    </w:p>
    <w:p>
      <w:pPr>
        <w:pStyle w:val="BodyText"/>
        <w:spacing w:line="240" w:lineRule="auto"/>
        <w:ind w:left="513" w:right="1134"/>
        <w:jc w:val="left"/>
      </w:pPr>
      <w:r>
        <w:rPr/>
        <w:t>（</w:t>
      </w:r>
      <w:r>
        <w:rPr>
          <w:rFonts w:ascii="宋体" w:hAnsi="宋体" w:cs="宋体" w:eastAsia="宋体" w:hint="default"/>
        </w:rPr>
        <w:t>2</w:t>
      </w:r>
      <w:r>
        <w:rPr/>
        <w:t>）期末已提足折旧仍在使用固定资产原值</w:t>
      </w:r>
      <w:r>
        <w:rPr>
          <w:rFonts w:ascii="宋体" w:hAnsi="宋体" w:cs="宋体" w:eastAsia="宋体" w:hint="default"/>
        </w:rPr>
        <w:t>11,486,718.94</w:t>
      </w:r>
      <w:r>
        <w:rPr/>
        <w:t>元。</w:t>
      </w:r>
    </w:p>
    <w:p>
      <w:pPr>
        <w:spacing w:line="240" w:lineRule="auto" w:before="10"/>
        <w:rPr>
          <w:rFonts w:ascii="宋体" w:hAnsi="宋体" w:cs="宋体" w:eastAsia="宋体" w:hint="default"/>
          <w:sz w:val="17"/>
          <w:szCs w:val="17"/>
        </w:rPr>
      </w:pPr>
    </w:p>
    <w:p>
      <w:pPr>
        <w:pStyle w:val="BodyText"/>
        <w:spacing w:line="477" w:lineRule="auto"/>
        <w:ind w:left="513" w:right="0"/>
        <w:jc w:val="left"/>
      </w:pPr>
      <w:r>
        <w:rPr/>
        <w:t>（</w:t>
      </w:r>
      <w:r>
        <w:rPr>
          <w:rFonts w:ascii="宋体" w:hAnsi="宋体" w:cs="宋体" w:eastAsia="宋体" w:hint="default"/>
        </w:rPr>
        <w:t>3</w:t>
      </w:r>
      <w:r>
        <w:rPr/>
        <w:t>）通过融资租赁租入的固定资产情况 </w:t>
      </w:r>
      <w:r>
        <w:rPr>
          <w:spacing w:val="-2"/>
        </w:rPr>
        <w:t>公司与远东宏信（天津）融资租赁有限公司签订相关售后回租合同，将公司拥有的部分生产设备以“售后回租”租赁方</w:t>
      </w:r>
    </w:p>
    <w:p>
      <w:pPr>
        <w:spacing w:after="0" w:line="477"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316" w:lineRule="auto" w:before="44"/>
        <w:ind w:right="150"/>
        <w:jc w:val="both"/>
      </w:pPr>
      <w:r>
        <w:rPr>
          <w:spacing w:val="-2"/>
        </w:rPr>
        <w:t>式与远东宏信开展融资租赁交易，开展融资租赁售后回租的固定资产账面余额</w:t>
      </w:r>
      <w:r>
        <w:rPr>
          <w:rFonts w:ascii="宋体" w:hAnsi="宋体" w:cs="宋体" w:eastAsia="宋体" w:hint="default"/>
          <w:spacing w:val="-2"/>
        </w:rPr>
        <w:t>100,037,402.99</w:t>
      </w:r>
      <w:r>
        <w:rPr>
          <w:spacing w:val="-2"/>
        </w:rPr>
        <w:t>元，融资金额</w:t>
      </w:r>
      <w:r>
        <w:rPr>
          <w:rFonts w:ascii="宋体" w:hAnsi="宋体" w:cs="宋体" w:eastAsia="宋体" w:hint="default"/>
          <w:spacing w:val="-2"/>
        </w:rPr>
        <w:t>100,000,000.00</w:t>
      </w:r>
      <w:r>
        <w:rPr>
          <w:rFonts w:ascii="宋体" w:hAnsi="宋体" w:cs="宋体" w:eastAsia="宋体" w:hint="default"/>
          <w:spacing w:val="-46"/>
        </w:rPr>
        <w:t> </w:t>
      </w:r>
      <w:r>
        <w:rPr>
          <w:rFonts w:ascii="宋体" w:hAnsi="宋体" w:cs="宋体" w:eastAsia="宋体" w:hint="default"/>
          <w:spacing w:val="-46"/>
        </w:rPr>
      </w:r>
      <w:r>
        <w:rPr>
          <w:spacing w:val="-2"/>
        </w:rPr>
        <w:t>元，融资期限为三年，租赁期满，公司以留购价格</w:t>
      </w:r>
      <w:r>
        <w:rPr>
          <w:rFonts w:ascii="宋体" w:hAnsi="宋体" w:cs="宋体" w:eastAsia="宋体" w:hint="default"/>
          <w:spacing w:val="-2"/>
        </w:rPr>
        <w:t>1,000.00</w:t>
      </w:r>
      <w:r>
        <w:rPr>
          <w:spacing w:val="-2"/>
        </w:rPr>
        <w:t>元回购该部分生产设备的所有权。公司董事长耿殿根为连带责任</w:t>
      </w:r>
      <w:r>
        <w:rPr>
          <w:spacing w:val="-57"/>
        </w:rPr>
        <w:t> </w:t>
      </w:r>
      <w:r>
        <w:rPr>
          <w:spacing w:val="-57"/>
        </w:rPr>
      </w:r>
      <w:r>
        <w:rPr/>
        <w:t>保证人。</w:t>
      </w:r>
    </w:p>
    <w:p>
      <w:pPr>
        <w:spacing w:line="240" w:lineRule="auto" w:before="5"/>
        <w:rPr>
          <w:rFonts w:ascii="宋体" w:hAnsi="宋体" w:cs="宋体" w:eastAsia="宋体" w:hint="default"/>
          <w:sz w:val="13"/>
          <w:szCs w:val="13"/>
        </w:rPr>
      </w:pPr>
    </w:p>
    <w:p>
      <w:pPr>
        <w:pStyle w:val="BodyText"/>
        <w:spacing w:line="240" w:lineRule="auto"/>
        <w:ind w:left="513" w:right="1134"/>
        <w:jc w:val="left"/>
      </w:pPr>
      <w:r>
        <w:rPr/>
        <w:t>（</w:t>
      </w:r>
      <w:r>
        <w:rPr>
          <w:rFonts w:ascii="宋体" w:hAnsi="宋体" w:cs="宋体" w:eastAsia="宋体" w:hint="default"/>
        </w:rPr>
        <w:t>4</w:t>
      </w:r>
      <w:r>
        <w:rPr/>
        <w:t>）本公司期末对固定资产进行检查，未发现减值迹象，故未计提减值准备。</w:t>
      </w:r>
    </w:p>
    <w:p>
      <w:pPr>
        <w:spacing w:line="240" w:lineRule="auto" w:before="10"/>
        <w:rPr>
          <w:rFonts w:ascii="宋体" w:hAnsi="宋体" w:cs="宋体" w:eastAsia="宋体" w:hint="default"/>
          <w:sz w:val="17"/>
          <w:szCs w:val="17"/>
        </w:rPr>
      </w:pPr>
    </w:p>
    <w:p>
      <w:pPr>
        <w:pStyle w:val="BodyText"/>
        <w:spacing w:line="316" w:lineRule="auto"/>
        <w:ind w:right="154" w:firstLine="360"/>
        <w:jc w:val="both"/>
      </w:pPr>
      <w:r>
        <w:rPr/>
        <w:t>（</w:t>
      </w:r>
      <w:r>
        <w:rPr>
          <w:rFonts w:ascii="宋体" w:hAnsi="宋体" w:cs="宋体" w:eastAsia="宋体" w:hint="default"/>
        </w:rPr>
        <w:t>5</w:t>
      </w:r>
      <w:r>
        <w:rPr/>
        <w:t>）</w:t>
      </w:r>
      <w:r>
        <w:rPr>
          <w:rFonts w:ascii="宋体" w:hAnsi="宋体" w:cs="宋体" w:eastAsia="宋体" w:hint="default"/>
        </w:rPr>
        <w:t>2015</w:t>
      </w:r>
      <w:r>
        <w:rPr/>
        <w:t>年</w:t>
      </w:r>
      <w:r>
        <w:rPr>
          <w:rFonts w:ascii="宋体" w:hAnsi="宋体" w:cs="宋体" w:eastAsia="宋体" w:hint="default"/>
        </w:rPr>
        <w:t>12</w:t>
      </w:r>
      <w:r>
        <w:rPr/>
        <w:t>月，因企业合并范围变化增加子公司北京科信盛彩置业有限公司，其固定资产中印刷车间、成品库、原 料库已于</w:t>
      </w:r>
      <w:r>
        <w:rPr>
          <w:rFonts w:ascii="宋体" w:hAnsi="宋体" w:cs="宋体" w:eastAsia="宋体" w:hint="default"/>
        </w:rPr>
        <w:t>2014</w:t>
      </w:r>
      <w:r>
        <w:rPr/>
        <w:t>年</w:t>
      </w:r>
      <w:r>
        <w:rPr>
          <w:rFonts w:ascii="宋体" w:hAnsi="宋体" w:cs="宋体" w:eastAsia="宋体" w:hint="default"/>
        </w:rPr>
        <w:t>7</w:t>
      </w:r>
      <w:r>
        <w:rPr/>
        <w:t>月</w:t>
      </w:r>
      <w:r>
        <w:rPr>
          <w:rFonts w:ascii="宋体" w:hAnsi="宋体" w:cs="宋体" w:eastAsia="宋体" w:hint="default"/>
        </w:rPr>
        <w:t>1</w:t>
      </w:r>
      <w:r>
        <w:rPr/>
        <w:t>日出租，租期</w:t>
      </w:r>
      <w:r>
        <w:rPr>
          <w:rFonts w:ascii="宋体" w:hAnsi="宋体" w:cs="宋体" w:eastAsia="宋体" w:hint="default"/>
        </w:rPr>
        <w:t>9</w:t>
      </w:r>
      <w:r>
        <w:rPr/>
        <w:t>年，租赁满后承租方可请求租约期限续展。截止</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日，印刷车间、成品库、 原料库账面净值</w:t>
      </w:r>
      <w:r>
        <w:rPr>
          <w:rFonts w:ascii="宋体" w:hAnsi="宋体" w:cs="宋体" w:eastAsia="宋体" w:hint="default"/>
        </w:rPr>
        <w:t>114,573,649.71</w:t>
      </w:r>
      <w:r>
        <w:rPr/>
        <w:t>元。</w:t>
      </w:r>
    </w:p>
    <w:p>
      <w:pPr>
        <w:spacing w:line="240" w:lineRule="auto" w:before="5"/>
        <w:rPr>
          <w:rFonts w:ascii="宋体" w:hAnsi="宋体" w:cs="宋体" w:eastAsia="宋体" w:hint="default"/>
          <w:sz w:val="13"/>
          <w:szCs w:val="13"/>
        </w:rPr>
      </w:pPr>
    </w:p>
    <w:p>
      <w:pPr>
        <w:pStyle w:val="BodyText"/>
        <w:spacing w:line="319" w:lineRule="auto"/>
        <w:ind w:right="151" w:firstLine="360"/>
        <w:jc w:val="both"/>
      </w:pPr>
      <w:r>
        <w:rPr/>
        <w:t>（</w:t>
      </w:r>
      <w:r>
        <w:rPr>
          <w:rFonts w:ascii="宋体" w:hAnsi="宋体" w:cs="宋体" w:eastAsia="宋体" w:hint="default"/>
        </w:rPr>
        <w:t>6</w:t>
      </w:r>
      <w:r>
        <w:rPr/>
        <w:t>）产权证取得或变更情况：</w:t>
      </w:r>
      <w:r>
        <w:rPr>
          <w:rFonts w:ascii="宋体" w:hAnsi="宋体" w:cs="宋体" w:eastAsia="宋体" w:hint="default"/>
        </w:rPr>
        <w:t>2015</w:t>
      </w:r>
      <w:r>
        <w:rPr/>
        <w:t>年</w:t>
      </w:r>
      <w:r>
        <w:rPr>
          <w:rFonts w:ascii="宋体" w:hAnsi="宋体" w:cs="宋体" w:eastAsia="宋体" w:hint="default"/>
        </w:rPr>
        <w:t>8</w:t>
      </w:r>
      <w:r>
        <w:rPr/>
        <w:t>月</w:t>
      </w:r>
      <w:r>
        <w:rPr>
          <w:rFonts w:ascii="宋体" w:hAnsi="宋体" w:cs="宋体" w:eastAsia="宋体" w:hint="default"/>
        </w:rPr>
        <w:t>9</w:t>
      </w:r>
      <w:r>
        <w:rPr/>
        <w:t>日北京科信盛彩置业有限公司取得了印刷车间、成品库、原料库不动产权证 </w:t>
      </w:r>
      <w:r>
        <w:rPr>
          <w:spacing w:val="-5"/>
        </w:rPr>
        <w:t>书；</w:t>
      </w:r>
      <w:r>
        <w:rPr>
          <w:rFonts w:ascii="宋体" w:hAnsi="宋体" w:cs="宋体" w:eastAsia="宋体" w:hint="default"/>
          <w:spacing w:val="-5"/>
        </w:rPr>
        <w:t>2015</w:t>
      </w:r>
      <w:r>
        <w:rPr>
          <w:spacing w:val="-5"/>
        </w:rPr>
        <w:t>年</w:t>
      </w:r>
      <w:r>
        <w:rPr>
          <w:rFonts w:ascii="宋体" w:hAnsi="宋体" w:cs="宋体" w:eastAsia="宋体" w:hint="default"/>
          <w:spacing w:val="-5"/>
        </w:rPr>
        <w:t>1</w:t>
      </w:r>
      <w:r>
        <w:rPr>
          <w:spacing w:val="-5"/>
        </w:rPr>
        <w:t>月本公司购买的上海明月光学有限公司更名为光环新网（上海）信息服务有限公司，</w:t>
      </w:r>
      <w:r>
        <w:rPr>
          <w:rFonts w:ascii="宋体" w:hAnsi="宋体" w:cs="宋体" w:eastAsia="宋体" w:hint="default"/>
          <w:spacing w:val="-5"/>
        </w:rPr>
        <w:t>2015</w:t>
      </w:r>
      <w:r>
        <w:rPr>
          <w:spacing w:val="-5"/>
        </w:rPr>
        <w:t>年</w:t>
      </w:r>
      <w:r>
        <w:rPr>
          <w:rFonts w:ascii="宋体" w:hAnsi="宋体" w:cs="宋体" w:eastAsia="宋体" w:hint="default"/>
          <w:spacing w:val="-5"/>
        </w:rPr>
        <w:t>4</w:t>
      </w:r>
      <w:r>
        <w:rPr>
          <w:spacing w:val="-5"/>
        </w:rPr>
        <w:t>月</w:t>
      </w:r>
      <w:r>
        <w:rPr>
          <w:rFonts w:ascii="宋体" w:hAnsi="宋体" w:cs="宋体" w:eastAsia="宋体" w:hint="default"/>
          <w:spacing w:val="-5"/>
        </w:rPr>
        <w:t>13</w:t>
      </w:r>
      <w:r>
        <w:rPr>
          <w:spacing w:val="-5"/>
        </w:rPr>
        <w:t>日光环新网（上</w:t>
      </w:r>
      <w:r>
        <w:rPr>
          <w:spacing w:val="-51"/>
        </w:rPr>
        <w:t> </w:t>
      </w:r>
      <w:r>
        <w:rPr>
          <w:spacing w:val="-51"/>
        </w:rPr>
      </w:r>
      <w:r>
        <w:rPr/>
        <w:t>海）信息服务有限公司对房地产权证进行了名称变更。</w:t>
      </w:r>
    </w:p>
    <w:p>
      <w:pPr>
        <w:spacing w:line="240" w:lineRule="auto" w:before="9"/>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10</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酒仙桥机房二期</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495,664.50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495,664.50</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燕郊机房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13,453,827.96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13,453,827.96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11,879,086.35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11,879,086.35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城域网升级改造</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736,033.16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736,033.16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1,044,104.00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1,044,104.00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东直门机房改造</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206,495.72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206,495.72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903,076.92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903,076.92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总部办公楼装修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592,150.81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592,150.81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上海绿色云计算 基地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8,882,225.70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8,882,225.70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房山绿色云计算 基地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1,826,918.50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1,826,918.50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亦庄绿色云计算 基地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259,925,875.80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259,925,875.80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待安装设备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731,604.25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731,604.25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286,355,131.90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286,355,131.90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14,321,931.77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14,321,931.77</w:t>
            </w:r>
          </w:p>
        </w:tc>
      </w:tr>
    </w:tbl>
    <w:p>
      <w:pPr>
        <w:spacing w:line="240" w:lineRule="auto" w:before="3"/>
        <w:rPr>
          <w:rFonts w:ascii="宋体" w:hAnsi="宋体" w:cs="宋体" w:eastAsia="宋体" w:hint="default"/>
          <w:sz w:val="19"/>
          <w:szCs w:val="19"/>
        </w:rPr>
      </w:pPr>
    </w:p>
    <w:p>
      <w:pPr>
        <w:pStyle w:val="Heading3"/>
        <w:spacing w:line="240" w:lineRule="auto" w:before="36"/>
        <w:ind w:right="1134"/>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1"/>
        <w:gridCol w:w="737"/>
        <w:gridCol w:w="734"/>
        <w:gridCol w:w="737"/>
        <w:gridCol w:w="737"/>
        <w:gridCol w:w="734"/>
        <w:gridCol w:w="737"/>
        <w:gridCol w:w="737"/>
        <w:gridCol w:w="734"/>
        <w:gridCol w:w="737"/>
        <w:gridCol w:w="737"/>
        <w:gridCol w:w="734"/>
        <w:gridCol w:w="737"/>
      </w:tblGrid>
      <w:tr>
        <w:trPr>
          <w:trHeight w:val="1340" w:hRule="exact"/>
        </w:trPr>
        <w:tc>
          <w:tcPr>
            <w:tcW w:w="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70"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after="0" w:line="319"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02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酒仙桥 机房二 期</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495,664.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39,421,5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06.24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32,160,7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07.63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7,756,46</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3.11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6"/>
              <w:jc w:val="left"/>
              <w:rPr>
                <w:rFonts w:ascii="宋体" w:hAnsi="宋体" w:cs="宋体" w:eastAsia="宋体" w:hint="default"/>
                <w:sz w:val="18"/>
                <w:szCs w:val="18"/>
              </w:rPr>
            </w:pPr>
            <w:r>
              <w:rPr>
                <w:rFonts w:ascii="宋体" w:hAnsi="宋体" w:cs="宋体" w:eastAsia="宋体" w:hint="default"/>
                <w:sz w:val="18"/>
                <w:szCs w:val="18"/>
              </w:rPr>
              <w:t>燕郊机 房</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11,879,0</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86.35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1,574,74</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1.61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13,453,8</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27.96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城域网 升级改 造</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1,044,10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455,273.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763,344.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736,033.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6"/>
              <w:jc w:val="both"/>
              <w:rPr>
                <w:rFonts w:ascii="宋体" w:hAnsi="宋体" w:cs="宋体" w:eastAsia="宋体" w:hint="default"/>
                <w:sz w:val="18"/>
                <w:szCs w:val="18"/>
              </w:rPr>
            </w:pPr>
            <w:r>
              <w:rPr>
                <w:rFonts w:ascii="宋体" w:hAnsi="宋体" w:cs="宋体" w:eastAsia="宋体" w:hint="default"/>
                <w:sz w:val="18"/>
                <w:szCs w:val="18"/>
              </w:rPr>
              <w:t>东直门 机房改 造</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903,076.</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92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122,823.</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94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819,405.</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14</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206,495.</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72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总部办 公楼装 修</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592,150.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592,150.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6"/>
              <w:jc w:val="both"/>
              <w:rPr>
                <w:rFonts w:ascii="宋体" w:hAnsi="宋体" w:cs="宋体" w:eastAsia="宋体" w:hint="default"/>
                <w:sz w:val="18"/>
                <w:szCs w:val="18"/>
              </w:rPr>
            </w:pPr>
            <w:r>
              <w:rPr>
                <w:rFonts w:ascii="宋体" w:hAnsi="宋体" w:cs="宋体" w:eastAsia="宋体" w:hint="default"/>
                <w:sz w:val="18"/>
                <w:szCs w:val="18"/>
              </w:rPr>
              <w:t>上海绿 色云计 算基地</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14,380,1</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93.70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5,497,96</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8.00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8,882,22</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5.70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房山绿 色云计 算基地</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1,826,91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8.50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1,826,91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8.50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6"/>
              <w:jc w:val="both"/>
              <w:rPr>
                <w:rFonts w:ascii="宋体" w:hAnsi="宋体" w:cs="宋体" w:eastAsia="宋体" w:hint="default"/>
                <w:sz w:val="18"/>
                <w:szCs w:val="18"/>
              </w:rPr>
            </w:pPr>
            <w:r>
              <w:rPr>
                <w:rFonts w:ascii="宋体" w:hAnsi="宋体" w:cs="宋体" w:eastAsia="宋体" w:hint="default"/>
                <w:sz w:val="18"/>
                <w:szCs w:val="18"/>
              </w:rPr>
              <w:t>亦庄绿 色云计 算基地</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259,925,</w:t>
            </w:r>
          </w:p>
          <w:p>
            <w:pPr>
              <w:pStyle w:val="TableParagraph"/>
              <w:spacing w:line="240" w:lineRule="auto" w:before="102"/>
              <w:ind w:left="184" w:right="0"/>
              <w:jc w:val="center"/>
              <w:rPr>
                <w:rFonts w:ascii="Times New Roman" w:hAnsi="Times New Roman" w:cs="Times New Roman" w:eastAsia="Times New Roman" w:hint="default"/>
                <w:sz w:val="18"/>
                <w:szCs w:val="18"/>
              </w:rPr>
            </w:pPr>
            <w:r>
              <w:rPr>
                <w:rFonts w:ascii="Times New Roman"/>
                <w:sz w:val="18"/>
              </w:rPr>
              <w:t>875.80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259,925,</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875.80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待安装 设备</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1,427,10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1.80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695,497.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55</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731,604.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14,321,9</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31.77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 w:right="0"/>
              <w:jc w:val="center"/>
              <w:rPr>
                <w:rFonts w:ascii="Times New Roman" w:hAnsi="Times New Roman" w:cs="Times New Roman" w:eastAsia="Times New Roman" w:hint="default"/>
                <w:sz w:val="18"/>
                <w:szCs w:val="18"/>
              </w:rPr>
            </w:pPr>
            <w:r>
              <w:rPr>
                <w:rFonts w:ascii="Times New Roman"/>
                <w:sz w:val="18"/>
              </w:rPr>
              <w:t>319,726,</w:t>
            </w:r>
          </w:p>
          <w:p>
            <w:pPr>
              <w:pStyle w:val="TableParagraph"/>
              <w:spacing w:line="240" w:lineRule="auto" w:before="102"/>
              <w:ind w:left="184" w:right="0"/>
              <w:jc w:val="center"/>
              <w:rPr>
                <w:rFonts w:ascii="Times New Roman" w:hAnsi="Times New Roman" w:cs="Times New Roman" w:eastAsia="Times New Roman" w:hint="default"/>
                <w:sz w:val="18"/>
                <w:szCs w:val="18"/>
              </w:rPr>
            </w:pPr>
            <w:r>
              <w:rPr>
                <w:rFonts w:ascii="Times New Roman"/>
                <w:sz w:val="18"/>
              </w:rPr>
              <w:t>585.56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39,936,9</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22.32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7,756,46</w:t>
            </w:r>
          </w:p>
          <w:p>
            <w:pPr>
              <w:pStyle w:val="TableParagraph"/>
              <w:spacing w:line="240" w:lineRule="auto" w:before="102"/>
              <w:ind w:left="396" w:right="0"/>
              <w:jc w:val="left"/>
              <w:rPr>
                <w:rFonts w:ascii="Times New Roman" w:hAnsi="Times New Roman" w:cs="Times New Roman" w:eastAsia="Times New Roman" w:hint="default"/>
                <w:sz w:val="18"/>
                <w:szCs w:val="18"/>
              </w:rPr>
            </w:pPr>
            <w:r>
              <w:rPr>
                <w:rFonts w:ascii="Times New Roman"/>
                <w:sz w:val="18"/>
              </w:rPr>
              <w:t>3.11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 w:right="0"/>
              <w:jc w:val="center"/>
              <w:rPr>
                <w:rFonts w:ascii="Times New Roman" w:hAnsi="Times New Roman" w:cs="Times New Roman" w:eastAsia="Times New Roman" w:hint="default"/>
                <w:sz w:val="18"/>
                <w:szCs w:val="18"/>
              </w:rPr>
            </w:pPr>
            <w:r>
              <w:rPr>
                <w:rFonts w:ascii="Times New Roman"/>
                <w:sz w:val="18"/>
              </w:rPr>
              <w:t>286,355,</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131.90</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4"/>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4"/>
        <w:jc w:val="left"/>
      </w:pPr>
      <w:r>
        <w:rPr/>
        <w:t>其他说明</w:t>
      </w:r>
    </w:p>
    <w:p>
      <w:pPr>
        <w:spacing w:line="240" w:lineRule="auto" w:before="10"/>
        <w:rPr>
          <w:rFonts w:ascii="宋体" w:hAnsi="宋体" w:cs="宋体" w:eastAsia="宋体" w:hint="default"/>
          <w:sz w:val="17"/>
          <w:szCs w:val="17"/>
        </w:rPr>
      </w:pPr>
    </w:p>
    <w:p>
      <w:pPr>
        <w:pStyle w:val="BodyText"/>
        <w:spacing w:line="240" w:lineRule="auto"/>
        <w:ind w:left="513" w:right="1134"/>
        <w:jc w:val="left"/>
      </w:pPr>
      <w:r>
        <w:rPr/>
        <w:t>（</w:t>
      </w:r>
      <w:r>
        <w:rPr>
          <w:rFonts w:ascii="宋体" w:hAnsi="宋体" w:cs="宋体" w:eastAsia="宋体" w:hint="default"/>
        </w:rPr>
        <w:t>1</w:t>
      </w:r>
      <w:r>
        <w:rPr/>
        <w:t>）本期其他减少</w:t>
      </w:r>
      <w:r>
        <w:rPr>
          <w:rFonts w:ascii="宋体" w:hAnsi="宋体" w:cs="宋体" w:eastAsia="宋体" w:hint="default"/>
        </w:rPr>
        <w:t>7,756,463.11</w:t>
      </w:r>
      <w:r>
        <w:rPr/>
        <w:t>元为转入长期待摊费用的酒仙桥机房二期装修费。</w:t>
      </w:r>
    </w:p>
    <w:p>
      <w:pPr>
        <w:spacing w:line="240" w:lineRule="auto" w:before="10"/>
        <w:rPr>
          <w:rFonts w:ascii="宋体" w:hAnsi="宋体" w:cs="宋体" w:eastAsia="宋体" w:hint="default"/>
          <w:sz w:val="17"/>
          <w:szCs w:val="17"/>
        </w:rPr>
      </w:pPr>
    </w:p>
    <w:p>
      <w:pPr>
        <w:pStyle w:val="BodyText"/>
        <w:spacing w:line="240" w:lineRule="auto"/>
        <w:ind w:left="513" w:right="1134"/>
        <w:jc w:val="left"/>
      </w:pPr>
      <w:r>
        <w:rPr/>
        <w:t>（</w:t>
      </w:r>
      <w:r>
        <w:rPr>
          <w:rFonts w:ascii="宋体" w:hAnsi="宋体" w:cs="宋体" w:eastAsia="宋体" w:hint="default"/>
        </w:rPr>
        <w:t>2</w:t>
      </w:r>
      <w:r>
        <w:rPr/>
        <w:t>）“亦庄绿色云计算基地”为本公司本年收购北京科信盛彩置业有限公司转入的工程项目。</w:t>
      </w:r>
    </w:p>
    <w:p>
      <w:pPr>
        <w:spacing w:line="240" w:lineRule="auto" w:before="10"/>
        <w:rPr>
          <w:rFonts w:ascii="宋体" w:hAnsi="宋体" w:cs="宋体" w:eastAsia="宋体" w:hint="default"/>
          <w:sz w:val="17"/>
          <w:szCs w:val="17"/>
        </w:rPr>
      </w:pPr>
    </w:p>
    <w:p>
      <w:pPr>
        <w:pStyle w:val="BodyText"/>
        <w:spacing w:line="240" w:lineRule="auto"/>
        <w:ind w:left="513" w:right="1134"/>
        <w:jc w:val="left"/>
      </w:pPr>
      <w:r>
        <w:rPr/>
        <w:t>（</w:t>
      </w:r>
      <w:r>
        <w:rPr>
          <w:rFonts w:ascii="宋体" w:hAnsi="宋体" w:cs="宋体" w:eastAsia="宋体" w:hint="default"/>
        </w:rPr>
        <w:t>3</w:t>
      </w:r>
      <w:r>
        <w:rPr/>
        <w:t>）本公司期末对在建工程进行检查，未发现减值迹象，故未计提减值准备。</w:t>
      </w:r>
    </w:p>
    <w:p>
      <w:pPr>
        <w:spacing w:line="240" w:lineRule="auto" w:before="0"/>
        <w:rPr>
          <w:rFonts w:ascii="宋体" w:hAnsi="宋体" w:cs="宋体" w:eastAsia="宋体" w:hint="default"/>
          <w:sz w:val="18"/>
          <w:szCs w:val="18"/>
        </w:rPr>
      </w:pPr>
    </w:p>
    <w:p>
      <w:pPr>
        <w:pStyle w:val="Heading3"/>
        <w:spacing w:line="240" w:lineRule="auto" w:before="120"/>
        <w:ind w:right="1134"/>
        <w:jc w:val="left"/>
        <w:rPr>
          <w:b w:val="0"/>
          <w:bCs w:val="0"/>
        </w:rPr>
      </w:pPr>
      <w:r>
        <w:rPr>
          <w:rFonts w:ascii="Times New Roman" w:hAnsi="Times New Roman" w:cs="Times New Roman" w:eastAsia="Times New Roman" w:hint="default"/>
        </w:rPr>
        <w:t>11</w:t>
      </w:r>
      <w:r>
        <w:rPr/>
        <w:t>、无形资产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4"/>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10" w:space="0" w:color="D2D2D2"/>
              <w:bottom w:val="single" w:sz="4" w:space="0" w:color="000000"/>
              <w:right w:val="single" w:sz="4" w:space="0" w:color="000000"/>
            </w:tcBorders>
            <w:shd w:val="clear" w:color="auto" w:fill="E0FFFF"/>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12" w:space="0" w:color="E0FFFF"/>
              <w:bottom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38,678,539.24</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1,468,707.09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40,147,246.33</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211,966,632.80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1,507,809.95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213,474,442.75</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1,507,809.95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1,507,809.95</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594"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5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211,966,632.80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211,966,632.80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250,645,172.04</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2,976,517.04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253,621,689.08</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1,781,682.23</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628,550.07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2,410,232.30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5,161,040.24</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367,591.03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5,528,631.27</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2,936,689.52</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367,591.03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3,304,280.55</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2,224,350.72</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2,224,350.72</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6,942,722.47</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996,141.10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7,938,863.57</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4"/>
      </w:tblGrid>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243,702,449.57</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1,980,375.94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245,682,825.51</w:t>
            </w: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36,896,857.01</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840,157.02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37,737,014.03</w:t>
            </w:r>
          </w:p>
        </w:tc>
      </w:tr>
    </w:tbl>
    <w:p>
      <w:pPr>
        <w:pStyle w:val="BodyText"/>
        <w:spacing w:line="240" w:lineRule="auto" w:before="49"/>
        <w:ind w:right="106"/>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0.00%</w:t>
      </w:r>
      <w:r>
        <w:rPr/>
        <w:t>。</w:t>
      </w:r>
    </w:p>
    <w:p>
      <w:pPr>
        <w:pStyle w:val="BodyText"/>
        <w:spacing w:line="240" w:lineRule="auto" w:before="101"/>
        <w:ind w:right="0"/>
        <w:jc w:val="left"/>
      </w:pPr>
      <w:r>
        <w:rPr>
          <w:spacing w:val="-5"/>
        </w:rPr>
        <w:t>（</w:t>
      </w:r>
      <w:r>
        <w:rPr>
          <w:rFonts w:ascii="Times New Roman" w:hAnsi="Times New Roman" w:cs="Times New Roman" w:eastAsia="Times New Roman" w:hint="default"/>
          <w:spacing w:val="-5"/>
        </w:rPr>
        <w:t>1</w:t>
      </w:r>
      <w:r>
        <w:rPr>
          <w:spacing w:val="-5"/>
        </w:rPr>
        <w:t>）</w:t>
      </w:r>
      <w:r>
        <w:rPr>
          <w:rFonts w:ascii="Times New Roman" w:hAnsi="Times New Roman" w:cs="Times New Roman" w:eastAsia="Times New Roman" w:hint="default"/>
          <w:spacing w:val="-5"/>
        </w:rPr>
        <w:t>2015</w:t>
      </w:r>
      <w:r>
        <w:rPr>
          <w:rFonts w:ascii="Times New Roman" w:hAnsi="Times New Roman" w:cs="Times New Roman" w:eastAsia="Times New Roman" w:hint="default"/>
          <w:spacing w:val="-10"/>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月，因企业合并范围变化增加子公司北京科信盛彩置业有限公司，其土地使用权转入净值</w:t>
      </w:r>
      <w:r>
        <w:rPr>
          <w:spacing w:val="-55"/>
        </w:rPr>
        <w:t> </w:t>
      </w:r>
      <w:r>
        <w:rPr>
          <w:rFonts w:ascii="Times New Roman" w:hAnsi="Times New Roman" w:cs="Times New Roman" w:eastAsia="Times New Roman" w:hint="default"/>
        </w:rPr>
        <w:t>73,315,807.08</w:t>
      </w:r>
      <w:r>
        <w:rPr>
          <w:rFonts w:ascii="Times New Roman" w:hAnsi="Times New Roman" w:cs="Times New Roman" w:eastAsia="Times New Roman" w:hint="default"/>
          <w:spacing w:val="-12"/>
        </w:rPr>
        <w:t> </w:t>
      </w:r>
      <w:r>
        <w:rPr/>
        <w:t>元；</w:t>
      </w:r>
    </w:p>
    <w:p>
      <w:pPr>
        <w:pStyle w:val="BodyText"/>
        <w:spacing w:line="240" w:lineRule="auto" w:before="63"/>
        <w:ind w:right="106"/>
        <w:jc w:val="left"/>
        <w:rPr>
          <w:rFonts w:ascii="Times New Roman" w:hAnsi="Times New Roman" w:cs="Times New Roman" w:eastAsia="Times New Roman" w:hint="default"/>
        </w:rPr>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月，因企业合并范围变化增加子公司北京德信致远科技有限公司，其土地使用权转入净值</w:t>
      </w:r>
      <w:r>
        <w:rPr>
          <w:spacing w:val="-46"/>
        </w:rPr>
        <w:t> </w:t>
      </w:r>
      <w:r>
        <w:rPr>
          <w:rFonts w:ascii="Times New Roman" w:hAnsi="Times New Roman" w:cs="Times New Roman" w:eastAsia="Times New Roman" w:hint="default"/>
        </w:rPr>
        <w:t>136,426,475.00</w:t>
      </w:r>
    </w:p>
    <w:p>
      <w:pPr>
        <w:pStyle w:val="BodyText"/>
        <w:spacing w:line="240" w:lineRule="auto" w:before="63"/>
        <w:ind w:right="106"/>
        <w:jc w:val="left"/>
      </w:pPr>
      <w:r>
        <w:rPr/>
        <w:t>元。</w:t>
      </w:r>
    </w:p>
    <w:p>
      <w:pPr>
        <w:spacing w:line="240" w:lineRule="auto" w:before="0"/>
        <w:rPr>
          <w:rFonts w:ascii="宋体" w:hAnsi="宋体" w:cs="宋体" w:eastAsia="宋体" w:hint="default"/>
          <w:sz w:val="18"/>
          <w:szCs w:val="18"/>
        </w:rPr>
      </w:pPr>
    </w:p>
    <w:p>
      <w:pPr>
        <w:pStyle w:val="Heading3"/>
        <w:spacing w:line="240" w:lineRule="auto" w:before="120"/>
        <w:ind w:right="106"/>
        <w:jc w:val="left"/>
        <w:rPr>
          <w:b w:val="0"/>
          <w:bCs w:val="0"/>
        </w:rPr>
      </w:pPr>
      <w:r>
        <w:rPr>
          <w:rFonts w:ascii="Times New Roman" w:hAnsi="Times New Roman" w:cs="Times New Roman" w:eastAsia="Times New Roman" w:hint="default"/>
        </w:rPr>
        <w:t>12</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6"/>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9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1027"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北京瑞科新网科 技有限公司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1,693,240.00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1,693,240.00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1,693,240.00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1,693,240.00</w:t>
            </w:r>
          </w:p>
        </w:tc>
      </w:tr>
    </w:tbl>
    <w:p>
      <w:pPr>
        <w:spacing w:line="240" w:lineRule="auto" w:before="3"/>
        <w:rPr>
          <w:rFonts w:ascii="宋体" w:hAnsi="宋体" w:cs="宋体" w:eastAsia="宋体" w:hint="default"/>
          <w:sz w:val="19"/>
          <w:szCs w:val="19"/>
        </w:rPr>
      </w:pPr>
    </w:p>
    <w:p>
      <w:pPr>
        <w:pStyle w:val="Heading3"/>
        <w:spacing w:line="240" w:lineRule="auto" w:before="36"/>
        <w:ind w:right="106"/>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2734"/>
        <w:gridCol w:w="2737"/>
        <w:gridCol w:w="1366"/>
      </w:tblGrid>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6"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106"/>
        <w:jc w:val="left"/>
      </w:pPr>
      <w:r>
        <w:rPr/>
        <w:t>说明商誉减值测试过程、参数及商誉减值损失的确认方法：</w:t>
      </w:r>
    </w:p>
    <w:p>
      <w:pPr>
        <w:spacing w:line="240" w:lineRule="auto" w:before="10"/>
        <w:rPr>
          <w:rFonts w:ascii="宋体" w:hAnsi="宋体" w:cs="宋体" w:eastAsia="宋体" w:hint="default"/>
          <w:sz w:val="17"/>
          <w:szCs w:val="17"/>
        </w:rPr>
      </w:pPr>
    </w:p>
    <w:p>
      <w:pPr>
        <w:pStyle w:val="BodyText"/>
        <w:spacing w:line="316" w:lineRule="auto"/>
        <w:ind w:right="102" w:firstLine="360"/>
        <w:jc w:val="left"/>
      </w:pPr>
      <w:r>
        <w:rPr>
          <w:spacing w:val="-2"/>
        </w:rPr>
        <w:t>（</w:t>
      </w:r>
      <w:r>
        <w:rPr>
          <w:rFonts w:ascii="宋体" w:hAnsi="宋体" w:cs="宋体" w:eastAsia="宋体" w:hint="default"/>
          <w:spacing w:val="-2"/>
        </w:rPr>
        <w:t>1</w:t>
      </w:r>
      <w:r>
        <w:rPr>
          <w:spacing w:val="-2"/>
        </w:rPr>
        <w:t>）本公司</w:t>
      </w:r>
      <w:r>
        <w:rPr>
          <w:rFonts w:ascii="宋体" w:hAnsi="宋体" w:cs="宋体" w:eastAsia="宋体" w:hint="default"/>
          <w:spacing w:val="-2"/>
        </w:rPr>
        <w:t>2010</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19</w:t>
      </w:r>
      <w:r>
        <w:rPr>
          <w:spacing w:val="-2"/>
        </w:rPr>
        <w:t>日非同一控制下收购北京瑞科新网科技有限公司为其全资子公司，合并成本为</w:t>
      </w:r>
      <w:r>
        <w:rPr>
          <w:rFonts w:ascii="宋体" w:hAnsi="宋体" w:cs="宋体" w:eastAsia="宋体" w:hint="default"/>
          <w:spacing w:val="-2"/>
        </w:rPr>
        <w:t>38,301,227.50</w:t>
      </w:r>
      <w:r>
        <w:rPr>
          <w:rFonts w:ascii="宋体" w:hAnsi="宋体" w:cs="宋体" w:eastAsia="宋体" w:hint="default"/>
        </w:rPr>
        <w:t> </w:t>
      </w:r>
      <w:r>
        <w:rPr>
          <w:spacing w:val="-4"/>
        </w:rPr>
        <w:t>元，北京瑞科新网科技有限公司可辨认净资产公允价值为</w:t>
      </w:r>
      <w:r>
        <w:rPr>
          <w:rFonts w:ascii="宋体" w:hAnsi="宋体" w:cs="宋体" w:eastAsia="宋体" w:hint="default"/>
          <w:spacing w:val="-4"/>
        </w:rPr>
        <w:t>38,810,650.00</w:t>
      </w:r>
      <w:r>
        <w:rPr>
          <w:spacing w:val="-4"/>
        </w:rPr>
        <w:t>元，账面价值为在合并报表时，差额部分</w:t>
      </w:r>
      <w:r>
        <w:rPr>
          <w:rFonts w:ascii="宋体" w:hAnsi="宋体" w:cs="宋体" w:eastAsia="宋体" w:hint="default"/>
          <w:spacing w:val="-4"/>
        </w:rPr>
        <w:t>-509,422.50</w:t>
      </w:r>
      <w:r>
        <w:rPr>
          <w:rFonts w:ascii="宋体" w:hAnsi="宋体" w:cs="宋体" w:eastAsia="宋体" w:hint="default"/>
        </w:rPr>
        <w:t> </w:t>
      </w:r>
      <w:r>
        <w:rPr>
          <w:spacing w:val="-3"/>
        </w:rPr>
        <w:t>元在合并报表时确认为商誉。非同一控制企业合并产生的应纳税暂时性差异</w:t>
      </w:r>
      <w:r>
        <w:rPr>
          <w:rFonts w:ascii="宋体" w:hAnsi="宋体" w:cs="宋体" w:eastAsia="宋体" w:hint="default"/>
          <w:spacing w:val="-3"/>
        </w:rPr>
        <w:t>8,810,650.00</w:t>
      </w:r>
      <w:r>
        <w:rPr>
          <w:spacing w:val="-3"/>
        </w:rPr>
        <w:t>元，在确认递延所得税负债的同时，</w:t>
      </w:r>
      <w:r>
        <w:rPr>
          <w:spacing w:val="-84"/>
        </w:rPr>
        <w:t> </w:t>
      </w:r>
      <w:r>
        <w:rPr>
          <w:spacing w:val="-84"/>
        </w:rPr>
      </w:r>
      <w:r>
        <w:rPr/>
        <w:t>相关的递延所得税费用（或收益）应调整企业合并中所确认的商誉</w:t>
      </w:r>
      <w:r>
        <w:rPr>
          <w:rFonts w:ascii="宋体" w:hAnsi="宋体" w:cs="宋体" w:eastAsia="宋体" w:hint="default"/>
        </w:rPr>
        <w:t>2,202,662.50</w:t>
      </w:r>
      <w:r>
        <w:rPr/>
        <w:t>元。综上所述，在合并报表确认的商誉为 </w:t>
      </w:r>
      <w:r>
        <w:rPr>
          <w:rFonts w:ascii="宋体" w:hAnsi="宋体" w:cs="宋体" w:eastAsia="宋体" w:hint="default"/>
        </w:rPr>
        <w:t>1,693,240.00</w:t>
      </w:r>
      <w:r>
        <w:rPr/>
        <w:t>元。</w:t>
      </w:r>
    </w:p>
    <w:p>
      <w:pPr>
        <w:pStyle w:val="BodyText"/>
        <w:spacing w:line="468" w:lineRule="exact" w:before="10"/>
        <w:ind w:left="513" w:right="106"/>
        <w:jc w:val="left"/>
      </w:pPr>
      <w:r>
        <w:rPr/>
        <w:t>（</w:t>
      </w:r>
      <w:r>
        <w:rPr>
          <w:rFonts w:ascii="宋体" w:hAnsi="宋体" w:cs="宋体" w:eastAsia="宋体" w:hint="default"/>
        </w:rPr>
        <w:t>2</w:t>
      </w:r>
      <w:r>
        <w:rPr/>
        <w:t>）商誉减值的判断 </w:t>
      </w:r>
      <w:r>
        <w:rPr>
          <w:spacing w:val="-2"/>
        </w:rPr>
        <w:t>将非同一控制企业合并北京瑞科新网科技有限公司形成的商誉的账面价值，按照合理的方法分摊至相关的资产组，先对</w:t>
      </w:r>
    </w:p>
    <w:p>
      <w:pPr>
        <w:pStyle w:val="BodyText"/>
        <w:spacing w:line="319" w:lineRule="auto" w:before="8"/>
        <w:ind w:right="184"/>
        <w:jc w:val="left"/>
      </w:pPr>
      <w:r>
        <w:rPr/>
        <w:t>不包含商誉的资产组进行减值测试，可回收金额高于账面价值，未发生减值损失。再对包含商誉的资产组进行减值测试</w:t>
      </w:r>
      <w:r>
        <w:rPr>
          <w:rFonts w:ascii="宋体" w:hAnsi="宋体" w:cs="宋体" w:eastAsia="宋体" w:hint="default"/>
        </w:rPr>
        <w:t>,</w:t>
      </w:r>
      <w:r>
        <w:rPr/>
        <w:t>相</w:t>
      </w:r>
      <w:r>
        <w:rPr>
          <w:spacing w:val="-87"/>
        </w:rPr>
        <w:t> </w:t>
      </w:r>
      <w:r>
        <w:rPr/>
        <w:t>关资产组的可收回金额高于其账面价值，因此未发生商誉的减值损失。</w:t>
      </w:r>
    </w:p>
    <w:p>
      <w:pPr>
        <w:spacing w:after="0" w:line="319"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114"/>
        <w:jc w:val="left"/>
        <w:rPr>
          <w:b w:val="0"/>
          <w:bCs w:val="0"/>
        </w:rPr>
      </w:pPr>
      <w:r>
        <w:rPr>
          <w:rFonts w:ascii="Times New Roman" w:hAnsi="Times New Roman" w:cs="Times New Roman" w:eastAsia="Times New Roman" w:hint="default"/>
        </w:rPr>
        <w:t>13</w:t>
      </w:r>
      <w:r>
        <w:rPr/>
        <w:t>、长期待摊费用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1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东直门机房装修</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706,505.96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64,344.84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642,161.12</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酒仙桥机房一期装 修</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5,052,674.29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317,445.48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4,735,228.81</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酒仙桥机房二期装 修</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9,406,610.94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7,778,514.39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609,080.32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16,576,045.01</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电力通道租金</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485,002.00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29,694.00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455,308.00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管井租赁费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1,710,633.76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209,055.00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139,055.69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1,780,633.07</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通信管孔</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5,871,453.55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5,917,556.00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938,291.09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10,850,718.46</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燕郊机房装修</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27,072,819.54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470,056.00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1,435,233.32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26,107,642.22</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燕郊房租</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6,071,391.77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6,071,391.77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56,377,091.81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14,375,181.39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9,604,536.51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61,147,736.69</w:t>
            </w:r>
          </w:p>
        </w:tc>
      </w:tr>
    </w:tbl>
    <w:p>
      <w:pPr>
        <w:pStyle w:val="BodyText"/>
        <w:spacing w:line="240" w:lineRule="auto" w:before="49"/>
        <w:ind w:right="114"/>
        <w:jc w:val="left"/>
      </w:pPr>
      <w:r>
        <w:rPr/>
        <w:t>其他说明</w:t>
      </w:r>
    </w:p>
    <w:p>
      <w:pPr>
        <w:spacing w:line="240" w:lineRule="auto" w:before="12"/>
        <w:rPr>
          <w:rFonts w:ascii="宋体" w:hAnsi="宋体" w:cs="宋体" w:eastAsia="宋体" w:hint="default"/>
          <w:sz w:val="17"/>
          <w:szCs w:val="17"/>
        </w:rPr>
      </w:pPr>
    </w:p>
    <w:p>
      <w:pPr>
        <w:pStyle w:val="BodyText"/>
        <w:spacing w:line="314" w:lineRule="auto"/>
        <w:ind w:right="114" w:firstLine="360"/>
        <w:jc w:val="left"/>
      </w:pPr>
      <w:r>
        <w:rPr>
          <w:spacing w:val="-2"/>
        </w:rPr>
        <w:t>本公司之子公司光环云谷科技有限公司经营用数据机房所用场地的租赁性质为经营租赁，合同总金额</w:t>
      </w:r>
      <w:r>
        <w:rPr>
          <w:rFonts w:ascii="宋体" w:hAnsi="宋体" w:cs="宋体" w:eastAsia="宋体" w:hint="default"/>
          <w:spacing w:val="-2"/>
        </w:rPr>
        <w:t>60,713,917.50</w:t>
      </w:r>
      <w:r>
        <w:rPr>
          <w:spacing w:val="-2"/>
        </w:rPr>
        <w:t>元，</w:t>
      </w:r>
      <w:r>
        <w:rPr/>
        <w:t> 租期</w:t>
      </w:r>
      <w:r>
        <w:rPr>
          <w:rFonts w:ascii="宋体" w:hAnsi="宋体" w:cs="宋体" w:eastAsia="宋体" w:hint="default"/>
        </w:rPr>
        <w:t>10</w:t>
      </w:r>
      <w:r>
        <w:rPr/>
        <w:t>年，年租金</w:t>
      </w:r>
      <w:r>
        <w:rPr>
          <w:rFonts w:ascii="宋体" w:hAnsi="宋体" w:cs="宋体" w:eastAsia="宋体" w:hint="default"/>
        </w:rPr>
        <w:t>6,071,391.75</w:t>
      </w:r>
      <w:r>
        <w:rPr/>
        <w:t>元，本公司已支付相应租金。</w:t>
      </w:r>
    </w:p>
    <w:p>
      <w:pPr>
        <w:spacing w:line="240" w:lineRule="auto" w:before="13"/>
        <w:rPr>
          <w:rFonts w:ascii="宋体" w:hAnsi="宋体" w:cs="宋体" w:eastAsia="宋体" w:hint="default"/>
          <w:sz w:val="22"/>
          <w:szCs w:val="22"/>
        </w:rPr>
      </w:pPr>
    </w:p>
    <w:p>
      <w:pPr>
        <w:pStyle w:val="Heading3"/>
        <w:spacing w:line="240" w:lineRule="auto"/>
        <w:ind w:right="114"/>
        <w:jc w:val="left"/>
        <w:rPr>
          <w:b w:val="0"/>
          <w:bCs w:val="0"/>
        </w:rPr>
      </w:pPr>
      <w:r>
        <w:rPr>
          <w:rFonts w:ascii="Times New Roman" w:hAnsi="Times New Roman" w:cs="Times New Roman" w:eastAsia="Times New Roman" w:hint="default"/>
        </w:rPr>
        <w:t>14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4"/>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21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3,873,526.63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581,028.99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2,503,567.46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375,535.12</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4,766,202.79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714,930.42</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3,873,526.63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581,028.99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7,269,770.25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1,090,465.54</w:t>
            </w:r>
          </w:p>
        </w:tc>
      </w:tr>
    </w:tbl>
    <w:p>
      <w:pPr>
        <w:spacing w:line="240" w:lineRule="auto" w:before="3"/>
        <w:rPr>
          <w:rFonts w:ascii="宋体" w:hAnsi="宋体" w:cs="宋体" w:eastAsia="宋体" w:hint="default"/>
          <w:sz w:val="19"/>
          <w:szCs w:val="19"/>
        </w:rPr>
      </w:pPr>
    </w:p>
    <w:p>
      <w:pPr>
        <w:pStyle w:val="Heading3"/>
        <w:spacing w:line="240" w:lineRule="auto" w:before="36"/>
        <w:ind w:right="114"/>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1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01"/>
        <w:gridCol w:w="1928"/>
        <w:gridCol w:w="1916"/>
        <w:gridCol w:w="1913"/>
        <w:gridCol w:w="1916"/>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3"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44"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7,709,318.75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1,927,329.69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7,929,585.00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1,982,396.25</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7,709,318.75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1,927,329.69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7,929,585.00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1,982,396.25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20"/>
        </w:sectPr>
      </w:pPr>
    </w:p>
    <w:p>
      <w:pPr>
        <w:spacing w:line="240" w:lineRule="auto" w:before="10"/>
        <w:rPr>
          <w:rFonts w:ascii="宋体" w:hAnsi="宋体" w:cs="宋体" w:eastAsia="宋体" w:hint="default"/>
          <w:sz w:val="24"/>
          <w:szCs w:val="24"/>
        </w:rPr>
      </w:pPr>
    </w:p>
    <w:p>
      <w:pPr>
        <w:pStyle w:val="Heading3"/>
        <w:spacing w:line="240" w:lineRule="auto" w:before="36"/>
        <w:ind w:right="106"/>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9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161"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2" w:right="51"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4"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581,028.99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1,090,465.54</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1,927,329.69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1,982,396.25</w:t>
            </w:r>
          </w:p>
        </w:tc>
      </w:tr>
    </w:tbl>
    <w:p>
      <w:pPr>
        <w:spacing w:line="240" w:lineRule="auto" w:before="3"/>
        <w:rPr>
          <w:rFonts w:ascii="宋体" w:hAnsi="宋体" w:cs="宋体" w:eastAsia="宋体" w:hint="default"/>
          <w:sz w:val="19"/>
          <w:szCs w:val="19"/>
        </w:rPr>
      </w:pPr>
    </w:p>
    <w:p>
      <w:pPr>
        <w:pStyle w:val="Heading3"/>
        <w:spacing w:line="240" w:lineRule="auto" w:before="36"/>
        <w:ind w:right="106"/>
        <w:jc w:val="left"/>
        <w:rPr>
          <w:b w:val="0"/>
          <w:bCs w:val="0"/>
        </w:rPr>
      </w:pPr>
      <w:r>
        <w:rPr/>
        <w:t>（</w:t>
      </w:r>
      <w:r>
        <w:rPr>
          <w:rFonts w:ascii="Times New Roman" w:hAnsi="Times New Roman" w:cs="Times New Roman" w:eastAsia="Times New Roman" w:hint="default"/>
        </w:rPr>
        <w:t>4</w:t>
      </w:r>
      <w:r>
        <w:rPr/>
        <w:t>）未确认递延所得税资产的可抵扣亏损将于以下年度到期</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06"/>
        <w:jc w:val="left"/>
      </w:pPr>
      <w:r>
        <w:rPr/>
        <w:t>其他说明：</w:t>
      </w:r>
    </w:p>
    <w:p>
      <w:pPr>
        <w:spacing w:line="240" w:lineRule="auto" w:before="7"/>
        <w:rPr>
          <w:rFonts w:ascii="宋体" w:hAnsi="宋体" w:cs="宋体" w:eastAsia="宋体" w:hint="default"/>
          <w:sz w:val="14"/>
          <w:szCs w:val="14"/>
        </w:rPr>
      </w:pPr>
    </w:p>
    <w:p>
      <w:pPr>
        <w:pStyle w:val="BodyText"/>
        <w:spacing w:line="240" w:lineRule="auto" w:before="44"/>
        <w:ind w:left="513" w:right="106"/>
        <w:jc w:val="left"/>
      </w:pPr>
      <w:r>
        <w:rPr/>
        <w:t>固定资产公允价值产生的应纳税暂时性差异</w:t>
      </w:r>
      <w:r>
        <w:rPr>
          <w:spacing w:val="-82"/>
        </w:rPr>
        <w:t>，</w:t>
      </w:r>
      <w:r>
        <w:rPr/>
        <w:t>为收购北京瑞科新网科技有限公司的可辨认资产公允价值与账面价值的差</w:t>
      </w:r>
    </w:p>
    <w:p>
      <w:pPr>
        <w:pStyle w:val="BodyText"/>
        <w:spacing w:line="240" w:lineRule="auto" w:before="74"/>
        <w:ind w:right="106"/>
        <w:jc w:val="left"/>
      </w:pPr>
      <w:r>
        <w:rPr/>
        <w:t>额。</w:t>
      </w:r>
    </w:p>
    <w:p>
      <w:pPr>
        <w:spacing w:line="240" w:lineRule="auto" w:before="6"/>
        <w:rPr>
          <w:rFonts w:ascii="宋体" w:hAnsi="宋体" w:cs="宋体" w:eastAsia="宋体" w:hint="default"/>
          <w:sz w:val="24"/>
          <w:szCs w:val="24"/>
        </w:rPr>
      </w:pPr>
    </w:p>
    <w:p>
      <w:pPr>
        <w:pStyle w:val="Heading3"/>
        <w:spacing w:line="240" w:lineRule="auto" w:before="36"/>
        <w:ind w:right="106"/>
        <w:jc w:val="left"/>
        <w:rPr>
          <w:b w:val="0"/>
          <w:bCs w:val="0"/>
        </w:rPr>
      </w:pPr>
      <w:r>
        <w:rPr>
          <w:rFonts w:ascii="Times New Roman" w:hAnsi="Times New Roman" w:cs="Times New Roman" w:eastAsia="Times New Roman" w:hint="default"/>
        </w:rPr>
        <w:t>15</w:t>
      </w:r>
      <w:r>
        <w:rPr/>
        <w:t>、其他非流动资产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预付购房款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79,216,892.97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77,758,315.77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79,216,892.97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77,758,315.77</w:t>
            </w:r>
          </w:p>
        </w:tc>
      </w:tr>
    </w:tbl>
    <w:p>
      <w:pPr>
        <w:pStyle w:val="BodyText"/>
        <w:spacing w:line="240" w:lineRule="auto" w:before="49"/>
        <w:ind w:right="106"/>
        <w:jc w:val="left"/>
      </w:pPr>
      <w:r>
        <w:rPr/>
        <w:t>其他说明：</w:t>
      </w:r>
    </w:p>
    <w:p>
      <w:pPr>
        <w:spacing w:line="240" w:lineRule="auto" w:before="12"/>
        <w:rPr>
          <w:rFonts w:ascii="宋体" w:hAnsi="宋体" w:cs="宋体" w:eastAsia="宋体" w:hint="default"/>
          <w:sz w:val="17"/>
          <w:szCs w:val="17"/>
        </w:rPr>
      </w:pPr>
    </w:p>
    <w:p>
      <w:pPr>
        <w:pStyle w:val="BodyText"/>
        <w:spacing w:line="316" w:lineRule="auto"/>
        <w:ind w:right="94" w:firstLine="360"/>
        <w:jc w:val="left"/>
      </w:pPr>
      <w:r>
        <w:rPr/>
        <w:t>（</w:t>
      </w:r>
      <w:r>
        <w:rPr>
          <w:rFonts w:ascii="宋体" w:hAnsi="宋体" w:cs="宋体" w:eastAsia="宋体" w:hint="default"/>
        </w:rPr>
        <w:t>1</w:t>
      </w:r>
      <w:r>
        <w:rPr/>
        <w:t>）本公司分别在</w:t>
      </w:r>
      <w:r>
        <w:rPr>
          <w:rFonts w:ascii="宋体" w:hAnsi="宋体" w:cs="宋体" w:eastAsia="宋体" w:hint="default"/>
        </w:rPr>
        <w:t>2011</w:t>
      </w:r>
      <w:r>
        <w:rPr/>
        <w:t>年</w:t>
      </w:r>
      <w:r>
        <w:rPr>
          <w:rFonts w:ascii="宋体" w:hAnsi="宋体" w:cs="宋体" w:eastAsia="宋体" w:hint="default"/>
        </w:rPr>
        <w:t>3</w:t>
      </w:r>
      <w:r>
        <w:rPr/>
        <w:t>月</w:t>
      </w:r>
      <w:r>
        <w:rPr>
          <w:rFonts w:ascii="宋体" w:hAnsi="宋体" w:cs="宋体" w:eastAsia="宋体" w:hint="default"/>
        </w:rPr>
        <w:t>9</w:t>
      </w:r>
      <w:r>
        <w:rPr/>
        <w:t>日、</w:t>
      </w:r>
      <w:r>
        <w:rPr>
          <w:rFonts w:ascii="宋体" w:hAnsi="宋体" w:cs="宋体" w:eastAsia="宋体" w:hint="default"/>
        </w:rPr>
        <w:t>2011</w:t>
      </w:r>
      <w:r>
        <w:rPr/>
        <w:t>年</w:t>
      </w:r>
      <w:r>
        <w:rPr>
          <w:rFonts w:ascii="宋体" w:hAnsi="宋体" w:cs="宋体" w:eastAsia="宋体" w:hint="default"/>
        </w:rPr>
        <w:t>10</w:t>
      </w:r>
      <w:r>
        <w:rPr/>
        <w:t>月</w:t>
      </w:r>
      <w:r>
        <w:rPr>
          <w:rFonts w:ascii="宋体" w:hAnsi="宋体" w:cs="宋体" w:eastAsia="宋体" w:hint="default"/>
        </w:rPr>
        <w:t>8</w:t>
      </w:r>
      <w:r>
        <w:rPr/>
        <w:t>日、</w:t>
      </w:r>
      <w:r>
        <w:rPr>
          <w:rFonts w:ascii="宋体" w:hAnsi="宋体" w:cs="宋体" w:eastAsia="宋体" w:hint="default"/>
        </w:rPr>
        <w:t>2014</w:t>
      </w:r>
      <w:r>
        <w:rPr/>
        <w:t>年</w:t>
      </w:r>
      <w:r>
        <w:rPr>
          <w:rFonts w:ascii="宋体" w:hAnsi="宋体" w:cs="宋体" w:eastAsia="宋体" w:hint="default"/>
        </w:rPr>
        <w:t>2</w:t>
      </w:r>
      <w:r>
        <w:rPr/>
        <w:t>月</w:t>
      </w:r>
      <w:r>
        <w:rPr>
          <w:rFonts w:ascii="宋体" w:hAnsi="宋体" w:cs="宋体" w:eastAsia="宋体" w:hint="default"/>
        </w:rPr>
        <w:t>13</w:t>
      </w:r>
      <w:r>
        <w:rPr/>
        <w:t>日与德信智能手机技术（北京）有限公司签订了《房 </w:t>
      </w:r>
      <w:r>
        <w:rPr>
          <w:spacing w:val="-2"/>
        </w:rPr>
        <w:t>屋买卖合同》、《</w:t>
      </w:r>
      <w:r>
        <w:rPr>
          <w:rFonts w:ascii="宋体" w:hAnsi="宋体" w:cs="宋体" w:eastAsia="宋体" w:hint="default"/>
          <w:spacing w:val="-2"/>
        </w:rPr>
        <w:t>&lt;</w:t>
      </w:r>
      <w:r>
        <w:rPr>
          <w:spacing w:val="-2"/>
        </w:rPr>
        <w:t>房屋买卖合同</w:t>
      </w:r>
      <w:r>
        <w:rPr>
          <w:rFonts w:ascii="宋体" w:hAnsi="宋体" w:cs="宋体" w:eastAsia="宋体" w:hint="default"/>
          <w:spacing w:val="-2"/>
        </w:rPr>
        <w:t>&gt;</w:t>
      </w:r>
      <w:r>
        <w:rPr>
          <w:spacing w:val="-2"/>
        </w:rPr>
        <w:t>之补充合同》、《</w:t>
      </w:r>
      <w:r>
        <w:rPr>
          <w:rFonts w:ascii="宋体" w:hAnsi="宋体" w:cs="宋体" w:eastAsia="宋体" w:hint="default"/>
          <w:spacing w:val="-2"/>
        </w:rPr>
        <w:t>&lt;</w:t>
      </w:r>
      <w:r>
        <w:rPr>
          <w:spacing w:val="-2"/>
        </w:rPr>
        <w:t>房屋买卖合同</w:t>
      </w:r>
      <w:r>
        <w:rPr>
          <w:rFonts w:ascii="宋体" w:hAnsi="宋体" w:cs="宋体" w:eastAsia="宋体" w:hint="default"/>
          <w:spacing w:val="-2"/>
        </w:rPr>
        <w:t>&gt;</w:t>
      </w:r>
      <w:r>
        <w:rPr>
          <w:spacing w:val="-2"/>
        </w:rPr>
        <w:t>之补充合同二》约定其向公司出售房屋（朝阳区酒仙桥</w:t>
      </w:r>
      <w:r>
        <w:rPr>
          <w:spacing w:val="-67"/>
        </w:rPr>
        <w:t> </w:t>
      </w:r>
      <w:r>
        <w:rPr>
          <w:spacing w:val="-67"/>
        </w:rPr>
      </w:r>
      <w:r>
        <w:rPr/>
        <w:t>北路甲</w:t>
      </w:r>
      <w:r>
        <w:rPr>
          <w:rFonts w:ascii="宋体" w:hAnsi="宋体" w:cs="宋体" w:eastAsia="宋体" w:hint="default"/>
        </w:rPr>
        <w:t>10</w:t>
      </w:r>
      <w:r>
        <w:rPr/>
        <w:t>号院</w:t>
      </w:r>
      <w:r>
        <w:rPr>
          <w:rFonts w:ascii="宋体" w:hAnsi="宋体" w:cs="宋体" w:eastAsia="宋体" w:hint="default"/>
        </w:rPr>
        <w:t>402</w:t>
      </w:r>
      <w:r>
        <w:rPr/>
        <w:t>号楼</w:t>
      </w:r>
      <w:r>
        <w:rPr>
          <w:rFonts w:ascii="宋体" w:hAnsi="宋体" w:cs="宋体" w:eastAsia="宋体" w:hint="default"/>
        </w:rPr>
        <w:t>5</w:t>
      </w:r>
      <w:r>
        <w:rPr/>
        <w:t>层）作为数据机房使用，交易价格为</w:t>
      </w:r>
      <w:r>
        <w:rPr>
          <w:rFonts w:ascii="宋体" w:hAnsi="宋体" w:cs="宋体" w:eastAsia="宋体" w:hint="default"/>
        </w:rPr>
        <w:t>41,634,880.00</w:t>
      </w:r>
      <w:r>
        <w:rPr/>
        <w:t>元，公司已累计支付交易价款</w:t>
      </w:r>
      <w:r>
        <w:rPr>
          <w:rFonts w:ascii="宋体" w:hAnsi="宋体" w:cs="宋体" w:eastAsia="宋体" w:hint="default"/>
        </w:rPr>
        <w:t>41,634,880.00</w:t>
      </w:r>
      <w:r>
        <w:rPr/>
        <w:t>元， 截至报告日房屋产权证尚在办理中，未过户至本公司；</w:t>
      </w:r>
      <w:r>
        <w:rPr>
          <w:rFonts w:ascii="宋体" w:hAnsi="宋体" w:cs="宋体" w:eastAsia="宋体" w:hint="default"/>
        </w:rPr>
        <w:t>2012</w:t>
      </w:r>
      <w:r>
        <w:rPr/>
        <w:t>年</w:t>
      </w:r>
      <w:r>
        <w:rPr>
          <w:rFonts w:ascii="宋体" w:hAnsi="宋体" w:cs="宋体" w:eastAsia="宋体" w:hint="default"/>
        </w:rPr>
        <w:t>8</w:t>
      </w:r>
      <w:r>
        <w:rPr/>
        <w:t>月，公司在标的房屋建设的酒仙桥机房二期已投入使用并结 </w:t>
      </w:r>
      <w:r>
        <w:rPr>
          <w:spacing w:val="-2"/>
        </w:rPr>
        <w:t>转固定资产，出于谨慎性和配比原则考虑，公司比照房屋建筑物折旧政策进行摊销，摊销年限</w:t>
      </w:r>
      <w:r>
        <w:rPr>
          <w:rFonts w:ascii="宋体" w:hAnsi="宋体" w:cs="宋体" w:eastAsia="宋体" w:hint="default"/>
          <w:spacing w:val="-2"/>
        </w:rPr>
        <w:t>40</w:t>
      </w:r>
      <w:r>
        <w:rPr>
          <w:spacing w:val="-2"/>
        </w:rPr>
        <w:t>年，截至</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日累</w:t>
      </w:r>
      <w:r>
        <w:rPr>
          <w:spacing w:val="-60"/>
        </w:rPr>
        <w:t> </w:t>
      </w:r>
      <w:r>
        <w:rPr/>
        <w:t>计摊销</w:t>
      </w:r>
      <w:r>
        <w:rPr>
          <w:rFonts w:ascii="宋体" w:hAnsi="宋体" w:cs="宋体" w:eastAsia="宋体" w:hint="default"/>
        </w:rPr>
        <w:t>40</w:t>
      </w:r>
      <w:r>
        <w:rPr/>
        <w:t>个月，摊销金额</w:t>
      </w:r>
      <w:r>
        <w:rPr>
          <w:rFonts w:ascii="宋体" w:hAnsi="宋体" w:cs="宋体" w:eastAsia="宋体" w:hint="default"/>
        </w:rPr>
        <w:t>3,449,379.03</w:t>
      </w:r>
      <w:r>
        <w:rPr/>
        <w:t>元，摊销后余额</w:t>
      </w:r>
      <w:r>
        <w:rPr>
          <w:rFonts w:ascii="宋体" w:hAnsi="宋体" w:cs="宋体" w:eastAsia="宋体" w:hint="default"/>
        </w:rPr>
        <w:t>38,185,500.97</w:t>
      </w:r>
      <w:r>
        <w:rPr/>
        <w:t>元。</w:t>
      </w:r>
    </w:p>
    <w:p>
      <w:pPr>
        <w:spacing w:line="240" w:lineRule="auto" w:before="5"/>
        <w:rPr>
          <w:rFonts w:ascii="宋体" w:hAnsi="宋体" w:cs="宋体" w:eastAsia="宋体" w:hint="default"/>
          <w:sz w:val="13"/>
          <w:szCs w:val="13"/>
        </w:rPr>
      </w:pPr>
    </w:p>
    <w:p>
      <w:pPr>
        <w:pStyle w:val="BodyText"/>
        <w:spacing w:line="319" w:lineRule="auto"/>
        <w:ind w:right="191" w:firstLine="360"/>
        <w:jc w:val="both"/>
      </w:pPr>
      <w:r>
        <w:rPr>
          <w:spacing w:val="-2"/>
        </w:rPr>
        <w:t>（</w:t>
      </w:r>
      <w:r>
        <w:rPr>
          <w:rFonts w:ascii="宋体" w:hAnsi="宋体" w:cs="宋体" w:eastAsia="宋体" w:hint="default"/>
          <w:spacing w:val="-2"/>
        </w:rPr>
        <w:t>2</w:t>
      </w:r>
      <w:r>
        <w:rPr>
          <w:spacing w:val="-2"/>
        </w:rPr>
        <w:t>）本公司</w:t>
      </w:r>
      <w:r>
        <w:rPr>
          <w:rFonts w:ascii="宋体" w:hAnsi="宋体" w:cs="宋体" w:eastAsia="宋体" w:hint="default"/>
          <w:spacing w:val="-2"/>
        </w:rPr>
        <w:t>2014</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12</w:t>
      </w:r>
      <w:r>
        <w:rPr>
          <w:spacing w:val="-2"/>
        </w:rPr>
        <w:t>日与德信智能手机技术（北京）有限公司签订了《</w:t>
      </w:r>
      <w:r>
        <w:rPr>
          <w:rFonts w:ascii="宋体" w:hAnsi="宋体" w:cs="宋体" w:eastAsia="宋体" w:hint="default"/>
          <w:spacing w:val="-2"/>
        </w:rPr>
        <w:t>&lt;</w:t>
      </w:r>
      <w:r>
        <w:rPr>
          <w:spacing w:val="-2"/>
        </w:rPr>
        <w:t>房屋买卖合同</w:t>
      </w:r>
      <w:r>
        <w:rPr>
          <w:rFonts w:ascii="宋体" w:hAnsi="宋体" w:cs="宋体" w:eastAsia="宋体" w:hint="default"/>
          <w:spacing w:val="-2"/>
        </w:rPr>
        <w:t>&gt;</w:t>
      </w:r>
      <w:r>
        <w:rPr>
          <w:spacing w:val="-2"/>
        </w:rPr>
        <w:t>之补充合同三》约定其向公</w:t>
      </w:r>
      <w:r>
        <w:rPr/>
        <w:t> 司出售房屋（朝阳区酒仙桥北路甲</w:t>
      </w:r>
      <w:r>
        <w:rPr>
          <w:rFonts w:ascii="宋体" w:hAnsi="宋体" w:cs="宋体" w:eastAsia="宋体" w:hint="default"/>
        </w:rPr>
        <w:t>10</w:t>
      </w:r>
      <w:r>
        <w:rPr/>
        <w:t>号院</w:t>
      </w:r>
      <w:r>
        <w:rPr>
          <w:rFonts w:ascii="宋体" w:hAnsi="宋体" w:cs="宋体" w:eastAsia="宋体" w:hint="default"/>
        </w:rPr>
        <w:t>402</w:t>
      </w:r>
      <w:r>
        <w:rPr/>
        <w:t>号楼</w:t>
      </w:r>
      <w:r>
        <w:rPr>
          <w:rFonts w:ascii="宋体" w:hAnsi="宋体" w:cs="宋体" w:eastAsia="宋体" w:hint="default"/>
        </w:rPr>
        <w:t>4</w:t>
      </w:r>
      <w:r>
        <w:rPr/>
        <w:t>层）作为数据机房使用，交易价格为</w:t>
      </w:r>
      <w:r>
        <w:rPr>
          <w:rFonts w:ascii="宋体" w:hAnsi="宋体" w:cs="宋体" w:eastAsia="宋体" w:hint="default"/>
        </w:rPr>
        <w:t>41,034,880.00</w:t>
      </w:r>
      <w:r>
        <w:rPr/>
        <w:t>元，截止</w:t>
      </w:r>
      <w:r>
        <w:rPr>
          <w:rFonts w:ascii="宋体" w:hAnsi="宋体" w:cs="宋体" w:eastAsia="宋体" w:hint="default"/>
        </w:rPr>
        <w:t>2015</w:t>
      </w:r>
      <w:r>
        <w:rPr/>
        <w:t>年</w:t>
      </w:r>
      <w:r>
        <w:rPr>
          <w:rFonts w:ascii="宋体" w:hAnsi="宋体" w:cs="宋体" w:eastAsia="宋体" w:hint="default"/>
        </w:rPr>
        <w:t>12</w:t>
      </w:r>
      <w:r>
        <w:rPr/>
        <w:t>月 </w:t>
      </w:r>
      <w:r>
        <w:rPr>
          <w:rFonts w:ascii="宋体" w:hAnsi="宋体" w:cs="宋体" w:eastAsia="宋体" w:hint="default"/>
        </w:rPr>
        <w:t>31</w:t>
      </w:r>
      <w:r>
        <w:rPr/>
        <w:t>日，公司已累计支付交易价款</w:t>
      </w:r>
      <w:r>
        <w:rPr>
          <w:rFonts w:ascii="宋体" w:hAnsi="宋体" w:cs="宋体" w:eastAsia="宋体" w:hint="default"/>
        </w:rPr>
        <w:t>41,031,392.00</w:t>
      </w:r>
      <w:r>
        <w:rPr/>
        <w:t>元，截至报告日房屋产权证尚在办理中，未过户至本公司，</w:t>
      </w:r>
      <w:r>
        <w:rPr>
          <w:rFonts w:ascii="宋体" w:hAnsi="宋体" w:cs="宋体" w:eastAsia="宋体" w:hint="default"/>
        </w:rPr>
        <w:t>2015</w:t>
      </w:r>
      <w:r>
        <w:rPr/>
        <w:t>年</w:t>
      </w:r>
      <w:r>
        <w:rPr>
          <w:rFonts w:ascii="宋体" w:hAnsi="宋体" w:cs="宋体" w:eastAsia="宋体" w:hint="default"/>
        </w:rPr>
        <w:t>12</w:t>
      </w:r>
      <w:r>
        <w:rPr/>
        <w:t>月四层 机房已经建设完工，投入使用。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7"/>
        <w:ind w:right="106"/>
        <w:jc w:val="left"/>
        <w:rPr>
          <w:b w:val="0"/>
          <w:bCs w:val="0"/>
        </w:rPr>
      </w:pPr>
      <w:r>
        <w:rPr>
          <w:rFonts w:ascii="Times New Roman" w:hAnsi="Times New Roman" w:cs="Times New Roman" w:eastAsia="Times New Roman" w:hint="default"/>
        </w:rPr>
        <w:t>16</w:t>
      </w:r>
      <w:r>
        <w:rPr/>
        <w:t>、短期借款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06"/>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30,999,908.40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42,396,232.54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130,999,908.40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42,396,232.54</w:t>
            </w:r>
          </w:p>
        </w:tc>
      </w:tr>
    </w:tbl>
    <w:p>
      <w:pPr>
        <w:pStyle w:val="BodyText"/>
        <w:spacing w:line="240" w:lineRule="auto" w:before="49"/>
        <w:ind w:right="106"/>
        <w:jc w:val="left"/>
      </w:pPr>
      <w:r>
        <w:rPr/>
        <w:t>短期借款分类的说明：</w:t>
      </w:r>
    </w:p>
    <w:p>
      <w:pPr>
        <w:spacing w:line="240" w:lineRule="auto" w:before="10"/>
        <w:rPr>
          <w:rFonts w:ascii="宋体" w:hAnsi="宋体" w:cs="宋体" w:eastAsia="宋体" w:hint="default"/>
          <w:sz w:val="17"/>
          <w:szCs w:val="17"/>
        </w:rPr>
      </w:pPr>
    </w:p>
    <w:p>
      <w:pPr>
        <w:pStyle w:val="BodyText"/>
        <w:spacing w:line="316" w:lineRule="auto"/>
        <w:ind w:right="94" w:firstLine="360"/>
        <w:jc w:val="left"/>
      </w:pPr>
      <w:r>
        <w:rPr/>
        <w:t>（</w:t>
      </w:r>
      <w:r>
        <w:rPr>
          <w:rFonts w:ascii="宋体" w:hAnsi="宋体" w:cs="宋体" w:eastAsia="宋体" w:hint="default"/>
        </w:rPr>
        <w:t>1</w:t>
      </w:r>
      <w:r>
        <w:rPr/>
        <w:t>）公司以子公司北京瑞科新网科技有限公司房产为抵押（即德信大厦</w:t>
      </w:r>
      <w:r>
        <w:rPr>
          <w:rFonts w:ascii="宋体" w:hAnsi="宋体" w:cs="宋体" w:eastAsia="宋体" w:hint="default"/>
        </w:rPr>
        <w:t>6</w:t>
      </w:r>
      <w:r>
        <w:rPr/>
        <w:t>层，</w:t>
      </w:r>
      <w:r>
        <w:rPr>
          <w:rFonts w:ascii="宋体" w:hAnsi="宋体" w:cs="宋体" w:eastAsia="宋体" w:hint="default"/>
        </w:rPr>
        <w:t>X</w:t>
      </w:r>
      <w:r>
        <w:rPr/>
        <w:t>京房权证朝字第</w:t>
      </w:r>
      <w:r>
        <w:rPr>
          <w:rFonts w:ascii="宋体" w:hAnsi="宋体" w:cs="宋体" w:eastAsia="宋体" w:hint="default"/>
        </w:rPr>
        <w:t>937056</w:t>
      </w:r>
      <w:r>
        <w:rPr/>
        <w:t>号），并由公司 董事长耿殿根作为连带责任保证人，与招商银行股份有限公司北京建国路支行于</w:t>
      </w:r>
      <w:r>
        <w:rPr>
          <w:rFonts w:ascii="宋体" w:hAnsi="宋体" w:cs="宋体" w:eastAsia="宋体" w:hint="default"/>
        </w:rPr>
        <w:t>2014</w:t>
      </w:r>
      <w:r>
        <w:rPr/>
        <w:t>年</w:t>
      </w:r>
      <w:r>
        <w:rPr>
          <w:rFonts w:ascii="宋体" w:hAnsi="宋体" w:cs="宋体" w:eastAsia="宋体" w:hint="default"/>
        </w:rPr>
        <w:t>10</w:t>
      </w:r>
      <w:r>
        <w:rPr/>
        <w:t>月</w:t>
      </w:r>
      <w:r>
        <w:rPr>
          <w:rFonts w:ascii="宋体" w:hAnsi="宋体" w:cs="宋体" w:eastAsia="宋体" w:hint="default"/>
        </w:rPr>
        <w:t>28</w:t>
      </w:r>
      <w:r>
        <w:rPr/>
        <w:t>日签订《授信协议》（编号： </w:t>
      </w:r>
      <w:r>
        <w:rPr>
          <w:rFonts w:ascii="宋体" w:hAnsi="宋体" w:cs="宋体" w:eastAsia="宋体" w:hint="default"/>
        </w:rPr>
        <w:t>2014</w:t>
      </w:r>
      <w:r>
        <w:rPr/>
        <w:t>年建授字第</w:t>
      </w:r>
      <w:r>
        <w:rPr>
          <w:rFonts w:ascii="宋体" w:hAnsi="宋体" w:cs="宋体" w:eastAsia="宋体" w:hint="default"/>
        </w:rPr>
        <w:t>010</w:t>
      </w:r>
      <w:r>
        <w:rPr/>
        <w:t>号），招商银行股份有限公司北京建国路支行向本公司提供授信额度人民币叁仟万元整，授信期为</w:t>
      </w:r>
      <w:r>
        <w:rPr>
          <w:rFonts w:ascii="宋体" w:hAnsi="宋体" w:cs="宋体" w:eastAsia="宋体" w:hint="default"/>
        </w:rPr>
        <w:t>2014 </w:t>
      </w:r>
      <w:r>
        <w:rPr/>
        <w:t>年</w:t>
      </w:r>
      <w:r>
        <w:rPr>
          <w:rFonts w:ascii="宋体" w:hAnsi="宋体" w:cs="宋体" w:eastAsia="宋体" w:hint="default"/>
        </w:rPr>
        <w:t>10</w:t>
      </w:r>
      <w:r>
        <w:rPr/>
        <w:t>月</w:t>
      </w:r>
      <w:r>
        <w:rPr>
          <w:rFonts w:ascii="宋体" w:hAnsi="宋体" w:cs="宋体" w:eastAsia="宋体" w:hint="default"/>
        </w:rPr>
        <w:t>28</w:t>
      </w:r>
      <w:r>
        <w:rPr/>
        <w:t>日起至</w:t>
      </w:r>
      <w:r>
        <w:rPr>
          <w:rFonts w:ascii="宋体" w:hAnsi="宋体" w:cs="宋体" w:eastAsia="宋体" w:hint="default"/>
        </w:rPr>
        <w:t>2016</w:t>
      </w:r>
      <w:r>
        <w:rPr/>
        <w:t>年</w:t>
      </w:r>
      <w:r>
        <w:rPr>
          <w:rFonts w:ascii="宋体" w:hAnsi="宋体" w:cs="宋体" w:eastAsia="宋体" w:hint="default"/>
        </w:rPr>
        <w:t>9</w:t>
      </w:r>
      <w:r>
        <w:rPr/>
        <w:t>月</w:t>
      </w:r>
      <w:r>
        <w:rPr>
          <w:rFonts w:ascii="宋体" w:hAnsi="宋体" w:cs="宋体" w:eastAsia="宋体" w:hint="default"/>
        </w:rPr>
        <w:t>16</w:t>
      </w:r>
      <w:r>
        <w:rPr/>
        <w:t>日止。截止</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日，招商银行贷款余额为</w:t>
      </w:r>
      <w:r>
        <w:rPr>
          <w:rFonts w:ascii="宋体" w:hAnsi="宋体" w:cs="宋体" w:eastAsia="宋体" w:hint="default"/>
        </w:rPr>
        <w:t>30,000,000.00</w:t>
      </w:r>
      <w:r>
        <w:rPr/>
        <w:t>元。</w:t>
      </w:r>
    </w:p>
    <w:p>
      <w:pPr>
        <w:spacing w:line="240" w:lineRule="auto" w:before="5"/>
        <w:rPr>
          <w:rFonts w:ascii="宋体" w:hAnsi="宋体" w:cs="宋体" w:eastAsia="宋体" w:hint="default"/>
          <w:sz w:val="13"/>
          <w:szCs w:val="13"/>
        </w:rPr>
      </w:pPr>
    </w:p>
    <w:p>
      <w:pPr>
        <w:pStyle w:val="BodyText"/>
        <w:spacing w:line="319" w:lineRule="auto"/>
        <w:ind w:right="106" w:firstLine="360"/>
        <w:jc w:val="left"/>
      </w:pPr>
      <w:r>
        <w:rPr>
          <w:spacing w:val="-8"/>
        </w:rPr>
        <w:t>（</w:t>
      </w:r>
      <w:r>
        <w:rPr>
          <w:rFonts w:ascii="宋体" w:hAnsi="宋体" w:cs="宋体" w:eastAsia="宋体" w:hint="default"/>
          <w:spacing w:val="-8"/>
        </w:rPr>
        <w:t>2</w:t>
      </w:r>
      <w:r>
        <w:rPr>
          <w:spacing w:val="-8"/>
        </w:rPr>
        <w:t>）公司以德信智能手机技术（北京）有限公司房产抵押（《</w:t>
      </w:r>
      <w:r>
        <w:rPr>
          <w:rFonts w:ascii="宋体" w:hAnsi="宋体" w:cs="宋体" w:eastAsia="宋体" w:hint="default"/>
          <w:spacing w:val="-8"/>
        </w:rPr>
        <w:t>X</w:t>
      </w:r>
      <w:r>
        <w:rPr>
          <w:spacing w:val="-8"/>
        </w:rPr>
        <w:t>京房权证朝字第</w:t>
      </w:r>
      <w:r>
        <w:rPr>
          <w:rFonts w:ascii="宋体" w:hAnsi="宋体" w:cs="宋体" w:eastAsia="宋体" w:hint="default"/>
          <w:spacing w:val="-8"/>
        </w:rPr>
        <w:t>808948</w:t>
      </w:r>
      <w:r>
        <w:rPr>
          <w:spacing w:val="-8"/>
        </w:rPr>
        <w:t>号》即酒仙桥二期机房所在房产），</w:t>
      </w:r>
      <w:r>
        <w:rPr/>
        <w:t> 取得中国建设银行股份有限公司北京朝阳支行向本公司提供的贷款授信额度为人民币玖仟伍佰万元整。截止</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rFonts w:ascii="宋体" w:hAnsi="宋体" w:cs="宋体" w:eastAsia="宋体" w:hint="default"/>
          <w:spacing w:val="-2"/>
        </w:rPr>
        <w:t> </w:t>
      </w:r>
      <w:r>
        <w:rPr/>
        <w:t>日，建设银行贷款余额为</w:t>
      </w:r>
      <w:r>
        <w:rPr>
          <w:rFonts w:ascii="宋体" w:hAnsi="宋体" w:cs="宋体" w:eastAsia="宋体" w:hint="default"/>
        </w:rPr>
        <w:t>70,000,000.00</w:t>
      </w:r>
      <w:r>
        <w:rPr/>
        <w:t>元。</w:t>
      </w:r>
    </w:p>
    <w:p>
      <w:pPr>
        <w:spacing w:line="240" w:lineRule="auto" w:before="3"/>
        <w:rPr>
          <w:rFonts w:ascii="宋体" w:hAnsi="宋体" w:cs="宋体" w:eastAsia="宋体" w:hint="default"/>
          <w:sz w:val="13"/>
          <w:szCs w:val="13"/>
        </w:rPr>
      </w:pPr>
    </w:p>
    <w:p>
      <w:pPr>
        <w:pStyle w:val="BodyText"/>
        <w:spacing w:line="316" w:lineRule="auto"/>
        <w:ind w:right="184" w:firstLine="360"/>
        <w:jc w:val="left"/>
      </w:pPr>
      <w:r>
        <w:rPr/>
        <w:t>（</w:t>
      </w:r>
      <w:r>
        <w:rPr>
          <w:rFonts w:ascii="宋体" w:hAnsi="宋体" w:cs="宋体" w:eastAsia="宋体" w:hint="default"/>
        </w:rPr>
        <w:t>3</w:t>
      </w:r>
      <w:r>
        <w:rPr/>
        <w:t>）公司以货币资金、贷款余额为限额的应收账款作为质押，并由公司董事长耿殿根作为连带责任保证人，与花旗银 </w:t>
      </w:r>
      <w:r>
        <w:rPr>
          <w:spacing w:val="-5"/>
        </w:rPr>
        <w:t>行（中国）有限公司北京分行于</w:t>
      </w:r>
      <w:r>
        <w:rPr>
          <w:rFonts w:ascii="宋体" w:hAnsi="宋体" w:cs="宋体" w:eastAsia="宋体" w:hint="default"/>
          <w:spacing w:val="-5"/>
        </w:rPr>
        <w:t>2015</w:t>
      </w:r>
      <w:r>
        <w:rPr>
          <w:spacing w:val="-5"/>
        </w:rPr>
        <w:t>年</w:t>
      </w:r>
      <w:r>
        <w:rPr>
          <w:rFonts w:ascii="宋体" w:hAnsi="宋体" w:cs="宋体" w:eastAsia="宋体" w:hint="default"/>
          <w:spacing w:val="-5"/>
        </w:rPr>
        <w:t>7</w:t>
      </w:r>
      <w:r>
        <w:rPr>
          <w:spacing w:val="-5"/>
        </w:rPr>
        <w:t>月</w:t>
      </w:r>
      <w:r>
        <w:rPr>
          <w:rFonts w:ascii="宋体" w:hAnsi="宋体" w:cs="宋体" w:eastAsia="宋体" w:hint="default"/>
          <w:spacing w:val="-5"/>
        </w:rPr>
        <w:t>6</w:t>
      </w:r>
      <w:r>
        <w:rPr>
          <w:spacing w:val="-5"/>
        </w:rPr>
        <w:t>日签订非承诺性短期循环融资协议（编号：</w:t>
      </w:r>
      <w:r>
        <w:rPr>
          <w:rFonts w:ascii="宋体" w:hAnsi="宋体" w:cs="宋体" w:eastAsia="宋体" w:hint="default"/>
          <w:spacing w:val="-5"/>
        </w:rPr>
        <w:t>FA775626150706</w:t>
      </w:r>
      <w:r>
        <w:rPr>
          <w:spacing w:val="-5"/>
        </w:rPr>
        <w:t>），花旗银行（中国）</w:t>
      </w:r>
      <w:r>
        <w:rPr>
          <w:spacing w:val="-37"/>
        </w:rPr>
        <w:t> </w:t>
      </w:r>
      <w:r>
        <w:rPr>
          <w:spacing w:val="-37"/>
        </w:rPr>
      </w:r>
      <w:r>
        <w:rPr/>
        <w:t>有限公司北京分行向本公司提供授信额度为人民币叁仟壹佰万元整。截止</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日，花旗银行贷款余额为 </w:t>
      </w:r>
      <w:r>
        <w:rPr>
          <w:rFonts w:ascii="宋体" w:hAnsi="宋体" w:cs="宋体" w:eastAsia="宋体" w:hint="default"/>
        </w:rPr>
        <w:t>30,999,908.40</w:t>
      </w:r>
      <w:r>
        <w:rPr/>
        <w:t>元。</w:t>
      </w:r>
    </w:p>
    <w:p>
      <w:pPr>
        <w:spacing w:line="240" w:lineRule="auto" w:before="10"/>
        <w:rPr>
          <w:rFonts w:ascii="宋体" w:hAnsi="宋体" w:cs="宋体" w:eastAsia="宋体" w:hint="default"/>
          <w:sz w:val="22"/>
          <w:szCs w:val="22"/>
        </w:rPr>
      </w:pPr>
    </w:p>
    <w:p>
      <w:pPr>
        <w:pStyle w:val="Heading3"/>
        <w:spacing w:line="240" w:lineRule="auto"/>
        <w:ind w:right="106"/>
        <w:jc w:val="left"/>
        <w:rPr>
          <w:b w:val="0"/>
          <w:bCs w:val="0"/>
        </w:rPr>
      </w:pPr>
      <w:r>
        <w:rPr>
          <w:rFonts w:ascii="Times New Roman" w:hAnsi="Times New Roman" w:cs="Times New Roman" w:eastAsia="Times New Roman" w:hint="default"/>
        </w:rPr>
        <w:t>17</w:t>
      </w:r>
      <w:r>
        <w:rPr/>
        <w:t>、应付账款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06"/>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101,901,863.56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52,726,476.32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1,588,219.83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1,862,244.90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2,756.00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286,732.05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278,113.05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103,798,815.44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54,869,590.27</w:t>
            </w:r>
          </w:p>
        </w:tc>
      </w:tr>
    </w:tbl>
    <w:p>
      <w:pPr>
        <w:spacing w:line="240" w:lineRule="auto" w:before="3"/>
        <w:rPr>
          <w:rFonts w:ascii="宋体" w:hAnsi="宋体" w:cs="宋体" w:eastAsia="宋体" w:hint="default"/>
          <w:sz w:val="19"/>
          <w:szCs w:val="19"/>
        </w:rPr>
      </w:pPr>
    </w:p>
    <w:p>
      <w:pPr>
        <w:pStyle w:val="Heading3"/>
        <w:spacing w:line="240" w:lineRule="auto" w:before="36"/>
        <w:ind w:right="106"/>
        <w:jc w:val="left"/>
        <w:rPr>
          <w:b w:val="0"/>
          <w:bCs w:val="0"/>
        </w:rPr>
      </w:pPr>
      <w:r>
        <w:rPr>
          <w:rFonts w:ascii="Times New Roman" w:hAnsi="Times New Roman" w:cs="Times New Roman" w:eastAsia="Times New Roman" w:hint="default"/>
        </w:rPr>
        <w:t>18</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6"/>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9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51,418,130.58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47,430,588.65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3,620,598.70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2,442,591.83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22,416.60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319,155.39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118,552.54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55,835.75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55,179,698.42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50,248,171.62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1134"/>
        <w:jc w:val="left"/>
        <w:rPr>
          <w:b w:val="0"/>
          <w:bCs w:val="0"/>
        </w:rPr>
      </w:pPr>
      <w:r>
        <w:rPr>
          <w:rFonts w:ascii="Times New Roman" w:hAnsi="Times New Roman" w:cs="Times New Roman" w:eastAsia="Times New Roman" w:hint="default"/>
        </w:rPr>
        <w:t>19</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4"/>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4,891,349.68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53,569,950.96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51,945,696.02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6,515,604.62</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315,003.57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4,314,227.07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4,280,470.20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348,760.44</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5,206,353.25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57,884,178.03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56,226,166.22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6,864,365.06</w:t>
            </w:r>
          </w:p>
        </w:tc>
      </w:tr>
    </w:tbl>
    <w:p>
      <w:pPr>
        <w:spacing w:line="240" w:lineRule="auto" w:before="3"/>
        <w:rPr>
          <w:rFonts w:ascii="宋体" w:hAnsi="宋体" w:cs="宋体" w:eastAsia="宋体" w:hint="default"/>
          <w:sz w:val="19"/>
          <w:szCs w:val="19"/>
        </w:rPr>
      </w:pPr>
    </w:p>
    <w:p>
      <w:pPr>
        <w:pStyle w:val="Heading3"/>
        <w:spacing w:line="240" w:lineRule="auto" w:before="36"/>
        <w:ind w:right="1134"/>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1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4,488,157.99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46,256,285.81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44,688,281.82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6,056,161.98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37,222.89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731,535.02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730,447.91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38,310.00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181,888.25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2,520,498.54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2,487,520.19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214,866.60</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163,212.90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2,271,298.20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2,241,028.60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193,482.50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5,234.79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73,691.54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73,019.78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5,906.55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13,440.56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175,508.80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173,471.81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15,477.55</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12,378.00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3,097,009.00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3,105,963.00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3,424.00</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171,702.55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964,622.59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933,483.10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202,842.04</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4,891,349.68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53,569,950.96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51,945,696.02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6,515,604.62</w:t>
            </w:r>
          </w:p>
        </w:tc>
      </w:tr>
    </w:tbl>
    <w:p>
      <w:pPr>
        <w:spacing w:line="240" w:lineRule="auto" w:before="3"/>
        <w:rPr>
          <w:rFonts w:ascii="宋体" w:hAnsi="宋体" w:cs="宋体" w:eastAsia="宋体" w:hint="default"/>
          <w:sz w:val="19"/>
          <w:szCs w:val="19"/>
        </w:rPr>
      </w:pPr>
    </w:p>
    <w:p>
      <w:pPr>
        <w:pStyle w:val="Heading3"/>
        <w:spacing w:line="240" w:lineRule="auto" w:before="36"/>
        <w:ind w:right="1134"/>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299,985.40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4,100,386.97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4,068,219.57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332,152.80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15,018.17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213,840.10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212,250.63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16,607.64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315,003.57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4,314,227.07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4,280,470.20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348,760.44</w:t>
            </w:r>
          </w:p>
        </w:tc>
      </w:tr>
    </w:tbl>
    <w:p>
      <w:pPr>
        <w:pStyle w:val="BodyText"/>
        <w:spacing w:line="240" w:lineRule="auto" w:before="49"/>
        <w:ind w:right="1134"/>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4"/>
        <w:jc w:val="left"/>
        <w:rPr>
          <w:b w:val="0"/>
          <w:bCs w:val="0"/>
        </w:rPr>
      </w:pPr>
      <w:r>
        <w:rPr>
          <w:rFonts w:ascii="Times New Roman" w:hAnsi="Times New Roman" w:cs="Times New Roman" w:eastAsia="Times New Roman" w:hint="default"/>
        </w:rPr>
        <w:t>20</w:t>
      </w:r>
      <w:r>
        <w:rPr/>
        <w:t>、应交税费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11,336.77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793.57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340.10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226.74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1,513,042.41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274,758.67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4,650,059.07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3,192,410.39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6,175,798.66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3,467,169.06</w:t>
            </w:r>
          </w:p>
        </w:tc>
      </w:tr>
    </w:tbl>
    <w:p>
      <w:pPr>
        <w:pStyle w:val="BodyText"/>
        <w:spacing w:line="240" w:lineRule="auto" w:before="49"/>
        <w:ind w:right="1134"/>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4"/>
        <w:jc w:val="left"/>
        <w:rPr>
          <w:b w:val="0"/>
          <w:bCs w:val="0"/>
        </w:rPr>
      </w:pPr>
      <w:r>
        <w:rPr>
          <w:rFonts w:ascii="Times New Roman" w:hAnsi="Times New Roman" w:cs="Times New Roman" w:eastAsia="Times New Roman" w:hint="default"/>
        </w:rPr>
        <w:t>21</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4"/>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股权收购款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11,638,756.65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931,496.18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1,300.00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重组中介费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622,641.51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176,585.58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166,945.62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317,453.78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246,050.11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202,907.62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145,081.01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13,889,841.32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5,249,376.74</w:t>
            </w:r>
          </w:p>
        </w:tc>
      </w:tr>
    </w:tbl>
    <w:p>
      <w:pPr>
        <w:spacing w:line="240" w:lineRule="auto" w:before="3"/>
        <w:rPr>
          <w:rFonts w:ascii="宋体" w:hAnsi="宋体" w:cs="宋体" w:eastAsia="宋体" w:hint="default"/>
          <w:sz w:val="19"/>
          <w:szCs w:val="19"/>
        </w:rPr>
      </w:pPr>
    </w:p>
    <w:p>
      <w:pPr>
        <w:pStyle w:val="Heading3"/>
        <w:spacing w:line="240" w:lineRule="auto" w:before="36"/>
        <w:ind w:right="1134"/>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1027"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北京长城光环宽带网络技术有限公司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180,113.78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89"/>
              <w:jc w:val="left"/>
              <w:rPr>
                <w:rFonts w:ascii="宋体" w:hAnsi="宋体" w:cs="宋体" w:eastAsia="宋体" w:hint="default"/>
                <w:sz w:val="18"/>
                <w:szCs w:val="18"/>
              </w:rPr>
            </w:pPr>
            <w:r>
              <w:rPr>
                <w:rFonts w:ascii="宋体" w:hAnsi="宋体" w:cs="宋体" w:eastAsia="宋体" w:hint="default"/>
                <w:sz w:val="18"/>
                <w:szCs w:val="18"/>
              </w:rPr>
              <w:t>北京长城光环宽带网络技术有限公司已 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月开始清算，截止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日尚未清算完毕。</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180,113.78</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4"/>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4"/>
        <w:jc w:val="left"/>
        <w:rPr>
          <w:b w:val="0"/>
          <w:bCs w:val="0"/>
        </w:rPr>
      </w:pPr>
      <w:r>
        <w:rPr>
          <w:rFonts w:ascii="Times New Roman" w:hAnsi="Times New Roman" w:cs="Times New Roman" w:eastAsia="Times New Roman" w:hint="default"/>
        </w:rPr>
        <w:t>22</w:t>
      </w:r>
      <w:r>
        <w:rPr/>
        <w:t>、长期应付款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4"/>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after="0" w:line="240" w:lineRule="auto"/>
        <w:jc w:val="right"/>
        <w:sectPr>
          <w:footerReference w:type="default" r:id="rId28"/>
          <w:pgSz w:w="11910" w:h="16840"/>
          <w:pgMar w:footer="979" w:header="745" w:top="1060" w:bottom="1160" w:left="980" w:right="980"/>
          <w:pgNumType w:start="193"/>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应付融资租赁款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87,237,850.81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分期付款购买固定资产</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15,978,691.30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103,216,542.11</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4"/>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4"/>
        <w:jc w:val="left"/>
        <w:rPr>
          <w:b w:val="0"/>
          <w:bCs w:val="0"/>
        </w:rPr>
      </w:pPr>
      <w:r>
        <w:rPr>
          <w:rFonts w:ascii="Times New Roman" w:hAnsi="Times New Roman" w:cs="Times New Roman" w:eastAsia="Times New Roman" w:hint="default"/>
        </w:rPr>
        <w:t>23</w:t>
      </w:r>
      <w:r>
        <w:rPr/>
        <w:t>、递延收益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4"/>
        <w:gridCol w:w="1596"/>
        <w:gridCol w:w="1594"/>
        <w:gridCol w:w="1594"/>
      </w:tblGrid>
      <w:tr>
        <w:trPr>
          <w:trHeight w:val="404"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1,248,000.00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1,156,000.00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1,248,000.00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292,000.00</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1,156,000.00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4"/>
        <w:jc w:val="left"/>
      </w:pPr>
      <w:r>
        <w:rPr/>
        <w:t>涉及政府补助的项目：</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7" w:right="48"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6" w:hanging="272"/>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07" w:right="23" w:hanging="38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互联网数据服务 一体化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1,248,000.00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1,056,000.00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基于云计算的生 态驾驶行为车载 反馈装置及培训 平台研发项目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1,248,000.00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1,156,000.00</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4"/>
        <w:jc w:val="left"/>
      </w:pPr>
      <w:r>
        <w:rPr/>
        <w:t>其他说明：</w:t>
      </w:r>
    </w:p>
    <w:p>
      <w:pPr>
        <w:spacing w:line="240" w:lineRule="auto" w:before="10"/>
        <w:rPr>
          <w:rFonts w:ascii="宋体" w:hAnsi="宋体" w:cs="宋体" w:eastAsia="宋体" w:hint="default"/>
          <w:sz w:val="17"/>
          <w:szCs w:val="17"/>
        </w:rPr>
      </w:pPr>
    </w:p>
    <w:p>
      <w:pPr>
        <w:pStyle w:val="BodyText"/>
        <w:spacing w:line="316" w:lineRule="auto"/>
        <w:ind w:right="0" w:firstLine="360"/>
        <w:jc w:val="left"/>
      </w:pPr>
      <w:r>
        <w:rPr/>
        <w:t>（</w:t>
      </w:r>
      <w:r>
        <w:rPr>
          <w:rFonts w:ascii="宋体" w:hAnsi="宋体" w:cs="宋体" w:eastAsia="宋体" w:hint="default"/>
        </w:rPr>
        <w:t>1</w:t>
      </w:r>
      <w:r>
        <w:rPr/>
        <w:t>）依据《北京市经济和信息化委员会关于下达</w:t>
      </w:r>
      <w:r>
        <w:rPr>
          <w:rFonts w:ascii="宋体" w:hAnsi="宋体" w:cs="宋体" w:eastAsia="宋体" w:hint="default"/>
        </w:rPr>
        <w:t>2010</w:t>
      </w:r>
      <w:r>
        <w:rPr/>
        <w:t>年度第二批中小企业发展专项资金计划的通知》（京经信委发 </w:t>
      </w:r>
      <w:r>
        <w:rPr>
          <w:rFonts w:ascii="宋体" w:hAnsi="宋体" w:cs="宋体" w:eastAsia="宋体" w:hint="default"/>
          <w:spacing w:val="-3"/>
        </w:rPr>
        <w:t>[2010]200</w:t>
      </w:r>
      <w:r>
        <w:rPr>
          <w:spacing w:val="-3"/>
        </w:rPr>
        <w:t>号），本公司</w:t>
      </w:r>
      <w:r>
        <w:rPr>
          <w:rFonts w:ascii="宋体" w:hAnsi="宋体" w:cs="宋体" w:eastAsia="宋体" w:hint="default"/>
          <w:spacing w:val="-3"/>
        </w:rPr>
        <w:t>2010</w:t>
      </w:r>
      <w:r>
        <w:rPr>
          <w:spacing w:val="-3"/>
        </w:rPr>
        <w:t>年</w:t>
      </w:r>
      <w:r>
        <w:rPr>
          <w:rFonts w:ascii="宋体" w:hAnsi="宋体" w:cs="宋体" w:eastAsia="宋体" w:hint="default"/>
          <w:spacing w:val="-3"/>
        </w:rPr>
        <w:t>12</w:t>
      </w:r>
      <w:r>
        <w:rPr>
          <w:spacing w:val="-3"/>
        </w:rPr>
        <w:t>月收到北京市经济和信息化委员会拨付的互联网数据服务一体化财政资金</w:t>
      </w:r>
      <w:r>
        <w:rPr>
          <w:rFonts w:ascii="宋体" w:hAnsi="宋体" w:cs="宋体" w:eastAsia="宋体" w:hint="default"/>
          <w:spacing w:val="-3"/>
        </w:rPr>
        <w:t>1,920,000.00</w:t>
      </w:r>
      <w:r>
        <w:rPr>
          <w:spacing w:val="-3"/>
        </w:rPr>
        <w:t>元，</w:t>
      </w:r>
      <w:r>
        <w:rPr>
          <w:spacing w:val="-72"/>
        </w:rPr>
        <w:t> </w:t>
      </w:r>
      <w:r>
        <w:rPr/>
        <w:t>属于与资产相关的政府补助，从</w:t>
      </w:r>
      <w:r>
        <w:rPr>
          <w:rFonts w:ascii="宋体" w:hAnsi="宋体" w:cs="宋体" w:eastAsia="宋体" w:hint="default"/>
        </w:rPr>
        <w:t>2011</w:t>
      </w:r>
      <w:r>
        <w:rPr/>
        <w:t>年</w:t>
      </w:r>
      <w:r>
        <w:rPr>
          <w:rFonts w:ascii="宋体" w:hAnsi="宋体" w:cs="宋体" w:eastAsia="宋体" w:hint="default"/>
        </w:rPr>
        <w:t>7</w:t>
      </w:r>
      <w:r>
        <w:rPr/>
        <w:t>月起按</w:t>
      </w:r>
      <w:r>
        <w:rPr>
          <w:rFonts w:ascii="宋体" w:hAnsi="宋体" w:cs="宋体" w:eastAsia="宋体" w:hint="default"/>
        </w:rPr>
        <w:t>10</w:t>
      </w:r>
      <w:r>
        <w:rPr/>
        <w:t>年结转递延收益，本期结转营业外收入</w:t>
      </w:r>
      <w:r>
        <w:rPr>
          <w:rFonts w:ascii="宋体" w:hAnsi="宋体" w:cs="宋体" w:eastAsia="宋体" w:hint="default"/>
        </w:rPr>
        <w:t>192,000.00</w:t>
      </w:r>
      <w:r>
        <w:rPr/>
        <w:t>元。</w:t>
      </w:r>
    </w:p>
    <w:p>
      <w:pPr>
        <w:spacing w:line="240" w:lineRule="auto" w:before="5"/>
        <w:rPr>
          <w:rFonts w:ascii="宋体" w:hAnsi="宋体" w:cs="宋体" w:eastAsia="宋体" w:hint="default"/>
          <w:sz w:val="13"/>
          <w:szCs w:val="13"/>
        </w:rPr>
      </w:pPr>
    </w:p>
    <w:p>
      <w:pPr>
        <w:pStyle w:val="BodyText"/>
        <w:spacing w:line="316" w:lineRule="auto"/>
        <w:ind w:right="151" w:firstLine="360"/>
        <w:jc w:val="both"/>
      </w:pPr>
      <w:r>
        <w:rPr/>
        <w:t>（</w:t>
      </w:r>
      <w:r>
        <w:rPr>
          <w:rFonts w:ascii="宋体" w:hAnsi="宋体" w:cs="宋体" w:eastAsia="宋体" w:hint="default"/>
        </w:rPr>
        <w:t>2</w:t>
      </w:r>
      <w:r>
        <w:rPr/>
        <w:t>）依据《北京市朝阳区科学技术委员会下达的关于基于云计算的生态驾驶行为车载反馈装置及培训平台研发项目列 </w:t>
      </w:r>
      <w:r>
        <w:rPr>
          <w:spacing w:val="-2"/>
        </w:rPr>
        <w:t>入朝阳区</w:t>
      </w:r>
      <w:r>
        <w:rPr>
          <w:rFonts w:ascii="宋体" w:hAnsi="宋体" w:cs="宋体" w:eastAsia="宋体" w:hint="default"/>
          <w:spacing w:val="-2"/>
        </w:rPr>
        <w:t>2014</w:t>
      </w:r>
      <w:r>
        <w:rPr>
          <w:spacing w:val="-2"/>
        </w:rPr>
        <w:t>年度协同创新项目的通知》（朝科计【</w:t>
      </w:r>
      <w:r>
        <w:rPr>
          <w:rFonts w:ascii="宋体" w:hAnsi="宋体" w:cs="宋体" w:eastAsia="宋体" w:hint="default"/>
          <w:spacing w:val="-2"/>
        </w:rPr>
        <w:t>2015</w:t>
      </w:r>
      <w:r>
        <w:rPr>
          <w:spacing w:val="-2"/>
        </w:rPr>
        <w:t>】</w:t>
      </w:r>
      <w:r>
        <w:rPr>
          <w:rFonts w:ascii="宋体" w:hAnsi="宋体" w:cs="宋体" w:eastAsia="宋体" w:hint="default"/>
          <w:spacing w:val="-2"/>
        </w:rPr>
        <w:t>6</w:t>
      </w:r>
      <w:r>
        <w:rPr>
          <w:spacing w:val="-2"/>
        </w:rPr>
        <w:t>号），本公司</w:t>
      </w:r>
      <w:r>
        <w:rPr>
          <w:rFonts w:ascii="宋体" w:hAnsi="宋体" w:cs="宋体" w:eastAsia="宋体" w:hint="default"/>
          <w:spacing w:val="-2"/>
        </w:rPr>
        <w:t>2015</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31</w:t>
      </w:r>
      <w:r>
        <w:rPr>
          <w:spacing w:val="-2"/>
        </w:rPr>
        <w:t>日收到北京市朝阳区科学技术委员会</w:t>
      </w:r>
      <w:r>
        <w:rPr>
          <w:spacing w:val="-57"/>
        </w:rPr>
        <w:t> </w:t>
      </w:r>
      <w:r>
        <w:rPr>
          <w:spacing w:val="-57"/>
        </w:rPr>
      </w:r>
      <w:r>
        <w:rPr/>
        <w:t>财政资金</w:t>
      </w:r>
      <w:r>
        <w:rPr>
          <w:rFonts w:ascii="宋体" w:hAnsi="宋体" w:cs="宋体" w:eastAsia="宋体" w:hint="default"/>
        </w:rPr>
        <w:t>200,000.00</w:t>
      </w:r>
      <w:r>
        <w:rPr/>
        <w:t>元</w:t>
      </w:r>
      <w:r>
        <w:rPr>
          <w:rFonts w:ascii="宋体" w:hAnsi="宋体" w:cs="宋体" w:eastAsia="宋体" w:hint="default"/>
        </w:rPr>
        <w:t>,</w:t>
      </w:r>
      <w:r>
        <w:rPr/>
        <w:t>属于与收益相关的政府补助，公司按照项目实际已发生费用结转营业外收入。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1134"/>
        <w:jc w:val="left"/>
        <w:rPr>
          <w:b w:val="0"/>
          <w:bCs w:val="0"/>
        </w:rPr>
      </w:pPr>
      <w:r>
        <w:rPr>
          <w:rFonts w:ascii="Times New Roman" w:hAnsi="Times New Roman" w:cs="Times New Roman" w:eastAsia="Times New Roman" w:hint="default"/>
        </w:rPr>
        <w:t>24</w:t>
      </w:r>
      <w:r>
        <w:rPr/>
        <w:t>、股本</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8"/>
        <w:gridCol w:w="1196"/>
        <w:gridCol w:w="1195"/>
        <w:gridCol w:w="1198"/>
        <w:gridCol w:w="1195"/>
        <w:gridCol w:w="1185"/>
        <w:gridCol w:w="1208"/>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6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9"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7"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109,160,000.00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136,450,000.00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300,190,000.00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436,640,000.00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545,800,000.00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before="44"/>
        <w:ind w:right="1134"/>
        <w:jc w:val="left"/>
      </w:pPr>
      <w:r>
        <w:rPr/>
        <w:t>其他说明：</w:t>
      </w:r>
    </w:p>
    <w:p>
      <w:pPr>
        <w:spacing w:line="240" w:lineRule="auto" w:before="12"/>
        <w:rPr>
          <w:rFonts w:ascii="宋体" w:hAnsi="宋体" w:cs="宋体" w:eastAsia="宋体" w:hint="default"/>
          <w:sz w:val="17"/>
          <w:szCs w:val="17"/>
        </w:rPr>
      </w:pPr>
    </w:p>
    <w:p>
      <w:pPr>
        <w:pStyle w:val="BodyText"/>
        <w:spacing w:line="316" w:lineRule="auto"/>
        <w:ind w:right="149" w:firstLine="360"/>
        <w:jc w:val="both"/>
      </w:pPr>
      <w:r>
        <w:rPr>
          <w:spacing w:val="-4"/>
        </w:rPr>
        <w:t>（</w:t>
      </w:r>
      <w:r>
        <w:rPr>
          <w:rFonts w:ascii="宋体" w:hAnsi="宋体" w:cs="宋体" w:eastAsia="宋体" w:hint="default"/>
          <w:spacing w:val="-4"/>
        </w:rPr>
        <w:t>1</w:t>
      </w:r>
      <w:r>
        <w:rPr>
          <w:spacing w:val="-4"/>
        </w:rPr>
        <w:t>）</w:t>
      </w:r>
      <w:r>
        <w:rPr>
          <w:rFonts w:ascii="宋体" w:hAnsi="宋体" w:cs="宋体" w:eastAsia="宋体" w:hint="default"/>
          <w:spacing w:val="-4"/>
        </w:rPr>
        <w:t>2015</w:t>
      </w:r>
      <w:r>
        <w:rPr>
          <w:spacing w:val="-4"/>
        </w:rPr>
        <w:t>年</w:t>
      </w:r>
      <w:r>
        <w:rPr>
          <w:rFonts w:ascii="宋体" w:hAnsi="宋体" w:cs="宋体" w:eastAsia="宋体" w:hint="default"/>
          <w:spacing w:val="-4"/>
        </w:rPr>
        <w:t>5</w:t>
      </w:r>
      <w:r>
        <w:rPr>
          <w:spacing w:val="-4"/>
        </w:rPr>
        <w:t>月</w:t>
      </w:r>
      <w:r>
        <w:rPr>
          <w:rFonts w:ascii="宋体" w:hAnsi="宋体" w:cs="宋体" w:eastAsia="宋体" w:hint="default"/>
          <w:spacing w:val="-4"/>
        </w:rPr>
        <w:t>12</w:t>
      </w:r>
      <w:r>
        <w:rPr>
          <w:spacing w:val="-4"/>
        </w:rPr>
        <w:t>日，公司</w:t>
      </w:r>
      <w:r>
        <w:rPr>
          <w:rFonts w:ascii="宋体" w:hAnsi="宋体" w:cs="宋体" w:eastAsia="宋体" w:hint="default"/>
          <w:spacing w:val="-4"/>
        </w:rPr>
        <w:t>2014 </w:t>
      </w:r>
      <w:r>
        <w:rPr/>
        <w:t>年度股东大会审议通过了《关于公司</w:t>
      </w:r>
      <w:r>
        <w:rPr>
          <w:rFonts w:ascii="宋体" w:hAnsi="宋体" w:cs="宋体" w:eastAsia="宋体" w:hint="default"/>
        </w:rPr>
        <w:t>2014</w:t>
      </w:r>
      <w:r>
        <w:rPr>
          <w:rFonts w:ascii="宋体" w:hAnsi="宋体" w:cs="宋体" w:eastAsia="宋体" w:hint="default"/>
          <w:spacing w:val="-4"/>
        </w:rPr>
        <w:t> </w:t>
      </w:r>
      <w:r>
        <w:rPr/>
        <w:t>年度利润分配及资本公积转增股本方案的议 </w:t>
      </w:r>
      <w:r>
        <w:rPr>
          <w:spacing w:val="-14"/>
        </w:rPr>
        <w:t>案》，公司以</w:t>
      </w:r>
      <w:r>
        <w:rPr>
          <w:rFonts w:ascii="宋体" w:hAnsi="宋体" w:cs="宋体" w:eastAsia="宋体" w:hint="default"/>
          <w:spacing w:val="-14"/>
        </w:rPr>
        <w:t>2014 </w:t>
      </w:r>
      <w:r>
        <w:rPr/>
        <w:t>年</w:t>
      </w:r>
      <w:r>
        <w:rPr>
          <w:rFonts w:ascii="宋体" w:hAnsi="宋体" w:cs="宋体" w:eastAsia="宋体" w:hint="default"/>
        </w:rPr>
        <w:t>12 </w:t>
      </w:r>
      <w:r>
        <w:rPr/>
        <w:t>月</w:t>
      </w:r>
      <w:r>
        <w:rPr>
          <w:rFonts w:ascii="宋体" w:hAnsi="宋体" w:cs="宋体" w:eastAsia="宋体" w:hint="default"/>
        </w:rPr>
        <w:t>31 </w:t>
      </w:r>
      <w:r>
        <w:rPr/>
        <w:t>日总股本</w:t>
      </w:r>
      <w:r>
        <w:rPr>
          <w:rFonts w:ascii="宋体" w:hAnsi="宋体" w:cs="宋体" w:eastAsia="宋体" w:hint="default"/>
        </w:rPr>
        <w:t>10,916 </w:t>
      </w:r>
      <w:r>
        <w:rPr>
          <w:spacing w:val="-5"/>
        </w:rPr>
        <w:t>万股为基数，向全体股东每</w:t>
      </w:r>
      <w:r>
        <w:rPr>
          <w:rFonts w:ascii="宋体" w:hAnsi="宋体" w:cs="宋体" w:eastAsia="宋体" w:hint="default"/>
          <w:spacing w:val="-5"/>
        </w:rPr>
        <w:t>10 </w:t>
      </w:r>
      <w:r>
        <w:rPr/>
        <w:t>股转增</w:t>
      </w:r>
      <w:r>
        <w:rPr>
          <w:rFonts w:ascii="宋体" w:hAnsi="宋体" w:cs="宋体" w:eastAsia="宋体" w:hint="default"/>
        </w:rPr>
        <w:t>15</w:t>
      </w:r>
      <w:r>
        <w:rPr>
          <w:rFonts w:ascii="宋体" w:hAnsi="宋体" w:cs="宋体" w:eastAsia="宋体" w:hint="default"/>
          <w:spacing w:val="31"/>
        </w:rPr>
        <w:t> </w:t>
      </w:r>
      <w:r>
        <w:rPr>
          <w:spacing w:val="-4"/>
        </w:rPr>
        <w:t>股，转增后公司总股本增加至</w:t>
      </w:r>
      <w:r>
        <w:rPr>
          <w:rFonts w:ascii="宋体" w:hAnsi="宋体" w:cs="宋体" w:eastAsia="宋体" w:hint="default"/>
          <w:spacing w:val="-4"/>
        </w:rPr>
        <w:t>27,290</w:t>
      </w:r>
      <w:r>
        <w:rPr>
          <w:rFonts w:ascii="宋体" w:hAnsi="宋体" w:cs="宋体" w:eastAsia="宋体" w:hint="default"/>
        </w:rPr>
        <w:t> </w:t>
      </w:r>
      <w:r>
        <w:rPr/>
        <w:t>万股。上述分配方案已于</w:t>
      </w:r>
      <w:r>
        <w:rPr>
          <w:rFonts w:ascii="宋体" w:hAnsi="宋体" w:cs="宋体" w:eastAsia="宋体" w:hint="default"/>
        </w:rPr>
        <w:t>2015 </w:t>
      </w:r>
      <w:r>
        <w:rPr/>
        <w:t>年</w:t>
      </w:r>
      <w:r>
        <w:rPr>
          <w:rFonts w:ascii="宋体" w:hAnsi="宋体" w:cs="宋体" w:eastAsia="宋体" w:hint="default"/>
        </w:rPr>
        <w:t>5 </w:t>
      </w:r>
      <w:r>
        <w:rPr/>
        <w:t>月</w:t>
      </w:r>
      <w:r>
        <w:rPr>
          <w:rFonts w:ascii="宋体" w:hAnsi="宋体" w:cs="宋体" w:eastAsia="宋体" w:hint="default"/>
        </w:rPr>
        <w:t>22 </w:t>
      </w:r>
      <w:r>
        <w:rPr/>
        <w:t>日实施完毕，公司注册资本由人民币</w:t>
      </w:r>
      <w:r>
        <w:rPr>
          <w:rFonts w:ascii="宋体" w:hAnsi="宋体" w:cs="宋体" w:eastAsia="宋体" w:hint="default"/>
        </w:rPr>
        <w:t>10,916 </w:t>
      </w:r>
      <w:r>
        <w:rPr/>
        <w:t>万元变更为</w:t>
      </w:r>
      <w:r>
        <w:rPr>
          <w:rFonts w:ascii="宋体" w:hAnsi="宋体" w:cs="宋体" w:eastAsia="宋体" w:hint="default"/>
        </w:rPr>
        <w:t>27,290</w:t>
      </w:r>
      <w:r>
        <w:rPr>
          <w:rFonts w:ascii="宋体" w:hAnsi="宋体" w:cs="宋体" w:eastAsia="宋体" w:hint="default"/>
          <w:spacing w:val="-1"/>
        </w:rPr>
        <w:t> </w:t>
      </w:r>
      <w:r>
        <w:rPr/>
        <w:t>万元。</w:t>
      </w:r>
    </w:p>
    <w:p>
      <w:pPr>
        <w:spacing w:line="240" w:lineRule="auto" w:before="5"/>
        <w:rPr>
          <w:rFonts w:ascii="宋体" w:hAnsi="宋体" w:cs="宋体" w:eastAsia="宋体" w:hint="default"/>
          <w:sz w:val="13"/>
          <w:szCs w:val="13"/>
        </w:rPr>
      </w:pPr>
    </w:p>
    <w:p>
      <w:pPr>
        <w:pStyle w:val="BodyText"/>
        <w:spacing w:line="316" w:lineRule="auto"/>
        <w:ind w:right="153" w:firstLine="360"/>
        <w:jc w:val="left"/>
      </w:pPr>
      <w:r>
        <w:rPr>
          <w:spacing w:val="-2"/>
        </w:rPr>
        <w:t>（</w:t>
      </w:r>
      <w:r>
        <w:rPr>
          <w:rFonts w:ascii="宋体" w:hAnsi="宋体" w:cs="宋体" w:eastAsia="宋体" w:hint="default"/>
          <w:spacing w:val="-2"/>
        </w:rPr>
        <w:t>2</w:t>
      </w:r>
      <w:r>
        <w:rPr>
          <w:spacing w:val="-2"/>
        </w:rPr>
        <w:t>）</w:t>
      </w:r>
      <w:r>
        <w:rPr>
          <w:rFonts w:ascii="宋体" w:hAnsi="宋体" w:cs="宋体" w:eastAsia="宋体" w:hint="default"/>
          <w:spacing w:val="-2"/>
        </w:rPr>
        <w:t>2015</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23</w:t>
      </w:r>
      <w:r>
        <w:rPr>
          <w:spacing w:val="-2"/>
        </w:rPr>
        <w:t>日，公司</w:t>
      </w:r>
      <w:r>
        <w:rPr>
          <w:rFonts w:ascii="宋体" w:hAnsi="宋体" w:cs="宋体" w:eastAsia="宋体" w:hint="default"/>
          <w:spacing w:val="-2"/>
        </w:rPr>
        <w:t>2015</w:t>
      </w:r>
      <w:r>
        <w:rPr>
          <w:spacing w:val="-2"/>
        </w:rPr>
        <w:t>年第三次临时股东大会审议通过《关于调整</w:t>
      </w:r>
      <w:r>
        <w:rPr>
          <w:rFonts w:ascii="宋体" w:hAnsi="宋体" w:cs="宋体" w:eastAsia="宋体" w:hint="default"/>
          <w:spacing w:val="-2"/>
        </w:rPr>
        <w:t>2015</w:t>
      </w:r>
      <w:r>
        <w:rPr>
          <w:spacing w:val="-2"/>
        </w:rPr>
        <w:t>年半年度利润分配及资本公积转增股本</w:t>
      </w:r>
      <w:r>
        <w:rPr/>
        <w:t> 方案的议案》，以截至</w:t>
      </w: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30</w:t>
      </w:r>
      <w:r>
        <w:rPr/>
        <w:t>日公司总股本</w:t>
      </w:r>
      <w:r>
        <w:rPr>
          <w:rFonts w:ascii="宋体" w:hAnsi="宋体" w:cs="宋体" w:eastAsia="宋体" w:hint="default"/>
        </w:rPr>
        <w:t>27,290</w:t>
      </w:r>
      <w:r>
        <w:rPr/>
        <w:t>万股为基数，向全体股东每</w:t>
      </w:r>
      <w:r>
        <w:rPr>
          <w:rFonts w:ascii="宋体" w:hAnsi="宋体" w:cs="宋体" w:eastAsia="宋体" w:hint="default"/>
        </w:rPr>
        <w:t>10</w:t>
      </w:r>
      <w:r>
        <w:rPr/>
        <w:t>股送红股</w:t>
      </w:r>
      <w:r>
        <w:rPr>
          <w:rFonts w:ascii="宋体" w:hAnsi="宋体" w:cs="宋体" w:eastAsia="宋体" w:hint="default"/>
        </w:rPr>
        <w:t>5</w:t>
      </w:r>
      <w:r>
        <w:rPr/>
        <w:t>股，并以资本公积金每</w:t>
      </w:r>
      <w:r>
        <w:rPr>
          <w:rFonts w:ascii="宋体" w:hAnsi="宋体" w:cs="宋体" w:eastAsia="宋体" w:hint="default"/>
        </w:rPr>
        <w:t>10</w:t>
      </w:r>
      <w:r>
        <w:rPr>
          <w:rFonts w:ascii="宋体" w:hAnsi="宋体" w:cs="宋体" w:eastAsia="宋体" w:hint="default"/>
          <w:spacing w:val="1"/>
        </w:rPr>
        <w:t> </w:t>
      </w:r>
      <w:r>
        <w:rPr/>
        <w:t>股向全体股东转增</w:t>
      </w:r>
      <w:r>
        <w:rPr>
          <w:rFonts w:ascii="宋体" w:hAnsi="宋体" w:cs="宋体" w:eastAsia="宋体" w:hint="default"/>
        </w:rPr>
        <w:t>5</w:t>
      </w:r>
      <w:r>
        <w:rPr/>
        <w:t>股，转增后公司总股本增加至</w:t>
      </w:r>
      <w:r>
        <w:rPr>
          <w:rFonts w:ascii="宋体" w:hAnsi="宋体" w:cs="宋体" w:eastAsia="宋体" w:hint="default"/>
        </w:rPr>
        <w:t>54,580</w:t>
      </w:r>
      <w:r>
        <w:rPr/>
        <w:t>万股。上述权益分派实施方案已于</w:t>
      </w:r>
      <w:r>
        <w:rPr>
          <w:rFonts w:ascii="宋体" w:hAnsi="宋体" w:cs="宋体" w:eastAsia="宋体" w:hint="default"/>
        </w:rPr>
        <w:t>2015</w:t>
      </w:r>
      <w:r>
        <w:rPr/>
        <w:t>年</w:t>
      </w:r>
      <w:r>
        <w:rPr>
          <w:rFonts w:ascii="宋体" w:hAnsi="宋体" w:cs="宋体" w:eastAsia="宋体" w:hint="default"/>
        </w:rPr>
        <w:t>10</w:t>
      </w:r>
      <w:r>
        <w:rPr/>
        <w:t>月</w:t>
      </w:r>
      <w:r>
        <w:rPr>
          <w:rFonts w:ascii="宋体" w:hAnsi="宋体" w:cs="宋体" w:eastAsia="宋体" w:hint="default"/>
        </w:rPr>
        <w:t>8</w:t>
      </w:r>
      <w:r>
        <w:rPr/>
        <w:t>日实施完毕。</w:t>
      </w:r>
    </w:p>
    <w:p>
      <w:pPr>
        <w:spacing w:line="240" w:lineRule="auto" w:before="10"/>
        <w:rPr>
          <w:rFonts w:ascii="宋体" w:hAnsi="宋体" w:cs="宋体" w:eastAsia="宋体" w:hint="default"/>
          <w:sz w:val="22"/>
          <w:szCs w:val="22"/>
        </w:rPr>
      </w:pPr>
    </w:p>
    <w:p>
      <w:pPr>
        <w:pStyle w:val="Heading3"/>
        <w:spacing w:line="240" w:lineRule="auto"/>
        <w:ind w:right="1134"/>
        <w:jc w:val="left"/>
        <w:rPr>
          <w:b w:val="0"/>
          <w:bCs w:val="0"/>
        </w:rPr>
      </w:pPr>
      <w:r>
        <w:rPr>
          <w:rFonts w:ascii="Times New Roman" w:hAnsi="Times New Roman" w:cs="Times New Roman" w:eastAsia="Times New Roman" w:hint="default"/>
        </w:rPr>
        <w:t>25</w:t>
      </w:r>
      <w:r>
        <w:rPr/>
        <w:t>、资本公积</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310,165,862.23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300,190,000.00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9,975,862.23</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997,321.60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997,321.60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311,163,183.83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300,190,000.00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10,973,183.83</w:t>
            </w:r>
          </w:p>
        </w:tc>
      </w:tr>
    </w:tbl>
    <w:p>
      <w:pPr>
        <w:pStyle w:val="BodyText"/>
        <w:spacing w:line="360" w:lineRule="auto" w:before="49"/>
        <w:ind w:right="5634"/>
        <w:jc w:val="left"/>
      </w:pPr>
      <w:r>
        <w:rPr/>
        <w:t>其他说明，包括本期增减变动情况、变动原因说明： 本期增减变动情况同股本。</w:t>
      </w:r>
    </w:p>
    <w:p>
      <w:pPr>
        <w:spacing w:line="240" w:lineRule="auto" w:before="2"/>
        <w:rPr>
          <w:rFonts w:ascii="宋体" w:hAnsi="宋体" w:cs="宋体" w:eastAsia="宋体" w:hint="default"/>
          <w:sz w:val="20"/>
          <w:szCs w:val="20"/>
        </w:rPr>
      </w:pPr>
    </w:p>
    <w:p>
      <w:pPr>
        <w:pStyle w:val="Heading3"/>
        <w:spacing w:line="240" w:lineRule="auto"/>
        <w:ind w:right="1134"/>
        <w:jc w:val="left"/>
        <w:rPr>
          <w:b w:val="0"/>
          <w:bCs w:val="0"/>
        </w:rPr>
      </w:pPr>
      <w:r>
        <w:rPr>
          <w:rFonts w:ascii="Times New Roman" w:hAnsi="Times New Roman" w:cs="Times New Roman" w:eastAsia="Times New Roman" w:hint="default"/>
        </w:rPr>
        <w:t>26</w:t>
      </w:r>
      <w:r>
        <w:rPr/>
        <w:t>、盈余公积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29,948,561.02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9,634,277.32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39,582,838.34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29,948,561.02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9,634,277.32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39,582,838.34</w:t>
            </w:r>
          </w:p>
        </w:tc>
      </w:tr>
    </w:tbl>
    <w:p>
      <w:pPr>
        <w:pStyle w:val="BodyText"/>
        <w:spacing w:line="357" w:lineRule="auto" w:before="49"/>
        <w:ind w:right="5274"/>
        <w:jc w:val="left"/>
      </w:pPr>
      <w:r>
        <w:rPr/>
        <w:t>盈余公积说明，包括本期增减变动情况、变动原因说明： 公司按照母公司净利润的</w:t>
      </w:r>
      <w:r>
        <w:rPr>
          <w:rFonts w:ascii="Times New Roman" w:hAnsi="Times New Roman" w:cs="Times New Roman" w:eastAsia="Times New Roman" w:hint="default"/>
        </w:rPr>
        <w:t>10%</w:t>
      </w:r>
      <w:r>
        <w:rPr/>
        <w:t>计提法定盈余公积。</w:t>
      </w:r>
    </w:p>
    <w:p>
      <w:pPr>
        <w:spacing w:line="240" w:lineRule="auto" w:before="9"/>
        <w:rPr>
          <w:rFonts w:ascii="宋体" w:hAnsi="宋体" w:cs="宋体" w:eastAsia="宋体" w:hint="default"/>
          <w:sz w:val="18"/>
          <w:szCs w:val="18"/>
        </w:rPr>
      </w:pPr>
    </w:p>
    <w:p>
      <w:pPr>
        <w:pStyle w:val="Heading3"/>
        <w:spacing w:line="240" w:lineRule="auto"/>
        <w:ind w:right="1134"/>
        <w:jc w:val="left"/>
        <w:rPr>
          <w:b w:val="0"/>
          <w:bCs w:val="0"/>
        </w:rPr>
      </w:pPr>
      <w:r>
        <w:rPr>
          <w:rFonts w:ascii="Times New Roman" w:hAnsi="Times New Roman" w:cs="Times New Roman" w:eastAsia="Times New Roman" w:hint="default"/>
        </w:rPr>
        <w:t>27</w:t>
      </w:r>
      <w:r>
        <w:rPr/>
        <w:t>、未分配利润</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247,312,830.19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178,247,845.01</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247,312,830.19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178,247,845.01</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113,588,409.62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95,184,364.67</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9,634,277.32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9,745,379.49</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49,122,000.00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16,374,000.00</w:t>
            </w:r>
          </w:p>
        </w:tc>
      </w:tr>
      <w:tr>
        <w:trPr>
          <w:trHeight w:val="404"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136,450,000.00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165,694,962.49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247,312,830.19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before="44"/>
        <w:ind w:right="1134"/>
        <w:jc w:val="left"/>
      </w:pPr>
      <w:r>
        <w:rPr/>
        <w:t>调整期初未分配利润明细：</w:t>
      </w:r>
    </w:p>
    <w:p>
      <w:pPr>
        <w:pStyle w:val="BodyText"/>
        <w:spacing w:line="240" w:lineRule="auto" w:before="117"/>
        <w:ind w:right="1134"/>
        <w:jc w:val="left"/>
      </w:pPr>
      <w:r>
        <w:rPr>
          <w:rFonts w:ascii="Times New Roman" w:hAnsi="Times New Roman" w:cs="Times New Roman" w:eastAsia="Times New Roman" w:hint="default"/>
        </w:rPr>
        <w:t>1)</w:t>
      </w:r>
      <w:r>
        <w:rPr/>
        <w:t>、由于《企业会计准则》及其相关新规定进行追溯调整，影响期初未分配利润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1134"/>
        <w:jc w:val="left"/>
      </w:pPr>
      <w:r>
        <w:rPr>
          <w:rFonts w:ascii="Times New Roman" w:hAnsi="Times New Roman" w:cs="Times New Roman" w:eastAsia="Times New Roman" w:hint="default"/>
        </w:rPr>
        <w:t>2)</w:t>
      </w:r>
      <w:r>
        <w:rPr/>
        <w:t>、由于会计政策变更，影响期初未分配利润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134"/>
        <w:jc w:val="left"/>
      </w:pPr>
      <w:r>
        <w:rPr>
          <w:rFonts w:ascii="Times New Roman" w:hAnsi="Times New Roman" w:cs="Times New Roman" w:eastAsia="Times New Roman" w:hint="default"/>
        </w:rPr>
        <w:t>3)</w:t>
      </w:r>
      <w:r>
        <w:rPr/>
        <w:t>、由于重大会计差错更正，影响期初未分配利润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134"/>
        <w:jc w:val="left"/>
      </w:pPr>
      <w:r>
        <w:rPr>
          <w:rFonts w:ascii="Times New Roman" w:hAnsi="Times New Roman" w:cs="Times New Roman" w:eastAsia="Times New Roman" w:hint="default"/>
        </w:rPr>
        <w:t>4)</w:t>
      </w:r>
      <w:r>
        <w:rPr/>
        <w:t>、由于同一控制导致的合并范围变更，影响期初未分配利润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1134"/>
        <w:jc w:val="left"/>
      </w:pPr>
      <w:r>
        <w:rPr>
          <w:rFonts w:ascii="Times New Roman" w:hAnsi="Times New Roman" w:cs="Times New Roman" w:eastAsia="Times New Roman" w:hint="default"/>
        </w:rPr>
        <w:t>5)</w:t>
      </w:r>
      <w:r>
        <w:rPr/>
        <w:t>、其他调整合计影响期初未分配利润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2"/>
        <w:rPr>
          <w:rFonts w:ascii="宋体" w:hAnsi="宋体" w:cs="宋体" w:eastAsia="宋体" w:hint="default"/>
          <w:sz w:val="26"/>
          <w:szCs w:val="26"/>
        </w:rPr>
      </w:pPr>
    </w:p>
    <w:p>
      <w:pPr>
        <w:pStyle w:val="Heading3"/>
        <w:spacing w:line="240" w:lineRule="auto"/>
        <w:ind w:right="1134"/>
        <w:jc w:val="left"/>
        <w:rPr>
          <w:b w:val="0"/>
          <w:bCs w:val="0"/>
        </w:rPr>
      </w:pPr>
      <w:r>
        <w:rPr>
          <w:rFonts w:ascii="Times New Roman" w:hAnsi="Times New Roman" w:cs="Times New Roman" w:eastAsia="Times New Roman" w:hint="default"/>
        </w:rPr>
        <w:t>28</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205"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591,530,413.09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396,217,599.80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434,543,129.87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247,699,370.31</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591,530,413.09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396,217,599.80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434,543,129.87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247,699,370.31</w:t>
            </w:r>
          </w:p>
        </w:tc>
      </w:tr>
    </w:tbl>
    <w:p>
      <w:pPr>
        <w:spacing w:line="240" w:lineRule="auto" w:before="3"/>
        <w:rPr>
          <w:rFonts w:ascii="宋体" w:hAnsi="宋体" w:cs="宋体" w:eastAsia="宋体" w:hint="default"/>
          <w:sz w:val="19"/>
          <w:szCs w:val="19"/>
        </w:rPr>
      </w:pPr>
    </w:p>
    <w:p>
      <w:pPr>
        <w:pStyle w:val="Heading3"/>
        <w:spacing w:line="240" w:lineRule="auto" w:before="36"/>
        <w:ind w:right="1134"/>
        <w:jc w:val="left"/>
        <w:rPr>
          <w:b w:val="0"/>
          <w:bCs w:val="0"/>
        </w:rPr>
      </w:pPr>
      <w:r>
        <w:rPr>
          <w:rFonts w:ascii="Times New Roman" w:hAnsi="Times New Roman" w:cs="Times New Roman" w:eastAsia="Times New Roman" w:hint="default"/>
        </w:rPr>
        <w:t>29</w:t>
      </w:r>
      <w:r>
        <w:rPr/>
        <w:t>、营业税金及附加</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22,451.35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5,001,298.25</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353,301.26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771,385.93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151,414.81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330,593.97</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100,943.21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220,395.97</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628,110.63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6,323,674.12</w:t>
            </w:r>
          </w:p>
        </w:tc>
      </w:tr>
    </w:tbl>
    <w:p>
      <w:pPr>
        <w:spacing w:line="240" w:lineRule="auto" w:before="3"/>
        <w:rPr>
          <w:rFonts w:ascii="宋体" w:hAnsi="宋体" w:cs="宋体" w:eastAsia="宋体" w:hint="default"/>
          <w:sz w:val="19"/>
          <w:szCs w:val="19"/>
        </w:rPr>
      </w:pPr>
    </w:p>
    <w:p>
      <w:pPr>
        <w:pStyle w:val="Heading3"/>
        <w:spacing w:line="240" w:lineRule="auto" w:before="36"/>
        <w:ind w:right="1134"/>
        <w:jc w:val="left"/>
        <w:rPr>
          <w:b w:val="0"/>
          <w:bCs w:val="0"/>
        </w:rPr>
      </w:pPr>
      <w:r>
        <w:rPr>
          <w:rFonts w:ascii="Times New Roman" w:hAnsi="Times New Roman" w:cs="Times New Roman" w:eastAsia="Times New Roman" w:hint="default"/>
        </w:rPr>
        <w:t>30</w:t>
      </w:r>
      <w:r>
        <w:rPr/>
        <w:t>、销售费用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14,794,733.48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16,202,421.19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291,979.50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602,386.32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275,127.53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299,249.11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200,264.00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717,487.42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15,562,104.51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17,821,544.04</w:t>
            </w:r>
          </w:p>
        </w:tc>
      </w:tr>
    </w:tbl>
    <w:p>
      <w:pPr>
        <w:spacing w:line="240" w:lineRule="auto" w:before="3"/>
        <w:rPr>
          <w:rFonts w:ascii="宋体" w:hAnsi="宋体" w:cs="宋体" w:eastAsia="宋体" w:hint="default"/>
          <w:sz w:val="19"/>
          <w:szCs w:val="19"/>
        </w:rPr>
      </w:pPr>
    </w:p>
    <w:p>
      <w:pPr>
        <w:pStyle w:val="Heading3"/>
        <w:spacing w:line="240" w:lineRule="auto" w:before="36"/>
        <w:ind w:right="1134"/>
        <w:jc w:val="left"/>
        <w:rPr>
          <w:b w:val="0"/>
          <w:bCs w:val="0"/>
        </w:rPr>
      </w:pPr>
      <w:r>
        <w:rPr>
          <w:rFonts w:ascii="Times New Roman" w:hAnsi="Times New Roman" w:cs="Times New Roman" w:eastAsia="Times New Roman" w:hint="default"/>
        </w:rPr>
        <w:t>31</w:t>
      </w:r>
      <w:r>
        <w:rPr/>
        <w:t>、管理费用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13,494,639.19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10,572,127.58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房租、物业管理费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7,562,669.42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5,707,929.67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1,477,567.79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1,144,375.28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3,514,670.70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2,524,483.31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交通差旅费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2,240,442.15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1,732,508.38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4,893,912.05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1,319,717.39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152,410.16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2,026,321.70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19,626,904.84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17,496,873.92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1,063,557.98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412,440.85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审计、评估、咨询费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3,379,330.92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750,490.02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5,693,111.00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6,817,945.70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63,099,216.20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50,505,213.80</w:t>
            </w:r>
          </w:p>
        </w:tc>
      </w:tr>
    </w:tbl>
    <w:p>
      <w:pPr>
        <w:spacing w:line="240" w:lineRule="auto" w:before="3"/>
        <w:rPr>
          <w:rFonts w:ascii="宋体" w:hAnsi="宋体" w:cs="宋体" w:eastAsia="宋体" w:hint="default"/>
          <w:sz w:val="19"/>
          <w:szCs w:val="19"/>
        </w:rPr>
      </w:pPr>
    </w:p>
    <w:p>
      <w:pPr>
        <w:pStyle w:val="Heading3"/>
        <w:spacing w:line="240" w:lineRule="auto" w:before="36"/>
        <w:ind w:right="1134"/>
        <w:jc w:val="left"/>
        <w:rPr>
          <w:b w:val="0"/>
          <w:bCs w:val="0"/>
        </w:rPr>
      </w:pPr>
      <w:r>
        <w:rPr>
          <w:rFonts w:ascii="Times New Roman" w:hAnsi="Times New Roman" w:cs="Times New Roman" w:eastAsia="Times New Roman" w:hint="default"/>
        </w:rPr>
        <w:t>32</w:t>
      </w:r>
      <w:r>
        <w:rPr/>
        <w:t>、财务费用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5,825,232.72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1,540,210.68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1,343,237.89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2,603,966.47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利息净支出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4,481,994.83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-1,063,755.79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41,407.62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汇兑净损失</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41,407.62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金融机构手续费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768,495.33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105,128.36</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5,250,490.16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-917,219.81</w:t>
            </w:r>
          </w:p>
        </w:tc>
      </w:tr>
    </w:tbl>
    <w:p>
      <w:pPr>
        <w:spacing w:line="240" w:lineRule="auto" w:before="3"/>
        <w:rPr>
          <w:rFonts w:ascii="宋体" w:hAnsi="宋体" w:cs="宋体" w:eastAsia="宋体" w:hint="default"/>
          <w:sz w:val="19"/>
          <w:szCs w:val="19"/>
        </w:rPr>
      </w:pPr>
    </w:p>
    <w:p>
      <w:pPr>
        <w:pStyle w:val="Heading3"/>
        <w:spacing w:line="240" w:lineRule="auto" w:before="36"/>
        <w:ind w:right="1134"/>
        <w:jc w:val="left"/>
        <w:rPr>
          <w:b w:val="0"/>
          <w:bCs w:val="0"/>
        </w:rPr>
      </w:pPr>
      <w:r>
        <w:rPr>
          <w:rFonts w:ascii="Times New Roman" w:hAnsi="Times New Roman" w:cs="Times New Roman" w:eastAsia="Times New Roman" w:hint="default"/>
        </w:rPr>
        <w:t>33</w:t>
      </w:r>
      <w:r>
        <w:rPr/>
        <w:t>、资产减值损失</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1,317,356.05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679,592.70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1,317,356.05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679,592.70</w:t>
            </w:r>
          </w:p>
        </w:tc>
      </w:tr>
    </w:tbl>
    <w:p>
      <w:pPr>
        <w:spacing w:line="240" w:lineRule="auto" w:before="3"/>
        <w:rPr>
          <w:rFonts w:ascii="宋体" w:hAnsi="宋体" w:cs="宋体" w:eastAsia="宋体" w:hint="default"/>
          <w:sz w:val="19"/>
          <w:szCs w:val="19"/>
        </w:rPr>
      </w:pPr>
    </w:p>
    <w:p>
      <w:pPr>
        <w:pStyle w:val="Heading3"/>
        <w:spacing w:line="240" w:lineRule="auto" w:before="36"/>
        <w:ind w:right="1134"/>
        <w:jc w:val="left"/>
        <w:rPr>
          <w:b w:val="0"/>
          <w:bCs w:val="0"/>
        </w:rPr>
      </w:pPr>
      <w:r>
        <w:rPr>
          <w:rFonts w:ascii="Times New Roman" w:hAnsi="Times New Roman" w:cs="Times New Roman" w:eastAsia="Times New Roman" w:hint="default"/>
        </w:rPr>
        <w:t>34</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745" w:footer="979" w:top="1060" w:bottom="1160" w:left="980" w:right="980"/>
        </w:sectPr>
      </w:pPr>
    </w:p>
    <w:p>
      <w:pPr>
        <w:spacing w:line="240" w:lineRule="auto" w:before="6"/>
        <w:rPr>
          <w:rFonts w:ascii="宋体" w:hAnsi="宋体" w:cs="宋体" w:eastAsia="宋体" w:hint="default"/>
          <w:sz w:val="28"/>
          <w:szCs w:val="28"/>
        </w:rPr>
      </w:pPr>
      <w:r>
        <w:rPr/>
        <w:pict>
          <v:group style="position:absolute;margin-left:269.690002pt;margin-top:473.109985pt;width:52.75pt;height:23.4pt;mso-position-horizontal-relative:page;mso-position-vertical-relative:page;z-index:-1592680" coordorigin="5394,9462" coordsize="1055,468">
            <v:shape style="position:absolute;left:5394;top:9462;width:1055;height:468" coordorigin="5394,9462" coordsize="1055,468" path="m5394,9930l6448,9930,6448,9462,5394,9462,5394,9930xe" filled="true" fillcolor="#ffffff" stroked="false">
              <v:path arrowok="t"/>
              <v:fill type="solid"/>
            </v:shape>
            <w10:wrap type="none"/>
          </v:group>
        </w:pict>
      </w:r>
      <w:r>
        <w:rPr/>
        <w:pict>
          <v:group style="position:absolute;margin-left:163.339996pt;margin-top:540.070007pt;width:52.75pt;height:31.2pt;mso-position-horizontal-relative:page;mso-position-vertical-relative:page;z-index:-1592656" coordorigin="3267,10801" coordsize="1055,624">
            <v:shape style="position:absolute;left:3267;top:10801;width:1055;height:624" coordorigin="3267,10801" coordsize="1055,624" path="m3267,11425l4321,11425,4321,10801,3267,10801,3267,11425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3462"/>
        <w:gridCol w:w="3190"/>
        <w:gridCol w:w="2919"/>
      </w:tblGrid>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-116,857.61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623,679.70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506,822.09</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4"/>
        <w:jc w:val="left"/>
        <w:rPr>
          <w:b w:val="0"/>
          <w:bCs w:val="0"/>
        </w:rPr>
      </w:pPr>
      <w:r>
        <w:rPr>
          <w:rFonts w:ascii="Times New Roman" w:hAnsi="Times New Roman" w:cs="Times New Roman" w:eastAsia="Times New Roman" w:hint="default"/>
        </w:rPr>
        <w:t>35</w:t>
      </w:r>
      <w:r>
        <w:rPr/>
        <w:t>、营业外收入</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78"/>
        <w:gridCol w:w="2407"/>
        <w:gridCol w:w="2393"/>
        <w:gridCol w:w="2393"/>
      </w:tblGrid>
      <w:tr>
        <w:trPr>
          <w:trHeight w:val="162" w:hRule="exact"/>
        </w:trPr>
        <w:tc>
          <w:tcPr>
            <w:tcW w:w="2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407"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5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7"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407"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1,480.00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407"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1,480.00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4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21,959,000.00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5" w:right="0"/>
              <w:jc w:val="left"/>
              <w:rPr>
                <w:rFonts w:ascii="Times New Roman" w:hAnsi="Times New Roman" w:cs="Times New Roman" w:eastAsia="Times New Roman" w:hint="default"/>
                <w:sz w:val="18"/>
                <w:szCs w:val="18"/>
              </w:rPr>
            </w:pPr>
            <w:r>
              <w:rPr>
                <w:rFonts w:ascii="Times New Roman"/>
                <w:sz w:val="18"/>
              </w:rPr>
              <w:t>21,959,000.00</w:t>
            </w:r>
          </w:p>
        </w:tc>
      </w:tr>
      <w:tr>
        <w:trPr>
          <w:trHeight w:val="403"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21,959,000.00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198,480.00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4"/>
        <w:jc w:val="left"/>
      </w:pPr>
      <w:r>
        <w:rPr/>
        <w:t>计入当期损益的政府补助：</w:t>
      </w:r>
    </w:p>
    <w:p>
      <w:pPr>
        <w:pStyle w:val="BodyText"/>
        <w:spacing w:line="240" w:lineRule="auto" w:before="115"/>
        <w:ind w:left="0" w:right="151"/>
        <w:jc w:val="right"/>
      </w:pPr>
      <w:r>
        <w:rPr/>
        <w:pict>
          <v:group style="position:absolute;margin-left:269.690002pt;margin-top:59.217724pt;width:52.75pt;height:23.45pt;mso-position-horizontal-relative:page;mso-position-vertical-relative:paragraph;z-index:-1592704" coordorigin="5394,1184" coordsize="1055,469">
            <v:shape style="position:absolute;left:5394;top:1184;width:1055;height:469" coordorigin="5394,1184" coordsize="1055,469" path="m5394,1653l6448,1653,6448,1184,5394,1184,5394,1653xe" filled="true" fillcolor="#ffffff" stroked="false">
              <v:path arrowok="t"/>
              <v:fill type="solid"/>
            </v:shape>
            <w10:wrap type="none"/>
          </v:group>
        </w:pict>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715"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5"/>
              <w:jc w:val="righ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4" w:right="130"/>
              <w:jc w:val="left"/>
              <w:rPr>
                <w:rFonts w:ascii="宋体" w:hAnsi="宋体" w:cs="宋体" w:eastAsia="宋体" w:hint="default"/>
                <w:sz w:val="18"/>
                <w:szCs w:val="18"/>
              </w:rPr>
            </w:pPr>
            <w:r>
              <w:rPr>
                <w:rFonts w:ascii="宋体" w:hAnsi="宋体" w:cs="宋体" w:eastAsia="宋体" w:hint="default"/>
                <w:sz w:val="18"/>
                <w:szCs w:val="18"/>
              </w:rPr>
              <w:t>互联网数据 服务一体化</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北京市经济 和信息化委 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9" w:lineRule="auto"/>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年用能 单位节能考 核奖励资金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北京市东城 区发展和改 革委员会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30"/>
              <w:jc w:val="both"/>
              <w:rPr>
                <w:rFonts w:ascii="宋体" w:hAnsi="宋体" w:cs="宋体" w:eastAsia="宋体" w:hint="default"/>
                <w:sz w:val="18"/>
                <w:szCs w:val="18"/>
              </w:rPr>
            </w:pPr>
            <w:r>
              <w:rPr>
                <w:rFonts w:ascii="宋体" w:hAnsi="宋体" w:cs="宋体" w:eastAsia="宋体" w:hint="default"/>
                <w:sz w:val="18"/>
                <w:szCs w:val="18"/>
              </w:rPr>
              <w:t>光环新网房 山绿色云计 算基地项目 扶持资金</w:t>
            </w:r>
          </w:p>
        </w:tc>
        <w:tc>
          <w:tcPr>
            <w:tcW w:w="1063"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20"/>
              <w:jc w:val="both"/>
              <w:rPr>
                <w:rFonts w:ascii="宋体" w:hAnsi="宋体" w:cs="宋体" w:eastAsia="宋体" w:hint="default"/>
                <w:sz w:val="18"/>
                <w:szCs w:val="18"/>
              </w:rPr>
            </w:pPr>
            <w:r>
              <w:rPr>
                <w:rFonts w:ascii="宋体" w:hAnsi="宋体" w:cs="宋体" w:eastAsia="宋体" w:hint="default"/>
                <w:sz w:val="18"/>
                <w:szCs w:val="18"/>
              </w:rPr>
              <w:t>北京高端制 造业（房山 基地管理委 员会</w:t>
            </w:r>
          </w:p>
        </w:tc>
        <w:tc>
          <w:tcPr>
            <w:tcW w:w="1064"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197" w:lineRule="exact"/>
              <w:ind w:left="-14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7" w:lineRule="exact"/>
              <w:ind w:left="16"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21,600,000.0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58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30"/>
              <w:jc w:val="right"/>
              <w:rPr>
                <w:rFonts w:ascii="宋体" w:hAnsi="宋体" w:cs="宋体" w:eastAsia="宋体" w:hint="default"/>
                <w:sz w:val="18"/>
                <w:szCs w:val="18"/>
              </w:rPr>
            </w:pPr>
            <w:r>
              <w:rPr>
                <w:rFonts w:ascii="宋体" w:hAnsi="宋体" w:cs="宋体" w:eastAsia="宋体" w:hint="default"/>
                <w:sz w:val="18"/>
                <w:szCs w:val="18"/>
              </w:rPr>
              <w:t>残保金补贴</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北京市门头 沟财政局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因承担国家 为保障某种 公用事业或 社会必要产 品供应或价 格控制职能 而获得的补 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both"/>
              <w:rPr>
                <w:rFonts w:ascii="宋体" w:hAnsi="宋体" w:cs="宋体" w:eastAsia="宋体" w:hint="default"/>
                <w:sz w:val="18"/>
                <w:szCs w:val="18"/>
              </w:rPr>
            </w:pPr>
            <w:r>
              <w:rPr>
                <w:rFonts w:ascii="宋体" w:hAnsi="宋体" w:cs="宋体" w:eastAsia="宋体" w:hint="default"/>
                <w:sz w:val="18"/>
                <w:szCs w:val="18"/>
              </w:rPr>
              <w:t>基于云计算 的生态驾驶 行为车载反 馈装置及培 训平台研发 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北京市朝阳 区财政局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100,000.00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21,959,000.0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197,000.00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4"/>
        <w:jc w:val="left"/>
      </w:pPr>
      <w:r>
        <w:rPr/>
        <w:pict>
          <v:group style="position:absolute;margin-left:269.690002pt;margin-top:-133.822311pt;width:52.75pt;height:39.050pt;mso-position-horizontal-relative:page;mso-position-vertical-relative:paragraph;z-index:-1592632" coordorigin="5394,-2676" coordsize="1055,781">
            <v:shape style="position:absolute;left:5394;top:-2676;width:1055;height:781" coordorigin="5394,-2676" coordsize="1055,781" path="m5394,-1896l6448,-1896,6448,-2676,5394,-2676,5394,-1896xe" filled="true" fillcolor="#ffffff" stroked="false">
              <v:path arrowok="t"/>
              <v:fill type="solid"/>
            </v:shape>
            <w10:wrap type="none"/>
          </v:group>
        </w:pict>
      </w:r>
      <w:r>
        <w:rPr/>
        <w:t>其他说明：</w:t>
      </w:r>
    </w:p>
    <w:p>
      <w:pPr>
        <w:pStyle w:val="BodyText"/>
        <w:spacing w:line="240" w:lineRule="auto" w:before="115"/>
        <w:ind w:left="0" w:right="152"/>
        <w:jc w:val="right"/>
      </w:pPr>
      <w:r>
        <w:rPr/>
        <w:t>根据房山区政府第</w:t>
      </w:r>
      <w:r>
        <w:rPr>
          <w:spacing w:val="-43"/>
        </w:rPr>
        <w:t> </w:t>
      </w:r>
      <w:r>
        <w:rPr>
          <w:rFonts w:ascii="Times New Roman" w:hAnsi="Times New Roman" w:cs="Times New Roman" w:eastAsia="Times New Roman" w:hint="default"/>
        </w:rPr>
        <w:t>83</w:t>
      </w:r>
      <w:r>
        <w:rPr>
          <w:rFonts w:ascii="Times New Roman" w:hAnsi="Times New Roman" w:cs="Times New Roman" w:eastAsia="Times New Roman" w:hint="default"/>
          <w:spacing w:val="4"/>
        </w:rPr>
        <w:t> </w:t>
      </w:r>
      <w:r>
        <w:rPr/>
        <w:t>次专题会议精神，由北京高端制造业基地管委会对公司房山绿色云计算基地项目给予资金支持，</w:t>
      </w:r>
    </w:p>
    <w:p>
      <w:pPr>
        <w:pStyle w:val="BodyText"/>
        <w:spacing w:line="240" w:lineRule="auto" w:before="63"/>
        <w:ind w:right="1134"/>
        <w:jc w:val="left"/>
      </w:pPr>
      <w:r>
        <w:rPr/>
        <w:t>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日收到发展扶持资金</w:t>
      </w:r>
      <w:r>
        <w:rPr>
          <w:spacing w:val="-46"/>
        </w:rPr>
        <w:t> </w:t>
      </w:r>
      <w:r>
        <w:rPr>
          <w:rFonts w:ascii="Times New Roman" w:hAnsi="Times New Roman" w:cs="Times New Roman" w:eastAsia="Times New Roman" w:hint="default"/>
        </w:rPr>
        <w:t>2,160 </w:t>
      </w:r>
      <w:r>
        <w:rPr/>
        <w:t>万元，做为与收益相关的政府补助计入当期损益。</w:t>
      </w:r>
    </w:p>
    <w:p>
      <w:pPr>
        <w:spacing w:line="240" w:lineRule="auto" w:before="2"/>
        <w:rPr>
          <w:rFonts w:ascii="宋体" w:hAnsi="宋体" w:cs="宋体" w:eastAsia="宋体" w:hint="default"/>
          <w:sz w:val="26"/>
          <w:szCs w:val="26"/>
        </w:rPr>
      </w:pPr>
    </w:p>
    <w:p>
      <w:pPr>
        <w:pStyle w:val="Heading3"/>
        <w:spacing w:line="240" w:lineRule="auto"/>
        <w:ind w:right="1134"/>
        <w:jc w:val="left"/>
        <w:rPr>
          <w:b w:val="0"/>
          <w:bCs w:val="0"/>
        </w:rPr>
      </w:pPr>
      <w:r>
        <w:rPr>
          <w:rFonts w:ascii="Times New Roman" w:hAnsi="Times New Roman" w:cs="Times New Roman" w:eastAsia="Times New Roman" w:hint="default"/>
        </w:rPr>
        <w:t>36</w:t>
      </w:r>
      <w:r>
        <w:rPr/>
        <w:t>、营业外支出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186.69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138,941.29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186.69</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186.69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138,941.29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186.69</w:t>
            </w: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297,824.40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1,745.71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298,011.09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140,687.00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4"/>
        <w:jc w:val="left"/>
        <w:rPr>
          <w:b w:val="0"/>
          <w:bCs w:val="0"/>
        </w:rPr>
      </w:pPr>
      <w:r>
        <w:rPr>
          <w:rFonts w:ascii="Times New Roman" w:hAnsi="Times New Roman" w:cs="Times New Roman" w:eastAsia="Times New Roman" w:hint="default"/>
        </w:rPr>
        <w:t>37</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4"/>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16,935,307.94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17,524,692.90</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509,436.55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-221,929.27</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17,444,744.49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17,302,763.63</w:t>
            </w:r>
          </w:p>
        </w:tc>
      </w:tr>
    </w:tbl>
    <w:p>
      <w:pPr>
        <w:spacing w:line="240" w:lineRule="auto" w:before="3"/>
        <w:rPr>
          <w:rFonts w:ascii="宋体" w:hAnsi="宋体" w:cs="宋体" w:eastAsia="宋体" w:hint="default"/>
          <w:sz w:val="19"/>
          <w:szCs w:val="19"/>
        </w:rPr>
      </w:pPr>
    </w:p>
    <w:p>
      <w:pPr>
        <w:pStyle w:val="Heading3"/>
        <w:spacing w:line="240" w:lineRule="auto" w:before="36"/>
        <w:ind w:right="1134"/>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131,623,346.74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19,743,502.01</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1,021,706.40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79"/>
        <w:gridCol w:w="4791"/>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-1,186,215.17</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17,528.64</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143,445.56</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加速折旧、加计扣除费用的影响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-2,262,409.17</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境外所得的影响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-32,813.78</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17,444,744.49</w:t>
            </w:r>
          </w:p>
        </w:tc>
      </w:tr>
    </w:tbl>
    <w:p>
      <w:pPr>
        <w:spacing w:line="240" w:lineRule="auto" w:before="3"/>
        <w:rPr>
          <w:rFonts w:ascii="宋体" w:hAnsi="宋体" w:cs="宋体" w:eastAsia="宋体" w:hint="default"/>
          <w:sz w:val="19"/>
          <w:szCs w:val="19"/>
        </w:rPr>
      </w:pPr>
    </w:p>
    <w:p>
      <w:pPr>
        <w:pStyle w:val="Heading3"/>
        <w:spacing w:line="240" w:lineRule="auto" w:before="36"/>
        <w:ind w:right="1134"/>
        <w:jc w:val="left"/>
        <w:rPr>
          <w:b w:val="0"/>
          <w:bCs w:val="0"/>
        </w:rPr>
      </w:pPr>
      <w:r>
        <w:rPr>
          <w:rFonts w:ascii="Times New Roman" w:hAnsi="Times New Roman" w:cs="Times New Roman" w:eastAsia="Times New Roman" w:hint="default"/>
        </w:rPr>
        <w:t>38</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4"/>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695,936.55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269,897.27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76,017,989.61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27,535,908.49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收回保证金、押金、备用金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1,319,965.99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4,156,400.00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21,867,000.00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89,236.05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267,270.76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99,990,128.20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32,229,476.52</w:t>
            </w:r>
          </w:p>
        </w:tc>
      </w:tr>
    </w:tbl>
    <w:p>
      <w:pPr>
        <w:spacing w:line="240" w:lineRule="auto" w:before="3"/>
        <w:rPr>
          <w:rFonts w:ascii="宋体" w:hAnsi="宋体" w:cs="宋体" w:eastAsia="宋体" w:hint="default"/>
          <w:sz w:val="19"/>
          <w:szCs w:val="19"/>
        </w:rPr>
      </w:pPr>
    </w:p>
    <w:p>
      <w:pPr>
        <w:pStyle w:val="Heading3"/>
        <w:spacing w:line="240" w:lineRule="auto" w:before="36"/>
        <w:ind w:right="1134"/>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付现费用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26,297,588.34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20,415,063.82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145,041,525.48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28,694,426.99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支付押金、保证金、备用金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1,006,542.95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441,004.78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302,695.75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441,150.52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172,648,352.52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49,991,646.11</w:t>
            </w:r>
          </w:p>
        </w:tc>
      </w:tr>
    </w:tbl>
    <w:p>
      <w:pPr>
        <w:spacing w:line="240" w:lineRule="auto" w:before="3"/>
        <w:rPr>
          <w:rFonts w:ascii="宋体" w:hAnsi="宋体" w:cs="宋体" w:eastAsia="宋体" w:hint="default"/>
          <w:sz w:val="19"/>
          <w:szCs w:val="19"/>
        </w:rPr>
      </w:pPr>
    </w:p>
    <w:p>
      <w:pPr>
        <w:pStyle w:val="Heading3"/>
        <w:spacing w:line="240" w:lineRule="auto" w:before="36"/>
        <w:ind w:right="1134"/>
        <w:jc w:val="left"/>
        <w:rPr>
          <w:b w:val="0"/>
          <w:bCs w:val="0"/>
        </w:rPr>
      </w:pPr>
      <w:r>
        <w:rPr/>
        <w:t>（</w:t>
      </w:r>
      <w:r>
        <w:rPr>
          <w:rFonts w:ascii="Times New Roman" w:hAnsi="Times New Roman" w:cs="Times New Roman" w:eastAsia="Times New Roman" w:hint="default"/>
        </w:rPr>
        <w:t>3</w:t>
      </w:r>
      <w:r>
        <w:rPr/>
        <w:t>）收到的其他与筹资活动有关的现金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募集资金利息收入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647,301.34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2,336,900.98</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收到股权转让印花税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186,329.51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647,301.34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2,523,230.49</w:t>
            </w:r>
          </w:p>
        </w:tc>
      </w:tr>
    </w:tbl>
    <w:p>
      <w:pPr>
        <w:spacing w:after="0" w:line="240" w:lineRule="auto"/>
        <w:jc w:val="right"/>
        <w:rPr>
          <w:rFonts w:ascii="Times New Roman" w:hAnsi="Times New Roman" w:cs="Times New Roman" w:eastAsia="Times New Roman" w:hint="default"/>
          <w:sz w:val="18"/>
          <w:szCs w:val="18"/>
        </w:rPr>
        <w:sectPr>
          <w:footerReference w:type="default" r:id="rId29"/>
          <w:pgSz w:w="11910" w:h="16840"/>
          <w:pgMar w:footer="979" w:header="745" w:top="1060" w:bottom="1160" w:left="980" w:right="980"/>
        </w:sectPr>
      </w:pPr>
    </w:p>
    <w:p>
      <w:pPr>
        <w:spacing w:line="240" w:lineRule="auto" w:before="10"/>
        <w:rPr>
          <w:rFonts w:ascii="宋体" w:hAnsi="宋体" w:cs="宋体" w:eastAsia="宋体" w:hint="default"/>
          <w:sz w:val="24"/>
          <w:szCs w:val="24"/>
        </w:rPr>
      </w:pPr>
      <w:r>
        <w:rPr/>
        <w:pict>
          <v:group style="position:absolute;margin-left:223.369995pt;margin-top:607.719971pt;width:151.25pt;height:40.8pt;mso-position-horizontal-relative:page;mso-position-vertical-relative:page;z-index:-1592608" coordorigin="4467,12154" coordsize="3025,816">
            <v:group style="position:absolute;left:4478;top:12165;width:2;height:394" coordorigin="4478,12165" coordsize="2,394">
              <v:shape style="position:absolute;left:4478;top:12165;width:2;height:394" coordorigin="4478,12165" coordsize="0,394" path="m4478,12165l4478,12559e" filled="false" stroked="true" strokeweight="1.08pt" strokecolor="#ffffff">
                <v:path arrowok="t"/>
              </v:shape>
            </v:group>
            <v:group style="position:absolute;left:4489;top:12165;width:3003;height:394" coordorigin="4489,12165" coordsize="3003,394">
              <v:shape style="position:absolute;left:4489;top:12165;width:3003;height:394" coordorigin="4489,12165" coordsize="3003,394" path="m4489,12559l7492,12559,7492,12165,4489,12165,4489,12559xe" filled="true" fillcolor="#ffffff" stroked="false">
                <v:path arrowok="t"/>
                <v:fill type="solid"/>
              </v:shape>
            </v:group>
            <v:group style="position:absolute;left:4478;top:12568;width:2;height:392" coordorigin="4478,12568" coordsize="2,392">
              <v:shape style="position:absolute;left:4478;top:12568;width:2;height:392" coordorigin="4478,12568" coordsize="0,392" path="m4478,12568l4478,12960e" filled="false" stroked="true" strokeweight="1.08pt" strokecolor="#ffffff">
                <v:path arrowok="t"/>
              </v:shape>
            </v:group>
            <v:group style="position:absolute;left:4489;top:12568;width:3003;height:392" coordorigin="4489,12568" coordsize="3003,392">
              <v:shape style="position:absolute;left:4489;top:12568;width:3003;height:392" coordorigin="4489,12568" coordsize="3003,392" path="m4489,12960l7492,12960,7492,12568,4489,12568,4489,12960xe" filled="true" fillcolor="#ffffff" stroked="false">
                <v:path arrowok="t"/>
                <v:fill type="solid"/>
              </v:shape>
            </v:group>
            <w10:wrap type="none"/>
          </v:group>
        </w:pict>
      </w:r>
    </w:p>
    <w:p>
      <w:pPr>
        <w:pStyle w:val="Heading3"/>
        <w:spacing w:line="240" w:lineRule="auto" w:before="36"/>
        <w:ind w:right="1134"/>
        <w:jc w:val="left"/>
        <w:rPr>
          <w:b w:val="0"/>
          <w:bCs w:val="0"/>
        </w:rPr>
      </w:pPr>
      <w:r>
        <w:rPr/>
        <w:t>（</w:t>
      </w:r>
      <w:r>
        <w:rPr>
          <w:rFonts w:ascii="Times New Roman" w:hAnsi="Times New Roman" w:cs="Times New Roman" w:eastAsia="Times New Roman" w:hint="default"/>
        </w:rPr>
        <w:t>4</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上市中介费用</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8,364,250.00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支付股权转让印花税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186,329.51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融资租入固定资产所支付的租赁费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4,116,000.00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支付的融资质押保证金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6,426,095.00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10,542,095.00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8,550,579.51</w:t>
            </w:r>
          </w:p>
        </w:tc>
      </w:tr>
    </w:tbl>
    <w:p>
      <w:pPr>
        <w:spacing w:line="240" w:lineRule="auto" w:before="3"/>
        <w:rPr>
          <w:rFonts w:ascii="宋体" w:hAnsi="宋体" w:cs="宋体" w:eastAsia="宋体" w:hint="default"/>
          <w:sz w:val="19"/>
          <w:szCs w:val="19"/>
        </w:rPr>
      </w:pPr>
    </w:p>
    <w:p>
      <w:pPr>
        <w:pStyle w:val="Heading3"/>
        <w:spacing w:line="240" w:lineRule="auto" w:before="36"/>
        <w:ind w:right="1134"/>
        <w:jc w:val="left"/>
        <w:rPr>
          <w:b w:val="0"/>
          <w:bCs w:val="0"/>
        </w:rPr>
      </w:pPr>
      <w:r>
        <w:rPr>
          <w:rFonts w:ascii="Times New Roman" w:hAnsi="Times New Roman" w:cs="Times New Roman" w:eastAsia="Times New Roman" w:hint="default"/>
        </w:rPr>
        <w:t>39</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4"/>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1151"/>
        <w:gridCol w:w="1918"/>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9" w:right="0"/>
              <w:jc w:val="left"/>
              <w:rPr>
                <w:rFonts w:ascii="Times New Roman" w:hAnsi="Times New Roman" w:cs="Times New Roman" w:eastAsia="Times New Roman" w:hint="default"/>
                <w:sz w:val="18"/>
                <w:szCs w:val="18"/>
              </w:rPr>
            </w:pPr>
            <w:r>
              <w:rPr>
                <w:rFonts w:ascii="Times New Roman"/>
                <w:sz w:val="18"/>
              </w:rPr>
              <w:t>114,178,602.25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95,185,984.08</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1,317,356.05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679,592.70</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3" w:right="0"/>
              <w:jc w:val="left"/>
              <w:rPr>
                <w:rFonts w:ascii="Times New Roman" w:hAnsi="Times New Roman" w:cs="Times New Roman" w:eastAsia="Times New Roman" w:hint="default"/>
                <w:sz w:val="18"/>
                <w:szCs w:val="18"/>
              </w:rPr>
            </w:pPr>
            <w:r>
              <w:rPr>
                <w:rFonts w:ascii="Times New Roman"/>
                <w:sz w:val="18"/>
              </w:rPr>
              <w:t>39,170,852.23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29,169,676.25</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3,304,280.55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362,982.78</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9,604,536.51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8,561,283.22</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186.69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54,004.93</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83,456.36</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5,717,282.68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-796,690.30</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-506,822.09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51"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19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509,436.55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-166,862.70</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51"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19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-55,066.56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-55,066.57</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-159,174.77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-354,147.61</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2" w:right="0"/>
              <w:jc w:val="left"/>
              <w:rPr>
                <w:rFonts w:ascii="Times New Roman" w:hAnsi="Times New Roman" w:cs="Times New Roman" w:eastAsia="Times New Roman" w:hint="default"/>
                <w:sz w:val="18"/>
                <w:szCs w:val="18"/>
              </w:rPr>
            </w:pPr>
            <w:r>
              <w:rPr>
                <w:rFonts w:ascii="Times New Roman"/>
                <w:sz w:val="18"/>
              </w:rPr>
              <w:t>-122,678,308.66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-17,685,287.20</w:t>
            </w:r>
          </w:p>
        </w:tc>
      </w:tr>
      <w:tr>
        <w:trPr>
          <w:trHeight w:val="716"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3" w:right="0"/>
              <w:jc w:val="left"/>
              <w:rPr>
                <w:rFonts w:ascii="Times New Roman" w:hAnsi="Times New Roman" w:cs="Times New Roman" w:eastAsia="Times New Roman" w:hint="default"/>
                <w:sz w:val="18"/>
                <w:szCs w:val="18"/>
              </w:rPr>
            </w:pPr>
            <w:r>
              <w:rPr>
                <w:rFonts w:ascii="Times New Roman"/>
                <w:sz w:val="18"/>
              </w:rPr>
              <w:t>49,509,099.74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30,119,876.11</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w:t>
            </w:r>
          </w:p>
        </w:tc>
      </w:tr>
    </w:tbl>
    <w:p>
      <w:pPr>
        <w:spacing w:after="0" w:line="240" w:lineRule="auto"/>
        <w:jc w:val="right"/>
        <w:rPr>
          <w:rFonts w:ascii="Times New Roman" w:hAnsi="Times New Roman" w:cs="Times New Roman" w:eastAsia="Times New Roman" w:hint="default"/>
          <w:sz w:val="18"/>
          <w:szCs w:val="18"/>
        </w:rPr>
        <w:sectPr>
          <w:footerReference w:type="default" r:id="rId30"/>
          <w:pgSz w:w="11910" w:h="16840"/>
          <w:pgMar w:footer="979" w:header="745" w:top="1060" w:bottom="1160" w:left="980" w:right="980"/>
          <w:pgNumType w:start="201"/>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99,912,261.17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149,158,802.05</w:t>
            </w:r>
          </w:p>
        </w:tc>
      </w:tr>
      <w:tr>
        <w:trPr>
          <w:trHeight w:val="162"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50"/>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74"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4"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178,407,653.53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238,977,816.19</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238,977,816.19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39,035,367.79</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-60,570,162.66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199,942,448.40</w:t>
            </w:r>
          </w:p>
        </w:tc>
      </w:tr>
    </w:tbl>
    <w:p>
      <w:pPr>
        <w:spacing w:line="240" w:lineRule="auto" w:before="3"/>
        <w:rPr>
          <w:rFonts w:ascii="宋体" w:hAnsi="宋体" w:cs="宋体" w:eastAsia="宋体" w:hint="default"/>
          <w:sz w:val="19"/>
          <w:szCs w:val="19"/>
        </w:rPr>
      </w:pPr>
    </w:p>
    <w:p>
      <w:pPr>
        <w:pStyle w:val="Heading3"/>
        <w:spacing w:line="240" w:lineRule="auto" w:before="36"/>
        <w:ind w:right="1134"/>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8"/>
        <w:gridCol w:w="4583"/>
      </w:tblGrid>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124,787,718.35</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北京德信致远科技有限公司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124,787,718.35</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27,139,619.51</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北京科信盛彩置业有限公司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27,139,619.51</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4,690,000.00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光环新网（上海）信息服务有限公司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4,690,000.00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102,338,098.84</w:t>
            </w:r>
          </w:p>
        </w:tc>
      </w:tr>
    </w:tbl>
    <w:p>
      <w:pPr>
        <w:spacing w:line="240" w:lineRule="auto" w:before="3"/>
        <w:rPr>
          <w:rFonts w:ascii="宋体" w:hAnsi="宋体" w:cs="宋体" w:eastAsia="宋体" w:hint="default"/>
          <w:sz w:val="19"/>
          <w:szCs w:val="19"/>
        </w:rPr>
      </w:pPr>
    </w:p>
    <w:p>
      <w:pPr>
        <w:pStyle w:val="Heading3"/>
        <w:spacing w:line="240" w:lineRule="auto" w:before="36"/>
        <w:ind w:right="1134"/>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178,407,653.53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238,977,816.19</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81,843.11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44,653.98</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178,325,810.42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238,933,162.21</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178,407,653.53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238,977,816.19</w:t>
            </w:r>
          </w:p>
        </w:tc>
      </w:tr>
    </w:tbl>
    <w:p>
      <w:pPr>
        <w:spacing w:line="240" w:lineRule="auto" w:before="3"/>
        <w:rPr>
          <w:rFonts w:ascii="宋体" w:hAnsi="宋体" w:cs="宋体" w:eastAsia="宋体" w:hint="default"/>
          <w:sz w:val="19"/>
          <w:szCs w:val="19"/>
        </w:rPr>
      </w:pPr>
    </w:p>
    <w:p>
      <w:pPr>
        <w:pStyle w:val="Heading3"/>
        <w:spacing w:line="240" w:lineRule="auto" w:before="36"/>
        <w:ind w:right="1134"/>
        <w:jc w:val="left"/>
        <w:rPr>
          <w:b w:val="0"/>
          <w:bCs w:val="0"/>
        </w:rPr>
      </w:pPr>
      <w:r>
        <w:rPr>
          <w:rFonts w:ascii="Times New Roman" w:hAnsi="Times New Roman" w:cs="Times New Roman" w:eastAsia="Times New Roman" w:hint="default"/>
        </w:rPr>
        <w:t>40</w:t>
      </w:r>
      <w:r>
        <w:rPr/>
        <w:t>、所有权或使用权受到限制的资产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9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6,426,095.00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r>
        <w:rPr/>
        <w:pict>
          <v:shape style="position:absolute;margin-left:92.279999pt;margin-top:605.26001pt;width:101.1pt;height:15.6pt;mso-position-horizontal-relative:page;mso-position-vertical-relative:page;z-index:-1592560" type="#_x0000_t202" filled="false" stroked="false">
            <v:textbox inset="0,0,0,0">
              <w:txbxContent>
                <w:p>
                  <w:pPr>
                    <w:pStyle w:val="BodyText"/>
                    <w:spacing w:line="240" w:lineRule="auto" w:before="49"/>
                    <w:ind w:left="0" w:right="0"/>
                    <w:jc w:val="left"/>
                  </w:pPr>
                  <w:r>
                    <w:rPr/>
                    <w:t>（上海）</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26,214,605.15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抵押</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30,999,908.40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63,640,608.55</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06"/>
        <w:jc w:val="left"/>
      </w:pPr>
      <w:r>
        <w:rPr/>
        <w:t>其他说明：所有权受限资产情况情况详见本节七、</w:t>
      </w:r>
      <w:r>
        <w:rPr>
          <w:rFonts w:ascii="Times New Roman" w:hAnsi="Times New Roman" w:cs="Times New Roman" w:eastAsia="Times New Roman" w:hint="default"/>
        </w:rPr>
        <w:t>1</w:t>
      </w:r>
      <w:r>
        <w:rPr/>
        <w:t>、货币资金，</w:t>
      </w:r>
      <w:r>
        <w:rPr>
          <w:rFonts w:ascii="Times New Roman" w:hAnsi="Times New Roman" w:cs="Times New Roman" w:eastAsia="Times New Roman" w:hint="default"/>
        </w:rPr>
        <w:t>2</w:t>
      </w:r>
      <w:r>
        <w:rPr/>
        <w:t>、应收账款，</w:t>
      </w:r>
      <w:r>
        <w:rPr>
          <w:rFonts w:ascii="Times New Roman" w:hAnsi="Times New Roman" w:cs="Times New Roman" w:eastAsia="Times New Roman" w:hint="default"/>
        </w:rPr>
        <w:t>9</w:t>
      </w:r>
      <w:r>
        <w:rPr/>
        <w:t>、固定资产。</w:t>
      </w:r>
    </w:p>
    <w:p>
      <w:pPr>
        <w:spacing w:line="240" w:lineRule="auto" w:before="0"/>
        <w:rPr>
          <w:rFonts w:ascii="宋体" w:hAnsi="宋体" w:cs="宋体" w:eastAsia="宋体" w:hint="default"/>
          <w:sz w:val="24"/>
          <w:szCs w:val="24"/>
        </w:rPr>
      </w:pPr>
    </w:p>
    <w:p>
      <w:pPr>
        <w:pStyle w:val="Heading2"/>
        <w:spacing w:line="240" w:lineRule="auto"/>
        <w:ind w:right="106"/>
        <w:jc w:val="left"/>
        <w:rPr>
          <w:b w:val="0"/>
          <w:bCs w:val="0"/>
        </w:rPr>
      </w:pPr>
      <w:r>
        <w:rPr/>
        <w:t>八、合并范围的变更</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06"/>
        <w:jc w:val="left"/>
        <w:rPr>
          <w:b w:val="0"/>
          <w:bCs w:val="0"/>
        </w:rPr>
      </w:pPr>
      <w:r>
        <w:rPr>
          <w:rFonts w:ascii="Times New Roman" w:hAnsi="Times New Roman" w:cs="Times New Roman" w:eastAsia="Times New Roman" w:hint="default"/>
        </w:rPr>
        <w:t>1</w:t>
      </w:r>
      <w:r>
        <w:rPr/>
        <w:t>、其他原因的合并范围变动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06"/>
        <w:jc w:val="left"/>
      </w:pPr>
      <w:r>
        <w:rPr/>
        <w:t>说明其他原因导致的合并范围变动（如，新设子公司、清算子公司等）及其相关情况：</w:t>
      </w:r>
    </w:p>
    <w:p>
      <w:pPr>
        <w:spacing w:line="240" w:lineRule="auto" w:before="13"/>
        <w:rPr>
          <w:rFonts w:ascii="宋体" w:hAnsi="宋体" w:cs="宋体" w:eastAsia="宋体" w:hint="default"/>
          <w:sz w:val="17"/>
          <w:szCs w:val="17"/>
        </w:rPr>
      </w:pPr>
    </w:p>
    <w:p>
      <w:pPr>
        <w:pStyle w:val="BodyText"/>
        <w:spacing w:line="297" w:lineRule="auto"/>
        <w:ind w:right="106" w:firstLine="360"/>
        <w:jc w:val="left"/>
      </w:pPr>
      <w:r>
        <w:rPr/>
        <w:t>（</w:t>
      </w:r>
      <w:r>
        <w:rPr>
          <w:rFonts w:ascii="Times New Roman" w:hAnsi="Times New Roman" w:cs="Times New Roman" w:eastAsia="Times New Roman" w:hint="default"/>
        </w:rPr>
        <w:t>1</w:t>
      </w:r>
      <w:r>
        <w:rPr/>
        <w:t>）本公司于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月以</w:t>
      </w:r>
      <w:r>
        <w:rPr>
          <w:rFonts w:ascii="Times New Roman" w:hAnsi="Times New Roman" w:cs="Times New Roman" w:eastAsia="Times New Roman" w:hint="default"/>
        </w:rPr>
        <w:t>136,426,475</w:t>
      </w:r>
      <w:r>
        <w:rPr/>
        <w:t>元购买北京德信致远科技有限公司</w:t>
      </w:r>
      <w:r>
        <w:rPr>
          <w:rFonts w:ascii="Times New Roman" w:hAnsi="Times New Roman" w:cs="Times New Roman" w:eastAsia="Times New Roman" w:hint="default"/>
        </w:rPr>
        <w:t>100.00%</w:t>
      </w:r>
      <w:r>
        <w:rPr/>
        <w:t>股权，由于北京德信致远科技有限 公司不构成业务，不属于非同一控制下企业合并。从购买日起北京德信致远科技有限公司成为本公司的子公司。</w:t>
      </w:r>
    </w:p>
    <w:p>
      <w:pPr>
        <w:spacing w:line="240" w:lineRule="auto" w:before="6"/>
        <w:rPr>
          <w:rFonts w:ascii="宋体" w:hAnsi="宋体" w:cs="宋体" w:eastAsia="宋体" w:hint="default"/>
          <w:sz w:val="14"/>
          <w:szCs w:val="14"/>
        </w:rPr>
      </w:pPr>
    </w:p>
    <w:p>
      <w:pPr>
        <w:pStyle w:val="BodyText"/>
        <w:spacing w:line="312" w:lineRule="auto"/>
        <w:ind w:right="94" w:firstLine="360"/>
        <w:jc w:val="left"/>
      </w:pPr>
      <w:r>
        <w:rPr/>
        <w:t>（</w:t>
      </w:r>
      <w:r>
        <w:rPr>
          <w:rFonts w:ascii="Times New Roman" w:hAnsi="Times New Roman" w:cs="Times New Roman" w:eastAsia="Times New Roman" w:hint="default"/>
        </w:rPr>
        <w:t>2</w:t>
      </w:r>
      <w:r>
        <w:rPr/>
        <w:t>）本公司于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月以</w:t>
      </w:r>
      <w:r>
        <w:rPr>
          <w:rFonts w:ascii="Times New Roman" w:hAnsi="Times New Roman" w:cs="Times New Roman" w:eastAsia="Times New Roman" w:hint="default"/>
        </w:rPr>
        <w:t>68,700,000</w:t>
      </w:r>
      <w:r>
        <w:rPr/>
        <w:t>元增资取得北京科信盛彩置业有限公司</w:t>
      </w:r>
      <w:r>
        <w:rPr>
          <w:rFonts w:ascii="Times New Roman" w:hAnsi="Times New Roman" w:cs="Times New Roman" w:eastAsia="Times New Roman" w:hint="default"/>
        </w:rPr>
        <w:t>15.00%</w:t>
      </w:r>
      <w:r>
        <w:rPr/>
        <w:t>股权，本公司的母公司北京百汇 达投资管理有限公司增资取得北京科信盛彩置业有限公司</w:t>
      </w:r>
      <w:r>
        <w:rPr>
          <w:rFonts w:ascii="Times New Roman" w:hAnsi="Times New Roman" w:cs="Times New Roman" w:eastAsia="Times New Roman" w:hint="default"/>
        </w:rPr>
        <w:t>36.00%</w:t>
      </w:r>
      <w:r>
        <w:rPr/>
        <w:t>股权，同时本公司与母公司北京百汇达投资管理有限公司</w:t>
      </w:r>
      <w:r>
        <w:rPr>
          <w:spacing w:val="-18"/>
        </w:rPr>
        <w:t> </w:t>
      </w:r>
      <w:r>
        <w:rPr>
          <w:spacing w:val="-18"/>
        </w:rPr>
      </w:r>
      <w:r>
        <w:rPr>
          <w:spacing w:val="-2"/>
        </w:rPr>
        <w:t>签订一致行动协议，约定自投资完成之日起，在决定北京科信盛彩置业有限公司有关经营发展、且须北京科信盛彩置业有限</w:t>
      </w:r>
      <w:r>
        <w:rPr>
          <w:spacing w:val="-63"/>
        </w:rPr>
        <w:t> </w:t>
      </w:r>
      <w:r>
        <w:rPr>
          <w:spacing w:val="-63"/>
        </w:rPr>
      </w:r>
      <w:r>
        <w:rPr>
          <w:spacing w:val="-2"/>
        </w:rPr>
        <w:t>公司股东会批准的重大事项时，北京百汇达投资管理有限公司将跟随本公司行使股东权利，与本公司保持一致，特别是行使</w:t>
      </w:r>
      <w:r>
        <w:rPr>
          <w:spacing w:val="-65"/>
        </w:rPr>
        <w:t> </w:t>
      </w:r>
      <w:r>
        <w:rPr>
          <w:spacing w:val="-65"/>
        </w:rPr>
      </w:r>
      <w:r>
        <w:rPr/>
        <w:t>股东会召集权、提案权、表决权时采取一致行动。北京科信盛彩置业有限公司不构成业务，不属于非同一控制下企业合并。</w:t>
      </w:r>
      <w:r>
        <w:rPr>
          <w:spacing w:val="-83"/>
        </w:rPr>
        <w:t> </w:t>
      </w:r>
      <w:r>
        <w:rPr>
          <w:spacing w:val="-83"/>
        </w:rPr>
      </w:r>
      <w:r>
        <w:rPr/>
        <w:t>从购买日起北京科信盛彩置业有限公司成为本公司的子公司。</w:t>
      </w:r>
    </w:p>
    <w:p>
      <w:pPr>
        <w:spacing w:line="240" w:lineRule="auto" w:before="8"/>
        <w:rPr>
          <w:rFonts w:ascii="宋体" w:hAnsi="宋体" w:cs="宋体" w:eastAsia="宋体" w:hint="default"/>
          <w:sz w:val="13"/>
          <w:szCs w:val="13"/>
        </w:rPr>
      </w:pPr>
    </w:p>
    <w:p>
      <w:pPr>
        <w:pStyle w:val="BodyText"/>
        <w:spacing w:line="240" w:lineRule="auto"/>
        <w:ind w:left="513" w:right="106"/>
        <w:jc w:val="left"/>
      </w:pPr>
      <w:r>
        <w:rPr/>
        <w:t>（</w:t>
      </w:r>
      <w:r>
        <w:rPr>
          <w:rFonts w:ascii="Times New Roman" w:hAnsi="Times New Roman" w:cs="Times New Roman" w:eastAsia="Times New Roman" w:hint="default"/>
        </w:rPr>
        <w:t>3</w:t>
      </w:r>
      <w:r>
        <w:rPr/>
        <w:t>）公司于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4</w:t>
      </w:r>
      <w:r>
        <w:rPr/>
        <w:t>日在香港成立光环新网国际有限公司。</w:t>
      </w:r>
    </w:p>
    <w:p>
      <w:pPr>
        <w:spacing w:line="240" w:lineRule="auto" w:before="3"/>
        <w:rPr>
          <w:rFonts w:ascii="宋体" w:hAnsi="宋体" w:cs="宋体" w:eastAsia="宋体" w:hint="default"/>
          <w:sz w:val="24"/>
          <w:szCs w:val="24"/>
        </w:rPr>
      </w:pPr>
    </w:p>
    <w:p>
      <w:pPr>
        <w:pStyle w:val="Heading2"/>
        <w:spacing w:line="240" w:lineRule="auto"/>
        <w:ind w:right="106"/>
        <w:jc w:val="left"/>
        <w:rPr>
          <w:b w:val="0"/>
          <w:bCs w:val="0"/>
        </w:rPr>
      </w:pPr>
      <w:r>
        <w:rPr/>
        <w:t>九、在其他主体中的权益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06"/>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06"/>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3"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光环云谷科技有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燕郊</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燕郊</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软件和信息技术 服务业、互联网 和相关服务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光环新网 信息服务有限公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left="2"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67.850pt;height:15.6pt;mso-position-horizontal-relative:char;mso-position-vertical-relative:line" coordorigin="0,0" coordsize="1357,312">
                  <v:group style="position:absolute;left:0;top:0;width:1357;height:312" coordorigin="0,0" coordsize="1357,312">
                    <v:shape style="position:absolute;left:0;top:0;width:1357;height:312" coordorigin="0,0" coordsize="1357,312" path="m0,312l1356,312,1356,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17"/>
                <w:szCs w:val="17"/>
              </w:rPr>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6" w:right="70"/>
              <w:jc w:val="left"/>
              <w:rPr>
                <w:rFonts w:ascii="宋体" w:hAnsi="宋体" w:cs="宋体" w:eastAsia="宋体" w:hint="default"/>
                <w:sz w:val="18"/>
                <w:szCs w:val="18"/>
              </w:rPr>
            </w:pPr>
            <w:r>
              <w:rPr>
                <w:rFonts w:ascii="宋体" w:hAnsi="宋体" w:cs="宋体" w:eastAsia="宋体" w:hint="default"/>
                <w:sz w:val="18"/>
                <w:szCs w:val="18"/>
              </w:rPr>
              <w:t>软件和信息技术 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北京德信致远科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互联网信息服务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北京光环金网科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软件和信息技术 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西安博凯创达数 字科技有限公司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软件和信息技术 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4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北京瑞科新网科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软件和信息技术 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北京科信盛彩置 业有限公司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房地产开发、物 业管理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增资</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光环新网国际有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pStyle w:val="BodyText"/>
        <w:spacing w:line="240" w:lineRule="auto" w:before="49"/>
        <w:ind w:right="0"/>
        <w:jc w:val="both"/>
      </w:pPr>
      <w:r>
        <w:rPr/>
        <w:t>在子公司的持股比例不同于表决权比例的说明：</w:t>
      </w:r>
    </w:p>
    <w:p>
      <w:pPr>
        <w:spacing w:line="240" w:lineRule="auto" w:before="10"/>
        <w:rPr>
          <w:rFonts w:ascii="宋体" w:hAnsi="宋体" w:cs="宋体" w:eastAsia="宋体" w:hint="default"/>
          <w:sz w:val="17"/>
          <w:szCs w:val="17"/>
        </w:rPr>
      </w:pPr>
    </w:p>
    <w:p>
      <w:pPr>
        <w:pStyle w:val="BodyText"/>
        <w:spacing w:line="309" w:lineRule="auto"/>
        <w:ind w:right="150" w:firstLine="360"/>
        <w:jc w:val="both"/>
      </w:pPr>
      <w:r>
        <w:rPr>
          <w:spacing w:val="-1"/>
        </w:rPr>
        <w:t>本公司于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月以</w:t>
      </w:r>
      <w:r>
        <w:rPr>
          <w:rFonts w:ascii="Times New Roman" w:hAnsi="Times New Roman" w:cs="Times New Roman" w:eastAsia="Times New Roman" w:hint="default"/>
          <w:spacing w:val="-1"/>
        </w:rPr>
        <w:t>68,700,000</w:t>
      </w:r>
      <w:r>
        <w:rPr>
          <w:spacing w:val="-1"/>
        </w:rPr>
        <w:t>元增资取得北京科信盛彩置业有限公司</w:t>
      </w:r>
      <w:r>
        <w:rPr>
          <w:rFonts w:ascii="Times New Roman" w:hAnsi="Times New Roman" w:cs="Times New Roman" w:eastAsia="Times New Roman" w:hint="default"/>
          <w:spacing w:val="-1"/>
        </w:rPr>
        <w:t>15.00%</w:t>
      </w:r>
      <w:r>
        <w:rPr>
          <w:spacing w:val="-1"/>
        </w:rPr>
        <w:t>股权，本公司的母公司北京百汇达投资</w:t>
      </w:r>
      <w:r>
        <w:rPr/>
        <w:t> 管理有限公司增资取得北京科信盛彩置业有限公司</w:t>
      </w:r>
      <w:r>
        <w:rPr>
          <w:rFonts w:ascii="Times New Roman" w:hAnsi="Times New Roman" w:cs="Times New Roman" w:eastAsia="Times New Roman" w:hint="default"/>
        </w:rPr>
        <w:t>36.00%</w:t>
      </w:r>
      <w:r>
        <w:rPr/>
        <w:t>股权，同时本公司与母公司北京百汇达投资管理有限公司签订一</w:t>
      </w:r>
      <w:r>
        <w:rPr>
          <w:spacing w:val="-19"/>
        </w:rPr>
        <w:t> </w:t>
      </w:r>
      <w:r>
        <w:rPr>
          <w:spacing w:val="-19"/>
        </w:rPr>
      </w:r>
      <w:r>
        <w:rPr>
          <w:spacing w:val="-2"/>
        </w:rPr>
        <w:t>致行动协议，约定自投资完成之日起，在决定北京科信盛彩置业有限公司有关经营发展、且须北京科信盛彩置业有限公司股</w:t>
      </w:r>
      <w:r>
        <w:rPr>
          <w:spacing w:val="-63"/>
        </w:rPr>
        <w:t> </w:t>
      </w:r>
      <w:r>
        <w:rPr>
          <w:spacing w:val="-63"/>
        </w:rPr>
      </w:r>
      <w:r>
        <w:rPr>
          <w:spacing w:val="-2"/>
        </w:rPr>
        <w:t>东会批准的重大事项时，北京百汇达投资管理有限公司将跟随本公司行使股东权利，与本公司保持一致，特别是行使股东会</w:t>
      </w:r>
      <w:r>
        <w:rPr>
          <w:spacing w:val="-63"/>
        </w:rPr>
        <w:t> </w:t>
      </w:r>
      <w:r>
        <w:rPr>
          <w:spacing w:val="-63"/>
        </w:rPr>
      </w:r>
      <w:r>
        <w:rPr/>
        <w:t>召集权、提案权、表决权时采取一致行动。</w:t>
      </w:r>
    </w:p>
    <w:p>
      <w:pPr>
        <w:pStyle w:val="BodyText"/>
        <w:spacing w:line="468" w:lineRule="exact" w:before="16"/>
        <w:ind w:left="513" w:right="153"/>
        <w:jc w:val="left"/>
      </w:pPr>
      <w:r>
        <w:rPr/>
        <w:t>持有半数或以下表决权但仍控制被投资单位、以及持有半数以上表决权但不控制被投资单位的依据： </w:t>
      </w:r>
      <w:r>
        <w:rPr>
          <w:spacing w:val="-1"/>
        </w:rPr>
        <w:t>本公司于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月以</w:t>
      </w:r>
      <w:r>
        <w:rPr>
          <w:rFonts w:ascii="Times New Roman" w:hAnsi="Times New Roman" w:cs="Times New Roman" w:eastAsia="Times New Roman" w:hint="default"/>
          <w:spacing w:val="-1"/>
        </w:rPr>
        <w:t>68,700,000</w:t>
      </w:r>
      <w:r>
        <w:rPr>
          <w:spacing w:val="-1"/>
        </w:rPr>
        <w:t>元增资取得北京科信盛彩置业有限公司</w:t>
      </w:r>
      <w:r>
        <w:rPr>
          <w:rFonts w:ascii="Times New Roman" w:hAnsi="Times New Roman" w:cs="Times New Roman" w:eastAsia="Times New Roman" w:hint="default"/>
          <w:spacing w:val="-1"/>
        </w:rPr>
        <w:t>15.00%</w:t>
      </w:r>
      <w:r>
        <w:rPr>
          <w:spacing w:val="-1"/>
        </w:rPr>
        <w:t>股权，本公司的母公司北京百汇达投资</w:t>
      </w:r>
    </w:p>
    <w:p>
      <w:pPr>
        <w:pStyle w:val="BodyText"/>
        <w:spacing w:line="312" w:lineRule="auto" w:before="8"/>
        <w:ind w:right="150"/>
        <w:jc w:val="both"/>
      </w:pPr>
      <w:r>
        <w:rPr/>
        <w:t>管理有限公司增资取得北京科信盛彩置业有限公司</w:t>
      </w:r>
      <w:r>
        <w:rPr>
          <w:rFonts w:ascii="Times New Roman" w:hAnsi="Times New Roman" w:cs="Times New Roman" w:eastAsia="Times New Roman" w:hint="default"/>
        </w:rPr>
        <w:t>36.00%</w:t>
      </w:r>
      <w:r>
        <w:rPr/>
        <w:t>股权，同时本公司与母公司北京百汇达投资管理有限公司签订一</w:t>
      </w:r>
      <w:r>
        <w:rPr>
          <w:spacing w:val="-19"/>
        </w:rPr>
        <w:t> </w:t>
      </w:r>
      <w:r>
        <w:rPr>
          <w:spacing w:val="-19"/>
        </w:rPr>
      </w:r>
      <w:r>
        <w:rPr>
          <w:spacing w:val="-2"/>
        </w:rPr>
        <w:t>致行动协议，约定自投资完成之日起，在决定北京科信盛彩置业有限公司有关经营发展、且须北京科信盛彩置业有限公司股</w:t>
      </w:r>
      <w:r>
        <w:rPr>
          <w:spacing w:val="-63"/>
        </w:rPr>
        <w:t> </w:t>
      </w:r>
      <w:r>
        <w:rPr>
          <w:spacing w:val="-63"/>
        </w:rPr>
      </w:r>
      <w:r>
        <w:rPr>
          <w:spacing w:val="-2"/>
        </w:rPr>
        <w:t>东会批准的重大事项时，北京百汇达投资管理有限公司将跟随本公司行使股东权利，与本公司保持一致，特别是行使股东会</w:t>
      </w:r>
      <w:r>
        <w:rPr>
          <w:spacing w:val="-63"/>
        </w:rPr>
        <w:t> </w:t>
      </w:r>
      <w:r>
        <w:rPr>
          <w:spacing w:val="-63"/>
        </w:rPr>
      </w:r>
      <w:r>
        <w:rPr/>
        <w:t>召集权、提案权、表决权时采取一致行动。因此本公司对北京科信盛彩置业有限公司构成控制。</w:t>
      </w:r>
    </w:p>
    <w:p>
      <w:pPr>
        <w:spacing w:line="240" w:lineRule="auto" w:before="1"/>
        <w:rPr>
          <w:rFonts w:ascii="宋体" w:hAnsi="宋体" w:cs="宋体" w:eastAsia="宋体" w:hint="default"/>
          <w:sz w:val="23"/>
          <w:szCs w:val="23"/>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3"/>
        <w:gridCol w:w="1913"/>
        <w:gridCol w:w="1916"/>
      </w:tblGrid>
      <w:tr>
        <w:trPr>
          <w:trHeight w:val="76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北京科信盛彩置业有限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589,573.26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389,889,573.26</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北京光环金网科技有限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619.37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490,971.49</w:t>
            </w:r>
          </w:p>
        </w:tc>
      </w:tr>
    </w:tbl>
    <w:p>
      <w:pPr>
        <w:pStyle w:val="BodyText"/>
        <w:spacing w:line="357" w:lineRule="auto" w:before="49"/>
        <w:ind w:right="4034"/>
        <w:jc w:val="left"/>
      </w:pPr>
      <w:r>
        <w:rPr/>
        <w:t>子公司少数股东的持股比例不同于表决权比例的说明： 同本节</w:t>
      </w:r>
      <w:r>
        <w:rPr>
          <w:rFonts w:ascii="Times New Roman" w:hAnsi="Times New Roman" w:cs="Times New Roman" w:eastAsia="Times New Roman" w:hint="default"/>
        </w:rPr>
        <w:t>“</w:t>
      </w:r>
      <w:r>
        <w:rPr/>
        <w:t>九、</w:t>
      </w:r>
      <w:r>
        <w:rPr>
          <w:rFonts w:ascii="Times New Roman" w:hAnsi="Times New Roman" w:cs="Times New Roman" w:eastAsia="Times New Roman" w:hint="default"/>
        </w:rPr>
        <w:t>1</w:t>
      </w:r>
      <w:r>
        <w:rPr/>
        <w:t>、（</w:t>
      </w:r>
      <w:r>
        <w:rPr>
          <w:rFonts w:ascii="Times New Roman" w:hAnsi="Times New Roman" w:cs="Times New Roman" w:eastAsia="Times New Roman" w:hint="default"/>
        </w:rPr>
        <w:t>1</w:t>
      </w:r>
      <w:r>
        <w:rPr/>
        <w:t>）在子公司中的持股比例不同于表决权比例的说明</w:t>
      </w:r>
      <w:r>
        <w:rPr>
          <w:rFonts w:ascii="Times New Roman" w:hAnsi="Times New Roman" w:cs="Times New Roman" w:eastAsia="Times New Roman" w:hint="default"/>
        </w:rPr>
        <w:t>”</w:t>
      </w:r>
      <w:r>
        <w:rPr/>
        <w:t>。</w:t>
      </w:r>
    </w:p>
    <w:p>
      <w:pPr>
        <w:spacing w:line="240" w:lineRule="auto" w:before="9"/>
        <w:rPr>
          <w:rFonts w:ascii="宋体" w:hAnsi="宋体" w:cs="宋体" w:eastAsia="宋体" w:hint="default"/>
          <w:sz w:val="18"/>
          <w:szCs w:val="18"/>
        </w:rPr>
      </w:pPr>
    </w:p>
    <w:p>
      <w:pPr>
        <w:pStyle w:val="Heading3"/>
        <w:spacing w:line="240" w:lineRule="auto"/>
        <w:ind w:right="1134"/>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5"/>
        <w:gridCol w:w="734"/>
        <w:gridCol w:w="737"/>
        <w:gridCol w:w="737"/>
        <w:gridCol w:w="734"/>
        <w:gridCol w:w="737"/>
      </w:tblGrid>
      <w:tr>
        <w:trPr>
          <w:trHeight w:val="401" w:hRule="exact"/>
        </w:trPr>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182" w:right="92"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737"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4"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987"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北京科 信盛彩 置业有</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23,653,6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28.67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446,679,</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900.92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470,333,</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529.59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11,639,9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13.99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388"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11,639,9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13.99</w:t>
            </w: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5"/>
        <w:gridCol w:w="734"/>
        <w:gridCol w:w="737"/>
        <w:gridCol w:w="737"/>
        <w:gridCol w:w="734"/>
        <w:gridCol w:w="737"/>
      </w:tblGrid>
      <w:tr>
        <w:trPr>
          <w:trHeight w:val="36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北京光 环金网 科技有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1,002,30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4.36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1,002,30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4.36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321.71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21.71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1,000,81</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8.47</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1,000,81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8.47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99.85</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99.85</w:t>
            </w:r>
          </w:p>
        </w:tc>
      </w:tr>
    </w:tbl>
    <w:p>
      <w:pPr>
        <w:pStyle w:val="BodyText"/>
        <w:spacing w:line="240" w:lineRule="auto" w:before="49"/>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3"/>
        <w:gridCol w:w="1063"/>
        <w:gridCol w:w="1064"/>
        <w:gridCol w:w="1066"/>
      </w:tblGrid>
      <w:tr>
        <w:trPr>
          <w:trHeight w:val="401"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北京科信盛 彩置业有限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1,156,931.49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693,615.60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693,615.60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-10,800,571.4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北京光环金 网科技有限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1,264.03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1,264.03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1,176.46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sz w:val="18"/>
              </w:rPr>
              <w:t>3,304.92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01" w:right="0"/>
              <w:jc w:val="left"/>
              <w:rPr>
                <w:rFonts w:ascii="Times New Roman" w:hAnsi="Times New Roman" w:cs="Times New Roman" w:eastAsia="Times New Roman" w:hint="default"/>
                <w:sz w:val="18"/>
                <w:szCs w:val="18"/>
              </w:rPr>
            </w:pPr>
            <w:r>
              <w:rPr>
                <w:rFonts w:ascii="Times New Roman"/>
                <w:sz w:val="18"/>
              </w:rPr>
              <w:t>3,304.92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3,404.77</w:t>
            </w:r>
          </w:p>
        </w:tc>
      </w:tr>
    </w:tbl>
    <w:p>
      <w:pPr>
        <w:pStyle w:val="BodyText"/>
        <w:spacing w:line="240" w:lineRule="auto" w:before="49"/>
        <w:ind w:right="1134"/>
        <w:jc w:val="left"/>
      </w:pPr>
      <w:r>
        <w:rPr/>
        <w:t>其他说明：</w:t>
      </w:r>
    </w:p>
    <w:p>
      <w:pPr>
        <w:spacing w:line="240" w:lineRule="auto" w:before="10"/>
        <w:rPr>
          <w:rFonts w:ascii="宋体" w:hAnsi="宋体" w:cs="宋体" w:eastAsia="宋体" w:hint="default"/>
          <w:sz w:val="17"/>
          <w:szCs w:val="17"/>
        </w:rPr>
      </w:pPr>
    </w:p>
    <w:p>
      <w:pPr>
        <w:pStyle w:val="BodyText"/>
        <w:spacing w:line="300" w:lineRule="auto"/>
        <w:ind w:right="0" w:firstLine="360"/>
        <w:jc w:val="left"/>
      </w:pPr>
      <w:r>
        <w:rPr>
          <w:spacing w:val="-2"/>
        </w:rPr>
        <w:t>北京科信盛彩置业有限公司于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月购买，其营业收入、净利润、综合收益总额、经营活动现金流量均为</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 </w:t>
      </w:r>
      <w:r>
        <w:rPr/>
        <w:t>月当期数。</w:t>
      </w:r>
    </w:p>
    <w:p>
      <w:pPr>
        <w:spacing w:line="240" w:lineRule="auto" w:before="10"/>
        <w:rPr>
          <w:rFonts w:ascii="宋体" w:hAnsi="宋体" w:cs="宋体" w:eastAsia="宋体" w:hint="default"/>
          <w:sz w:val="23"/>
          <w:szCs w:val="23"/>
        </w:rPr>
      </w:pPr>
    </w:p>
    <w:p>
      <w:pPr>
        <w:pStyle w:val="Heading3"/>
        <w:spacing w:line="240" w:lineRule="auto"/>
        <w:ind w:right="1134"/>
        <w:jc w:val="left"/>
        <w:rPr>
          <w:b w:val="0"/>
          <w:bCs w:val="0"/>
        </w:rPr>
      </w:pPr>
      <w:r>
        <w:rPr>
          <w:rFonts w:ascii="Times New Roman" w:hAnsi="Times New Roman" w:cs="Times New Roman" w:eastAsia="Times New Roman" w:hint="default"/>
        </w:rPr>
        <w:t>2</w:t>
      </w:r>
      <w:r>
        <w:rPr/>
        <w:t>、在合营安排或联营企业中的权益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4"/>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1"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22"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北京长城光环宽 带网络技术有限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北京华爱光环科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49"/>
        <w:ind w:right="1134"/>
        <w:jc w:val="left"/>
      </w:pPr>
      <w:r>
        <w:rPr/>
        <w:t>在合营企业或联营企业的持股比例不同于表决权比例的说明：</w:t>
      </w:r>
    </w:p>
    <w:p>
      <w:pPr>
        <w:pStyle w:val="BodyText"/>
        <w:spacing w:line="240" w:lineRule="auto" w:before="117"/>
        <w:ind w:right="1134"/>
        <w:jc w:val="left"/>
      </w:pPr>
      <w:r>
        <w:rPr/>
        <w:t>持有</w:t>
      </w:r>
      <w:r>
        <w:rPr>
          <w:spacing w:val="-47"/>
        </w:rPr>
        <w:t> </w:t>
      </w:r>
      <w:r>
        <w:rPr>
          <w:rFonts w:ascii="Times New Roman" w:hAnsi="Times New Roman" w:cs="Times New Roman" w:eastAsia="Times New Roman" w:hint="default"/>
        </w:rPr>
        <w:t>20%</w:t>
      </w:r>
      <w:r>
        <w:rPr/>
        <w:t>以下表决权但具有重大影响，或者持有</w:t>
      </w:r>
      <w:r>
        <w:rPr>
          <w:spacing w:val="-47"/>
        </w:rPr>
        <w:t> </w:t>
      </w:r>
      <w:r>
        <w:rPr>
          <w:rFonts w:ascii="Times New Roman" w:hAnsi="Times New Roman" w:cs="Times New Roman" w:eastAsia="Times New Roman" w:hint="default"/>
        </w:rPr>
        <w:t>20%</w:t>
      </w:r>
      <w:r>
        <w:rPr/>
        <w:t>或以上表决权但不具有重大影响的依据：</w:t>
      </w:r>
    </w:p>
    <w:p>
      <w:pPr>
        <w:spacing w:line="240" w:lineRule="auto" w:before="9"/>
        <w:rPr>
          <w:rFonts w:ascii="宋体" w:hAnsi="宋体" w:cs="宋体" w:eastAsia="宋体" w:hint="default"/>
          <w:sz w:val="16"/>
          <w:szCs w:val="16"/>
        </w:rPr>
      </w:pPr>
    </w:p>
    <w:p>
      <w:pPr>
        <w:pStyle w:val="BodyText"/>
        <w:spacing w:line="316" w:lineRule="auto"/>
        <w:ind w:right="0" w:firstLine="360"/>
        <w:jc w:val="left"/>
      </w:pPr>
      <w:r>
        <w:rPr>
          <w:spacing w:val="-2"/>
        </w:rPr>
        <w:t>公司在北京华爱光环科技有限公司的董事会中派有代表，通过在北京华爱光环科技有限公司生产经营决策制定过程中的</w:t>
      </w:r>
      <w:r>
        <w:rPr/>
        <w:t> 参与权实施重大影响。</w:t>
      </w:r>
    </w:p>
    <w:p>
      <w:pPr>
        <w:spacing w:line="240" w:lineRule="auto" w:before="11"/>
        <w:rPr>
          <w:rFonts w:ascii="宋体" w:hAnsi="宋体" w:cs="宋体" w:eastAsia="宋体" w:hint="default"/>
          <w:sz w:val="20"/>
          <w:szCs w:val="20"/>
        </w:rPr>
      </w:pPr>
    </w:p>
    <w:p>
      <w:pPr>
        <w:pStyle w:val="Heading2"/>
        <w:spacing w:line="240" w:lineRule="auto"/>
        <w:ind w:right="1134"/>
        <w:jc w:val="left"/>
        <w:rPr>
          <w:b w:val="0"/>
          <w:bCs w:val="0"/>
        </w:rPr>
      </w:pPr>
      <w:r>
        <w:rPr/>
        <w:t>十、与金融工具相关的风险</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firstLine="360"/>
        <w:jc w:val="left"/>
      </w:pPr>
      <w:r>
        <w:rPr>
          <w:spacing w:val="-2"/>
        </w:rPr>
        <w:t>本公司具有多种因经营而直接产生的其他金融资产和负债，如应收账款和应付账款等。各项金融工具的详细情况说明见</w:t>
      </w:r>
      <w:r>
        <w:rPr/>
        <w:t> 附注</w:t>
      </w:r>
      <w:r>
        <w:rPr>
          <w:rFonts w:ascii="Times New Roman" w:hAnsi="Times New Roman" w:cs="Times New Roman" w:eastAsia="Times New Roman" w:hint="default"/>
        </w:rPr>
        <w:t>“</w:t>
      </w:r>
      <w:r>
        <w:rPr/>
        <w:t>五、合并财务报表主要项目注释</w:t>
      </w:r>
      <w:r>
        <w:rPr>
          <w:rFonts w:ascii="Times New Roman" w:hAnsi="Times New Roman" w:cs="Times New Roman" w:eastAsia="Times New Roman" w:hint="default"/>
        </w:rPr>
        <w:t>”</w:t>
      </w:r>
      <w:r>
        <w:rPr/>
        <w:t>。公司在经营过程中面临各种金融风险：信用风险、市场风险和流动性风险。</w:t>
      </w:r>
    </w:p>
    <w:p>
      <w:pPr>
        <w:spacing w:after="0" w:line="316"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before="44"/>
        <w:ind w:left="513" w:right="1134"/>
        <w:jc w:val="left"/>
      </w:pPr>
      <w:r>
        <w:rPr>
          <w:rFonts w:ascii="Times New Roman" w:hAnsi="Times New Roman" w:cs="Times New Roman" w:eastAsia="Times New Roman" w:hint="default"/>
        </w:rPr>
        <w:t>1</w:t>
      </w:r>
      <w:r>
        <w:rPr/>
        <w:t>、各类风险管理目标和政策</w:t>
      </w:r>
    </w:p>
    <w:p>
      <w:pPr>
        <w:spacing w:line="240" w:lineRule="auto" w:before="9"/>
        <w:rPr>
          <w:rFonts w:ascii="宋体" w:hAnsi="宋体" w:cs="宋体" w:eastAsia="宋体" w:hint="default"/>
          <w:sz w:val="16"/>
          <w:szCs w:val="16"/>
        </w:rPr>
      </w:pPr>
    </w:p>
    <w:p>
      <w:pPr>
        <w:pStyle w:val="BodyText"/>
        <w:spacing w:line="316" w:lineRule="auto"/>
        <w:ind w:right="152" w:firstLine="360"/>
        <w:jc w:val="both"/>
      </w:pPr>
      <w:r>
        <w:rPr>
          <w:spacing w:val="-2"/>
        </w:rPr>
        <w:t>公司经营管理层全面负责风险管理目标和政策的确定，并对风险管理目标和政策承担最终责任。公司风险管理的总体目</w:t>
      </w:r>
      <w:r>
        <w:rPr/>
        <w:t> 标是在不过度影响公司竞争力和应变力的情况下，制定尽可能降低风险的风险管理政策。</w:t>
      </w:r>
    </w:p>
    <w:p>
      <w:pPr>
        <w:spacing w:line="240" w:lineRule="auto" w:before="5"/>
        <w:rPr>
          <w:rFonts w:ascii="宋体" w:hAnsi="宋体" w:cs="宋体" w:eastAsia="宋体" w:hint="default"/>
          <w:sz w:val="13"/>
          <w:szCs w:val="13"/>
        </w:rPr>
      </w:pPr>
    </w:p>
    <w:p>
      <w:pPr>
        <w:pStyle w:val="BodyText"/>
        <w:spacing w:line="240" w:lineRule="auto"/>
        <w:ind w:left="513" w:right="1134"/>
        <w:jc w:val="left"/>
      </w:pPr>
      <w:r>
        <w:rPr>
          <w:rFonts w:ascii="Times New Roman" w:hAnsi="Times New Roman" w:cs="Times New Roman" w:eastAsia="Times New Roman" w:hint="default"/>
        </w:rPr>
        <w:t>2</w:t>
      </w:r>
      <w:r>
        <w:rPr/>
        <w:t>、风险管理</w:t>
      </w:r>
    </w:p>
    <w:p>
      <w:pPr>
        <w:pStyle w:val="BodyText"/>
        <w:spacing w:line="468" w:lineRule="exact" w:before="54"/>
        <w:ind w:left="513" w:right="143"/>
        <w:jc w:val="left"/>
      </w:pPr>
      <w:r>
        <w:rPr/>
        <w:t>（一）信用风险 信用风险是指金融工具的一方不履行义务，造成另一方发生财务损失的风险</w:t>
      </w:r>
      <w:r>
        <w:rPr>
          <w:rFonts w:ascii="Times New Roman" w:hAnsi="Times New Roman" w:cs="Times New Roman" w:eastAsia="Times New Roman" w:hint="default"/>
        </w:rPr>
        <w:t>,</w:t>
      </w:r>
      <w:r>
        <w:rPr/>
        <w:t>本公司对信用风险按组合分类进行管理</w:t>
      </w:r>
      <w:r>
        <w:rPr>
          <w:rFonts w:ascii="Times New Roman" w:hAnsi="Times New Roman" w:cs="Times New Roman" w:eastAsia="Times New Roman" w:hint="default"/>
        </w:rPr>
        <w:t>,</w:t>
      </w:r>
      <w:r>
        <w:rPr/>
        <w:t>信</w:t>
      </w:r>
    </w:p>
    <w:p>
      <w:pPr>
        <w:pStyle w:val="BodyText"/>
        <w:spacing w:line="477" w:lineRule="auto" w:before="8"/>
        <w:ind w:left="513" w:right="1134" w:hanging="361"/>
        <w:jc w:val="left"/>
      </w:pPr>
      <w:r>
        <w:rPr/>
        <w:t>用风险主要产生于银行存款、应收账款和其他应收款等。 本公司的流动资金存放在信用评级较高的银行，故流动资金的信用风险较低。</w:t>
      </w:r>
    </w:p>
    <w:p>
      <w:pPr>
        <w:pStyle w:val="BodyText"/>
        <w:spacing w:line="316" w:lineRule="auto" w:before="55"/>
        <w:ind w:right="151" w:firstLine="360"/>
        <w:jc w:val="both"/>
      </w:pPr>
      <w:r>
        <w:rPr>
          <w:spacing w:val="-2"/>
        </w:rPr>
        <w:t>对于应收账款本公司采用了必要的政策确保所有销售客户均具有良好的信用记录。本公司基于对客户的财务状况、从第</w:t>
      </w:r>
      <w:r>
        <w:rPr/>
        <w:t> </w:t>
      </w:r>
      <w:r>
        <w:rPr>
          <w:spacing w:val="-2"/>
        </w:rPr>
        <w:t>三方获取担保的可能性、信用记录及其它因素诸如目前市场状况等评估客户的信用资质并设置相应信用期。本公司的其他应</w:t>
      </w:r>
      <w:r>
        <w:rPr>
          <w:spacing w:val="-64"/>
        </w:rPr>
        <w:t> </w:t>
      </w:r>
      <w:r>
        <w:rPr>
          <w:spacing w:val="-64"/>
        </w:rPr>
      </w:r>
      <w:r>
        <w:rPr>
          <w:spacing w:val="-2"/>
        </w:rPr>
        <w:t>收款，主要为保证金、押金及备用金等，预计可以收回，为防范其他应收款不发生坏账风险提供了合理保证，另根据报告期</w:t>
      </w:r>
      <w:r>
        <w:rPr>
          <w:spacing w:val="-67"/>
        </w:rPr>
        <w:t> </w:t>
      </w:r>
      <w:r>
        <w:rPr>
          <w:spacing w:val="-67"/>
        </w:rPr>
      </w:r>
      <w:r>
        <w:rPr/>
        <w:t>内保证金回收等历史信息，不存在坏账情况。</w:t>
      </w:r>
    </w:p>
    <w:p>
      <w:pPr>
        <w:spacing w:line="240" w:lineRule="auto" w:before="5"/>
        <w:rPr>
          <w:rFonts w:ascii="宋体" w:hAnsi="宋体" w:cs="宋体" w:eastAsia="宋体" w:hint="default"/>
          <w:sz w:val="13"/>
          <w:szCs w:val="13"/>
        </w:rPr>
      </w:pPr>
    </w:p>
    <w:p>
      <w:pPr>
        <w:pStyle w:val="BodyText"/>
        <w:spacing w:line="316" w:lineRule="auto"/>
        <w:ind w:right="150" w:firstLine="360"/>
        <w:jc w:val="both"/>
      </w:pPr>
      <w:r>
        <w:rPr>
          <w:spacing w:val="-2"/>
        </w:rPr>
        <w:t>同时本公司对单项金额重大的应收款项单独进行减值测试，对单项金额重大及单项金额不重大、但经单独测试后未发生</w:t>
      </w:r>
      <w:r>
        <w:rPr/>
        <w:t> </w:t>
      </w:r>
      <w:r>
        <w:rPr>
          <w:spacing w:val="-5"/>
        </w:rPr>
        <w:t>减值的应收款项，以账龄为类似信用风险特征，结合现时情况确定类似信用风险特征组合采用账龄分析计提坏账准备，因此，</w:t>
      </w:r>
      <w:r>
        <w:rPr>
          <w:spacing w:val="-76"/>
        </w:rPr>
        <w:t> </w:t>
      </w:r>
      <w:r>
        <w:rPr>
          <w:spacing w:val="-76"/>
        </w:rPr>
      </w:r>
      <w:r>
        <w:rPr/>
        <w:t>本公司管理层认为本公司所承担的信用风险已经大为降低。</w:t>
      </w:r>
    </w:p>
    <w:p>
      <w:pPr>
        <w:pStyle w:val="BodyText"/>
        <w:spacing w:line="468" w:lineRule="exact" w:before="10"/>
        <w:ind w:left="513" w:right="0"/>
        <w:jc w:val="left"/>
      </w:pPr>
      <w:r>
        <w:rPr/>
        <w:t>（二）流动风险 </w:t>
      </w:r>
      <w:r>
        <w:rPr>
          <w:spacing w:val="-2"/>
        </w:rPr>
        <w:t>流动风险，是指本公司在到期日无法履行其财务义务的风险。本公司的政策是确保拥有充足的现金以偿还到期债务。流</w:t>
      </w:r>
    </w:p>
    <w:p>
      <w:pPr>
        <w:pStyle w:val="BodyText"/>
        <w:spacing w:line="300" w:lineRule="auto" w:before="8"/>
        <w:ind w:right="0"/>
        <w:jc w:val="left"/>
      </w:pPr>
      <w:r>
        <w:rPr>
          <w:spacing w:val="-2"/>
        </w:rPr>
        <w:t>动性风险由本公司的财务部门集中控制。财务部门通过监控现金余额以及对未来</w:t>
      </w:r>
      <w:r>
        <w:rPr>
          <w:rFonts w:ascii="Times New Roman" w:hAnsi="Times New Roman" w:cs="Times New Roman" w:eastAsia="Times New Roman" w:hint="default"/>
          <w:spacing w:val="-2"/>
        </w:rPr>
        <w:t>12</w:t>
      </w:r>
      <w:r>
        <w:rPr>
          <w:spacing w:val="-2"/>
        </w:rPr>
        <w:t>个月现金流量的滚动预测，确保公司在所</w:t>
      </w:r>
      <w:r>
        <w:rPr>
          <w:spacing w:val="-62"/>
        </w:rPr>
        <w:t> </w:t>
      </w:r>
      <w:r>
        <w:rPr>
          <w:spacing w:val="-62"/>
        </w:rPr>
      </w:r>
      <w:r>
        <w:rPr/>
        <w:t>有合理预测的情况下拥有充足的资金偿还债务。</w:t>
      </w:r>
    </w:p>
    <w:p>
      <w:pPr>
        <w:pStyle w:val="BodyText"/>
        <w:spacing w:line="468" w:lineRule="exact" w:before="23"/>
        <w:ind w:left="513" w:right="0"/>
        <w:jc w:val="left"/>
      </w:pPr>
      <w:r>
        <w:rPr/>
        <w:t>（三）市场风险 </w:t>
      </w:r>
      <w:r>
        <w:rPr>
          <w:spacing w:val="-2"/>
        </w:rPr>
        <w:t>金融工具的市场风险，是指金融工具的公允价值或未来现金流量因市场价格变动而发生波动的风险，包括利率风险、外</w:t>
      </w:r>
    </w:p>
    <w:p>
      <w:pPr>
        <w:pStyle w:val="BodyText"/>
        <w:spacing w:line="240" w:lineRule="auto" w:before="8"/>
        <w:ind w:right="1134"/>
        <w:jc w:val="left"/>
      </w:pPr>
      <w:r>
        <w:rPr/>
        <w:t>汇风险和其他价格风险。</w:t>
      </w:r>
    </w:p>
    <w:p>
      <w:pPr>
        <w:spacing w:line="240" w:lineRule="auto" w:before="10"/>
        <w:rPr>
          <w:rFonts w:ascii="宋体" w:hAnsi="宋体" w:cs="宋体" w:eastAsia="宋体" w:hint="default"/>
          <w:sz w:val="17"/>
          <w:szCs w:val="17"/>
        </w:rPr>
      </w:pPr>
    </w:p>
    <w:p>
      <w:pPr>
        <w:pStyle w:val="BodyText"/>
        <w:spacing w:line="240" w:lineRule="auto"/>
        <w:ind w:left="513" w:right="1134"/>
        <w:jc w:val="left"/>
      </w:pPr>
      <w:r>
        <w:rPr/>
        <w:t>（</w:t>
      </w:r>
      <w:r>
        <w:rPr>
          <w:rFonts w:ascii="Times New Roman" w:hAnsi="Times New Roman" w:cs="Times New Roman" w:eastAsia="Times New Roman" w:hint="default"/>
        </w:rPr>
        <w:t>1</w:t>
      </w:r>
      <w:r>
        <w:rPr/>
        <w:t>）利率风险</w:t>
      </w:r>
    </w:p>
    <w:p>
      <w:pPr>
        <w:spacing w:line="240" w:lineRule="auto" w:before="9"/>
        <w:rPr>
          <w:rFonts w:ascii="宋体" w:hAnsi="宋体" w:cs="宋体" w:eastAsia="宋体" w:hint="default"/>
          <w:sz w:val="16"/>
          <w:szCs w:val="16"/>
        </w:rPr>
      </w:pPr>
    </w:p>
    <w:p>
      <w:pPr>
        <w:pStyle w:val="BodyText"/>
        <w:spacing w:line="316" w:lineRule="auto"/>
        <w:ind w:right="154" w:firstLine="360"/>
        <w:jc w:val="both"/>
      </w:pPr>
      <w:r>
        <w:rPr/>
        <w:t>利率风险，是指金融工具的公允价值或未来现金流量因市场利率变动而发生波动的风险。</w:t>
      </w:r>
      <w:r>
        <w:rPr>
          <w:spacing w:val="4"/>
        </w:rPr>
        <w:t> </w:t>
      </w:r>
      <w:r>
        <w:rPr/>
        <w:t>本公司的银行贷款均为固定</w:t>
      </w:r>
      <w:r>
        <w:rPr/>
        <w:t> 利率，不存在利率风险。</w:t>
      </w:r>
    </w:p>
    <w:p>
      <w:pPr>
        <w:pStyle w:val="BodyText"/>
        <w:spacing w:line="468" w:lineRule="exact" w:before="11"/>
        <w:ind w:left="513" w:right="0"/>
        <w:jc w:val="left"/>
      </w:pPr>
      <w:r>
        <w:rPr/>
        <w:t>（</w:t>
      </w:r>
      <w:r>
        <w:rPr>
          <w:rFonts w:ascii="Times New Roman" w:hAnsi="Times New Roman" w:cs="Times New Roman" w:eastAsia="Times New Roman" w:hint="default"/>
        </w:rPr>
        <w:t>2</w:t>
      </w:r>
      <w:r>
        <w:rPr/>
        <w:t>）外汇风险 </w:t>
      </w:r>
      <w:r>
        <w:rPr>
          <w:spacing w:val="-2"/>
        </w:rPr>
        <w:t>外汇风险，是指金融工具的公允价值或未来现金流量因外汇汇率变动而发生波动的风险。本公司外币金融资产和负债占</w:t>
      </w:r>
    </w:p>
    <w:p>
      <w:pPr>
        <w:pStyle w:val="BodyText"/>
        <w:spacing w:line="240" w:lineRule="auto" w:before="8"/>
        <w:ind w:right="1134"/>
        <w:jc w:val="left"/>
      </w:pPr>
      <w:r>
        <w:rPr/>
        <w:t>总资产比重极小。</w:t>
      </w:r>
    </w:p>
    <w:p>
      <w:pPr>
        <w:spacing w:line="240" w:lineRule="auto" w:before="10"/>
        <w:rPr>
          <w:rFonts w:ascii="宋体" w:hAnsi="宋体" w:cs="宋体" w:eastAsia="宋体" w:hint="default"/>
          <w:sz w:val="17"/>
          <w:szCs w:val="17"/>
        </w:rPr>
      </w:pPr>
    </w:p>
    <w:p>
      <w:pPr>
        <w:pStyle w:val="BodyText"/>
        <w:spacing w:line="477" w:lineRule="auto"/>
        <w:ind w:left="513" w:right="7793"/>
        <w:jc w:val="left"/>
      </w:pPr>
      <w:r>
        <w:rPr/>
        <w:t>（四）金融资产转移 无。</w:t>
      </w:r>
    </w:p>
    <w:p>
      <w:pPr>
        <w:pStyle w:val="BodyText"/>
        <w:spacing w:line="477" w:lineRule="auto" w:before="54"/>
        <w:ind w:left="513" w:right="6713"/>
        <w:jc w:val="left"/>
      </w:pPr>
      <w:r>
        <w:rPr/>
        <w:t>（五）金融资产与金融负债的抵销 无。</w:t>
      </w:r>
    </w:p>
    <w:p>
      <w:pPr>
        <w:spacing w:after="0" w:line="477" w:lineRule="auto"/>
        <w:jc w:val="left"/>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1134"/>
        <w:jc w:val="left"/>
        <w:rPr>
          <w:b w:val="0"/>
          <w:bCs w:val="0"/>
        </w:rPr>
      </w:pPr>
      <w:r>
        <w:rPr/>
        <w:t>十一、关联方及关联交易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4"/>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70"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北京百汇达投资管 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46.90%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46.90%</w:t>
            </w:r>
          </w:p>
        </w:tc>
      </w:tr>
    </w:tbl>
    <w:p>
      <w:pPr>
        <w:pStyle w:val="BodyText"/>
        <w:spacing w:line="360" w:lineRule="auto" w:before="49"/>
        <w:ind w:right="7434"/>
        <w:jc w:val="left"/>
      </w:pPr>
      <w:r>
        <w:rPr/>
        <w:t>本企业的母公司情况的说明 本企业最终控制方是耿殿根。</w:t>
      </w:r>
    </w:p>
    <w:p>
      <w:pPr>
        <w:spacing w:line="240" w:lineRule="auto" w:before="2"/>
        <w:rPr>
          <w:rFonts w:ascii="宋体" w:hAnsi="宋体" w:cs="宋体" w:eastAsia="宋体" w:hint="default"/>
          <w:sz w:val="20"/>
          <w:szCs w:val="20"/>
        </w:rPr>
      </w:pPr>
    </w:p>
    <w:p>
      <w:pPr>
        <w:spacing w:line="547" w:lineRule="auto" w:before="0"/>
        <w:ind w:left="152" w:right="34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、在子公司中的权益。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38" w:lineRule="auto" w:before="46"/>
        <w:ind w:right="1314"/>
        <w:jc w:val="left"/>
      </w:pPr>
      <w:r>
        <w:rPr/>
        <w:t>本企业重要的合营或联营企业详见附注九、</w:t>
      </w:r>
      <w:r>
        <w:rPr>
          <w:rFonts w:ascii="Times New Roman" w:hAnsi="Times New Roman" w:cs="Times New Roman" w:eastAsia="Times New Roman" w:hint="default"/>
        </w:rPr>
        <w:t>2</w:t>
      </w:r>
      <w:r>
        <w:rPr/>
        <w:t>、在合营安排或联营企业中的权益。 本期与本公司发生关联方交易，或前期与本公司发生关联方交易形成余额的其他合营或联营企业情况如下：</w:t>
      </w:r>
    </w:p>
    <w:p>
      <w:pPr>
        <w:spacing w:line="240" w:lineRule="auto" w:before="9"/>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北京长城光环宽带网络技术有限公司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line="240" w:lineRule="auto" w:before="3"/>
        <w:rPr>
          <w:rFonts w:ascii="宋体" w:hAnsi="宋体" w:cs="宋体" w:eastAsia="宋体" w:hint="default"/>
          <w:sz w:val="19"/>
          <w:szCs w:val="19"/>
        </w:rPr>
      </w:pPr>
    </w:p>
    <w:p>
      <w:pPr>
        <w:pStyle w:val="Heading3"/>
        <w:spacing w:line="240" w:lineRule="auto" w:before="36"/>
        <w:ind w:right="1134"/>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天津红杉资本投资基金中心（有限合伙）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以上股份股东</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耿殿根</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杨宇航</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董事、总裁</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 </w:t>
            </w:r>
            <w:r>
              <w:rPr>
                <w:rFonts w:ascii="宋体" w:hAnsi="宋体" w:cs="宋体" w:eastAsia="宋体" w:hint="default"/>
                <w:spacing w:val="2"/>
                <w:sz w:val="18"/>
                <w:szCs w:val="18"/>
              </w:rPr>
              <w:t> </w:t>
            </w:r>
            <w:r>
              <w:rPr>
                <w:rFonts w:ascii="宋体" w:hAnsi="宋体" w:cs="宋体" w:eastAsia="宋体" w:hint="default"/>
                <w:sz w:val="18"/>
                <w:szCs w:val="18"/>
              </w:rPr>
              <w:t>宏</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副总裁、董事会秘书</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侯 </w:t>
            </w:r>
            <w:r>
              <w:rPr>
                <w:rFonts w:ascii="宋体" w:hAnsi="宋体" w:cs="宋体" w:eastAsia="宋体" w:hint="default"/>
                <w:spacing w:val="2"/>
                <w:sz w:val="18"/>
                <w:szCs w:val="18"/>
              </w:rPr>
              <w:t> </w:t>
            </w:r>
            <w:r>
              <w:rPr>
                <w:rFonts w:ascii="宋体" w:hAnsi="宋体" w:cs="宋体" w:eastAsia="宋体" w:hint="default"/>
                <w:sz w:val="18"/>
                <w:szCs w:val="18"/>
              </w:rPr>
              <w:t>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 </w:t>
            </w:r>
            <w:r>
              <w:rPr>
                <w:rFonts w:ascii="宋体" w:hAnsi="宋体" w:cs="宋体" w:eastAsia="宋体" w:hint="default"/>
                <w:spacing w:val="2"/>
                <w:sz w:val="18"/>
                <w:szCs w:val="18"/>
              </w:rPr>
              <w:t> </w:t>
            </w:r>
            <w:r>
              <w:rPr>
                <w:rFonts w:ascii="宋体" w:hAnsi="宋体" w:cs="宋体" w:eastAsia="宋体" w:hint="default"/>
                <w:sz w:val="18"/>
                <w:szCs w:val="18"/>
              </w:rPr>
              <w:t>浩</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齐顺杰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张利军</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袁 </w:t>
            </w:r>
            <w:r>
              <w:rPr>
                <w:rFonts w:ascii="宋体" w:hAnsi="宋体" w:cs="宋体" w:eastAsia="宋体" w:hint="default"/>
                <w:spacing w:val="2"/>
                <w:sz w:val="18"/>
                <w:szCs w:val="18"/>
              </w:rPr>
              <w:t> </w:t>
            </w:r>
            <w:r>
              <w:rPr>
                <w:rFonts w:ascii="宋体" w:hAnsi="宋体" w:cs="宋体" w:eastAsia="宋体" w:hint="default"/>
                <w:sz w:val="18"/>
                <w:szCs w:val="18"/>
              </w:rPr>
              <w:t>丁</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董事、人事行政部总监</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庞宝光</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监事会主席、人事行政部经理</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汝书伟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宽带技术总监</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刘吉衡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系统集成部总监</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 </w:t>
            </w:r>
            <w:r>
              <w:rPr>
                <w:rFonts w:ascii="宋体" w:hAnsi="宋体" w:cs="宋体" w:eastAsia="宋体" w:hint="default"/>
                <w:spacing w:val="2"/>
                <w:sz w:val="18"/>
                <w:szCs w:val="18"/>
              </w:rPr>
              <w:t> </w:t>
            </w:r>
            <w:r>
              <w:rPr>
                <w:rFonts w:ascii="宋体" w:hAnsi="宋体" w:cs="宋体" w:eastAsia="宋体" w:hint="default"/>
                <w:sz w:val="18"/>
                <w:szCs w:val="18"/>
              </w:rPr>
              <w:t>超</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监事、运营管理中心总监</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耿 </w:t>
            </w:r>
            <w:r>
              <w:rPr>
                <w:rFonts w:ascii="宋体" w:hAnsi="宋体" w:cs="宋体" w:eastAsia="宋体" w:hint="default"/>
                <w:spacing w:val="2"/>
                <w:sz w:val="18"/>
                <w:szCs w:val="18"/>
              </w:rPr>
              <w:t> </w:t>
            </w:r>
            <w:r>
              <w:rPr>
                <w:rFonts w:ascii="宋体" w:hAnsi="宋体" w:cs="宋体" w:eastAsia="宋体" w:hint="default"/>
                <w:sz w:val="18"/>
                <w:szCs w:val="18"/>
              </w:rPr>
              <w:t>岩</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副总裁、耿殿根之侄子</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曹 </w:t>
            </w:r>
            <w:r>
              <w:rPr>
                <w:rFonts w:ascii="宋体" w:hAnsi="宋体" w:cs="宋体" w:eastAsia="宋体" w:hint="default"/>
                <w:spacing w:val="2"/>
                <w:sz w:val="18"/>
                <w:szCs w:val="18"/>
              </w:rPr>
              <w:t> </w:t>
            </w:r>
            <w:r>
              <w:rPr>
                <w:rFonts w:ascii="宋体" w:hAnsi="宋体" w:cs="宋体" w:eastAsia="宋体" w:hint="default"/>
                <w:sz w:val="18"/>
                <w:szCs w:val="18"/>
              </w:rPr>
              <w:t>毅</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原董事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 </w:t>
            </w:r>
            <w:r>
              <w:rPr>
                <w:rFonts w:ascii="宋体" w:hAnsi="宋体" w:cs="宋体" w:eastAsia="宋体" w:hint="default"/>
                <w:spacing w:val="2"/>
                <w:sz w:val="18"/>
                <w:szCs w:val="18"/>
              </w:rPr>
              <w:t> </w:t>
            </w:r>
            <w:r>
              <w:rPr>
                <w:rFonts w:ascii="宋体" w:hAnsi="宋体" w:cs="宋体" w:eastAsia="宋体" w:hint="default"/>
                <w:sz w:val="18"/>
                <w:szCs w:val="18"/>
              </w:rPr>
              <w:t>军</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原独立董事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王淑芳</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原独立董事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韩 </w:t>
            </w:r>
            <w:r>
              <w:rPr>
                <w:rFonts w:ascii="宋体" w:hAnsi="宋体" w:cs="宋体" w:eastAsia="宋体" w:hint="default"/>
                <w:spacing w:val="2"/>
                <w:sz w:val="18"/>
                <w:szCs w:val="18"/>
              </w:rPr>
              <w:t> </w:t>
            </w:r>
            <w:r>
              <w:rPr>
                <w:rFonts w:ascii="宋体" w:hAnsi="宋体" w:cs="宋体" w:eastAsia="宋体" w:hint="default"/>
                <w:sz w:val="18"/>
                <w:szCs w:val="18"/>
              </w:rPr>
              <w:t>旭</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原独立董事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郑善伟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宋健尔</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郭莉莉</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侯成训</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吴国雄</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酒仙桥数据中心运营总监</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韩冠华</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燕郊数据中心运营总监</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王军辉</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北京蓝沧科技有限公司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与本公司受同一控制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中卫普信宽带通信有限公司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杨宇航任职董事企业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中金数据系统有限公司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郑善伟任职高管企业</w:t>
            </w:r>
          </w:p>
        </w:tc>
      </w:tr>
    </w:tbl>
    <w:p>
      <w:pPr>
        <w:spacing w:line="240" w:lineRule="auto" w:before="3"/>
        <w:rPr>
          <w:rFonts w:ascii="宋体" w:hAnsi="宋体" w:cs="宋体" w:eastAsia="宋体" w:hint="default"/>
          <w:b/>
          <w:bCs/>
          <w:sz w:val="19"/>
          <w:szCs w:val="19"/>
        </w:rPr>
      </w:pPr>
    </w:p>
    <w:p>
      <w:pPr>
        <w:pStyle w:val="Heading3"/>
        <w:spacing w:line="240" w:lineRule="auto" w:before="36"/>
        <w:ind w:right="1134"/>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4"/>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4"/>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1"/>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7"/>
        <w:gridCol w:w="1706"/>
      </w:tblGrid>
      <w:tr>
        <w:trPr>
          <w:trHeight w:val="403"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北京蓝沧科技有限 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0" w:right="0"/>
              <w:jc w:val="left"/>
              <w:rPr>
                <w:rFonts w:ascii="Times New Roman" w:hAnsi="Times New Roman" w:cs="Times New Roman" w:eastAsia="Times New Roman" w:hint="default"/>
                <w:sz w:val="18"/>
                <w:szCs w:val="18"/>
              </w:rPr>
            </w:pPr>
            <w:r>
              <w:rPr>
                <w:rFonts w:ascii="Times New Roman"/>
                <w:sz w:val="18"/>
              </w:rPr>
              <w:t>25,260.00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1134"/>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3"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中卫普信宽带通信有限公司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1,075.31</w:t>
            </w:r>
          </w:p>
        </w:tc>
      </w:tr>
    </w:tbl>
    <w:p>
      <w:pPr>
        <w:spacing w:line="240" w:lineRule="auto" w:before="3"/>
        <w:rPr>
          <w:rFonts w:ascii="宋体" w:hAnsi="宋体" w:cs="宋体" w:eastAsia="宋体" w:hint="default"/>
          <w:sz w:val="19"/>
          <w:szCs w:val="19"/>
        </w:rPr>
      </w:pPr>
    </w:p>
    <w:p>
      <w:pPr>
        <w:pStyle w:val="Heading3"/>
        <w:spacing w:line="240" w:lineRule="auto" w:before="36"/>
        <w:ind w:right="1134"/>
        <w:jc w:val="left"/>
        <w:rPr>
          <w:b w:val="0"/>
          <w:bCs w:val="0"/>
        </w:rPr>
      </w:pPr>
      <w:r>
        <w:rPr/>
        <w:t>（</w:t>
      </w:r>
      <w:r>
        <w:rPr>
          <w:rFonts w:ascii="Times New Roman" w:hAnsi="Times New Roman" w:cs="Times New Roman" w:eastAsia="Times New Roman" w:hint="default"/>
        </w:rPr>
        <w:t>2</w:t>
      </w:r>
      <w:r>
        <w:rPr/>
        <w:t>）关联担保情况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4"/>
        <w:jc w:val="left"/>
      </w:pPr>
      <w:r>
        <w:rPr/>
        <w:t>本公司作为担保方</w:t>
      </w:r>
    </w:p>
    <w:p>
      <w:pPr>
        <w:pStyle w:val="BodyText"/>
        <w:spacing w:line="240" w:lineRule="auto" w:before="117"/>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49"/>
        <w:ind w:right="1134"/>
        <w:jc w:val="left"/>
      </w:pPr>
      <w:r>
        <w:rPr/>
        <w:t>本公司作为被担保方</w:t>
      </w:r>
    </w:p>
    <w:p>
      <w:pPr>
        <w:pStyle w:val="BodyText"/>
        <w:spacing w:line="240" w:lineRule="auto" w:before="115"/>
        <w:ind w:left="0" w:right="151"/>
        <w:jc w:val="right"/>
      </w:pPr>
      <w:r>
        <w:rPr/>
        <w:t>单位：</w:t>
      </w:r>
      <w:r>
        <w:rPr>
          <w:spacing w:val="1"/>
        </w:rPr>
        <w:t> </w:t>
      </w:r>
      <w:r>
        <w:rPr/>
        <w:t>元</w:t>
      </w:r>
    </w:p>
    <w:p>
      <w:pPr>
        <w:spacing w:after="0" w:line="240" w:lineRule="auto"/>
        <w:jc w:val="righ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耿殿根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耿殿根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耿殿根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1134"/>
        <w:jc w:val="left"/>
      </w:pPr>
      <w:r>
        <w:rPr/>
        <w:t>关联担保情况说明</w:t>
      </w:r>
    </w:p>
    <w:p>
      <w:pPr>
        <w:pStyle w:val="BodyText"/>
        <w:spacing w:line="300" w:lineRule="auto" w:before="115"/>
        <w:ind w:right="159" w:firstLine="360"/>
        <w:jc w:val="both"/>
      </w:pPr>
      <w:r>
        <w:rPr/>
        <w:t>（</w:t>
      </w:r>
      <w:r>
        <w:rPr>
          <w:rFonts w:ascii="Times New Roman" w:hAnsi="Times New Roman" w:cs="Times New Roman" w:eastAsia="Times New Roman" w:hint="default"/>
        </w:rPr>
        <w:t>1</w:t>
      </w:r>
      <w:r>
        <w:rPr/>
        <w:t>）公司以子公司北京瑞科新网科技有限公司房产为抵押，并由公司董事长耿殿根作为连带责任保证人，取得招商银 行股份有限公司北京建国路支行授信额度人民币叁仟万元整，授信期为</w:t>
      </w:r>
      <w:r>
        <w:rPr>
          <w:spacing w:val="-4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10 </w:t>
      </w:r>
      <w:r>
        <w:rPr/>
        <w:t>月</w:t>
      </w:r>
      <w:r>
        <w:rPr>
          <w:spacing w:val="-48"/>
        </w:rPr>
        <w:t> </w:t>
      </w:r>
      <w:r>
        <w:rPr>
          <w:rFonts w:ascii="Times New Roman" w:hAnsi="Times New Roman" w:cs="Times New Roman" w:eastAsia="Times New Roman" w:hint="default"/>
        </w:rPr>
        <w:t>28 </w:t>
      </w:r>
      <w:r>
        <w:rPr/>
        <w:t>日起至</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16 </w:t>
      </w:r>
      <w:r>
        <w:rPr/>
        <w:t>日止。</w:t>
      </w:r>
    </w:p>
    <w:p>
      <w:pPr>
        <w:pStyle w:val="BodyText"/>
        <w:spacing w:line="300" w:lineRule="auto" w:before="53"/>
        <w:ind w:right="148" w:firstLine="362"/>
        <w:jc w:val="both"/>
      </w:pPr>
      <w:r>
        <w:rPr/>
        <w:t>（</w:t>
      </w:r>
      <w:r>
        <w:rPr>
          <w:rFonts w:ascii="Times New Roman" w:hAnsi="Times New Roman" w:cs="Times New Roman" w:eastAsia="Times New Roman" w:hint="default"/>
        </w:rPr>
        <w:t>2</w:t>
      </w:r>
      <w:r>
        <w:rPr/>
        <w:t>）公司以货币资金、贷款余额为限额的应收账款作为质押，并由公司董事长耿殿根作为连带责任保证人，与花旗银 </w:t>
      </w:r>
      <w:r>
        <w:rPr>
          <w:spacing w:val="-3"/>
        </w:rPr>
        <w:t>行（中国）有限公司北京分行于</w:t>
      </w:r>
      <w:r>
        <w:rPr>
          <w:spacing w:val="-42"/>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43"/>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43"/>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spacing w:val="-5"/>
          <w:w w:val="99"/>
        </w:rPr>
        <w:t>日签订非承诺性短期循环融资协议（编号：</w:t>
      </w:r>
      <w:r>
        <w:rPr>
          <w:rFonts w:ascii="Times New Roman" w:hAnsi="Times New Roman" w:cs="Times New Roman" w:eastAsia="Times New Roman" w:hint="default"/>
          <w:spacing w:val="-5"/>
          <w:w w:val="99"/>
        </w:rPr>
        <w:t>FA775626150706</w:t>
      </w:r>
      <w:r>
        <w:rPr>
          <w:spacing w:val="-5"/>
          <w:w w:val="99"/>
        </w:rPr>
        <w:t>），花旗银行（中</w:t>
      </w:r>
      <w:r>
        <w:rPr/>
        <w:t> 国）有限公司北京分行向本公司提供授信额度为人民币叁仟壹佰万元整。</w:t>
      </w:r>
    </w:p>
    <w:p>
      <w:pPr>
        <w:pStyle w:val="BodyText"/>
        <w:spacing w:line="300" w:lineRule="auto" w:before="72"/>
        <w:ind w:right="177" w:firstLine="362"/>
        <w:jc w:val="both"/>
      </w:pPr>
      <w:r>
        <w:rPr/>
        <w:t>（</w:t>
      </w:r>
      <w:r>
        <w:rPr>
          <w:rFonts w:ascii="Times New Roman" w:hAnsi="Times New Roman" w:cs="Times New Roman" w:eastAsia="Times New Roman" w:hint="default"/>
        </w:rPr>
        <w:t>3</w:t>
      </w:r>
      <w:r>
        <w:rPr/>
        <w:t>）公司与远东宏信（天津）融资租赁有限公司签订相关售后回租合同，将公司拥有的部分生产设备以</w:t>
      </w:r>
      <w:r>
        <w:rPr>
          <w:rFonts w:ascii="Times New Roman" w:hAnsi="Times New Roman" w:cs="Times New Roman" w:eastAsia="Times New Roman" w:hint="default"/>
        </w:rPr>
        <w:t>“</w:t>
      </w:r>
      <w:r>
        <w:rPr/>
        <w:t>售后回租</w:t>
      </w:r>
      <w:r>
        <w:rPr>
          <w:rFonts w:ascii="Times New Roman" w:hAnsi="Times New Roman" w:cs="Times New Roman" w:eastAsia="Times New Roman" w:hint="default"/>
        </w:rPr>
        <w:t>”</w:t>
      </w:r>
      <w:r>
        <w:rPr/>
        <w:t>租 赁方式与远东宏信开展融资租赁交易，开展融资租赁售后回租的固定资产账面余额</w:t>
      </w:r>
      <w:r>
        <w:rPr>
          <w:spacing w:val="-46"/>
        </w:rPr>
        <w:t> </w:t>
      </w:r>
      <w:r>
        <w:rPr>
          <w:rFonts w:ascii="Times New Roman" w:hAnsi="Times New Roman" w:cs="Times New Roman" w:eastAsia="Times New Roman" w:hint="default"/>
        </w:rPr>
        <w:t>100,037,402.99 </w:t>
      </w:r>
      <w:r>
        <w:rPr/>
        <w:t>元，融资金额</w:t>
      </w:r>
    </w:p>
    <w:p>
      <w:pPr>
        <w:pStyle w:val="BodyText"/>
        <w:spacing w:line="300" w:lineRule="auto" w:before="13"/>
        <w:ind w:right="149"/>
        <w:jc w:val="left"/>
      </w:pPr>
      <w:r>
        <w:rPr>
          <w:rFonts w:ascii="Times New Roman" w:hAnsi="Times New Roman" w:cs="Times New Roman" w:eastAsia="Times New Roman" w:hint="default"/>
        </w:rPr>
        <w:t>100,000,000.00</w:t>
      </w:r>
      <w:r>
        <w:rPr>
          <w:rFonts w:ascii="Times New Roman" w:hAnsi="Times New Roman" w:cs="Times New Roman" w:eastAsia="Times New Roman" w:hint="default"/>
          <w:spacing w:val="-1"/>
        </w:rPr>
        <w:t> </w:t>
      </w:r>
      <w:r>
        <w:rPr/>
        <w:t>元，融资期限为三年，租赁期满，公司以留购价格</w:t>
      </w:r>
      <w:r>
        <w:rPr>
          <w:spacing w:val="-48"/>
        </w:rPr>
        <w:t> </w:t>
      </w:r>
      <w:r>
        <w:rPr>
          <w:rFonts w:ascii="Times New Roman" w:hAnsi="Times New Roman" w:cs="Times New Roman" w:eastAsia="Times New Roman" w:hint="default"/>
        </w:rPr>
        <w:t>1,000.00</w:t>
      </w:r>
      <w:r>
        <w:rPr>
          <w:rFonts w:ascii="Times New Roman" w:hAnsi="Times New Roman" w:cs="Times New Roman" w:eastAsia="Times New Roman" w:hint="default"/>
          <w:spacing w:val="-1"/>
        </w:rPr>
        <w:t> </w:t>
      </w:r>
      <w:r>
        <w:rPr/>
        <w:t>元回购该部分生产设备的所有权。公司董事长耿 殿根为连带责任保证人。</w:t>
      </w:r>
    </w:p>
    <w:p>
      <w:pPr>
        <w:spacing w:line="240" w:lineRule="auto" w:before="7"/>
        <w:rPr>
          <w:rFonts w:ascii="宋体" w:hAnsi="宋体" w:cs="宋体" w:eastAsia="宋体" w:hint="default"/>
          <w:sz w:val="23"/>
          <w:szCs w:val="23"/>
        </w:rPr>
      </w:pPr>
    </w:p>
    <w:p>
      <w:pPr>
        <w:pStyle w:val="Heading3"/>
        <w:spacing w:line="240" w:lineRule="auto"/>
        <w:ind w:right="1134"/>
        <w:jc w:val="left"/>
        <w:rPr>
          <w:b w:val="0"/>
          <w:bCs w:val="0"/>
        </w:rPr>
      </w:pPr>
      <w:r>
        <w:rPr/>
        <w:t>（</w:t>
      </w:r>
      <w:r>
        <w:rPr>
          <w:rFonts w:ascii="Times New Roman" w:hAnsi="Times New Roman" w:cs="Times New Roman" w:eastAsia="Times New Roman" w:hint="default"/>
        </w:rPr>
        <w:t>3</w:t>
      </w:r>
      <w:r>
        <w:rPr/>
        <w:t>）关键管理人员报酬</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6,695,442.61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6,952,561.00</w:t>
            </w:r>
          </w:p>
        </w:tc>
      </w:tr>
    </w:tbl>
    <w:p>
      <w:pPr>
        <w:spacing w:line="240" w:lineRule="auto" w:before="3"/>
        <w:rPr>
          <w:rFonts w:ascii="宋体" w:hAnsi="宋体" w:cs="宋体" w:eastAsia="宋体" w:hint="default"/>
          <w:sz w:val="19"/>
          <w:szCs w:val="19"/>
        </w:rPr>
      </w:pPr>
    </w:p>
    <w:p>
      <w:pPr>
        <w:pStyle w:val="Heading3"/>
        <w:spacing w:line="240" w:lineRule="auto" w:before="36"/>
        <w:ind w:right="1134"/>
        <w:jc w:val="left"/>
        <w:rPr>
          <w:b w:val="0"/>
          <w:bCs w:val="0"/>
        </w:rPr>
      </w:pPr>
      <w:r>
        <w:rPr/>
        <w:t>（</w:t>
      </w:r>
      <w:r>
        <w:rPr>
          <w:rFonts w:ascii="Times New Roman" w:hAnsi="Times New Roman" w:cs="Times New Roman" w:eastAsia="Times New Roman" w:hint="default"/>
        </w:rPr>
        <w:t>4</w:t>
      </w:r>
      <w:r>
        <w:rPr/>
        <w:t>）其他关联交易</w:t>
      </w:r>
      <w:r>
        <w:rPr>
          <w:b w:val="0"/>
          <w:bCs w:val="0"/>
        </w:rPr>
      </w:r>
    </w:p>
    <w:p>
      <w:pPr>
        <w:spacing w:line="240" w:lineRule="auto" w:before="4"/>
        <w:rPr>
          <w:rFonts w:ascii="宋体" w:hAnsi="宋体" w:cs="宋体" w:eastAsia="宋体" w:hint="default"/>
          <w:b/>
          <w:bCs/>
          <w:sz w:val="26"/>
          <w:szCs w:val="26"/>
        </w:rPr>
      </w:pPr>
    </w:p>
    <w:p>
      <w:pPr>
        <w:pStyle w:val="BodyText"/>
        <w:spacing w:line="307" w:lineRule="auto"/>
        <w:ind w:right="0" w:firstLine="360"/>
        <w:jc w:val="left"/>
      </w:pP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20 </w:t>
      </w:r>
      <w:r>
        <w:rPr>
          <w:spacing w:val="-1"/>
        </w:rPr>
        <w:t>日第二届董事会</w:t>
      </w:r>
      <w:r>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0"/>
        </w:rPr>
        <w:t> </w:t>
      </w:r>
      <w:r>
        <w:rPr>
          <w:spacing w:val="-3"/>
        </w:rPr>
        <w:t>年第二次会议审议通过了《关于公司与控股股东共同投资的议案》，公司与控</w:t>
      </w:r>
      <w:r>
        <w:rPr/>
        <w:t> 股股东北京百汇达投资管理有限公司共同投资北京科信盛彩置业有限公司，其中公司投资人民币 </w:t>
      </w:r>
      <w:r>
        <w:rPr>
          <w:rFonts w:ascii="Times New Roman" w:hAnsi="Times New Roman" w:cs="Times New Roman" w:eastAsia="Times New Roman" w:hint="default"/>
        </w:rPr>
        <w:t>6,870 </w:t>
      </w:r>
      <w:r>
        <w:rPr/>
        <w:t>万元持有其</w:t>
      </w:r>
      <w:r>
        <w:rPr>
          <w:spacing w:val="-46"/>
        </w:rPr>
        <w:t> </w:t>
      </w:r>
      <w:r>
        <w:rPr>
          <w:rFonts w:ascii="Times New Roman" w:hAnsi="Times New Roman" w:cs="Times New Roman" w:eastAsia="Times New Roman" w:hint="default"/>
        </w:rPr>
        <w:t>15%</w:t>
      </w:r>
      <w:r>
        <w:rPr/>
        <w:t>的 股权，北京百汇达投资管理有限公司投资人民币 </w:t>
      </w:r>
      <w:r>
        <w:rPr>
          <w:rFonts w:ascii="Times New Roman" w:hAnsi="Times New Roman" w:cs="Times New Roman" w:eastAsia="Times New Roman" w:hint="default"/>
        </w:rPr>
        <w:t>16,488 </w:t>
      </w:r>
      <w:r>
        <w:rPr/>
        <w:t>万元持有其</w:t>
      </w:r>
      <w:r>
        <w:rPr>
          <w:spacing w:val="-3"/>
        </w:rPr>
        <w:t> </w:t>
      </w:r>
      <w:r>
        <w:rPr>
          <w:rFonts w:ascii="Times New Roman" w:hAnsi="Times New Roman" w:cs="Times New Roman" w:eastAsia="Times New Roman" w:hint="default"/>
        </w:rPr>
        <w:t>36%</w:t>
      </w:r>
      <w:r>
        <w:rPr/>
        <w:t>的股权，同时本公司与北京百汇达投资管理有限 </w:t>
      </w:r>
      <w:r>
        <w:rPr>
          <w:spacing w:val="-2"/>
        </w:rPr>
        <w:t>公司签订一致行动协议，约定自投资完成之日起，在决定北京科信盛彩置业有限公司有关经营发展、且须北京科信盛彩置业</w:t>
      </w:r>
      <w:r>
        <w:rPr>
          <w:spacing w:val="-63"/>
        </w:rPr>
        <w:t> </w:t>
      </w:r>
      <w:r>
        <w:rPr>
          <w:spacing w:val="-63"/>
        </w:rPr>
      </w:r>
      <w:r>
        <w:rPr>
          <w:spacing w:val="-2"/>
        </w:rPr>
        <w:t>有限公司股东会批准的重大事项时，北京百汇达投资管理有限公司将跟随本公司行使股东权利，与本公司保持一致，特别是</w:t>
      </w:r>
      <w:r>
        <w:rPr>
          <w:spacing w:val="-64"/>
        </w:rPr>
        <w:t> </w:t>
      </w:r>
      <w:r>
        <w:rPr>
          <w:spacing w:val="-64"/>
        </w:rPr>
      </w:r>
      <w:r>
        <w:rPr/>
        <w:t>行使股东会召集权、提案权、表决权时采取一致行动。</w:t>
      </w:r>
    </w:p>
    <w:p>
      <w:pPr>
        <w:spacing w:line="240" w:lineRule="auto" w:before="3"/>
        <w:rPr>
          <w:rFonts w:ascii="宋体" w:hAnsi="宋体" w:cs="宋体" w:eastAsia="宋体" w:hint="default"/>
          <w:sz w:val="23"/>
          <w:szCs w:val="23"/>
        </w:rPr>
      </w:pPr>
    </w:p>
    <w:p>
      <w:pPr>
        <w:pStyle w:val="Heading3"/>
        <w:spacing w:line="240" w:lineRule="auto"/>
        <w:ind w:right="1134"/>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4"/>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line="240" w:lineRule="auto" w:before="4"/>
        <w:rPr>
          <w:rFonts w:ascii="宋体" w:hAnsi="宋体" w:cs="宋体" w:eastAsia="宋体" w:hint="default"/>
          <w:sz w:val="19"/>
          <w:szCs w:val="19"/>
        </w:rPr>
      </w:pPr>
    </w:p>
    <w:p>
      <w:pPr>
        <w:pStyle w:val="Heading3"/>
        <w:spacing w:line="240" w:lineRule="auto" w:before="36"/>
        <w:ind w:right="1134"/>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北京长城光环宽带网络技术 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55" w:right="0"/>
              <w:jc w:val="left"/>
              <w:rPr>
                <w:rFonts w:ascii="Times New Roman" w:hAnsi="Times New Roman" w:cs="Times New Roman" w:eastAsia="Times New Roman" w:hint="default"/>
                <w:sz w:val="18"/>
                <w:szCs w:val="18"/>
              </w:rPr>
            </w:pPr>
            <w:r>
              <w:rPr>
                <w:rFonts w:ascii="Times New Roman"/>
                <w:sz w:val="18"/>
              </w:rPr>
              <w:t>180,113.78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55" w:right="0"/>
              <w:jc w:val="left"/>
              <w:rPr>
                <w:rFonts w:ascii="Times New Roman" w:hAnsi="Times New Roman" w:cs="Times New Roman" w:eastAsia="Times New Roman" w:hint="default"/>
                <w:sz w:val="18"/>
                <w:szCs w:val="18"/>
              </w:rPr>
            </w:pPr>
            <w:r>
              <w:rPr>
                <w:rFonts w:ascii="Times New Roman"/>
                <w:sz w:val="18"/>
              </w:rPr>
              <w:t>180,113.78</w:t>
            </w:r>
          </w:p>
        </w:tc>
      </w:tr>
    </w:tbl>
    <w:p>
      <w:pPr>
        <w:spacing w:line="240" w:lineRule="auto" w:before="1"/>
        <w:rPr>
          <w:rFonts w:ascii="宋体" w:hAnsi="宋体" w:cs="宋体" w:eastAsia="宋体" w:hint="default"/>
          <w:sz w:val="18"/>
          <w:szCs w:val="18"/>
        </w:rPr>
      </w:pPr>
    </w:p>
    <w:p>
      <w:pPr>
        <w:pStyle w:val="Heading2"/>
        <w:spacing w:line="240" w:lineRule="auto" w:before="26"/>
        <w:ind w:right="106"/>
        <w:jc w:val="left"/>
        <w:rPr>
          <w:b w:val="0"/>
          <w:bCs w:val="0"/>
        </w:rPr>
      </w:pPr>
      <w:r>
        <w:rPr/>
        <w:t>十二、资产负债表日后事项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06"/>
        <w:jc w:val="left"/>
        <w:rPr>
          <w:b w:val="0"/>
          <w:bCs w:val="0"/>
        </w:rPr>
      </w:pPr>
      <w:r>
        <w:rPr>
          <w:rFonts w:ascii="Times New Roman" w:hAnsi="Times New Roman" w:cs="Times New Roman" w:eastAsia="Times New Roman" w:hint="default"/>
        </w:rPr>
        <w:t>1</w:t>
      </w:r>
      <w:r>
        <w:rPr/>
        <w:t>、利润分配情况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10,916,000.00</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06"/>
        <w:jc w:val="left"/>
        <w:rPr>
          <w:b w:val="0"/>
          <w:bCs w:val="0"/>
        </w:rPr>
      </w:pPr>
      <w:r>
        <w:rPr>
          <w:rFonts w:ascii="Times New Roman" w:hAnsi="Times New Roman" w:cs="Times New Roman" w:eastAsia="Times New Roman" w:hint="default"/>
        </w:rPr>
        <w:t>2</w:t>
      </w:r>
      <w:r>
        <w:rPr/>
        <w:t>、其他资产负债表日后事项说明</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right="107" w:firstLine="360"/>
        <w:jc w:val="both"/>
      </w:pPr>
      <w:r>
        <w:rPr>
          <w:rFonts w:ascii="Times New Roman" w:hAnsi="Times New Roman" w:cs="Times New Roman" w:eastAsia="Times New Roman" w:hint="default"/>
          <w:spacing w:val="-8"/>
        </w:rPr>
        <w:t>1</w:t>
      </w:r>
      <w:r>
        <w:rPr>
          <w:spacing w:val="-8"/>
        </w:rPr>
        <w:t>、</w:t>
      </w:r>
      <w:r>
        <w:rPr>
          <w:rFonts w:ascii="Times New Roman" w:hAnsi="Times New Roman" w:cs="Times New Roman" w:eastAsia="Times New Roman" w:hint="default"/>
          <w:spacing w:val="-8"/>
        </w:rPr>
        <w:t>2016</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日，全资子公司北京瑞科新网科技有限公司取得以西部信托有限公司为贷款主体的人民币</w:t>
      </w:r>
      <w:r>
        <w:rPr>
          <w:spacing w:val="-6"/>
        </w:rPr>
        <w:t> </w:t>
      </w:r>
      <w:r>
        <w:rPr>
          <w:rFonts w:ascii="Times New Roman" w:hAnsi="Times New Roman" w:cs="Times New Roman" w:eastAsia="Times New Roman" w:hint="default"/>
        </w:rPr>
        <w:t>2,000</w:t>
      </w:r>
      <w:r>
        <w:rPr>
          <w:rFonts w:ascii="Times New Roman" w:hAnsi="Times New Roman" w:cs="Times New Roman" w:eastAsia="Times New Roman" w:hint="default"/>
          <w:spacing w:val="39"/>
        </w:rPr>
        <w:t> </w:t>
      </w:r>
      <w:r>
        <w:rPr/>
        <w:t>万元 </w:t>
      </w:r>
      <w:r>
        <w:rPr>
          <w:spacing w:val="-2"/>
        </w:rPr>
        <w:t>借款，北京中科智融资担保有限公司为上述贷款提供担保，公司以反担保人的身份向北京中科智融资担保有限公司提供连带</w:t>
      </w:r>
      <w:r>
        <w:rPr>
          <w:spacing w:val="-64"/>
        </w:rPr>
        <w:t> </w:t>
      </w:r>
      <w:r>
        <w:rPr>
          <w:spacing w:val="-64"/>
        </w:rPr>
      </w:r>
      <w:r>
        <w:rPr/>
        <w:t>责任的反担保，同时公司实际控制人耿殿根先生以反担保人的身份向北京中科智融资担保有限公司提供连带责任的反担保。</w:t>
      </w:r>
    </w:p>
    <w:p>
      <w:pPr>
        <w:pStyle w:val="BodyText"/>
        <w:spacing w:line="300" w:lineRule="auto" w:before="62"/>
        <w:ind w:right="190" w:firstLine="360"/>
        <w:jc w:val="left"/>
      </w:pPr>
      <w:r>
        <w:rPr>
          <w:rFonts w:ascii="Times New Roman" w:hAnsi="Times New Roman" w:cs="Times New Roman" w:eastAsia="Times New Roman" w:hint="default"/>
        </w:rPr>
        <w:t>2</w:t>
      </w:r>
      <w:r>
        <w:rPr/>
        <w:t>、公司于</w:t>
      </w:r>
      <w:r>
        <w:rPr>
          <w:spacing w:val="-1"/>
        </w:rPr>
        <w:t> </w:t>
      </w:r>
      <w:r>
        <w:rPr>
          <w:rFonts w:ascii="Times New Roman" w:hAnsi="Times New Roman" w:cs="Times New Roman" w:eastAsia="Times New Roman" w:hint="default"/>
        </w:rPr>
        <w:t>2016</w:t>
      </w:r>
      <w:r>
        <w:rPr>
          <w:rFonts w:ascii="Times New Roman" w:hAnsi="Times New Roman" w:cs="Times New Roman" w:eastAsia="Times New Roman" w:hint="default"/>
          <w:spacing w:val="43"/>
        </w:rPr>
        <w:t> </w:t>
      </w:r>
      <w:r>
        <w:rPr/>
        <w:t>年</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2 </w:t>
      </w:r>
      <w:r>
        <w:rPr/>
        <w:t>日收到中国证券监督管理委员会（以下简称</w:t>
      </w:r>
      <w:r>
        <w:rPr>
          <w:rFonts w:ascii="Times New Roman" w:hAnsi="Times New Roman" w:cs="Times New Roman" w:eastAsia="Times New Roman" w:hint="default"/>
        </w:rPr>
        <w:t>“</w:t>
      </w:r>
      <w:r>
        <w:rPr/>
        <w:t>中国证监会</w:t>
      </w:r>
      <w:r>
        <w:rPr>
          <w:rFonts w:ascii="Times New Roman" w:hAnsi="Times New Roman" w:cs="Times New Roman" w:eastAsia="Times New Roman" w:hint="default"/>
        </w:rPr>
        <w:t>”</w:t>
      </w:r>
      <w:r>
        <w:rPr/>
        <w:t>）出具的《关于核准北京光环新网 </w:t>
      </w:r>
      <w:r>
        <w:rPr>
          <w:spacing w:val="-3"/>
        </w:rPr>
        <w:t>科技股份有限公司向中金盛世投资有限公司等发行股份购买资产并募集配套资金的批复》（证监许可〔</w:t>
      </w:r>
      <w:r>
        <w:rPr>
          <w:rFonts w:ascii="Times New Roman" w:hAnsi="Times New Roman" w:cs="Times New Roman" w:eastAsia="Times New Roman" w:hint="default"/>
          <w:spacing w:val="-3"/>
        </w:rPr>
        <w:t>2016</w:t>
      </w:r>
      <w:r>
        <w:rPr>
          <w:spacing w:val="-3"/>
        </w:rPr>
        <w:t>〕</w:t>
      </w:r>
      <w:r>
        <w:rPr>
          <w:rFonts w:ascii="Times New Roman" w:hAnsi="Times New Roman" w:cs="Times New Roman" w:eastAsia="Times New Roman" w:hint="default"/>
          <w:spacing w:val="-3"/>
        </w:rPr>
        <w:t>207</w:t>
      </w:r>
      <w:r>
        <w:rPr>
          <w:rFonts w:ascii="Times New Roman" w:hAnsi="Times New Roman" w:cs="Times New Roman" w:eastAsia="Times New Roman" w:hint="default"/>
          <w:spacing w:val="33"/>
        </w:rPr>
        <w:t> </w:t>
      </w:r>
      <w:r>
        <w:rPr>
          <w:spacing w:val="-21"/>
        </w:rPr>
        <w:t>号），核准</w:t>
      </w:r>
      <w:r>
        <w:rPr>
          <w:spacing w:val="-81"/>
        </w:rPr>
        <w:t> </w:t>
      </w:r>
      <w:r>
        <w:rPr>
          <w:spacing w:val="-81"/>
        </w:rPr>
      </w:r>
      <w:r>
        <w:rPr/>
        <w:t>公司发行股份及支付现金的方式购买北京中金云网科技有限公司</w:t>
      </w:r>
      <w:r>
        <w:rPr>
          <w:spacing w:val="-45"/>
        </w:rPr>
        <w:t> </w:t>
      </w:r>
      <w:r>
        <w:rPr>
          <w:rFonts w:ascii="Times New Roman" w:hAnsi="Times New Roman" w:cs="Times New Roman" w:eastAsia="Times New Roman" w:hint="default"/>
        </w:rPr>
        <w:t>100%</w:t>
      </w:r>
      <w:r>
        <w:rPr/>
        <w:t>股权和北京无双科技有限公司</w:t>
      </w:r>
      <w:r>
        <w:rPr>
          <w:spacing w:val="-45"/>
        </w:rPr>
        <w:t> </w:t>
      </w:r>
      <w:r>
        <w:rPr>
          <w:rFonts w:ascii="Times New Roman" w:hAnsi="Times New Roman" w:cs="Times New Roman" w:eastAsia="Times New Roman" w:hint="default"/>
        </w:rPr>
        <w:t>100%</w:t>
      </w:r>
      <w:r>
        <w:rPr/>
        <w:t>股权，同时核准 公司非公开发行股份募集配套资金不超过</w:t>
      </w:r>
      <w:r>
        <w:rPr>
          <w:spacing w:val="-46"/>
        </w:rPr>
        <w:t> </w:t>
      </w:r>
      <w:r>
        <w:rPr>
          <w:rFonts w:ascii="Times New Roman" w:hAnsi="Times New Roman" w:cs="Times New Roman" w:eastAsia="Times New Roman" w:hint="default"/>
        </w:rPr>
        <w:t>290,900</w:t>
      </w:r>
      <w:r>
        <w:rPr>
          <w:rFonts w:ascii="Times New Roman" w:hAnsi="Times New Roman" w:cs="Times New Roman" w:eastAsia="Times New Roman" w:hint="default"/>
          <w:spacing w:val="-1"/>
        </w:rPr>
        <w:t> </w:t>
      </w:r>
      <w:r>
        <w:rPr/>
        <w:t>万元。</w:t>
      </w:r>
    </w:p>
    <w:p>
      <w:pPr>
        <w:pStyle w:val="BodyText"/>
        <w:spacing w:line="240" w:lineRule="auto" w:before="53"/>
        <w:ind w:left="513" w:right="106"/>
        <w:jc w:val="left"/>
      </w:pPr>
      <w:r>
        <w:rPr/>
        <w:t>北京中金云网科技有限公司已于</w:t>
      </w:r>
      <w:r>
        <w:rPr>
          <w:spacing w:val="-45"/>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3 </w:t>
      </w:r>
      <w:r>
        <w:rPr/>
        <w:t>日办理了工商变更手续，股东变更为本公司。</w:t>
      </w:r>
    </w:p>
    <w:p>
      <w:pPr>
        <w:pStyle w:val="BodyText"/>
        <w:spacing w:line="240" w:lineRule="auto" w:before="103"/>
        <w:ind w:left="513" w:right="106"/>
        <w:jc w:val="left"/>
      </w:pPr>
      <w:r>
        <w:rPr/>
        <w:t>北京无双科技有限公司已于</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3 </w:t>
      </w:r>
      <w:r>
        <w:rPr/>
        <w:t>月</w:t>
      </w:r>
      <w:r>
        <w:rPr>
          <w:spacing w:val="-48"/>
        </w:rPr>
        <w:t> </w:t>
      </w:r>
      <w:r>
        <w:rPr>
          <w:rFonts w:ascii="Times New Roman" w:hAnsi="Times New Roman" w:cs="Times New Roman" w:eastAsia="Times New Roman" w:hint="default"/>
        </w:rPr>
        <w:t>9 </w:t>
      </w:r>
      <w:r>
        <w:rPr/>
        <w:t>日办理了工商变更手续，股东变更为本公司。</w:t>
      </w:r>
    </w:p>
    <w:p>
      <w:pPr>
        <w:pStyle w:val="BodyText"/>
        <w:spacing w:line="300" w:lineRule="auto" w:before="101"/>
        <w:ind w:right="204" w:firstLine="360"/>
        <w:jc w:val="left"/>
      </w:pPr>
      <w:r>
        <w:rPr>
          <w:rFonts w:ascii="Times New Roman" w:hAnsi="Times New Roman" w:cs="Times New Roman" w:eastAsia="Times New Roman" w:hint="default"/>
        </w:rPr>
        <w:t>3</w:t>
      </w:r>
      <w:r>
        <w:rPr/>
        <w:t>、公司拟参与认购天津新动金鼎万众体育资产管理合伙企业（有限合伙）（以下简称为</w:t>
      </w:r>
      <w:r>
        <w:rPr>
          <w:rFonts w:ascii="Times New Roman" w:hAnsi="Times New Roman" w:cs="Times New Roman" w:eastAsia="Times New Roman" w:hint="default"/>
        </w:rPr>
        <w:t>“</w:t>
      </w:r>
      <w:r>
        <w:rPr/>
        <w:t>体育基金</w:t>
      </w:r>
      <w:r>
        <w:rPr>
          <w:rFonts w:ascii="Times New Roman" w:hAnsi="Times New Roman" w:cs="Times New Roman" w:eastAsia="Times New Roman" w:hint="default"/>
        </w:rPr>
        <w:t>”</w:t>
      </w:r>
      <w:r>
        <w:rPr/>
        <w:t>）出资份额，体育 基金规模为人民币</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亿元，其中公司拟出资人民币</w:t>
      </w:r>
      <w:r>
        <w:rPr>
          <w:spacing w:val="-47"/>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万元，作为体育基金的有限合伙人。</w:t>
      </w:r>
    </w:p>
    <w:p>
      <w:pPr>
        <w:spacing w:line="240" w:lineRule="auto" w:before="5"/>
        <w:rPr>
          <w:rFonts w:ascii="宋体" w:hAnsi="宋体" w:cs="宋体" w:eastAsia="宋体" w:hint="default"/>
          <w:sz w:val="20"/>
          <w:szCs w:val="20"/>
        </w:rPr>
      </w:pPr>
    </w:p>
    <w:p>
      <w:pPr>
        <w:pStyle w:val="Heading2"/>
        <w:spacing w:line="240" w:lineRule="auto"/>
        <w:ind w:right="106"/>
        <w:jc w:val="left"/>
        <w:rPr>
          <w:b w:val="0"/>
          <w:bCs w:val="0"/>
        </w:rPr>
      </w:pPr>
      <w:r>
        <w:rPr/>
        <w:t>十三、母公司财务报表主要项目注释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06"/>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6"/>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24"/>
        <w:gridCol w:w="774"/>
        <w:gridCol w:w="761"/>
        <w:gridCol w:w="763"/>
        <w:gridCol w:w="763"/>
        <w:gridCol w:w="788"/>
        <w:gridCol w:w="655"/>
        <w:gridCol w:w="761"/>
        <w:gridCol w:w="814"/>
        <w:gridCol w:w="934"/>
        <w:gridCol w:w="931"/>
      </w:tblGrid>
      <w:tr>
        <w:trPr>
          <w:trHeight w:val="396" w:hRule="exact"/>
        </w:trPr>
        <w:tc>
          <w:tcPr>
            <w:tcW w:w="1624"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4"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4"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24"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4"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4"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63,943,4</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11.24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2,160,25</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6.69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3.38%</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61,783,15</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4.55</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36,481,</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648.98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1,197,373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35,284,275.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08</w:t>
            </w:r>
          </w:p>
        </w:tc>
      </w:tr>
      <w:tr>
        <w:trPr>
          <w:trHeight w:val="401"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0"/>
              <w:ind w:left="105" w:right="0"/>
              <w:jc w:val="left"/>
              <w:rPr>
                <w:rFonts w:ascii="Times New Roman" w:hAnsi="Times New Roman" w:cs="Times New Roman" w:eastAsia="Times New Roman" w:hint="default"/>
                <w:sz w:val="18"/>
                <w:szCs w:val="18"/>
              </w:rPr>
            </w:pPr>
            <w:r>
              <w:rPr>
                <w:rFonts w:ascii="Times New Roman"/>
                <w:sz w:val="18"/>
              </w:rPr>
              <w:t>63,943,4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98" w:right="0"/>
              <w:jc w:val="left"/>
              <w:rPr>
                <w:rFonts w:ascii="Times New Roman" w:hAnsi="Times New Roman" w:cs="Times New Roman" w:eastAsia="Times New Roman" w:hint="default"/>
                <w:sz w:val="18"/>
                <w:szCs w:val="18"/>
              </w:rPr>
            </w:pPr>
            <w:r>
              <w:rPr>
                <w:rFonts w:ascii="Times New Roman"/>
                <w:sz w:val="18"/>
              </w:rPr>
              <w:t>2,160,25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3.38%</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5" w:right="0"/>
              <w:jc w:val="left"/>
              <w:rPr>
                <w:rFonts w:ascii="Times New Roman" w:hAnsi="Times New Roman" w:cs="Times New Roman" w:eastAsia="Times New Roman" w:hint="default"/>
                <w:sz w:val="18"/>
                <w:szCs w:val="18"/>
              </w:rPr>
            </w:pPr>
            <w:r>
              <w:rPr>
                <w:rFonts w:ascii="Times New Roman"/>
                <w:sz w:val="18"/>
              </w:rPr>
              <w:t>61,783,15</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83" w:right="0"/>
              <w:jc w:val="left"/>
              <w:rPr>
                <w:rFonts w:ascii="Times New Roman" w:hAnsi="Times New Roman" w:cs="Times New Roman" w:eastAsia="Times New Roman" w:hint="default"/>
                <w:sz w:val="18"/>
                <w:szCs w:val="18"/>
              </w:rPr>
            </w:pPr>
            <w:r>
              <w:rPr>
                <w:rFonts w:ascii="Times New Roman"/>
                <w:sz w:val="18"/>
              </w:rPr>
              <w:t>36,481,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62" w:right="0"/>
              <w:jc w:val="left"/>
              <w:rPr>
                <w:rFonts w:ascii="Times New Roman" w:hAnsi="Times New Roman" w:cs="Times New Roman" w:eastAsia="Times New Roman" w:hint="default"/>
                <w:sz w:val="18"/>
                <w:szCs w:val="18"/>
              </w:rPr>
            </w:pPr>
            <w:r>
              <w:rPr>
                <w:rFonts w:ascii="Times New Roman"/>
                <w:sz w:val="18"/>
              </w:rPr>
              <w:t>1,197,373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5" w:right="0"/>
              <w:jc w:val="left"/>
              <w:rPr>
                <w:rFonts w:ascii="Times New Roman" w:hAnsi="Times New Roman" w:cs="Times New Roman" w:eastAsia="Times New Roman" w:hint="default"/>
                <w:sz w:val="18"/>
                <w:szCs w:val="18"/>
              </w:rPr>
            </w:pPr>
            <w:r>
              <w:rPr>
                <w:rFonts w:ascii="Times New Roman"/>
                <w:sz w:val="18"/>
              </w:rPr>
              <w:t>35,284,275.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1"/>
        <w:gridCol w:w="763"/>
        <w:gridCol w:w="763"/>
        <w:gridCol w:w="788"/>
        <w:gridCol w:w="655"/>
        <w:gridCol w:w="761"/>
        <w:gridCol w:w="814"/>
        <w:gridCol w:w="934"/>
        <w:gridCol w:w="934"/>
      </w:tblGrid>
      <w:tr>
        <w:trPr>
          <w:trHeight w:val="363"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33" w:right="0"/>
              <w:jc w:val="left"/>
              <w:rPr>
                <w:rFonts w:ascii="Times New Roman" w:hAnsi="Times New Roman" w:cs="Times New Roman" w:eastAsia="Times New Roman" w:hint="default"/>
                <w:sz w:val="18"/>
                <w:szCs w:val="18"/>
              </w:rPr>
            </w:pPr>
            <w:r>
              <w:rPr>
                <w:rFonts w:ascii="Times New Roman"/>
                <w:sz w:val="18"/>
              </w:rPr>
              <w:t>11.24</w:t>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15" w:right="0"/>
              <w:jc w:val="left"/>
              <w:rPr>
                <w:rFonts w:ascii="Times New Roman" w:hAnsi="Times New Roman" w:cs="Times New Roman" w:eastAsia="Times New Roman" w:hint="default"/>
                <w:sz w:val="18"/>
                <w:szCs w:val="18"/>
              </w:rPr>
            </w:pPr>
            <w:r>
              <w:rPr>
                <w:rFonts w:ascii="Times New Roman"/>
                <w:sz w:val="18"/>
              </w:rPr>
              <w:t>6.69</w:t>
            </w: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41" w:right="0"/>
              <w:jc w:val="left"/>
              <w:rPr>
                <w:rFonts w:ascii="Times New Roman" w:hAnsi="Times New Roman" w:cs="Times New Roman" w:eastAsia="Times New Roman" w:hint="default"/>
                <w:sz w:val="18"/>
                <w:szCs w:val="18"/>
              </w:rPr>
            </w:pPr>
            <w:r>
              <w:rPr>
                <w:rFonts w:ascii="Times New Roman"/>
                <w:sz w:val="18"/>
              </w:rPr>
              <w:t>4.55</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29" w:right="0"/>
              <w:jc w:val="left"/>
              <w:rPr>
                <w:rFonts w:ascii="Times New Roman" w:hAnsi="Times New Roman" w:cs="Times New Roman" w:eastAsia="Times New Roman" w:hint="default"/>
                <w:sz w:val="18"/>
                <w:szCs w:val="18"/>
              </w:rPr>
            </w:pPr>
            <w:r>
              <w:rPr>
                <w:rFonts w:ascii="Times New Roman"/>
                <w:sz w:val="18"/>
              </w:rPr>
              <w:t>648.98</w:t>
            </w: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.90</w:t>
            </w:r>
          </w:p>
        </w:tc>
        <w:tc>
          <w:tcPr>
            <w:tcW w:w="93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pStyle w:val="BodyText"/>
        <w:spacing w:line="240" w:lineRule="auto" w:before="49"/>
        <w:ind w:right="-20"/>
        <w:jc w:val="left"/>
      </w:pPr>
      <w:r>
        <w:rPr/>
        <w:t>期末单项金额重大并单项计提坏账准备的应收账款：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3" w:space="4536"/>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4"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62,528,818.63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1,875,864.56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3.00%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62,528,818.63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1,875,864.56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951,112.30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95,111.23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274,296.27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82,288.88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161,184.04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80,592.02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6,400.00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62,528,818.63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2,160,256.69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3.38%</w:t>
            </w:r>
          </w:p>
        </w:tc>
      </w:tr>
    </w:tbl>
    <w:p>
      <w:pPr>
        <w:pStyle w:val="BodyText"/>
        <w:spacing w:line="357" w:lineRule="auto" w:before="49"/>
        <w:ind w:right="5454"/>
        <w:jc w:val="left"/>
      </w:pPr>
      <w:r>
        <w:rPr/>
        <w:t>确定该组合依据的说明： 组合中，采用余额百分比法计提坏账准备的应收账款：</w:t>
      </w:r>
    </w:p>
    <w:p>
      <w:pPr>
        <w:pStyle w:val="BodyText"/>
        <w:spacing w:line="338" w:lineRule="auto" w:before="29"/>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spacing w:line="240" w:lineRule="auto" w:before="7"/>
        <w:rPr>
          <w:rFonts w:ascii="宋体" w:hAnsi="宋体" w:cs="宋体" w:eastAsia="宋体" w:hint="default"/>
          <w:sz w:val="21"/>
          <w:szCs w:val="21"/>
        </w:rPr>
      </w:pPr>
    </w:p>
    <w:p>
      <w:pPr>
        <w:pStyle w:val="Heading3"/>
        <w:spacing w:line="240" w:lineRule="auto"/>
        <w:ind w:right="1134"/>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4"/>
        <w:jc w:val="left"/>
      </w:pPr>
      <w:r>
        <w:rPr/>
        <w:t>本期计提坏账准备金额</w:t>
      </w:r>
      <w:r>
        <w:rPr>
          <w:spacing w:val="-46"/>
        </w:rPr>
        <w:t> </w:t>
      </w:r>
      <w:r>
        <w:rPr>
          <w:rFonts w:ascii="Times New Roman" w:hAnsi="Times New Roman" w:cs="Times New Roman" w:eastAsia="Times New Roman" w:hint="default"/>
        </w:rPr>
        <w:t>962,882.79</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w:t>
      </w:r>
    </w:p>
    <w:p>
      <w:pPr>
        <w:spacing w:line="240" w:lineRule="auto" w:before="2"/>
        <w:rPr>
          <w:rFonts w:ascii="宋体" w:hAnsi="宋体" w:cs="宋体" w:eastAsia="宋体" w:hint="default"/>
          <w:sz w:val="26"/>
          <w:szCs w:val="26"/>
        </w:rPr>
      </w:pPr>
    </w:p>
    <w:p>
      <w:pPr>
        <w:pStyle w:val="Heading3"/>
        <w:spacing w:line="240" w:lineRule="auto"/>
        <w:ind w:right="1134"/>
        <w:jc w:val="left"/>
        <w:rPr>
          <w:b w:val="0"/>
          <w:bCs w:val="0"/>
        </w:rPr>
      </w:pP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0"/>
        <w:jc w:val="left"/>
      </w:pPr>
      <w:r>
        <w:rPr/>
        <w:t>本公司本期按欠款方归集的期末余额前五名应收账款汇总金额为</w:t>
      </w:r>
      <w:r>
        <w:rPr>
          <w:rFonts w:ascii="Times New Roman" w:hAnsi="Times New Roman" w:cs="Times New Roman" w:eastAsia="Times New Roman" w:hint="default"/>
        </w:rPr>
        <w:t>42,568,938.92</w:t>
      </w:r>
      <w:r>
        <w:rPr/>
        <w:t>元，占应收账款期末余额合计数的比例为</w:t>
      </w:r>
    </w:p>
    <w:p>
      <w:pPr>
        <w:pStyle w:val="BodyText"/>
        <w:spacing w:line="240" w:lineRule="auto" w:before="63"/>
        <w:ind w:right="1134"/>
        <w:jc w:val="left"/>
      </w:pPr>
      <w:r>
        <w:rPr>
          <w:rFonts w:ascii="Times New Roman" w:hAnsi="Times New Roman" w:cs="Times New Roman" w:eastAsia="Times New Roman" w:hint="default"/>
        </w:rPr>
        <w:t>66.67%</w:t>
      </w:r>
      <w:r>
        <w:rPr/>
        <w:t>，相应计提的坏账准备期末余额汇总金额为</w:t>
      </w:r>
      <w:r>
        <w:rPr>
          <w:rFonts w:ascii="Times New Roman" w:hAnsi="Times New Roman" w:cs="Times New Roman" w:eastAsia="Times New Roman" w:hint="default"/>
        </w:rPr>
        <w:t>1,277,068.17</w:t>
      </w:r>
      <w:r>
        <w:rPr/>
        <w:t>元。</w:t>
      </w:r>
    </w:p>
    <w:p>
      <w:pPr>
        <w:spacing w:line="240" w:lineRule="auto" w:before="2"/>
        <w:rPr>
          <w:rFonts w:ascii="宋体" w:hAnsi="宋体" w:cs="宋体" w:eastAsia="宋体" w:hint="default"/>
          <w:sz w:val="26"/>
          <w:szCs w:val="26"/>
        </w:rPr>
      </w:pPr>
    </w:p>
    <w:p>
      <w:pPr>
        <w:pStyle w:val="Heading3"/>
        <w:spacing w:line="240" w:lineRule="auto"/>
        <w:ind w:right="1134"/>
        <w:jc w:val="left"/>
        <w:rPr>
          <w:b w:val="0"/>
          <w:bCs w:val="0"/>
        </w:rPr>
      </w:pPr>
      <w:r>
        <w:rPr/>
        <w:t>（</w:t>
      </w:r>
      <w:r>
        <w:rPr>
          <w:rFonts w:ascii="Times New Roman" w:hAnsi="Times New Roman" w:cs="Times New Roman" w:eastAsia="Times New Roman" w:hint="default"/>
        </w:rPr>
        <w:t>4</w:t>
      </w:r>
      <w:r>
        <w:rPr/>
        <w:t>）转移应收账款且继续涉入形成的资产、负债金额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4"/>
        <w:jc w:val="left"/>
      </w:pPr>
      <w:r>
        <w:rPr/>
        <w:t>其他说明：</w:t>
      </w:r>
    </w:p>
    <w:p>
      <w:pPr>
        <w:pStyle w:val="BodyText"/>
        <w:spacing w:line="300" w:lineRule="auto" w:before="117"/>
        <w:ind w:right="0" w:firstLine="360"/>
        <w:jc w:val="left"/>
      </w:pPr>
      <w:r>
        <w:rPr>
          <w:spacing w:val="-2"/>
        </w:rPr>
        <w:t>公司贷款余额为限额的应收账款作为质押，与花旗银行（中国）有限公司北京分行于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6</w:t>
      </w:r>
      <w:r>
        <w:rPr>
          <w:spacing w:val="-2"/>
        </w:rPr>
        <w:t>日签订非承诺性短期循</w:t>
      </w:r>
      <w:r>
        <w:rPr/>
        <w:t> 环融资协议，截止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日，花旗银行贷款余额为</w:t>
      </w:r>
      <w:r>
        <w:rPr>
          <w:rFonts w:ascii="Times New Roman" w:hAnsi="Times New Roman" w:cs="Times New Roman" w:eastAsia="Times New Roman" w:hint="default"/>
        </w:rPr>
        <w:t>30,999,908.40</w:t>
      </w:r>
      <w:r>
        <w:rPr/>
        <w:t>元，</w:t>
      </w:r>
      <w:r>
        <w:rPr>
          <w:spacing w:val="-6"/>
        </w:rPr>
        <w:t> </w:t>
      </w:r>
      <w:r>
        <w:rPr/>
        <w:t>公司以相应应收账款作为质押。</w:t>
      </w:r>
    </w:p>
    <w:p>
      <w:pPr>
        <w:spacing w:after="0" w:line="300" w:lineRule="auto"/>
        <w:jc w:val="left"/>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134"/>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4"/>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396"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233,843,</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244.99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175,383.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0.08%</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233,667,8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61.08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138,293</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,108.18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193,472.9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0.14%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138,099,63</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5.19</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233,843,</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244.99</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175,383.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91</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0.08%</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233,667,8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61.08</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138,293</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,108.18</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193,472.9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0.14%</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138,099,63</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5.19</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pStyle w:val="BodyText"/>
        <w:spacing w:line="240" w:lineRule="auto" w:before="49"/>
        <w:ind w:right="-20"/>
        <w:jc w:val="left"/>
      </w:pP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473" w:space="4356"/>
            <w:col w:w="1121"/>
          </w:cols>
        </w:sectPr>
      </w:pP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1,812,513.75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54,375.41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1,812,513.75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54,375.41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26,590.00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2,659.00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8,000.00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w w:val="95"/>
                <w:sz w:val="18"/>
              </w:rPr>
              <w:t>6,400.00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70,949.50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70,949.50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2,048,053.25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175,383.91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8.56%</w:t>
            </w:r>
          </w:p>
        </w:tc>
      </w:tr>
    </w:tbl>
    <w:p>
      <w:pPr>
        <w:pStyle w:val="BodyText"/>
        <w:spacing w:line="357" w:lineRule="auto" w:before="49"/>
        <w:ind w:right="5274"/>
        <w:jc w:val="left"/>
      </w:pPr>
      <w:r>
        <w:rPr/>
        <w:t>确定该组合依据的说明： 组合中，采用余额百分比法计提坏账准备的其他应收款：</w:t>
      </w:r>
    </w:p>
    <w:p>
      <w:pPr>
        <w:pStyle w:val="BodyText"/>
        <w:spacing w:line="340" w:lineRule="auto" w:before="29"/>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340" w:lineRule="auto" w:before="39"/>
        <w:ind w:left="513" w:right="0"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1"/>
        </w:rPr>
        <w:t>截止</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日，按照款项性质组合余额</w:t>
      </w:r>
      <w:r>
        <w:rPr>
          <w:rFonts w:ascii="Times New Roman" w:hAnsi="Times New Roman" w:cs="Times New Roman" w:eastAsia="Times New Roman" w:hint="default"/>
          <w:spacing w:val="-1"/>
        </w:rPr>
        <w:t>31,795,191.74</w:t>
      </w:r>
      <w:r>
        <w:rPr>
          <w:spacing w:val="-1"/>
        </w:rPr>
        <w:t>元，为意向保证金、员工备用金、子公司往来款，经过减值</w:t>
      </w:r>
    </w:p>
    <w:p>
      <w:pPr>
        <w:pStyle w:val="BodyText"/>
        <w:spacing w:line="215" w:lineRule="exact"/>
        <w:ind w:right="1134"/>
        <w:jc w:val="left"/>
      </w:pPr>
      <w:r>
        <w:rPr/>
        <w:t>测试未发生减值迹象，不计提坏账准备。</w:t>
      </w:r>
    </w:p>
    <w:p>
      <w:pPr>
        <w:spacing w:after="0" w:line="215" w:lineRule="exact"/>
        <w:jc w:val="left"/>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91"/>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91"/>
        <w:jc w:val="left"/>
      </w:pPr>
      <w:r>
        <w:rPr/>
        <w:t>本期计提坏账准备金额</w:t>
      </w:r>
      <w:r>
        <w:rPr>
          <w:rFonts w:ascii="Times New Roman" w:hAnsi="Times New Roman" w:cs="Times New Roman" w:eastAsia="Times New Roman" w:hint="default"/>
        </w:rPr>
        <w:t>-18,089.08 </w:t>
      </w:r>
      <w:r>
        <w:rPr/>
        <w:t>元；本期收回或转回坏账准备金额</w:t>
      </w:r>
      <w:r>
        <w:rPr>
          <w:spacing w:val="-46"/>
        </w:rPr>
        <w:t> </w:t>
      </w:r>
      <w:r>
        <w:rPr>
          <w:rFonts w:ascii="Times New Roman" w:hAnsi="Times New Roman" w:cs="Times New Roman" w:eastAsia="Times New Roman" w:hint="default"/>
        </w:rPr>
        <w:t>0.00 </w:t>
      </w:r>
      <w:r>
        <w:rPr/>
        <w:t>元。</w:t>
      </w:r>
    </w:p>
    <w:p>
      <w:pPr>
        <w:spacing w:line="240" w:lineRule="auto" w:before="13"/>
        <w:rPr>
          <w:rFonts w:ascii="宋体" w:hAnsi="宋体" w:cs="宋体" w:eastAsia="宋体" w:hint="default"/>
          <w:sz w:val="25"/>
          <w:szCs w:val="25"/>
        </w:rPr>
      </w:pPr>
    </w:p>
    <w:p>
      <w:pPr>
        <w:pStyle w:val="Heading3"/>
        <w:spacing w:line="240" w:lineRule="auto"/>
        <w:ind w:right="191"/>
        <w:jc w:val="left"/>
        <w:rPr>
          <w:b w:val="0"/>
          <w:bCs w:val="0"/>
        </w:rPr>
      </w:pP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172,469.60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71,811.00</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82,970,105.03</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2,137,421.65</w:t>
            </w:r>
          </w:p>
        </w:tc>
      </w:tr>
      <w:tr>
        <w:trPr>
          <w:trHeight w:val="404"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150,700,670.36</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136,083,875.53</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233,843,244.99</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138,293,108.18</w:t>
            </w:r>
          </w:p>
        </w:tc>
      </w:tr>
    </w:tbl>
    <w:p>
      <w:pPr>
        <w:spacing w:line="240" w:lineRule="auto" w:before="3"/>
        <w:rPr>
          <w:rFonts w:ascii="宋体" w:hAnsi="宋体" w:cs="宋体" w:eastAsia="宋体" w:hint="default"/>
          <w:sz w:val="19"/>
          <w:szCs w:val="19"/>
        </w:rPr>
      </w:pPr>
    </w:p>
    <w:p>
      <w:pPr>
        <w:pStyle w:val="Heading3"/>
        <w:spacing w:line="240" w:lineRule="auto" w:before="36"/>
        <w:ind w:right="191"/>
        <w:jc w:val="left"/>
        <w:rPr>
          <w:b w:val="0"/>
          <w:bCs w:val="0"/>
        </w:rPr>
      </w:pP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6"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光环云谷科技有限公 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130,588,583.74</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55.84%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德信无线通讯科技</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意向保证金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66,094,521.38</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28.26%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光环新网（上海）信 息服务有限公司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17,883,461.12</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7.65%</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远东宏信（天津）融 资租赁有限公司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融资租赁保证金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北京德信致远科技有 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2,228,625.50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0.95%</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231,795,191.74</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99.12%</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91"/>
        <w:jc w:val="left"/>
        <w:rPr>
          <w:b w:val="0"/>
          <w:bCs w:val="0"/>
        </w:rPr>
      </w:pPr>
      <w:r>
        <w:rPr/>
        <w:t>（</w:t>
      </w:r>
      <w:r>
        <w:rPr>
          <w:rFonts w:ascii="Times New Roman" w:hAnsi="Times New Roman" w:cs="Times New Roman" w:eastAsia="Times New Roman" w:hint="default"/>
        </w:rPr>
        <w:t>5</w:t>
      </w:r>
      <w:r>
        <w:rPr/>
        <w:t>）转移其他应收款且继续涉入形成的资产、负债金额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91"/>
        <w:jc w:val="left"/>
      </w:pPr>
      <w:r>
        <w:rPr/>
        <w:t>其他说明：</w:t>
      </w:r>
    </w:p>
    <w:p>
      <w:pPr>
        <w:pStyle w:val="BodyText"/>
        <w:spacing w:line="300" w:lineRule="auto" w:before="115"/>
        <w:ind w:right="0" w:firstLine="360"/>
        <w:jc w:val="left"/>
      </w:pPr>
      <w:r>
        <w:rPr>
          <w:spacing w:val="-2"/>
        </w:rPr>
        <w:t>公司意向收购德信无线通讯科技</w:t>
      </w:r>
      <w:r>
        <w:rPr>
          <w:rFonts w:ascii="Times New Roman" w:hAnsi="Times New Roman" w:cs="Times New Roman" w:eastAsia="Times New Roman" w:hint="default"/>
          <w:spacing w:val="-2"/>
        </w:rPr>
        <w:t>(</w:t>
      </w:r>
      <w:r>
        <w:rPr>
          <w:spacing w:val="-2"/>
        </w:rPr>
        <w:t>北京</w:t>
      </w:r>
      <w:r>
        <w:rPr>
          <w:rFonts w:ascii="Times New Roman" w:hAnsi="Times New Roman" w:cs="Times New Roman" w:eastAsia="Times New Roman" w:hint="default"/>
          <w:spacing w:val="-2"/>
        </w:rPr>
        <w:t>)</w:t>
      </w:r>
      <w:r>
        <w:rPr>
          <w:spacing w:val="-2"/>
        </w:rPr>
        <w:t>有限公司全资子公司北京亚逊新网科技有限公司</w:t>
      </w:r>
      <w:r>
        <w:rPr>
          <w:rFonts w:ascii="Times New Roman" w:hAnsi="Times New Roman" w:cs="Times New Roman" w:eastAsia="Times New Roman" w:hint="default"/>
          <w:spacing w:val="-2"/>
        </w:rPr>
        <w:t>100%</w:t>
      </w:r>
      <w:r>
        <w:rPr>
          <w:spacing w:val="-2"/>
        </w:rPr>
        <w:t>股权，为保证交易顺利进行，</w:t>
      </w:r>
      <w:r>
        <w:rPr/>
        <w:t> 支付意向保证金</w:t>
      </w:r>
      <w:r>
        <w:rPr>
          <w:rFonts w:ascii="Times New Roman" w:hAnsi="Times New Roman" w:cs="Times New Roman" w:eastAsia="Times New Roman" w:hint="default"/>
        </w:rPr>
        <w:t>66,094,521.38</w:t>
      </w:r>
      <w:r>
        <w:rPr/>
        <w:t>元，该股权交易事项尚需董事会批准。</w:t>
      </w:r>
    </w:p>
    <w:p>
      <w:pPr>
        <w:spacing w:line="240" w:lineRule="auto" w:before="4"/>
        <w:rPr>
          <w:rFonts w:ascii="宋体" w:hAnsi="宋体" w:cs="宋体" w:eastAsia="宋体" w:hint="default"/>
          <w:sz w:val="22"/>
          <w:szCs w:val="22"/>
        </w:rPr>
      </w:pPr>
    </w:p>
    <w:p>
      <w:pPr>
        <w:pStyle w:val="Heading3"/>
        <w:spacing w:line="240" w:lineRule="auto"/>
        <w:ind w:right="191"/>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29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4103"/>
        <w:gridCol w:w="4091"/>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84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8"/>
        <w:gridCol w:w="1366"/>
        <w:gridCol w:w="1368"/>
        <w:gridCol w:w="1366"/>
        <w:gridCol w:w="1368"/>
      </w:tblGrid>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390,537,702.50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390,537,702.50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185,411,227.50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185,411,227.50</w:t>
            </w:r>
          </w:p>
        </w:tc>
      </w:tr>
      <w:tr>
        <w:trPr>
          <w:trHeight w:val="71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3"/>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2,194,188.46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811,046.07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1,383,142.39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811,046.07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811,046.07</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392,731,890.96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811,046.07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391,920,844.89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186,222,273.57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811,046.07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185,411,227.50</w:t>
            </w:r>
          </w:p>
        </w:tc>
      </w:tr>
    </w:tbl>
    <w:p>
      <w:pPr>
        <w:spacing w:line="240" w:lineRule="auto" w:before="3"/>
        <w:rPr>
          <w:rFonts w:ascii="宋体" w:hAnsi="宋体" w:cs="宋体" w:eastAsia="宋体" w:hint="default"/>
          <w:sz w:val="19"/>
          <w:szCs w:val="19"/>
        </w:rPr>
      </w:pPr>
    </w:p>
    <w:p>
      <w:pPr>
        <w:pStyle w:val="Heading3"/>
        <w:spacing w:line="240" w:lineRule="auto" w:before="36"/>
        <w:ind w:right="1134"/>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4"/>
        <w:gridCol w:w="1335"/>
        <w:gridCol w:w="1334"/>
        <w:gridCol w:w="1390"/>
        <w:gridCol w:w="1390"/>
      </w:tblGrid>
      <w:tr>
        <w:trPr>
          <w:trHeight w:val="715"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99" w:right="58"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99"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光环云谷科技有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51,800,000.00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51,800,000.00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西安博凯创达数 字技术有限公司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北京瑞科新网科 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38,301,227.50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38,301,227.50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北京光环金网科 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7"/>
              <w:jc w:val="left"/>
              <w:rPr>
                <w:rFonts w:ascii="宋体" w:hAnsi="宋体" w:cs="宋体" w:eastAsia="宋体" w:hint="default"/>
                <w:sz w:val="18"/>
                <w:szCs w:val="18"/>
              </w:rPr>
            </w:pPr>
            <w:r>
              <w:rPr>
                <w:rFonts w:ascii="宋体" w:hAnsi="宋体" w:cs="宋体" w:eastAsia="宋体" w:hint="default"/>
                <w:sz w:val="18"/>
                <w:szCs w:val="18"/>
              </w:rPr>
              <w:t>光环新网（上海） 信息服务有限公</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93,800,000.00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93,800,000.00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北京德信致远科 技有限公司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136,426,475.00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136,426,475.00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北京科信盛彩置 业有限公司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68,700,000.00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68,700,000.00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185,411,227.50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205,126,475.00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390,537,702.50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4"/>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403"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1"/>
              <w:ind w:left="22" w:right="41"/>
              <w:jc w:val="left"/>
              <w:rPr>
                <w:rFonts w:ascii="宋体" w:hAnsi="宋体" w:cs="宋体" w:eastAsia="宋体" w:hint="default"/>
                <w:sz w:val="18"/>
                <w:szCs w:val="18"/>
              </w:rPr>
            </w:pPr>
            <w:r>
              <w:rPr>
                <w:rFonts w:ascii="宋体" w:hAnsi="宋体" w:cs="宋体" w:eastAsia="宋体" w:hint="default"/>
                <w:sz w:val="18"/>
                <w:szCs w:val="18"/>
              </w:rPr>
              <w:t>北京长城 光环宽带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w w:val="95"/>
                <w:sz w:val="18"/>
              </w:rPr>
              <w:t>811,046.0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811,046.0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811,046.0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67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41"/>
              <w:jc w:val="left"/>
              <w:rPr>
                <w:rFonts w:ascii="宋体" w:hAnsi="宋体" w:cs="宋体" w:eastAsia="宋体" w:hint="default"/>
                <w:sz w:val="18"/>
                <w:szCs w:val="18"/>
              </w:rPr>
            </w:pPr>
            <w:r>
              <w:rPr>
                <w:rFonts w:ascii="宋体" w:hAnsi="宋体" w:cs="宋体" w:eastAsia="宋体" w:hint="default"/>
                <w:sz w:val="18"/>
                <w:szCs w:val="18"/>
              </w:rPr>
              <w:t>网络技术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北京华爱 光环科技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-116,857.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1,383,142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w w:val="95"/>
                <w:sz w:val="18"/>
              </w:rPr>
              <w:t>811,046.0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-116,857.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2,194,188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811,046.0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w w:val="95"/>
                <w:sz w:val="18"/>
              </w:rPr>
              <w:t>811,046.0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-116,857.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2,194,188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811,046.0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bl>
    <w:p>
      <w:pPr>
        <w:spacing w:line="240" w:lineRule="auto" w:before="3"/>
        <w:rPr>
          <w:rFonts w:ascii="宋体" w:hAnsi="宋体" w:cs="宋体" w:eastAsia="宋体" w:hint="default"/>
          <w:sz w:val="19"/>
          <w:szCs w:val="19"/>
        </w:rPr>
      </w:pPr>
    </w:p>
    <w:p>
      <w:pPr>
        <w:spacing w:line="547" w:lineRule="auto" w:before="36"/>
        <w:ind w:left="152" w:right="158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）其他说明</w:t>
      </w:r>
      <w:r>
        <w:rPr>
          <w:rFonts w:ascii="宋体" w:hAnsi="宋体" w:cs="宋体" w:eastAsia="宋体" w:hint="default"/>
          <w:b/>
          <w:bCs/>
          <w:w w:val="100"/>
          <w:sz w:val="21"/>
          <w:szCs w:val="21"/>
        </w:rPr>
        <w:t> </w:t>
      </w:r>
      <w:r>
        <w:rPr>
          <w:rFonts w:ascii="宋体" w:hAnsi="宋体" w:cs="宋体" w:eastAsia="宋体" w:hint="default"/>
          <w:sz w:val="18"/>
          <w:szCs w:val="18"/>
        </w:rPr>
        <w:t>北京长城光环宽带网络技术有限公司于</w:t>
      </w: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月已经开始清算，在</w:t>
      </w:r>
      <w:r>
        <w:rPr>
          <w:rFonts w:ascii="Times New Roman" w:hAnsi="Times New Roman" w:cs="Times New Roman" w:eastAsia="Times New Roman" w:hint="default"/>
          <w:sz w:val="18"/>
          <w:szCs w:val="18"/>
        </w:rPr>
        <w:t>2013</w:t>
      </w:r>
      <w:r>
        <w:rPr>
          <w:rFonts w:ascii="宋体" w:hAnsi="宋体" w:cs="宋体" w:eastAsia="宋体" w:hint="default"/>
          <w:sz w:val="18"/>
          <w:szCs w:val="18"/>
        </w:rPr>
        <w:t>年以前已经全额计提减值准备。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pStyle w:val="BodyText"/>
        <w:spacing w:line="240" w:lineRule="auto" w:before="46"/>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6"/>
        <w:gridCol w:w="1835"/>
        <w:gridCol w:w="1913"/>
        <w:gridCol w:w="1913"/>
        <w:gridCol w:w="1916"/>
      </w:tblGrid>
      <w:tr>
        <w:trPr>
          <w:trHeight w:val="206" w:hRule="exact"/>
        </w:trPr>
        <w:tc>
          <w:tcPr>
            <w:tcW w:w="19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96"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502,580,449.85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341,892,086.18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382,317,995.39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212,463,917.22</w:t>
            </w: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502,580,449.85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341,892,086.18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382,317,995.39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212,463,917.22</w:t>
            </w:r>
          </w:p>
        </w:tc>
      </w:tr>
    </w:tbl>
    <w:p>
      <w:pPr>
        <w:spacing w:line="240" w:lineRule="auto" w:before="3"/>
        <w:rPr>
          <w:rFonts w:ascii="宋体" w:hAnsi="宋体" w:cs="宋体" w:eastAsia="宋体" w:hint="default"/>
          <w:sz w:val="19"/>
          <w:szCs w:val="19"/>
        </w:rPr>
      </w:pPr>
    </w:p>
    <w:p>
      <w:pPr>
        <w:pStyle w:val="Heading3"/>
        <w:spacing w:line="240" w:lineRule="auto" w:before="36"/>
        <w:ind w:right="1134"/>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-116,857.61</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60" w:type="dxa"/>
            <w:tcBorders>
              <w:top w:val="single" w:sz="4" w:space="0" w:color="000000"/>
              <w:left w:val="single" w:sz="9"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9,844,154.47</w:t>
            </w:r>
          </w:p>
        </w:tc>
      </w:tr>
      <w:tr>
        <w:trPr>
          <w:trHeight w:val="404"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623,679.70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506,822.09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9,844,154.47</w:t>
            </w:r>
          </w:p>
        </w:tc>
      </w:tr>
    </w:tbl>
    <w:p>
      <w:pPr>
        <w:spacing w:line="240" w:lineRule="auto" w:before="1"/>
        <w:rPr>
          <w:rFonts w:ascii="宋体" w:hAnsi="宋体" w:cs="宋体" w:eastAsia="宋体" w:hint="default"/>
          <w:sz w:val="18"/>
          <w:szCs w:val="18"/>
        </w:rPr>
      </w:pPr>
    </w:p>
    <w:p>
      <w:pPr>
        <w:pStyle w:val="Heading2"/>
        <w:spacing w:line="240" w:lineRule="auto" w:before="26"/>
        <w:ind w:right="1134"/>
        <w:jc w:val="left"/>
        <w:rPr>
          <w:b w:val="0"/>
          <w:bCs w:val="0"/>
        </w:rPr>
      </w:pPr>
      <w:r>
        <w:rPr/>
        <w:t>十四、补充资料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4"/>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-186.69</w:t>
            </w:r>
          </w:p>
        </w:tc>
        <w:tc>
          <w:tcPr>
            <w:tcW w:w="31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85"/>
      </w:tblGrid>
      <w:tr>
        <w:trPr>
          <w:trHeight w:val="1025"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4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21,959,000.00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3,278,822.00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18,679,991.31</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0"/>
        <w:ind w:right="13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1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3"/>
        <w:spacing w:line="240" w:lineRule="auto"/>
        <w:ind w:right="1134"/>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62"/>
        <w:gridCol w:w="3083"/>
        <w:gridCol w:w="1913"/>
        <w:gridCol w:w="1913"/>
      </w:tblGrid>
      <w:tr>
        <w:trPr>
          <w:trHeight w:val="204"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3"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0.21</w:t>
            </w:r>
          </w:p>
        </w:tc>
      </w:tr>
      <w:tr>
        <w:trPr>
          <w:trHeight w:val="715"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0.17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3285" w:right="1134"/>
        <w:jc w:val="left"/>
        <w:rPr>
          <w:b w:val="0"/>
          <w:bCs w:val="0"/>
        </w:rPr>
      </w:pPr>
      <w:bookmarkStart w:name="_TOC_250000" w:id="11"/>
      <w:r>
        <w:rPr/>
        <w:t>第十一节</w:t>
      </w:r>
      <w:r>
        <w:rPr>
          <w:spacing w:val="-6"/>
        </w:rPr>
        <w:t> </w:t>
      </w:r>
      <w:r>
        <w:rPr/>
        <w:t>备查文件目录</w:t>
      </w:r>
      <w:bookmarkEnd w:id="11"/>
      <w:r>
        <w:rPr>
          <w:b w:val="0"/>
          <w:bCs w:val="0"/>
        </w:rPr>
      </w:r>
    </w:p>
    <w:p>
      <w:pPr>
        <w:spacing w:line="240" w:lineRule="auto" w:before="9"/>
        <w:rPr>
          <w:rFonts w:ascii="宋体" w:hAnsi="宋体" w:cs="宋体" w:eastAsia="宋体" w:hint="default"/>
          <w:b/>
          <w:bCs/>
          <w:sz w:val="42"/>
          <w:szCs w:val="42"/>
        </w:rPr>
      </w:pPr>
    </w:p>
    <w:p>
      <w:pPr>
        <w:pStyle w:val="BodyText"/>
        <w:spacing w:line="316" w:lineRule="auto"/>
        <w:ind w:right="149"/>
        <w:jc w:val="left"/>
      </w:pPr>
      <w:r>
        <w:rPr>
          <w:spacing w:val="-5"/>
        </w:rPr>
        <w:t>一、载有法定代表人耿殿根先生、主管会计工作负责人张利军先生、会计机构负责人张利军先生签名并盖章的财务报告文本；</w:t>
      </w:r>
      <w:r>
        <w:rPr>
          <w:spacing w:val="-76"/>
        </w:rPr>
        <w:t> </w:t>
      </w:r>
      <w:r>
        <w:rPr>
          <w:spacing w:val="-76"/>
        </w:rPr>
      </w:r>
      <w:r>
        <w:rPr/>
        <w:t>二、载有会计师事务所盖章、注册会计师签名并盖章的审计报告原件； 三、经公司法定代表人耿殿根先生签名的</w:t>
      </w:r>
      <w:r>
        <w:rPr>
          <w:rFonts w:ascii="Times New Roman" w:hAnsi="Times New Roman" w:cs="Times New Roman" w:eastAsia="Times New Roman" w:hint="default"/>
        </w:rPr>
        <w:t>2015</w:t>
      </w:r>
      <w:r>
        <w:rPr/>
        <w:t>年年度报告文件原件。</w:t>
      </w:r>
    </w:p>
    <w:p>
      <w:pPr>
        <w:pStyle w:val="BodyText"/>
        <w:spacing w:line="235" w:lineRule="exact"/>
        <w:ind w:right="1134"/>
        <w:jc w:val="left"/>
      </w:pPr>
      <w:r>
        <w:rPr/>
        <w:t>以上备查文件的备置地点：公司证券部。</w:t>
      </w:r>
    </w:p>
    <w:sectPr>
      <w:pgSz w:w="11910" w:h="16840"/>
      <w:pgMar w:header="745" w:footer="979" w:top="106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MS Gothic">
    <w:altName w:val="MS Gothic"/>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099976pt;margin-top:795.637939pt;width:6.5pt;height:11pt;mso-position-horizontal-relative:page;mso-position-vertical-relative:page;z-index:-159378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1.957947pt;width:15.7pt;height:11pt;mso-position-horizontal-relative:page;mso-position-vertical-relative:page;z-index:-159356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15935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202</w:t>
                </w:r>
                <w:r>
                  <w:rPr/>
                  <w:fldChar w:fldCharType="end"/>
                </w:r>
                <w:r>
                  <w:rPr>
                    <w:rFonts w:ascii="Times New Roman"/>
                    <w:spacing w:val="1"/>
                  </w:rPr>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15937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1.957947pt;width:15.7pt;height:11pt;mso-position-horizontal-relative:page;mso-position-vertical-relative:page;z-index:-159373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15937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1.957947pt;width:17.3pt;height:11pt;mso-position-horizontal-relative:page;mso-position-vertical-relative:page;z-index:-15936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15936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15936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124</w:t>
                </w:r>
                <w:r>
                  <w:rPr/>
                  <w:fldChar w:fldCharType="end"/>
                </w:r>
                <w:r>
                  <w:rPr>
                    <w:rFonts w:ascii="Times New Roman"/>
                    <w:spacing w:val="1"/>
                  </w:rPr>
                </w:r>
                <w:r>
                  <w:rPr>
                    <w:rFonts w:ascii="Times New Roman"/>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15936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125</w:t>
                </w:r>
                <w:r>
                  <w:rPr/>
                  <w:fldChar w:fldCharType="end"/>
                </w:r>
                <w:r>
                  <w:rPr>
                    <w:rFonts w:ascii="Times New Roman"/>
                    <w:spacing w:val="1"/>
                  </w:rPr>
                </w:r>
                <w:r>
                  <w:rPr>
                    <w:rFonts w:ascii="Times New Roman"/>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15935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193</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070007pt;margin-top:36.265610pt;width:213.75pt;height:11.5pt;mso-position-horizontal-relative:page;mso-position-vertical-relative:page;z-index:-1593808" type="#_x0000_t202" filled="false" stroked="false">
          <v:textbox inset="0,0,0,0">
            <w:txbxContent>
              <w:p>
                <w:pPr>
                  <w:pStyle w:val="BodyText"/>
                  <w:spacing w:line="214" w:lineRule="exact"/>
                  <w:ind w:left="20" w:right="0"/>
                  <w:jc w:val="left"/>
                </w:pPr>
                <w:r>
                  <w:rPr/>
                  <w:t>北京光环新网科技股份有限公司</w:t>
                </w:r>
                <w:r>
                  <w:rPr>
                    <w:spacing w:val="-4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3429"/>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sinnet.com.cn/" TargetMode="External"/><Relationship Id="rId10" Type="http://schemas.openxmlformats.org/officeDocument/2006/relationships/hyperlink" Target="mailto:i_r@sinnet.com.cn" TargetMode="External"/><Relationship Id="rId11" Type="http://schemas.openxmlformats.org/officeDocument/2006/relationships/hyperlink" Target="http://www.cninfo.com.cn/" TargetMode="External"/><Relationship Id="rId12"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footer" Target="footer3.xml"/><Relationship Id="rId20" Type="http://schemas.openxmlformats.org/officeDocument/2006/relationships/footer" Target="footer4.xml"/><Relationship Id="rId21" Type="http://schemas.openxmlformats.org/officeDocument/2006/relationships/hyperlink" Target="http://www.cninfo.co/" TargetMode="External"/><Relationship Id="rId22" Type="http://schemas.openxmlformats.org/officeDocument/2006/relationships/footer" Target="footer5.xml"/><Relationship Id="rId23" Type="http://schemas.openxmlformats.org/officeDocument/2006/relationships/footer" Target="footer6.xml"/><Relationship Id="rId24" Type="http://schemas.openxmlformats.org/officeDocument/2006/relationships/image" Target="media/image9.jpeg"/><Relationship Id="rId25" Type="http://schemas.openxmlformats.org/officeDocument/2006/relationships/footer" Target="footer7.xml"/><Relationship Id="rId26" Type="http://schemas.openxmlformats.org/officeDocument/2006/relationships/footer" Target="footer8.xml"/><Relationship Id="rId27" Type="http://schemas.openxmlformats.org/officeDocument/2006/relationships/image" Target="media/image10.png"/><Relationship Id="rId28" Type="http://schemas.openxmlformats.org/officeDocument/2006/relationships/footer" Target="footer9.xml"/><Relationship Id="rId29" Type="http://schemas.openxmlformats.org/officeDocument/2006/relationships/footer" Target="footer10.xml"/><Relationship Id="rId30"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北京光环新网科技股份有限公司</dc:creator>
  <dc:title>北京光环新网科技股份有限公司2015年年度报告全文</dc:title>
  <dcterms:created xsi:type="dcterms:W3CDTF">2020-05-04T16:52:41Z</dcterms:created>
  <dcterms:modified xsi:type="dcterms:W3CDTF">2020-05-04T16:52:41Z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2016-03-14T00:00:00Z</vt:filetime>
  </property>
  <property fmtid="{D5CDD505-2E9C-101B-9397-08002B2CF9AE}" pid="3" name="Creator">
    <vt:lpwstr>Microsoft® Office Word 2007</vt:lpwstr>
  </property>
  <property fmtid="{D5CDD505-2E9C-101B-9397-08002B2CF9AE}" pid="4" name="LastSaved">
    <vt:filetime>2020-05-04T00:00:00Z</vt:filetime>
  </property>
</Properties>
</file>