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4"/>
          <w:szCs w:val="14"/>
        </w:rPr>
      </w:pPr>
    </w:p>
    <w:p>
      <w:pPr>
        <w:spacing w:line="3247" w:lineRule="exact"/>
        <w:ind w:left="383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4"/>
          <w:sz w:val="20"/>
          <w:szCs w:val="20"/>
        </w:rPr>
        <w:drawing>
          <wp:inline distT="0" distB="0" distL="0" distR="0">
            <wp:extent cx="1460924" cy="206197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460924" cy="2061972"/>
                    </a:xfrm>
                    <a:prstGeom prst="rect">
                      <a:avLst/>
                    </a:prstGeom>
                  </pic:spPr>
                </pic:pic>
              </a:graphicData>
            </a:graphic>
          </wp:inline>
        </w:drawing>
      </w:r>
      <w:r>
        <w:rPr>
          <w:rFonts w:ascii="Times New Roman" w:hAnsi="Times New Roman" w:cs="Times New Roman" w:eastAsia="Times New Roman" w:hint="default"/>
          <w:position w:val="-64"/>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p>
      <w:pPr>
        <w:spacing w:line="621" w:lineRule="exact" w:before="0"/>
        <w:ind w:left="0" w:right="0" w:firstLine="0"/>
        <w:jc w:val="center"/>
        <w:rPr>
          <w:rFonts w:ascii="黑体" w:hAnsi="黑体" w:cs="黑体" w:eastAsia="黑体" w:hint="default"/>
          <w:sz w:val="52"/>
          <w:szCs w:val="52"/>
        </w:rPr>
      </w:pPr>
      <w:r>
        <w:rPr>
          <w:rFonts w:ascii="黑体" w:hAnsi="黑体" w:cs="黑体" w:eastAsia="黑体" w:hint="default"/>
          <w:sz w:val="52"/>
          <w:szCs w:val="52"/>
        </w:rPr>
        <w:t>北京光环新网科技股份有限公司</w:t>
      </w:r>
    </w:p>
    <w:p>
      <w:pPr>
        <w:spacing w:before="35"/>
        <w:ind w:left="0" w:right="0" w:firstLine="0"/>
        <w:jc w:val="center"/>
        <w:rPr>
          <w:rFonts w:ascii="黑体" w:hAnsi="黑体" w:cs="黑体" w:eastAsia="黑体" w:hint="default"/>
          <w:sz w:val="52"/>
          <w:szCs w:val="52"/>
        </w:rPr>
      </w:pPr>
      <w:r>
        <w:rPr>
          <w:rFonts w:ascii="黑体" w:hAnsi="黑体" w:cs="黑体" w:eastAsia="黑体" w:hint="default"/>
          <w:sz w:val="52"/>
          <w:szCs w:val="52"/>
        </w:rPr>
        <w:t>2017</w:t>
      </w:r>
      <w:r>
        <w:rPr>
          <w:rFonts w:ascii="黑体" w:hAnsi="黑体" w:cs="黑体" w:eastAsia="黑体" w:hint="default"/>
          <w:spacing w:val="-129"/>
          <w:sz w:val="52"/>
          <w:szCs w:val="52"/>
        </w:rPr>
        <w:t> </w:t>
      </w:r>
      <w:r>
        <w:rPr>
          <w:rFonts w:ascii="黑体" w:hAnsi="黑体" w:cs="黑体" w:eastAsia="黑体" w:hint="default"/>
          <w:sz w:val="52"/>
          <w:szCs w:val="52"/>
        </w:rPr>
        <w:t>年年度报告</w:t>
      </w: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12"/>
        <w:rPr>
          <w:rFonts w:ascii="黑体" w:hAnsi="黑体" w:cs="黑体" w:eastAsia="黑体" w:hint="default"/>
          <w:sz w:val="52"/>
          <w:szCs w:val="52"/>
        </w:rPr>
      </w:pPr>
    </w:p>
    <w:p>
      <w:pPr>
        <w:spacing w:line="316" w:lineRule="auto" w:before="0"/>
        <w:ind w:left="3516" w:right="2839" w:firstLine="0"/>
        <w:jc w:val="left"/>
        <w:rPr>
          <w:rFonts w:ascii="宋体" w:hAnsi="宋体" w:cs="宋体" w:eastAsia="宋体" w:hint="default"/>
          <w:sz w:val="28"/>
          <w:szCs w:val="28"/>
        </w:rPr>
      </w:pPr>
      <w:r>
        <w:rPr>
          <w:rFonts w:ascii="宋体" w:hAnsi="宋体" w:cs="宋体" w:eastAsia="宋体" w:hint="default"/>
          <w:b/>
          <w:bCs/>
          <w:sz w:val="28"/>
          <w:szCs w:val="28"/>
        </w:rPr>
        <w:t>证券代码：</w:t>
      </w:r>
      <w:r>
        <w:rPr>
          <w:rFonts w:ascii="宋体" w:hAnsi="宋体" w:cs="宋体" w:eastAsia="宋体" w:hint="default"/>
          <w:b/>
          <w:bCs/>
          <w:sz w:val="28"/>
          <w:szCs w:val="28"/>
        </w:rPr>
        <w:t>300383</w:t>
      </w:r>
      <w:r>
        <w:rPr>
          <w:rFonts w:ascii="宋体" w:hAnsi="宋体" w:cs="宋体" w:eastAsia="宋体" w:hint="default"/>
          <w:b/>
          <w:bCs/>
          <w:w w:val="99"/>
          <w:sz w:val="28"/>
          <w:szCs w:val="28"/>
        </w:rPr>
        <w:t> </w:t>
      </w:r>
      <w:r>
        <w:rPr>
          <w:rFonts w:ascii="宋体" w:hAnsi="宋体" w:cs="宋体" w:eastAsia="宋体" w:hint="default"/>
          <w:b/>
          <w:bCs/>
          <w:sz w:val="28"/>
          <w:szCs w:val="28"/>
        </w:rPr>
        <w:t>证券简称：光环新网</w:t>
      </w:r>
      <w:r>
        <w:rPr>
          <w:rFonts w:ascii="宋体" w:hAnsi="宋体" w:cs="宋体" w:eastAsia="宋体" w:hint="default"/>
          <w:b/>
          <w:bCs/>
          <w:w w:val="99"/>
          <w:sz w:val="28"/>
          <w:szCs w:val="28"/>
        </w:rPr>
        <w:t> </w:t>
      </w:r>
      <w:r>
        <w:rPr>
          <w:rFonts w:ascii="宋体" w:hAnsi="宋体" w:cs="宋体" w:eastAsia="宋体" w:hint="default"/>
          <w:b/>
          <w:bCs/>
          <w:sz w:val="28"/>
          <w:szCs w:val="28"/>
        </w:rPr>
        <w:t>公告编号：</w:t>
      </w:r>
      <w:r>
        <w:rPr>
          <w:rFonts w:ascii="宋体" w:hAnsi="宋体" w:cs="宋体" w:eastAsia="宋体" w:hint="default"/>
          <w:b/>
          <w:bCs/>
          <w:sz w:val="28"/>
          <w:szCs w:val="28"/>
        </w:rPr>
        <w:t>2018-023</w:t>
      </w:r>
      <w:r>
        <w:rPr>
          <w:rFonts w:ascii="宋体" w:hAnsi="宋体" w:cs="宋体" w:eastAsia="宋体" w:hint="default"/>
          <w:b/>
          <w:bCs/>
          <w:w w:val="99"/>
          <w:sz w:val="28"/>
          <w:szCs w:val="28"/>
        </w:rPr>
        <w:t> </w:t>
      </w:r>
      <w:r>
        <w:rPr>
          <w:rFonts w:ascii="宋体" w:hAnsi="宋体" w:cs="宋体" w:eastAsia="宋体" w:hint="default"/>
          <w:b/>
          <w:bCs/>
          <w:sz w:val="28"/>
          <w:szCs w:val="28"/>
        </w:rPr>
        <w:t>公告日期：</w:t>
      </w:r>
      <w:r>
        <w:rPr>
          <w:rFonts w:ascii="宋体" w:hAnsi="宋体" w:cs="宋体" w:eastAsia="宋体" w:hint="default"/>
          <w:b/>
          <w:bCs/>
          <w:sz w:val="28"/>
          <w:szCs w:val="28"/>
        </w:rPr>
        <w:t>2018</w:t>
      </w:r>
      <w:r>
        <w:rPr>
          <w:rFonts w:ascii="宋体" w:hAnsi="宋体" w:cs="宋体" w:eastAsia="宋体" w:hint="default"/>
          <w:b/>
          <w:bCs/>
          <w:spacing w:val="-71"/>
          <w:sz w:val="28"/>
          <w:szCs w:val="28"/>
        </w:rPr>
        <w:t> </w:t>
      </w:r>
      <w:r>
        <w:rPr>
          <w:rFonts w:ascii="宋体" w:hAnsi="宋体" w:cs="宋体" w:eastAsia="宋体" w:hint="default"/>
          <w:b/>
          <w:bCs/>
          <w:sz w:val="28"/>
          <w:szCs w:val="28"/>
        </w:rPr>
        <w:t>年</w:t>
      </w:r>
      <w:r>
        <w:rPr>
          <w:rFonts w:ascii="宋体" w:hAnsi="宋体" w:cs="宋体" w:eastAsia="宋体" w:hint="default"/>
          <w:b/>
          <w:bCs/>
          <w:spacing w:val="-73"/>
          <w:sz w:val="28"/>
          <w:szCs w:val="28"/>
        </w:rPr>
        <w:t> </w:t>
      </w:r>
      <w:r>
        <w:rPr>
          <w:rFonts w:ascii="宋体" w:hAnsi="宋体" w:cs="宋体" w:eastAsia="宋体" w:hint="default"/>
          <w:b/>
          <w:bCs/>
          <w:sz w:val="28"/>
          <w:szCs w:val="28"/>
        </w:rPr>
        <w:t>3</w:t>
      </w:r>
      <w:r>
        <w:rPr>
          <w:rFonts w:ascii="宋体" w:hAnsi="宋体" w:cs="宋体" w:eastAsia="宋体" w:hint="default"/>
          <w:b/>
          <w:bCs/>
          <w:spacing w:val="-72"/>
          <w:sz w:val="28"/>
          <w:szCs w:val="28"/>
        </w:rPr>
        <w:t> </w:t>
      </w:r>
      <w:r>
        <w:rPr>
          <w:rFonts w:ascii="宋体" w:hAnsi="宋体" w:cs="宋体" w:eastAsia="宋体" w:hint="default"/>
          <w:b/>
          <w:bCs/>
          <w:sz w:val="28"/>
          <w:szCs w:val="28"/>
        </w:rPr>
        <w:t>月</w:t>
      </w:r>
      <w:r>
        <w:rPr>
          <w:rFonts w:ascii="宋体" w:hAnsi="宋体" w:cs="宋体" w:eastAsia="宋体" w:hint="default"/>
          <w:b/>
          <w:bCs/>
          <w:spacing w:val="-73"/>
          <w:sz w:val="28"/>
          <w:szCs w:val="28"/>
        </w:rPr>
        <w:t> </w:t>
      </w:r>
      <w:r>
        <w:rPr>
          <w:rFonts w:ascii="宋体" w:hAnsi="宋体" w:cs="宋体" w:eastAsia="宋体" w:hint="default"/>
          <w:b/>
          <w:bCs/>
          <w:sz w:val="28"/>
          <w:szCs w:val="28"/>
        </w:rPr>
        <w:t>16</w:t>
      </w:r>
      <w:r>
        <w:rPr>
          <w:rFonts w:ascii="宋体" w:hAnsi="宋体" w:cs="宋体" w:eastAsia="宋体" w:hint="default"/>
          <w:b/>
          <w:bCs/>
          <w:spacing w:val="-72"/>
          <w:sz w:val="28"/>
          <w:szCs w:val="28"/>
        </w:rPr>
        <w:t> </w:t>
      </w:r>
      <w:r>
        <w:rPr>
          <w:rFonts w:ascii="宋体" w:hAnsi="宋体" w:cs="宋体" w:eastAsia="宋体" w:hint="default"/>
          <w:b/>
          <w:bCs/>
          <w:sz w:val="28"/>
          <w:szCs w:val="28"/>
        </w:rPr>
        <w:t>日</w:t>
      </w:r>
      <w:r>
        <w:rPr>
          <w:rFonts w:ascii="宋体" w:hAnsi="宋体" w:cs="宋体" w:eastAsia="宋体" w:hint="default"/>
          <w:sz w:val="28"/>
          <w:szCs w:val="28"/>
        </w:rPr>
      </w:r>
    </w:p>
    <w:p>
      <w:pPr>
        <w:spacing w:after="0" w:line="316" w:lineRule="auto"/>
        <w:jc w:val="left"/>
        <w:rPr>
          <w:rFonts w:ascii="宋体" w:hAnsi="宋体" w:cs="宋体" w:eastAsia="宋体" w:hint="default"/>
          <w:sz w:val="28"/>
          <w:szCs w:val="28"/>
        </w:rPr>
        <w:sectPr>
          <w:headerReference w:type="default" r:id="rId5"/>
          <w:footerReference w:type="default" r:id="rId6"/>
          <w:type w:val="continuous"/>
          <w:pgSz w:w="11910" w:h="16840"/>
          <w:pgMar w:header="745" w:footer="979"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97"/>
        <w:jc w:val="left"/>
        <w:rPr>
          <w:b w:val="0"/>
          <w:bCs w:val="0"/>
        </w:rPr>
      </w:pPr>
      <w:bookmarkStart w:name="_bookmark0" w:id="1"/>
      <w:bookmarkEnd w:id="1"/>
      <w:r>
        <w:rPr>
          <w:b w:val="0"/>
          <w:bCs w:val="0"/>
        </w:rPr>
      </w:r>
      <w:r>
        <w:rPr/>
        <w:t>第一节</w:t>
      </w:r>
      <w:r>
        <w:rPr>
          <w:spacing w:val="-5"/>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39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3"/>
        <w:ind w:left="152" w:right="39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公司负责人耿殿根、主管会计工作负责人张利军及会计机构负责人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张利军声明：保证年度报告中财务报告的真实、准确、完整。</w:t>
      </w:r>
      <w:r>
        <w:rPr>
          <w:rFonts w:ascii="宋体" w:hAnsi="宋体" w:cs="宋体" w:eastAsia="宋体" w:hint="default"/>
          <w:sz w:val="28"/>
          <w:szCs w:val="28"/>
        </w:rPr>
      </w:r>
    </w:p>
    <w:p>
      <w:pPr>
        <w:spacing w:line="465" w:lineRule="auto" w:before="148"/>
        <w:ind w:left="714" w:right="97" w:firstLine="0"/>
        <w:jc w:val="left"/>
        <w:rPr>
          <w:rFonts w:ascii="Times New Roman" w:hAnsi="Times New Roman" w:cs="Times New Roman" w:eastAsia="Times New Roman"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z w:val="28"/>
          <w:szCs w:val="28"/>
        </w:rPr>
        <w:t>公司提请投资者特别关注以下重大风险：</w:t>
      </w:r>
      <w:r>
        <w:rPr>
          <w:rFonts w:ascii="宋体" w:hAnsi="宋体" w:cs="宋体" w:eastAsia="宋体" w:hint="default"/>
          <w:b/>
          <w:bCs/>
          <w:w w:val="99"/>
          <w:sz w:val="28"/>
          <w:szCs w:val="28"/>
        </w:rPr>
        <w:t> </w:t>
      </w: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、发行股份购买资产事项的审批风险</w:t>
      </w:r>
      <w:r>
        <w:rPr>
          <w:rFonts w:ascii="宋体" w:hAnsi="宋体" w:cs="宋体" w:eastAsia="宋体" w:hint="default"/>
          <w:b/>
          <w:bCs/>
          <w:w w:val="99"/>
          <w:sz w:val="28"/>
          <w:szCs w:val="28"/>
        </w:rPr>
        <w:t> </w:t>
      </w:r>
      <w:r>
        <w:rPr>
          <w:rFonts w:ascii="宋体" w:hAnsi="宋体" w:cs="宋体" w:eastAsia="宋体" w:hint="default"/>
          <w:b/>
          <w:bCs/>
          <w:sz w:val="28"/>
          <w:szCs w:val="28"/>
        </w:rPr>
        <w:t>公司拟以发行股份及支付现金的方式购买北京科信盛彩云计算有限公司</w:t>
      </w:r>
      <w:r>
        <w:rPr>
          <w:rFonts w:ascii="宋体" w:hAnsi="宋体" w:cs="宋体" w:eastAsia="宋体" w:hint="default"/>
          <w:b/>
          <w:bCs/>
          <w:spacing w:val="-60"/>
          <w:sz w:val="28"/>
          <w:szCs w:val="28"/>
        </w:rPr>
        <w:t> </w:t>
      </w:r>
      <w:r>
        <w:rPr>
          <w:rFonts w:ascii="Times New Roman" w:hAnsi="Times New Roman" w:cs="Times New Roman" w:eastAsia="Times New Roman" w:hint="default"/>
          <w:b/>
          <w:bCs/>
          <w:sz w:val="28"/>
          <w:szCs w:val="28"/>
        </w:rPr>
        <w:t>85%</w:t>
      </w:r>
      <w:r>
        <w:rPr>
          <w:rFonts w:ascii="Times New Roman" w:hAnsi="Times New Roman" w:cs="Times New Roman" w:eastAsia="Times New Roman" w:hint="default"/>
          <w:sz w:val="28"/>
          <w:szCs w:val="28"/>
        </w:rPr>
      </w:r>
    </w:p>
    <w:p>
      <w:pPr>
        <w:spacing w:line="333" w:lineRule="exact" w:before="0"/>
        <w:ind w:left="152" w:right="97" w:firstLine="0"/>
        <w:jc w:val="left"/>
        <w:rPr>
          <w:rFonts w:ascii="宋体" w:hAnsi="宋体" w:cs="宋体" w:eastAsia="宋体" w:hint="default"/>
          <w:sz w:val="28"/>
          <w:szCs w:val="28"/>
        </w:rPr>
      </w:pPr>
      <w:r>
        <w:rPr>
          <w:rFonts w:ascii="宋体" w:hAnsi="宋体" w:cs="宋体" w:eastAsia="宋体" w:hint="default"/>
          <w:b/>
          <w:bCs/>
          <w:spacing w:val="-6"/>
          <w:sz w:val="28"/>
          <w:szCs w:val="28"/>
        </w:rPr>
        <w:t>的股权，于</w:t>
      </w:r>
      <w:r>
        <w:rPr>
          <w:rFonts w:ascii="宋体" w:hAnsi="宋体" w:cs="宋体" w:eastAsia="宋体" w:hint="default"/>
          <w:b/>
          <w:bCs/>
          <w:spacing w:val="-75"/>
          <w:sz w:val="28"/>
          <w:szCs w:val="28"/>
        </w:rPr>
        <w:t> </w:t>
      </w:r>
      <w:r>
        <w:rPr>
          <w:rFonts w:ascii="Times New Roman" w:hAnsi="Times New Roman" w:cs="Times New Roman" w:eastAsia="Times New Roman" w:hint="default"/>
          <w:b/>
          <w:bCs/>
          <w:sz w:val="28"/>
          <w:szCs w:val="28"/>
        </w:rPr>
        <w:t>2018</w:t>
      </w:r>
      <w:r>
        <w:rPr>
          <w:rFonts w:ascii="Times New Roman" w:hAnsi="Times New Roman" w:cs="Times New Roman" w:eastAsia="Times New Roman" w:hint="default"/>
          <w:b/>
          <w:bCs/>
          <w:spacing w:val="-7"/>
          <w:sz w:val="28"/>
          <w:szCs w:val="28"/>
        </w:rPr>
        <w:t> </w:t>
      </w:r>
      <w:r>
        <w:rPr>
          <w:rFonts w:ascii="宋体" w:hAnsi="宋体" w:cs="宋体" w:eastAsia="宋体" w:hint="default"/>
          <w:b/>
          <w:bCs/>
          <w:sz w:val="28"/>
          <w:szCs w:val="28"/>
        </w:rPr>
        <w:t>年</w:t>
      </w:r>
      <w:r>
        <w:rPr>
          <w:rFonts w:ascii="宋体" w:hAnsi="宋体" w:cs="宋体" w:eastAsia="宋体" w:hint="default"/>
          <w:b/>
          <w:bCs/>
          <w:spacing w:val="-77"/>
          <w:sz w:val="28"/>
          <w:szCs w:val="28"/>
        </w:rPr>
        <w:t> </w:t>
      </w:r>
      <w:r>
        <w:rPr>
          <w:rFonts w:ascii="Times New Roman" w:hAnsi="Times New Roman" w:cs="Times New Roman" w:eastAsia="Times New Roman" w:hint="default"/>
          <w:b/>
          <w:bCs/>
          <w:sz w:val="28"/>
          <w:szCs w:val="28"/>
        </w:rPr>
        <w:t>2</w:t>
      </w:r>
      <w:r>
        <w:rPr>
          <w:rFonts w:ascii="Times New Roman" w:hAnsi="Times New Roman" w:cs="Times New Roman" w:eastAsia="Times New Roman" w:hint="default"/>
          <w:b/>
          <w:bCs/>
          <w:spacing w:val="-6"/>
          <w:sz w:val="28"/>
          <w:szCs w:val="28"/>
        </w:rPr>
        <w:t> </w:t>
      </w:r>
      <w:r>
        <w:rPr>
          <w:rFonts w:ascii="宋体" w:hAnsi="宋体" w:cs="宋体" w:eastAsia="宋体" w:hint="default"/>
          <w:b/>
          <w:bCs/>
          <w:sz w:val="28"/>
          <w:szCs w:val="28"/>
        </w:rPr>
        <w:t>月</w:t>
      </w:r>
      <w:r>
        <w:rPr>
          <w:rFonts w:ascii="宋体" w:hAnsi="宋体" w:cs="宋体" w:eastAsia="宋体" w:hint="default"/>
          <w:b/>
          <w:bCs/>
          <w:spacing w:val="-75"/>
          <w:sz w:val="28"/>
          <w:szCs w:val="28"/>
        </w:rPr>
        <w:t> </w:t>
      </w:r>
      <w:r>
        <w:rPr>
          <w:rFonts w:ascii="Times New Roman" w:hAnsi="Times New Roman" w:cs="Times New Roman" w:eastAsia="Times New Roman" w:hint="default"/>
          <w:b/>
          <w:bCs/>
          <w:sz w:val="28"/>
          <w:szCs w:val="28"/>
        </w:rPr>
        <w:t>1</w:t>
      </w:r>
      <w:r>
        <w:rPr>
          <w:rFonts w:ascii="Times New Roman" w:hAnsi="Times New Roman" w:cs="Times New Roman" w:eastAsia="Times New Roman" w:hint="default"/>
          <w:b/>
          <w:bCs/>
          <w:spacing w:val="-7"/>
          <w:sz w:val="28"/>
          <w:szCs w:val="28"/>
        </w:rPr>
        <w:t> </w:t>
      </w:r>
      <w:r>
        <w:rPr>
          <w:rFonts w:ascii="宋体" w:hAnsi="宋体" w:cs="宋体" w:eastAsia="宋体" w:hint="default"/>
          <w:b/>
          <w:bCs/>
          <w:sz w:val="28"/>
          <w:szCs w:val="28"/>
        </w:rPr>
        <w:t>日披露了《北京光环新网科技股份有限公司发行股份</w:t>
      </w:r>
      <w:r>
        <w:rPr>
          <w:rFonts w:ascii="宋体" w:hAnsi="宋体" w:cs="宋体" w:eastAsia="宋体" w:hint="default"/>
          <w:sz w:val="28"/>
          <w:szCs w:val="28"/>
        </w:rPr>
      </w:r>
    </w:p>
    <w:p>
      <w:pPr>
        <w:spacing w:line="408" w:lineRule="auto" w:before="236"/>
        <w:ind w:left="152" w:right="246" w:firstLine="0"/>
        <w:jc w:val="left"/>
        <w:rPr>
          <w:rFonts w:ascii="宋体" w:hAnsi="宋体" w:cs="宋体" w:eastAsia="宋体" w:hint="default"/>
          <w:sz w:val="28"/>
          <w:szCs w:val="28"/>
        </w:rPr>
      </w:pPr>
      <w:r>
        <w:rPr>
          <w:rFonts w:ascii="宋体" w:hAnsi="宋体" w:cs="宋体" w:eastAsia="宋体" w:hint="default"/>
          <w:b/>
          <w:bCs/>
          <w:spacing w:val="2"/>
          <w:sz w:val="28"/>
          <w:szCs w:val="28"/>
        </w:rPr>
        <w:t>及支付现金购买资产并募集配套资金暨关联交易预案》及相关文件，本次交易</w:t>
      </w:r>
      <w:r>
        <w:rPr>
          <w:rFonts w:ascii="宋体" w:hAnsi="宋体" w:cs="宋体" w:eastAsia="宋体" w:hint="default"/>
          <w:b/>
          <w:bCs/>
          <w:w w:val="99"/>
          <w:sz w:val="28"/>
          <w:szCs w:val="28"/>
        </w:rPr>
        <w:t> </w:t>
      </w:r>
      <w:r>
        <w:rPr>
          <w:rFonts w:ascii="宋体" w:hAnsi="宋体" w:cs="宋体" w:eastAsia="宋体" w:hint="default"/>
          <w:b/>
          <w:bCs/>
          <w:spacing w:val="2"/>
          <w:sz w:val="28"/>
          <w:szCs w:val="28"/>
        </w:rPr>
        <w:t>的正式方案尚需再次取得公司董事会审议通过、公司股东大会批准及中国证监</w:t>
      </w:r>
      <w:r>
        <w:rPr>
          <w:rFonts w:ascii="宋体" w:hAnsi="宋体" w:cs="宋体" w:eastAsia="宋体" w:hint="default"/>
          <w:b/>
          <w:bCs/>
          <w:w w:val="99"/>
          <w:sz w:val="28"/>
          <w:szCs w:val="28"/>
        </w:rPr>
        <w:t> </w:t>
      </w:r>
      <w:r>
        <w:rPr>
          <w:rFonts w:ascii="宋体" w:hAnsi="宋体" w:cs="宋体" w:eastAsia="宋体" w:hint="default"/>
          <w:b/>
          <w:bCs/>
          <w:spacing w:val="-2"/>
          <w:sz w:val="28"/>
          <w:szCs w:val="28"/>
        </w:rPr>
        <w:t>会核准，本次交易能否取得上述核准以及最终取得核准的时间均存在不确定性，</w:t>
      </w:r>
      <w:r>
        <w:rPr>
          <w:rFonts w:ascii="宋体" w:hAnsi="宋体" w:cs="宋体" w:eastAsia="宋体" w:hint="default"/>
          <w:b/>
          <w:bCs/>
          <w:spacing w:val="-133"/>
          <w:sz w:val="28"/>
          <w:szCs w:val="28"/>
        </w:rPr>
        <w:t> </w:t>
      </w:r>
      <w:r>
        <w:rPr>
          <w:rFonts w:ascii="宋体" w:hAnsi="宋体" w:cs="宋体" w:eastAsia="宋体" w:hint="default"/>
          <w:b/>
          <w:bCs/>
          <w:spacing w:val="-133"/>
          <w:sz w:val="28"/>
          <w:szCs w:val="28"/>
        </w:rPr>
      </w:r>
      <w:r>
        <w:rPr>
          <w:rFonts w:ascii="宋体" w:hAnsi="宋体" w:cs="宋体" w:eastAsia="宋体" w:hint="default"/>
          <w:b/>
          <w:bCs/>
          <w:sz w:val="28"/>
          <w:szCs w:val="28"/>
        </w:rPr>
        <w:t>公司郑重提示投资者注意投资风险。</w:t>
      </w:r>
      <w:r>
        <w:rPr>
          <w:rFonts w:ascii="宋体" w:hAnsi="宋体" w:cs="宋体" w:eastAsia="宋体" w:hint="default"/>
          <w:sz w:val="28"/>
          <w:szCs w:val="28"/>
        </w:rPr>
      </w:r>
    </w:p>
    <w:p>
      <w:pPr>
        <w:spacing w:line="448" w:lineRule="auto" w:before="160"/>
        <w:ind w:left="714" w:right="393"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w:t>
      </w:r>
      <w:r>
        <w:rPr>
          <w:rFonts w:ascii="宋体" w:hAnsi="宋体" w:cs="宋体" w:eastAsia="宋体" w:hint="default"/>
          <w:b/>
          <w:bCs/>
          <w:sz w:val="28"/>
          <w:szCs w:val="28"/>
        </w:rPr>
        <w:t>、业绩承诺无法实现的风险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公司收购中金云网和无双科技时，本次交易的交易对方对标的公司的业绩</w:t>
      </w:r>
      <w:r>
        <w:rPr>
          <w:rFonts w:ascii="宋体" w:hAnsi="宋体" w:cs="宋体" w:eastAsia="宋体" w:hint="default"/>
          <w:spacing w:val="2"/>
          <w:sz w:val="28"/>
          <w:szCs w:val="28"/>
        </w:rPr>
      </w:r>
    </w:p>
    <w:p>
      <w:pPr>
        <w:spacing w:line="386" w:lineRule="auto" w:before="14"/>
        <w:ind w:left="152" w:right="391" w:firstLine="0"/>
        <w:jc w:val="both"/>
        <w:rPr>
          <w:rFonts w:ascii="宋体" w:hAnsi="宋体" w:cs="宋体" w:eastAsia="宋体" w:hint="default"/>
          <w:sz w:val="28"/>
          <w:szCs w:val="28"/>
        </w:rPr>
      </w:pPr>
      <w:r>
        <w:rPr>
          <w:rFonts w:ascii="宋体" w:hAnsi="宋体" w:cs="宋体" w:eastAsia="宋体" w:hint="default"/>
          <w:b/>
          <w:bCs/>
          <w:sz w:val="28"/>
          <w:szCs w:val="28"/>
        </w:rPr>
        <w:t>做出了承诺。截至本报告期末，中金云网已连续两年（</w:t>
      </w:r>
      <w:r>
        <w:rPr>
          <w:rFonts w:ascii="Times New Roman" w:hAnsi="Times New Roman" w:cs="Times New Roman" w:eastAsia="Times New Roman" w:hint="default"/>
          <w:b/>
          <w:bCs/>
          <w:sz w:val="28"/>
          <w:szCs w:val="28"/>
        </w:rPr>
        <w:t>2016 </w:t>
      </w:r>
      <w:r>
        <w:rPr>
          <w:rFonts w:ascii="宋体" w:hAnsi="宋体" w:cs="宋体" w:eastAsia="宋体" w:hint="default"/>
          <w:b/>
          <w:bCs/>
          <w:sz w:val="28"/>
          <w:szCs w:val="28"/>
        </w:rPr>
        <w:t>年</w:t>
      </w:r>
      <w:r>
        <w:rPr>
          <w:rFonts w:ascii="Times New Roman" w:hAnsi="Times New Roman" w:cs="Times New Roman" w:eastAsia="Times New Roman" w:hint="default"/>
          <w:b/>
          <w:bCs/>
          <w:sz w:val="28"/>
          <w:szCs w:val="28"/>
        </w:rPr>
        <w:t>-2017</w:t>
      </w:r>
      <w:r>
        <w:rPr>
          <w:rFonts w:ascii="Times New Roman" w:hAnsi="Times New Roman" w:cs="Times New Roman" w:eastAsia="Times New Roman" w:hint="default"/>
          <w:b/>
          <w:bCs/>
          <w:spacing w:val="54"/>
          <w:sz w:val="28"/>
          <w:szCs w:val="28"/>
        </w:rPr>
        <w:t> </w:t>
      </w:r>
      <w:r>
        <w:rPr>
          <w:rFonts w:ascii="宋体" w:hAnsi="宋体" w:cs="宋体" w:eastAsia="宋体" w:hint="default"/>
          <w:b/>
          <w:bCs/>
          <w:sz w:val="28"/>
          <w:szCs w:val="28"/>
        </w:rPr>
        <w:t>年）完成</w:t>
      </w:r>
      <w:r>
        <w:rPr>
          <w:rFonts w:ascii="宋体" w:hAnsi="宋体" w:cs="宋体" w:eastAsia="宋体" w:hint="default"/>
          <w:b/>
          <w:bCs/>
          <w:w w:val="99"/>
          <w:sz w:val="28"/>
          <w:szCs w:val="28"/>
        </w:rPr>
        <w:t> </w:t>
      </w:r>
      <w:r>
        <w:rPr>
          <w:rFonts w:ascii="宋体" w:hAnsi="宋体" w:cs="宋体" w:eastAsia="宋体" w:hint="default"/>
          <w:b/>
          <w:bCs/>
          <w:sz w:val="28"/>
          <w:szCs w:val="28"/>
        </w:rPr>
        <w:t>业绩承诺，无双科技已连续三年（</w:t>
      </w:r>
      <w:r>
        <w:rPr>
          <w:rFonts w:ascii="Times New Roman" w:hAnsi="Times New Roman" w:cs="Times New Roman" w:eastAsia="Times New Roman" w:hint="default"/>
          <w:b/>
          <w:bCs/>
          <w:sz w:val="28"/>
          <w:szCs w:val="28"/>
        </w:rPr>
        <w:t>2015 </w:t>
      </w:r>
      <w:r>
        <w:rPr>
          <w:rFonts w:ascii="宋体" w:hAnsi="宋体" w:cs="宋体" w:eastAsia="宋体" w:hint="default"/>
          <w:b/>
          <w:bCs/>
          <w:sz w:val="28"/>
          <w:szCs w:val="28"/>
        </w:rPr>
        <w:t>年</w:t>
      </w:r>
      <w:r>
        <w:rPr>
          <w:rFonts w:ascii="Times New Roman" w:hAnsi="Times New Roman" w:cs="Times New Roman" w:eastAsia="Times New Roman" w:hint="default"/>
          <w:b/>
          <w:bCs/>
          <w:sz w:val="28"/>
          <w:szCs w:val="28"/>
        </w:rPr>
        <w:t>-2017 </w:t>
      </w:r>
      <w:r>
        <w:rPr>
          <w:rFonts w:ascii="宋体" w:hAnsi="宋体" w:cs="宋体" w:eastAsia="宋体" w:hint="default"/>
          <w:b/>
          <w:bCs/>
          <w:sz w:val="28"/>
          <w:szCs w:val="28"/>
        </w:rPr>
        <w:t>年）完成业绩承诺。</w:t>
      </w:r>
      <w:r>
        <w:rPr>
          <w:rFonts w:ascii="Times New Roman" w:hAnsi="Times New Roman" w:cs="Times New Roman" w:eastAsia="Times New Roman" w:hint="default"/>
          <w:b/>
          <w:bCs/>
          <w:sz w:val="28"/>
          <w:szCs w:val="28"/>
        </w:rPr>
        <w:t>2018</w:t>
      </w:r>
      <w:r>
        <w:rPr>
          <w:rFonts w:ascii="Times New Roman" w:hAnsi="Times New Roman" w:cs="Times New Roman" w:eastAsia="Times New Roman" w:hint="default"/>
          <w:b/>
          <w:bCs/>
          <w:spacing w:val="56"/>
          <w:sz w:val="28"/>
          <w:szCs w:val="28"/>
        </w:rPr>
        <w:t> </w:t>
      </w:r>
      <w:r>
        <w:rPr>
          <w:rFonts w:ascii="宋体" w:hAnsi="宋体" w:cs="宋体" w:eastAsia="宋体" w:hint="default"/>
          <w:b/>
          <w:bCs/>
          <w:sz w:val="28"/>
          <w:szCs w:val="28"/>
        </w:rPr>
        <w:t>年如</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中金云网经营情况未达预期，可能导致业绩承诺无法实现，进而影响公司的整</w:t>
      </w:r>
      <w:r>
        <w:rPr>
          <w:rFonts w:ascii="宋体" w:hAnsi="宋体" w:cs="宋体" w:eastAsia="宋体" w:hint="default"/>
          <w:spacing w:val="2"/>
          <w:sz w:val="28"/>
          <w:szCs w:val="28"/>
        </w:rPr>
      </w:r>
    </w:p>
    <w:p>
      <w:pPr>
        <w:spacing w:after="0" w:line="386" w:lineRule="auto"/>
        <w:jc w:val="both"/>
        <w:rPr>
          <w:rFonts w:ascii="宋体" w:hAnsi="宋体" w:cs="宋体" w:eastAsia="宋体" w:hint="default"/>
          <w:sz w:val="28"/>
          <w:szCs w:val="28"/>
        </w:rPr>
        <w:sectPr>
          <w:footerReference w:type="default" r:id="rId8"/>
          <w:pgSz w:w="11910" w:h="16840"/>
          <w:pgMar w:footer="979" w:header="745" w:top="1060" w:bottom="1160" w:left="980" w:right="74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9"/>
          <w:szCs w:val="29"/>
        </w:rPr>
      </w:pPr>
    </w:p>
    <w:p>
      <w:pPr>
        <w:spacing w:before="14"/>
        <w:ind w:left="152" w:right="0" w:firstLine="0"/>
        <w:jc w:val="both"/>
        <w:rPr>
          <w:rFonts w:ascii="宋体" w:hAnsi="宋体" w:cs="宋体" w:eastAsia="宋体" w:hint="default"/>
          <w:sz w:val="28"/>
          <w:szCs w:val="28"/>
        </w:rPr>
      </w:pPr>
      <w:r>
        <w:rPr>
          <w:rFonts w:ascii="宋体" w:hAnsi="宋体" w:cs="宋体" w:eastAsia="宋体" w:hint="default"/>
          <w:b/>
          <w:bCs/>
          <w:sz w:val="28"/>
          <w:szCs w:val="28"/>
        </w:rPr>
        <w:t>体经营业绩和盈利水平。</w:t>
      </w:r>
      <w:r>
        <w:rPr>
          <w:rFonts w:ascii="宋体" w:hAnsi="宋体" w:cs="宋体" w:eastAsia="宋体" w:hint="default"/>
          <w:sz w:val="28"/>
          <w:szCs w:val="28"/>
        </w:rPr>
      </w:r>
    </w:p>
    <w:p>
      <w:pPr>
        <w:spacing w:line="240" w:lineRule="auto" w:before="5"/>
        <w:rPr>
          <w:rFonts w:ascii="宋体" w:hAnsi="宋体" w:cs="宋体" w:eastAsia="宋体" w:hint="default"/>
          <w:b/>
          <w:bCs/>
          <w:sz w:val="27"/>
          <w:szCs w:val="27"/>
        </w:rPr>
      </w:pPr>
    </w:p>
    <w:p>
      <w:pPr>
        <w:spacing w:line="446" w:lineRule="auto" w:before="0"/>
        <w:ind w:left="714" w:right="239"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、子公司无双科技完成业绩承诺后业绩下滑的风险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截至本报告期末，无双科技已完成重组业绩承诺，但由于经济活动影响因</w:t>
      </w:r>
      <w:r>
        <w:rPr>
          <w:rFonts w:ascii="宋体" w:hAnsi="宋体" w:cs="宋体" w:eastAsia="宋体" w:hint="default"/>
          <w:spacing w:val="2"/>
          <w:sz w:val="28"/>
          <w:szCs w:val="28"/>
        </w:rPr>
      </w:r>
    </w:p>
    <w:p>
      <w:pPr>
        <w:spacing w:line="408" w:lineRule="auto" w:before="16"/>
        <w:ind w:left="152" w:right="257" w:firstLine="0"/>
        <w:jc w:val="both"/>
        <w:rPr>
          <w:rFonts w:ascii="宋体" w:hAnsi="宋体" w:cs="宋体" w:eastAsia="宋体" w:hint="default"/>
          <w:sz w:val="28"/>
          <w:szCs w:val="28"/>
        </w:rPr>
      </w:pPr>
      <w:r>
        <w:rPr>
          <w:rFonts w:ascii="宋体" w:hAnsi="宋体" w:cs="宋体" w:eastAsia="宋体" w:hint="default"/>
          <w:b/>
          <w:bCs/>
          <w:spacing w:val="2"/>
          <w:sz w:val="28"/>
          <w:szCs w:val="28"/>
        </w:rPr>
        <w:t>素较多，无双科技将面临来自宏观经济、行业发展、市场竞争及自身经营等方</w:t>
      </w:r>
      <w:r>
        <w:rPr>
          <w:rFonts w:ascii="宋体" w:hAnsi="宋体" w:cs="宋体" w:eastAsia="宋体" w:hint="default"/>
          <w:b/>
          <w:bCs/>
          <w:w w:val="99"/>
          <w:sz w:val="28"/>
          <w:szCs w:val="28"/>
        </w:rPr>
        <w:t> </w:t>
      </w:r>
      <w:r>
        <w:rPr>
          <w:rFonts w:ascii="宋体" w:hAnsi="宋体" w:cs="宋体" w:eastAsia="宋体" w:hint="default"/>
          <w:b/>
          <w:bCs/>
          <w:spacing w:val="2"/>
          <w:sz w:val="28"/>
          <w:szCs w:val="28"/>
        </w:rPr>
        <w:t>面的不确定性影响，从而导致无双科技经营业绩出现波动，不排除无双科技可</w:t>
      </w:r>
      <w:r>
        <w:rPr>
          <w:rFonts w:ascii="宋体" w:hAnsi="宋体" w:cs="宋体" w:eastAsia="宋体" w:hint="default"/>
          <w:b/>
          <w:bCs/>
          <w:w w:val="99"/>
          <w:sz w:val="28"/>
          <w:szCs w:val="28"/>
        </w:rPr>
        <w:t> </w:t>
      </w:r>
      <w:r>
        <w:rPr>
          <w:rFonts w:ascii="宋体" w:hAnsi="宋体" w:cs="宋体" w:eastAsia="宋体" w:hint="default"/>
          <w:b/>
          <w:bCs/>
          <w:sz w:val="28"/>
          <w:szCs w:val="28"/>
        </w:rPr>
        <w:t>能在业绩承诺期后出现营业利润下滑的风险。</w:t>
      </w:r>
      <w:r>
        <w:rPr>
          <w:rFonts w:ascii="宋体" w:hAnsi="宋体" w:cs="宋体" w:eastAsia="宋体" w:hint="default"/>
          <w:sz w:val="28"/>
          <w:szCs w:val="28"/>
        </w:rPr>
      </w:r>
    </w:p>
    <w:p>
      <w:pPr>
        <w:spacing w:line="448" w:lineRule="auto" w:before="162"/>
        <w:ind w:left="513" w:right="239" w:firstLine="201"/>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、应收账款回收风险</w:t>
      </w:r>
      <w:r>
        <w:rPr>
          <w:rFonts w:ascii="宋体" w:hAnsi="宋体" w:cs="宋体" w:eastAsia="宋体" w:hint="default"/>
          <w:b/>
          <w:bCs/>
          <w:w w:val="99"/>
          <w:sz w:val="28"/>
          <w:szCs w:val="28"/>
        </w:rPr>
        <w:t> </w:t>
      </w:r>
      <w:r>
        <w:rPr>
          <w:rFonts w:ascii="宋体" w:hAnsi="宋体" w:cs="宋体" w:eastAsia="宋体" w:hint="default"/>
          <w:b/>
          <w:bCs/>
          <w:spacing w:val="3"/>
          <w:sz w:val="28"/>
          <w:szCs w:val="28"/>
        </w:rPr>
        <w:t>随着公司业务规模的快速扩大，应收账款增速较快</w:t>
      </w:r>
      <w:r>
        <w:rPr>
          <w:rFonts w:ascii="宋体" w:hAnsi="宋体" w:cs="宋体" w:eastAsia="宋体" w:hint="default"/>
          <w:spacing w:val="3"/>
          <w:sz w:val="18"/>
          <w:szCs w:val="18"/>
        </w:rPr>
        <w:t>，</w:t>
      </w:r>
      <w:r>
        <w:rPr>
          <w:rFonts w:ascii="宋体" w:hAnsi="宋体" w:cs="宋体" w:eastAsia="宋体" w:hint="default"/>
          <w:b/>
          <w:bCs/>
          <w:spacing w:val="3"/>
          <w:sz w:val="28"/>
          <w:szCs w:val="28"/>
        </w:rPr>
        <w:t>截至报告期末，公司应</w:t>
      </w:r>
      <w:r>
        <w:rPr>
          <w:rFonts w:ascii="宋体" w:hAnsi="宋体" w:cs="宋体" w:eastAsia="宋体" w:hint="default"/>
          <w:spacing w:val="3"/>
          <w:sz w:val="28"/>
          <w:szCs w:val="28"/>
        </w:rPr>
      </w:r>
    </w:p>
    <w:p>
      <w:pPr>
        <w:spacing w:line="386" w:lineRule="auto" w:before="14"/>
        <w:ind w:left="152" w:right="256" w:firstLine="0"/>
        <w:jc w:val="both"/>
        <w:rPr>
          <w:rFonts w:ascii="宋体" w:hAnsi="宋体" w:cs="宋体" w:eastAsia="宋体" w:hint="default"/>
          <w:sz w:val="28"/>
          <w:szCs w:val="28"/>
        </w:rPr>
      </w:pPr>
      <w:r>
        <w:rPr>
          <w:rFonts w:ascii="宋体" w:hAnsi="宋体" w:cs="宋体" w:eastAsia="宋体" w:hint="default"/>
          <w:b/>
          <w:bCs/>
          <w:sz w:val="28"/>
          <w:szCs w:val="28"/>
        </w:rPr>
        <w:t>收账款面值为</w:t>
      </w:r>
      <w:r>
        <w:rPr>
          <w:rFonts w:ascii="Times New Roman" w:hAnsi="Times New Roman" w:cs="Times New Roman" w:eastAsia="Times New Roman" w:hint="default"/>
          <w:b/>
          <w:bCs/>
          <w:sz w:val="28"/>
          <w:szCs w:val="28"/>
        </w:rPr>
        <w:t>98,672.49</w:t>
      </w:r>
      <w:r>
        <w:rPr>
          <w:rFonts w:ascii="宋体" w:hAnsi="宋体" w:cs="宋体" w:eastAsia="宋体" w:hint="default"/>
          <w:b/>
          <w:bCs/>
          <w:sz w:val="28"/>
          <w:szCs w:val="28"/>
        </w:rPr>
        <w:t>万元，若客户因审批流程长或经营状况出现恶化等原因</w:t>
      </w:r>
      <w:r>
        <w:rPr>
          <w:rFonts w:ascii="宋体" w:hAnsi="宋体" w:cs="宋体" w:eastAsia="宋体" w:hint="default"/>
          <w:b/>
          <w:bCs/>
          <w:spacing w:val="-75"/>
          <w:sz w:val="28"/>
          <w:szCs w:val="28"/>
        </w:rPr>
        <w:t> </w:t>
      </w:r>
      <w:r>
        <w:rPr>
          <w:rFonts w:ascii="宋体" w:hAnsi="宋体" w:cs="宋体" w:eastAsia="宋体" w:hint="default"/>
          <w:b/>
          <w:bCs/>
          <w:spacing w:val="-75"/>
          <w:sz w:val="28"/>
          <w:szCs w:val="28"/>
        </w:rPr>
      </w:r>
      <w:r>
        <w:rPr>
          <w:rFonts w:ascii="宋体" w:hAnsi="宋体" w:cs="宋体" w:eastAsia="宋体" w:hint="default"/>
          <w:b/>
          <w:bCs/>
          <w:sz w:val="28"/>
          <w:szCs w:val="28"/>
        </w:rPr>
        <w:t>拖延付款，存在应收账款逐年增加且不能回收的风险。</w:t>
      </w:r>
      <w:r>
        <w:rPr>
          <w:rFonts w:ascii="宋体" w:hAnsi="宋体" w:cs="宋体" w:eastAsia="宋体" w:hint="default"/>
          <w:sz w:val="28"/>
          <w:szCs w:val="28"/>
        </w:rPr>
      </w:r>
    </w:p>
    <w:p>
      <w:pPr>
        <w:spacing w:line="446" w:lineRule="auto" w:before="188"/>
        <w:ind w:left="513" w:right="242" w:firstLine="201"/>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5</w:t>
      </w:r>
      <w:r>
        <w:rPr>
          <w:rFonts w:ascii="宋体" w:hAnsi="宋体" w:cs="宋体" w:eastAsia="宋体" w:hint="default"/>
          <w:b/>
          <w:bCs/>
          <w:sz w:val="28"/>
          <w:szCs w:val="28"/>
        </w:rPr>
        <w:t>、资产负债率较高及流动性风险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截至本报告期末，公司全资子公司中金云网的资产负债率</w:t>
      </w:r>
      <w:r>
        <w:rPr>
          <w:rFonts w:ascii="Times New Roman" w:hAnsi="Times New Roman" w:cs="Times New Roman" w:eastAsia="Times New Roman" w:hint="default"/>
          <w:b/>
          <w:bCs/>
          <w:spacing w:val="-2"/>
          <w:sz w:val="28"/>
          <w:szCs w:val="28"/>
        </w:rPr>
        <w:t>63.54%</w:t>
      </w:r>
      <w:r>
        <w:rPr>
          <w:rFonts w:ascii="宋体" w:hAnsi="宋体" w:cs="宋体" w:eastAsia="宋体" w:hint="default"/>
          <w:b/>
          <w:bCs/>
          <w:spacing w:val="-2"/>
          <w:sz w:val="28"/>
          <w:szCs w:val="28"/>
        </w:rPr>
        <w:t>，子公司科</w:t>
      </w:r>
      <w:r>
        <w:rPr>
          <w:rFonts w:ascii="宋体" w:hAnsi="宋体" w:cs="宋体" w:eastAsia="宋体" w:hint="default"/>
          <w:spacing w:val="-2"/>
          <w:sz w:val="28"/>
          <w:szCs w:val="28"/>
        </w:rPr>
      </w:r>
    </w:p>
    <w:p>
      <w:pPr>
        <w:spacing w:line="357" w:lineRule="exact" w:before="0"/>
        <w:ind w:left="152" w:right="0" w:firstLine="0"/>
        <w:jc w:val="both"/>
        <w:rPr>
          <w:rFonts w:ascii="宋体" w:hAnsi="宋体" w:cs="宋体" w:eastAsia="宋体" w:hint="default"/>
          <w:sz w:val="28"/>
          <w:szCs w:val="28"/>
        </w:rPr>
      </w:pPr>
      <w:r>
        <w:rPr>
          <w:rFonts w:ascii="宋体" w:hAnsi="宋体" w:cs="宋体" w:eastAsia="宋体" w:hint="default"/>
          <w:b/>
          <w:bCs/>
          <w:w w:val="99"/>
          <w:sz w:val="28"/>
          <w:szCs w:val="28"/>
        </w:rPr>
        <w:t>信盛</w:t>
      </w:r>
      <w:r>
        <w:rPr>
          <w:rFonts w:ascii="宋体" w:hAnsi="宋体" w:cs="宋体" w:eastAsia="宋体" w:hint="default"/>
          <w:b/>
          <w:bCs/>
          <w:spacing w:val="2"/>
          <w:w w:val="99"/>
          <w:sz w:val="28"/>
          <w:szCs w:val="28"/>
        </w:rPr>
        <w:t>彩</w:t>
      </w:r>
      <w:r>
        <w:rPr>
          <w:rFonts w:ascii="宋体" w:hAnsi="宋体" w:cs="宋体" w:eastAsia="宋体" w:hint="default"/>
          <w:b/>
          <w:bCs/>
          <w:w w:val="99"/>
          <w:sz w:val="28"/>
          <w:szCs w:val="28"/>
        </w:rPr>
        <w:t>的资产负债率</w:t>
      </w:r>
      <w:r>
        <w:rPr>
          <w:rFonts w:ascii="宋体" w:hAnsi="宋体" w:cs="宋体" w:eastAsia="宋体" w:hint="default"/>
          <w:b/>
          <w:bCs/>
          <w:spacing w:val="3"/>
          <w:w w:val="99"/>
          <w:sz w:val="28"/>
          <w:szCs w:val="28"/>
        </w:rPr>
        <w:t>为</w:t>
      </w:r>
      <w:r>
        <w:rPr>
          <w:rFonts w:ascii="Times New Roman" w:hAnsi="Times New Roman" w:cs="Times New Roman" w:eastAsia="Times New Roman" w:hint="default"/>
          <w:b/>
          <w:bCs/>
          <w:spacing w:val="-2"/>
          <w:w w:val="100"/>
          <w:sz w:val="28"/>
          <w:szCs w:val="28"/>
        </w:rPr>
        <w:t>6</w:t>
      </w:r>
      <w:r>
        <w:rPr>
          <w:rFonts w:ascii="Times New Roman" w:hAnsi="Times New Roman" w:cs="Times New Roman" w:eastAsia="Times New Roman" w:hint="default"/>
          <w:b/>
          <w:bCs/>
          <w:w w:val="100"/>
          <w:sz w:val="28"/>
          <w:szCs w:val="28"/>
        </w:rPr>
        <w:t>7</w:t>
      </w:r>
      <w:r>
        <w:rPr>
          <w:rFonts w:ascii="Times New Roman" w:hAnsi="Times New Roman" w:cs="Times New Roman" w:eastAsia="Times New Roman" w:hint="default"/>
          <w:b/>
          <w:bCs/>
          <w:spacing w:val="-4"/>
          <w:w w:val="100"/>
          <w:sz w:val="28"/>
          <w:szCs w:val="28"/>
        </w:rPr>
        <w:t>.</w:t>
      </w:r>
      <w:r>
        <w:rPr>
          <w:rFonts w:ascii="Times New Roman" w:hAnsi="Times New Roman" w:cs="Times New Roman" w:eastAsia="Times New Roman" w:hint="default"/>
          <w:b/>
          <w:bCs/>
          <w:w w:val="100"/>
          <w:sz w:val="28"/>
          <w:szCs w:val="28"/>
        </w:rPr>
        <w:t>42</w:t>
      </w:r>
      <w:r>
        <w:rPr>
          <w:rFonts w:ascii="Times New Roman" w:hAnsi="Times New Roman" w:cs="Times New Roman" w:eastAsia="Times New Roman" w:hint="default"/>
          <w:b/>
          <w:bCs/>
          <w:spacing w:val="-2"/>
          <w:w w:val="100"/>
          <w:sz w:val="28"/>
          <w:szCs w:val="28"/>
        </w:rPr>
        <w:t>%</w:t>
      </w:r>
      <w:r>
        <w:rPr>
          <w:rFonts w:ascii="宋体" w:hAnsi="宋体" w:cs="宋体" w:eastAsia="宋体" w:hint="default"/>
          <w:b/>
          <w:bCs/>
          <w:spacing w:val="-128"/>
          <w:w w:val="99"/>
          <w:sz w:val="28"/>
          <w:szCs w:val="28"/>
        </w:rPr>
        <w:t>。</w:t>
      </w:r>
      <w:r>
        <w:rPr>
          <w:rFonts w:ascii="宋体" w:hAnsi="宋体" w:cs="宋体" w:eastAsia="宋体" w:hint="default"/>
          <w:b/>
          <w:bCs/>
          <w:w w:val="99"/>
          <w:sz w:val="28"/>
          <w:szCs w:val="28"/>
        </w:rPr>
        <w:t>子公司数</w:t>
      </w:r>
      <w:r>
        <w:rPr>
          <w:rFonts w:ascii="宋体" w:hAnsi="宋体" w:cs="宋体" w:eastAsia="宋体" w:hint="default"/>
          <w:b/>
          <w:bCs/>
          <w:spacing w:val="2"/>
          <w:w w:val="99"/>
          <w:sz w:val="28"/>
          <w:szCs w:val="28"/>
        </w:rPr>
        <w:t>据</w:t>
      </w:r>
      <w:r>
        <w:rPr>
          <w:rFonts w:ascii="宋体" w:hAnsi="宋体" w:cs="宋体" w:eastAsia="宋体" w:hint="default"/>
          <w:b/>
          <w:bCs/>
          <w:w w:val="99"/>
          <w:sz w:val="28"/>
          <w:szCs w:val="28"/>
        </w:rPr>
        <w:t>中心业务及运营</w:t>
      </w:r>
      <w:r>
        <w:rPr>
          <w:rFonts w:ascii="宋体" w:hAnsi="宋体" w:cs="宋体" w:eastAsia="宋体" w:hint="default"/>
          <w:b/>
          <w:bCs/>
          <w:spacing w:val="2"/>
          <w:w w:val="99"/>
          <w:sz w:val="28"/>
          <w:szCs w:val="28"/>
        </w:rPr>
        <w:t>对</w:t>
      </w:r>
      <w:r>
        <w:rPr>
          <w:rFonts w:ascii="宋体" w:hAnsi="宋体" w:cs="宋体" w:eastAsia="宋体" w:hint="default"/>
          <w:b/>
          <w:bCs/>
          <w:w w:val="99"/>
          <w:sz w:val="28"/>
          <w:szCs w:val="28"/>
        </w:rPr>
        <w:t>资金需求量较</w:t>
      </w:r>
      <w:r>
        <w:rPr>
          <w:rFonts w:ascii="宋体" w:hAnsi="宋体" w:cs="宋体" w:eastAsia="宋体" w:hint="default"/>
          <w:b/>
          <w:bCs/>
          <w:spacing w:val="2"/>
          <w:w w:val="99"/>
          <w:sz w:val="28"/>
          <w:szCs w:val="28"/>
        </w:rPr>
        <w:t>大</w:t>
      </w:r>
      <w:r>
        <w:rPr>
          <w:rFonts w:ascii="宋体" w:hAnsi="宋体" w:cs="宋体" w:eastAsia="宋体" w:hint="default"/>
          <w:b/>
          <w:bCs/>
          <w:w w:val="99"/>
          <w:sz w:val="28"/>
          <w:szCs w:val="28"/>
        </w:rPr>
        <w:t>，</w:t>
      </w:r>
      <w:r>
        <w:rPr>
          <w:rFonts w:ascii="宋体" w:hAnsi="宋体" w:cs="宋体" w:eastAsia="宋体" w:hint="default"/>
          <w:sz w:val="28"/>
          <w:szCs w:val="28"/>
        </w:rPr>
      </w:r>
    </w:p>
    <w:p>
      <w:pPr>
        <w:spacing w:line="408" w:lineRule="auto" w:before="236"/>
        <w:ind w:left="152" w:right="261" w:firstLine="0"/>
        <w:jc w:val="both"/>
        <w:rPr>
          <w:rFonts w:ascii="宋体" w:hAnsi="宋体" w:cs="宋体" w:eastAsia="宋体" w:hint="default"/>
          <w:sz w:val="28"/>
          <w:szCs w:val="28"/>
        </w:rPr>
      </w:pPr>
      <w:r>
        <w:rPr>
          <w:rFonts w:ascii="宋体" w:hAnsi="宋体" w:cs="宋体" w:eastAsia="宋体" w:hint="default"/>
          <w:b/>
          <w:bCs/>
          <w:spacing w:val="2"/>
          <w:sz w:val="28"/>
          <w:szCs w:val="28"/>
        </w:rPr>
        <w:t>在既定的运营效率下，业务扩张主要依靠运营资金规模的扩大，导致公司可能</w:t>
      </w:r>
      <w:r>
        <w:rPr>
          <w:rFonts w:ascii="宋体" w:hAnsi="宋体" w:cs="宋体" w:eastAsia="宋体" w:hint="default"/>
          <w:b/>
          <w:bCs/>
          <w:w w:val="99"/>
          <w:sz w:val="28"/>
          <w:szCs w:val="28"/>
        </w:rPr>
        <w:t> </w:t>
      </w:r>
      <w:r>
        <w:rPr>
          <w:rFonts w:ascii="宋体" w:hAnsi="宋体" w:cs="宋体" w:eastAsia="宋体" w:hint="default"/>
          <w:b/>
          <w:bCs/>
          <w:sz w:val="28"/>
          <w:szCs w:val="28"/>
        </w:rPr>
        <w:t>存在流动性不足风险。</w:t>
      </w:r>
      <w:r>
        <w:rPr>
          <w:rFonts w:ascii="宋体" w:hAnsi="宋体" w:cs="宋体" w:eastAsia="宋体" w:hint="default"/>
          <w:sz w:val="28"/>
          <w:szCs w:val="28"/>
        </w:rPr>
      </w:r>
    </w:p>
    <w:p>
      <w:pPr>
        <w:spacing w:line="398" w:lineRule="auto" w:before="163"/>
        <w:ind w:left="152" w:right="102" w:firstLine="562"/>
        <w:jc w:val="left"/>
        <w:rPr>
          <w:rFonts w:ascii="宋体" w:hAnsi="宋体" w:cs="宋体" w:eastAsia="宋体" w:hint="default"/>
          <w:sz w:val="28"/>
          <w:szCs w:val="28"/>
        </w:rPr>
      </w:pPr>
      <w:r>
        <w:rPr>
          <w:rFonts w:ascii="宋体" w:hAnsi="宋体" w:cs="宋体" w:eastAsia="宋体" w:hint="default"/>
          <w:b/>
          <w:bCs/>
          <w:spacing w:val="-2"/>
          <w:sz w:val="28"/>
          <w:szCs w:val="28"/>
        </w:rPr>
        <w:t>除上述风险外公司还面临市场竞争加剧的风险、运营成本增加带来的风险、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公司规模扩张带来的管理风险、抵押及质押风险以及人才流失带来的风险，有</w:t>
      </w:r>
      <w:r>
        <w:rPr>
          <w:rFonts w:ascii="宋体" w:hAnsi="宋体" w:cs="宋体" w:eastAsia="宋体" w:hint="default"/>
          <w:b/>
          <w:bCs/>
          <w:w w:val="99"/>
          <w:sz w:val="28"/>
          <w:szCs w:val="28"/>
        </w:rPr>
        <w:t> </w:t>
      </w:r>
      <w:r>
        <w:rPr>
          <w:rFonts w:ascii="宋体" w:hAnsi="宋体" w:cs="宋体" w:eastAsia="宋体" w:hint="default"/>
          <w:b/>
          <w:bCs/>
          <w:sz w:val="28"/>
          <w:szCs w:val="28"/>
        </w:rPr>
        <w:t>关上述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8"/>
          <w:sz w:val="28"/>
          <w:szCs w:val="28"/>
        </w:rPr>
        <w:t> </w:t>
      </w:r>
      <w:r>
        <w:rPr>
          <w:rFonts w:ascii="宋体" w:hAnsi="宋体" w:cs="宋体" w:eastAsia="宋体" w:hint="default"/>
          <w:b/>
          <w:bCs/>
          <w:sz w:val="28"/>
          <w:szCs w:val="28"/>
        </w:rPr>
        <w:t>项风险因素的具体内容及公司相应对策举措已在本报告第四节</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经营</w:t>
      </w:r>
      <w:r>
        <w:rPr>
          <w:rFonts w:ascii="宋体" w:hAnsi="宋体" w:cs="宋体" w:eastAsia="宋体" w:hint="default"/>
          <w:b/>
          <w:bCs/>
          <w:w w:val="99"/>
          <w:sz w:val="28"/>
          <w:szCs w:val="28"/>
        </w:rPr>
        <w:t> </w:t>
      </w:r>
      <w:r>
        <w:rPr>
          <w:rFonts w:ascii="宋体" w:hAnsi="宋体" w:cs="宋体" w:eastAsia="宋体" w:hint="default"/>
          <w:b/>
          <w:bCs/>
          <w:sz w:val="28"/>
          <w:szCs w:val="28"/>
        </w:rPr>
        <w:t>情况讨论于分析</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之</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九、公司未来发展的展望</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之</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（四）可能面临的风险</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部分</w:t>
      </w:r>
      <w:r>
        <w:rPr>
          <w:rFonts w:ascii="宋体" w:hAnsi="宋体" w:cs="宋体" w:eastAsia="宋体" w:hint="default"/>
          <w:b/>
          <w:bCs/>
          <w:w w:val="99"/>
          <w:sz w:val="28"/>
          <w:szCs w:val="28"/>
        </w:rPr>
        <w:t> </w:t>
      </w:r>
      <w:r>
        <w:rPr>
          <w:rFonts w:ascii="宋体" w:hAnsi="宋体" w:cs="宋体" w:eastAsia="宋体" w:hint="default"/>
          <w:b/>
          <w:bCs/>
          <w:sz w:val="28"/>
          <w:szCs w:val="28"/>
        </w:rPr>
        <w:t>予以详细描述，敬请广大投资者查阅并注意投资风险。</w:t>
      </w:r>
      <w:r>
        <w:rPr>
          <w:rFonts w:ascii="宋体" w:hAnsi="宋体" w:cs="宋体" w:eastAsia="宋体" w:hint="default"/>
          <w:sz w:val="28"/>
          <w:szCs w:val="28"/>
        </w:rPr>
      </w:r>
    </w:p>
    <w:p>
      <w:pPr>
        <w:spacing w:before="171"/>
        <w:ind w:left="714" w:right="102" w:firstLine="0"/>
        <w:jc w:val="left"/>
        <w:rPr>
          <w:rFonts w:ascii="宋体" w:hAnsi="宋体" w:cs="宋体" w:eastAsia="宋体" w:hint="default"/>
          <w:sz w:val="28"/>
          <w:szCs w:val="28"/>
        </w:rPr>
      </w:pPr>
      <w:r>
        <w:rPr>
          <w:rFonts w:ascii="宋体" w:hAnsi="宋体" w:cs="宋体" w:eastAsia="宋体" w:hint="default"/>
          <w:b/>
          <w:bCs/>
          <w:spacing w:val="-3"/>
          <w:sz w:val="28"/>
          <w:szCs w:val="28"/>
        </w:rPr>
        <w:t>公司经本次董事会审议通过的利润分配预案为：以截至</w:t>
      </w:r>
      <w:r>
        <w:rPr>
          <w:rFonts w:ascii="宋体" w:hAnsi="宋体" w:cs="宋体" w:eastAsia="宋体" w:hint="default"/>
          <w:b/>
          <w:bCs/>
          <w:spacing w:val="-66"/>
          <w:sz w:val="28"/>
          <w:szCs w:val="28"/>
        </w:rPr>
        <w:t> </w:t>
      </w:r>
      <w:r>
        <w:rPr>
          <w:rFonts w:ascii="Times New Roman" w:hAnsi="Times New Roman" w:cs="Times New Roman" w:eastAsia="Times New Roman" w:hint="default"/>
          <w:b/>
          <w:bCs/>
          <w:sz w:val="28"/>
          <w:szCs w:val="28"/>
        </w:rPr>
        <w:t>2017</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年</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12 </w:t>
      </w:r>
      <w:r>
        <w:rPr>
          <w:rFonts w:ascii="宋体" w:hAnsi="宋体" w:cs="宋体" w:eastAsia="宋体" w:hint="default"/>
          <w:b/>
          <w:bCs/>
          <w:sz w:val="28"/>
          <w:szCs w:val="28"/>
        </w:rPr>
        <w:t>月</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31 </w:t>
      </w:r>
      <w:r>
        <w:rPr>
          <w:rFonts w:ascii="宋体" w:hAnsi="宋体" w:cs="宋体" w:eastAsia="宋体" w:hint="default"/>
          <w:b/>
          <w:bCs/>
          <w:sz w:val="28"/>
          <w:szCs w:val="28"/>
        </w:rPr>
        <w:t>日</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5" w:footer="979" w:top="1060" w:bottom="1160" w:left="980" w:right="88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p>
      <w:pPr>
        <w:spacing w:before="14"/>
        <w:ind w:left="152" w:right="0" w:firstLine="0"/>
        <w:jc w:val="left"/>
        <w:rPr>
          <w:rFonts w:ascii="宋体" w:hAnsi="宋体" w:cs="宋体" w:eastAsia="宋体" w:hint="default"/>
          <w:sz w:val="28"/>
          <w:szCs w:val="28"/>
        </w:rPr>
      </w:pPr>
      <w:r>
        <w:rPr>
          <w:rFonts w:ascii="宋体" w:hAnsi="宋体" w:cs="宋体" w:eastAsia="宋体" w:hint="default"/>
          <w:b/>
          <w:bCs/>
          <w:sz w:val="28"/>
          <w:szCs w:val="28"/>
        </w:rPr>
        <w:t>公司总股本</w:t>
      </w:r>
      <w:r>
        <w:rPr>
          <w:rFonts w:ascii="宋体" w:hAnsi="宋体" w:cs="宋体" w:eastAsia="宋体" w:hint="default"/>
          <w:b/>
          <w:bCs/>
          <w:spacing w:val="-59"/>
          <w:sz w:val="28"/>
          <w:szCs w:val="28"/>
        </w:rPr>
        <w:t> </w:t>
      </w:r>
      <w:r>
        <w:rPr>
          <w:rFonts w:ascii="Times New Roman" w:hAnsi="Times New Roman" w:cs="Times New Roman" w:eastAsia="Times New Roman" w:hint="default"/>
          <w:b/>
          <w:bCs/>
          <w:sz w:val="28"/>
          <w:szCs w:val="28"/>
        </w:rPr>
        <w:t>1,446,351,388</w:t>
      </w:r>
      <w:r>
        <w:rPr>
          <w:rFonts w:ascii="Times New Roman" w:hAnsi="Times New Roman" w:cs="Times New Roman" w:eastAsia="Times New Roman" w:hint="default"/>
          <w:b/>
          <w:bCs/>
          <w:spacing w:val="14"/>
          <w:sz w:val="28"/>
          <w:szCs w:val="28"/>
        </w:rPr>
        <w:t> </w:t>
      </w:r>
      <w:r>
        <w:rPr>
          <w:rFonts w:ascii="宋体" w:hAnsi="宋体" w:cs="宋体" w:eastAsia="宋体" w:hint="default"/>
          <w:b/>
          <w:bCs/>
          <w:sz w:val="28"/>
          <w:szCs w:val="28"/>
        </w:rPr>
        <w:t>股为基数，向全体股东每</w:t>
      </w:r>
      <w:r>
        <w:rPr>
          <w:rFonts w:ascii="宋体" w:hAnsi="宋体" w:cs="宋体" w:eastAsia="宋体" w:hint="default"/>
          <w:b/>
          <w:bCs/>
          <w:spacing w:val="-59"/>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11"/>
          <w:sz w:val="28"/>
          <w:szCs w:val="28"/>
        </w:rPr>
        <w:t> </w:t>
      </w:r>
      <w:r>
        <w:rPr>
          <w:rFonts w:ascii="宋体" w:hAnsi="宋体" w:cs="宋体" w:eastAsia="宋体" w:hint="default"/>
          <w:b/>
          <w:bCs/>
          <w:sz w:val="28"/>
          <w:szCs w:val="28"/>
        </w:rPr>
        <w:t>股派发现金红利</w:t>
      </w:r>
      <w:r>
        <w:rPr>
          <w:rFonts w:ascii="宋体" w:hAnsi="宋体" w:cs="宋体" w:eastAsia="宋体" w:hint="default"/>
          <w:b/>
          <w:bCs/>
          <w:spacing w:val="-58"/>
          <w:sz w:val="28"/>
          <w:szCs w:val="28"/>
        </w:rPr>
        <w:t> </w:t>
      </w:r>
      <w:r>
        <w:rPr>
          <w:rFonts w:ascii="Times New Roman" w:hAnsi="Times New Roman" w:cs="Times New Roman" w:eastAsia="Times New Roman" w:hint="default"/>
          <w:b/>
          <w:bCs/>
          <w:sz w:val="28"/>
          <w:szCs w:val="28"/>
        </w:rPr>
        <w:t>0.20</w:t>
      </w:r>
      <w:r>
        <w:rPr>
          <w:rFonts w:ascii="Times New Roman" w:hAnsi="Times New Roman" w:cs="Times New Roman" w:eastAsia="Times New Roman" w:hint="default"/>
          <w:b/>
          <w:bCs/>
          <w:spacing w:val="11"/>
          <w:sz w:val="28"/>
          <w:szCs w:val="28"/>
        </w:rPr>
        <w:t> </w:t>
      </w:r>
      <w:r>
        <w:rPr>
          <w:rFonts w:ascii="宋体" w:hAnsi="宋体" w:cs="宋体" w:eastAsia="宋体" w:hint="default"/>
          <w:b/>
          <w:bCs/>
          <w:sz w:val="28"/>
          <w:szCs w:val="28"/>
        </w:rPr>
        <w:t>元</w:t>
      </w:r>
      <w:r>
        <w:rPr>
          <w:rFonts w:ascii="宋体" w:hAnsi="宋体" w:cs="宋体" w:eastAsia="宋体" w:hint="default"/>
          <w:sz w:val="28"/>
          <w:szCs w:val="28"/>
        </w:rPr>
      </w:r>
    </w:p>
    <w:p>
      <w:pPr>
        <w:spacing w:before="236"/>
        <w:ind w:left="152" w:right="0" w:firstLine="0"/>
        <w:jc w:val="left"/>
        <w:rPr>
          <w:rFonts w:ascii="宋体" w:hAnsi="宋体" w:cs="宋体" w:eastAsia="宋体" w:hint="default"/>
          <w:sz w:val="28"/>
          <w:szCs w:val="28"/>
        </w:rPr>
      </w:pP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w:t>
      </w:r>
      <w:r>
        <w:rPr>
          <w:rFonts w:ascii="宋体" w:hAnsi="宋体" w:cs="宋体" w:eastAsia="宋体" w:hint="default"/>
          <w:b/>
          <w:bCs/>
          <w:spacing w:val="2"/>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，以</w:t>
      </w:r>
      <w:r>
        <w:rPr>
          <w:rFonts w:ascii="宋体" w:hAnsi="宋体" w:cs="宋体" w:eastAsia="宋体" w:hint="default"/>
          <w:b/>
          <w:bCs/>
          <w:spacing w:val="2"/>
          <w:w w:val="99"/>
          <w:sz w:val="28"/>
          <w:szCs w:val="28"/>
        </w:rPr>
        <w:t>资</w:t>
      </w:r>
      <w:r>
        <w:rPr>
          <w:rFonts w:ascii="宋体" w:hAnsi="宋体" w:cs="宋体" w:eastAsia="宋体" w:hint="default"/>
          <w:b/>
          <w:bCs/>
          <w:w w:val="99"/>
          <w:sz w:val="28"/>
          <w:szCs w:val="28"/>
        </w:rPr>
        <w:t>本公积</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向全体股东每</w:t>
      </w:r>
      <w:r>
        <w:rPr>
          <w:rFonts w:ascii="宋体" w:hAnsi="宋体" w:cs="宋体" w:eastAsia="宋体" w:hint="default"/>
          <w:b/>
          <w:bCs/>
          <w:spacing w:val="-68"/>
          <w:sz w:val="28"/>
          <w:szCs w:val="28"/>
        </w:rPr>
        <w:t> </w:t>
      </w:r>
      <w:r>
        <w:rPr>
          <w:rFonts w:ascii="Times New Roman" w:hAnsi="Times New Roman" w:cs="Times New Roman" w:eastAsia="Times New Roman" w:hint="default"/>
          <w:b/>
          <w:bCs/>
          <w:spacing w:val="-2"/>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股转增</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5"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tabs>
          <w:tab w:pos="904" w:val="left" w:leader="none"/>
        </w:tabs>
        <w:spacing w:before="125"/>
        <w:ind w:left="0" w:right="0"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4"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4"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 公司简介和主要财务指标</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5" w:val="right" w:leader="dot"/>
            </w:tabs>
            <w:spacing w:line="240" w:lineRule="auto" w:before="275"/>
            <w:ind w:right="0"/>
            <w:jc w:val="left"/>
            <w:rPr>
              <w:rFonts w:ascii="Times New Roman" w:hAnsi="Times New Roman" w:cs="Times New Roman" w:eastAsia="Times New Roman" w:hint="default"/>
              <w:b w:val="0"/>
              <w:bCs w:val="0"/>
            </w:rPr>
          </w:pPr>
          <w:hyperlink w:history="true" w:anchor="_bookmark2">
            <w:r>
              <w:rPr/>
              <w:t>第三节 公司业务概要</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 经营情况讨论与分析</w:t>
            </w:r>
            <w:r>
              <w:rPr>
                <w:rFonts w:ascii="Times New Roman" w:hAnsi="Times New Roman" w:cs="Times New Roman" w:eastAsia="Times New Roman" w:hint="default"/>
              </w:rPr>
              <w:tab/>
              <w:t>18</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 重要事项</w:t>
            </w:r>
            <w:r>
              <w:rPr>
                <w:rFonts w:ascii="Times New Roman" w:hAnsi="Times New Roman" w:cs="Times New Roman" w:eastAsia="Times New Roman" w:hint="default"/>
              </w:rPr>
              <w:tab/>
              <w:t>41</w:t>
            </w:r>
            <w:r>
              <w:rPr>
                <w:rFonts w:ascii="Times New Roman" w:hAnsi="Times New Roman" w:cs="Times New Roman" w:eastAsia="Times New Roman" w:hint="default"/>
                <w:b w:val="0"/>
                <w:bCs w:val="0"/>
              </w:rPr>
            </w:r>
          </w:hyperlink>
        </w:p>
        <w:p>
          <w:pPr>
            <w:pStyle w:val="TOC1"/>
            <w:tabs>
              <w:tab w:pos="9784" w:val="right" w:leader="dot"/>
            </w:tabs>
            <w:spacing w:line="240" w:lineRule="auto" w:before="275"/>
            <w:ind w:right="0"/>
            <w:jc w:val="left"/>
            <w:rPr>
              <w:rFonts w:ascii="Times New Roman" w:hAnsi="Times New Roman" w:cs="Times New Roman" w:eastAsia="Times New Roman" w:hint="default"/>
              <w:b w:val="0"/>
              <w:bCs w:val="0"/>
            </w:rPr>
          </w:pPr>
          <w:hyperlink w:history="true" w:anchor="_bookmark5">
            <w:r>
              <w:rPr/>
              <w:t>第六节 股份变动及股东情况</w:t>
            </w:r>
            <w:r>
              <w:rPr>
                <w:rFonts w:ascii="Times New Roman" w:hAnsi="Times New Roman" w:cs="Times New Roman" w:eastAsia="Times New Roman" w:hint="default"/>
              </w:rPr>
              <w:tab/>
              <w:t>121</w:t>
            </w:r>
            <w:r>
              <w:rPr>
                <w:rFonts w:ascii="Times New Roman" w:hAnsi="Times New Roman" w:cs="Times New Roman" w:eastAsia="Times New Roman" w:hint="default"/>
                <w:b w:val="0"/>
                <w:bCs w:val="0"/>
              </w:rPr>
            </w:r>
          </w:hyperlink>
        </w:p>
        <w:p>
          <w:pPr>
            <w:pStyle w:val="TOC1"/>
            <w:tabs>
              <w:tab w:pos="9784"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133</w:t>
            </w:r>
            <w:r>
              <w:rPr>
                <w:rFonts w:ascii="Times New Roman" w:hAnsi="Times New Roman" w:cs="Times New Roman" w:eastAsia="Times New Roman" w:hint="default"/>
                <w:b w:val="0"/>
                <w:bCs w:val="0"/>
              </w:rPr>
            </w:r>
          </w:hyperlink>
        </w:p>
        <w:p>
          <w:pPr>
            <w:pStyle w:val="TOC1"/>
            <w:tabs>
              <w:tab w:pos="9784"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134</w:t>
            </w:r>
            <w:r>
              <w:rPr>
                <w:rFonts w:ascii="Times New Roman" w:hAnsi="Times New Roman" w:cs="Times New Roman" w:eastAsia="Times New Roman" w:hint="default"/>
                <w:b w:val="0"/>
                <w:bCs w:val="0"/>
              </w:rPr>
            </w:r>
          </w:hyperlink>
        </w:p>
        <w:p>
          <w:pPr>
            <w:pStyle w:val="TOC1"/>
            <w:tabs>
              <w:tab w:pos="9784" w:val="right" w:leader="dot"/>
            </w:tabs>
            <w:spacing w:line="240" w:lineRule="auto" w:before="275"/>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rPr>
              <w:tab/>
              <w:t>144</w:t>
            </w:r>
            <w:r>
              <w:rPr>
                <w:rFonts w:ascii="Times New Roman" w:hAnsi="Times New Roman" w:cs="Times New Roman" w:eastAsia="Times New Roman" w:hint="default"/>
                <w:b w:val="0"/>
                <w:bCs w:val="0"/>
              </w:rPr>
            </w:r>
          </w:hyperlink>
        </w:p>
        <w:p>
          <w:pPr>
            <w:pStyle w:val="TOC1"/>
            <w:tabs>
              <w:tab w:pos="9784"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公司债券相关情况</w:t>
            </w:r>
            <w:r>
              <w:rPr>
                <w:rFonts w:ascii="Times New Roman" w:hAnsi="Times New Roman" w:cs="Times New Roman" w:eastAsia="Times New Roman" w:hint="default"/>
              </w:rPr>
              <w:tab/>
              <w:t>150</w:t>
            </w:r>
            <w:r>
              <w:rPr>
                <w:rFonts w:ascii="Times New Roman" w:hAnsi="Times New Roman" w:cs="Times New Roman" w:eastAsia="Times New Roman" w:hint="default"/>
                <w:b w:val="0"/>
                <w:bCs w:val="0"/>
              </w:rPr>
            </w:r>
          </w:hyperlink>
        </w:p>
        <w:p>
          <w:pPr>
            <w:pStyle w:val="TOC1"/>
            <w:tabs>
              <w:tab w:pos="9784" w:val="right" w:leader="dot"/>
            </w:tabs>
            <w:spacing w:line="240" w:lineRule="auto" w:before="278"/>
            <w:ind w:right="0"/>
            <w:jc w:val="left"/>
            <w:rPr>
              <w:rFonts w:ascii="Times New Roman" w:hAnsi="Times New Roman" w:cs="Times New Roman" w:eastAsia="Times New Roman" w:hint="default"/>
              <w:b w:val="0"/>
              <w:bCs w:val="0"/>
            </w:rPr>
          </w:pPr>
          <w:hyperlink w:history="true" w:anchor="_bookmark10">
            <w:r>
              <w:rPr/>
              <w:t>第十一节</w:t>
            </w:r>
            <w:r>
              <w:rPr>
                <w:spacing w:val="-2"/>
              </w:rPr>
              <w:t> </w:t>
            </w:r>
            <w:r>
              <w:rPr/>
              <w:t>财务报告</w:t>
            </w:r>
            <w:r>
              <w:rPr>
                <w:rFonts w:ascii="Times New Roman" w:hAnsi="Times New Roman" w:cs="Times New Roman" w:eastAsia="Times New Roman" w:hint="default"/>
              </w:rPr>
              <w:tab/>
              <w:t>151</w:t>
            </w:r>
            <w:r>
              <w:rPr>
                <w:rFonts w:ascii="Times New Roman" w:hAnsi="Times New Roman" w:cs="Times New Roman" w:eastAsia="Times New Roman" w:hint="default"/>
                <w:b w:val="0"/>
                <w:bCs w:val="0"/>
              </w:rPr>
            </w:r>
          </w:hyperlink>
        </w:p>
        <w:p>
          <w:pPr>
            <w:pStyle w:val="TOC1"/>
            <w:tabs>
              <w:tab w:pos="9784" w:val="right" w:leader="dot"/>
            </w:tabs>
            <w:spacing w:line="240" w:lineRule="auto" w:before="275"/>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t>备查文件目录</w:t>
            </w:r>
            <w:r>
              <w:rPr>
                <w:rFonts w:ascii="Times New Roman" w:hAnsi="Times New Roman" w:cs="Times New Roman" w:eastAsia="Times New Roman" w:hint="default"/>
              </w:rPr>
              <w:tab/>
              <w:t>246</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79" w:top="1060" w:bottom="1160" w:left="980" w:right="980"/>
        </w:sectPr>
      </w:pPr>
    </w:p>
    <w:p>
      <w:pPr>
        <w:spacing w:before="945"/>
        <w:ind w:left="0" w:right="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公司、本公司、上市公司、光环新网</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北京光环新网科技股份有限公司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光环云谷</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20"/>
              <w:jc w:val="left"/>
              <w:rPr>
                <w:rFonts w:ascii="宋体" w:hAnsi="宋体" w:cs="宋体" w:eastAsia="宋体" w:hint="default"/>
                <w:sz w:val="18"/>
                <w:szCs w:val="18"/>
              </w:rPr>
            </w:pPr>
            <w:r>
              <w:rPr>
                <w:rFonts w:ascii="宋体" w:hAnsi="宋体" w:cs="宋体" w:eastAsia="宋体" w:hint="default"/>
                <w:spacing w:val="-2"/>
                <w:sz w:val="18"/>
                <w:szCs w:val="18"/>
              </w:rPr>
              <w:t>公司全资子公司光环云谷科技有限公司，前身为廊坊开发区华瑞信通</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网络技术有限公司</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西安博凯、博凯创达</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公司全资子公司西安博凯创达数字科技有限公司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瑞科新网</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公司全资子公司北京瑞科新网科技有限公司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光环新网（上海）</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公司全资子公司光环新网（上海）信息服务有限公司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德信致远</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公司全资子公司北京德信致远科技有限公司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科信盛彩</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19"/>
              <w:jc w:val="left"/>
              <w:rPr>
                <w:rFonts w:ascii="宋体" w:hAnsi="宋体" w:cs="宋体" w:eastAsia="宋体" w:hint="default"/>
                <w:sz w:val="18"/>
                <w:szCs w:val="18"/>
              </w:rPr>
            </w:pPr>
            <w:r>
              <w:rPr>
                <w:rFonts w:ascii="宋体" w:hAnsi="宋体" w:cs="宋体" w:eastAsia="宋体" w:hint="default"/>
                <w:spacing w:val="-4"/>
                <w:sz w:val="18"/>
                <w:szCs w:val="18"/>
              </w:rPr>
              <w:t>公司子公司北京科信盛彩置业有限公司，</w:t>
            </w:r>
            <w:r>
              <w:rPr>
                <w:rFonts w:ascii="Times New Roman" w:hAnsi="Times New Roman" w:cs="Times New Roman" w:eastAsia="Times New Roman" w:hint="default"/>
                <w:spacing w:val="-4"/>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日已变更为北</w:t>
            </w:r>
            <w:r>
              <w:rPr>
                <w:rFonts w:ascii="宋体" w:hAnsi="宋体" w:cs="宋体" w:eastAsia="宋体" w:hint="default"/>
                <w:sz w:val="18"/>
                <w:szCs w:val="18"/>
              </w:rPr>
              <w:t> 京科信盛彩云计算有限公司</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光环有云</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公司子公司光环有云（北京）网络服务有限公司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亚逊新网</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公司全资子公司北京亚逊新网科技有限公司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光环金网</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公司子公司北京光环金网科技有限公司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百汇达</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74"/>
              <w:jc w:val="left"/>
              <w:rPr>
                <w:rFonts w:ascii="宋体" w:hAnsi="宋体" w:cs="宋体" w:eastAsia="宋体" w:hint="default"/>
                <w:sz w:val="18"/>
                <w:szCs w:val="18"/>
              </w:rPr>
            </w:pPr>
            <w:r>
              <w:rPr>
                <w:rFonts w:ascii="宋体" w:hAnsi="宋体" w:cs="宋体" w:eastAsia="宋体" w:hint="default"/>
                <w:sz w:val="18"/>
                <w:szCs w:val="18"/>
              </w:rPr>
              <w:t>公司控股股东北京百汇达投资管理有限公司，已于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更名为霍尔果斯百汇达股权投资管理合伙企业（有限合伙）</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蓝沧科技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北京蓝沧科技有限公司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中金云网</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公司全资子公司北京中金云网科技有限公司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无双科技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公司全资子公司北京无双科技有限公司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中金盛世</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中金盛世投资有限公司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中金数据</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中金数据系统有限公司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亚马逊通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亚马逊通技术服务（北京）有限公司</w:t>
            </w:r>
          </w:p>
        </w:tc>
      </w:tr>
      <w:tr>
        <w:trPr>
          <w:trHeight w:val="109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中金云网全体股东、中金云网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20"/>
              <w:jc w:val="both"/>
              <w:rPr>
                <w:rFonts w:ascii="宋体" w:hAnsi="宋体" w:cs="宋体" w:eastAsia="宋体" w:hint="default"/>
                <w:sz w:val="18"/>
                <w:szCs w:val="18"/>
              </w:rPr>
            </w:pPr>
            <w:r>
              <w:rPr>
                <w:rFonts w:ascii="宋体" w:hAnsi="宋体" w:cs="宋体" w:eastAsia="宋体" w:hint="default"/>
                <w:spacing w:val="-2"/>
                <w:sz w:val="18"/>
                <w:szCs w:val="18"/>
              </w:rPr>
              <w:t>中金盛世投资有限公司、深圳市天图兴瑞创业投资有限公司、江苏国</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3"/>
                <w:sz w:val="18"/>
                <w:szCs w:val="18"/>
              </w:rPr>
              <w:t>投衡盈创业投资中心（有限合伙）、天津天图兴盛股权投资基金合伙</w:t>
            </w:r>
            <w:r>
              <w:rPr>
                <w:rFonts w:ascii="宋体" w:hAnsi="宋体" w:cs="宋体" w:eastAsia="宋体" w:hint="default"/>
                <w:sz w:val="18"/>
                <w:szCs w:val="18"/>
              </w:rPr>
              <w:t> </w:t>
            </w:r>
            <w:r>
              <w:rPr>
                <w:rFonts w:ascii="宋体" w:hAnsi="宋体" w:cs="宋体" w:eastAsia="宋体" w:hint="default"/>
                <w:spacing w:val="-7"/>
                <w:sz w:val="18"/>
                <w:szCs w:val="18"/>
              </w:rPr>
              <w:t>企业（有限合伙）、北京利源顶盛投资管理中心（有限合伙）、北京宇</w:t>
            </w:r>
            <w:r>
              <w:rPr>
                <w:rFonts w:ascii="宋体" w:hAnsi="宋体" w:cs="宋体" w:eastAsia="宋体" w:hint="default"/>
                <w:sz w:val="18"/>
                <w:szCs w:val="18"/>
              </w:rPr>
              <w:t> </w:t>
            </w:r>
            <w:r>
              <w:rPr>
                <w:rFonts w:ascii="宋体" w:hAnsi="宋体" w:cs="宋体" w:eastAsia="宋体" w:hint="default"/>
                <w:spacing w:val="-3"/>
                <w:sz w:val="18"/>
                <w:szCs w:val="18"/>
              </w:rPr>
              <w:t>扬锦达投资管理中心（有限合伙）、北京卓程达投资管理中心（有限</w:t>
            </w:r>
            <w:r>
              <w:rPr>
                <w:rFonts w:ascii="宋体" w:hAnsi="宋体" w:cs="宋体" w:eastAsia="宋体" w:hint="default"/>
                <w:sz w:val="18"/>
                <w:szCs w:val="18"/>
              </w:rPr>
              <w:t> </w:t>
            </w:r>
            <w:r>
              <w:rPr>
                <w:rFonts w:ascii="宋体" w:hAnsi="宋体" w:cs="宋体" w:eastAsia="宋体" w:hint="default"/>
                <w:spacing w:val="-7"/>
                <w:sz w:val="18"/>
                <w:szCs w:val="18"/>
              </w:rPr>
              <w:t>合伙）、深圳天图股权投资基金管理企业（有限合伙）、北京利扬盛达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投资管理中心（有限合伙）、杨雨、徐庆良、徐厚华、车志远、高淑</w:t>
            </w:r>
            <w:r>
              <w:rPr>
                <w:rFonts w:ascii="宋体" w:hAnsi="宋体" w:cs="宋体" w:eastAsia="宋体" w:hint="default"/>
                <w:sz w:val="18"/>
                <w:szCs w:val="18"/>
              </w:rPr>
              <w:t> </w:t>
            </w:r>
            <w:r>
              <w:rPr>
                <w:rFonts w:ascii="宋体" w:hAnsi="宋体" w:cs="宋体" w:eastAsia="宋体" w:hint="default"/>
                <w:spacing w:val="-2"/>
                <w:sz w:val="18"/>
                <w:szCs w:val="18"/>
              </w:rPr>
              <w:t>杰、王有昌、黄玉珍、赵忠彬、何长津、王德宁、杨俊杰、陈静、郑</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善伟、唐征卫、申海山、许小平</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097"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IDC</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互联网数据中心业务（</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tern</w:t>
            </w:r>
            <w:r>
              <w:rPr>
                <w:rFonts w:ascii="Times New Roman" w:hAnsi="Times New Roman" w:cs="Times New Roman" w:eastAsia="Times New Roman" w:hint="default"/>
                <w:spacing w:val="-1"/>
                <w:sz w:val="18"/>
                <w:szCs w:val="18"/>
              </w:rPr>
              <w:t>e</w:t>
            </w:r>
            <w:r>
              <w:rPr>
                <w:rFonts w:ascii="Times New Roman" w:hAnsi="Times New Roman" w:cs="Times New Roman" w:eastAsia="Times New Roman" w:hint="default"/>
                <w:sz w:val="18"/>
                <w:szCs w:val="18"/>
              </w:rPr>
              <w:t>t</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w w:val="99"/>
                <w:sz w:val="18"/>
                <w:szCs w:val="18"/>
              </w:rPr>
              <w:t>D</w:t>
            </w:r>
            <w:r>
              <w:rPr>
                <w:rFonts w:ascii="Times New Roman" w:hAnsi="Times New Roman" w:cs="Times New Roman" w:eastAsia="Times New Roman" w:hint="default"/>
                <w:spacing w:val="-2"/>
                <w:w w:val="99"/>
                <w:sz w:val="18"/>
                <w:szCs w:val="18"/>
              </w:rPr>
              <w:t>a</w:t>
            </w:r>
            <w:r>
              <w:rPr>
                <w:rFonts w:ascii="Times New Roman" w:hAnsi="Times New Roman" w:cs="Times New Roman" w:eastAsia="Times New Roman" w:hint="default"/>
                <w:sz w:val="18"/>
                <w:szCs w:val="18"/>
              </w:rPr>
              <w:t>ta C</w:t>
            </w:r>
            <w:r>
              <w:rPr>
                <w:rFonts w:ascii="Times New Roman" w:hAnsi="Times New Roman" w:cs="Times New Roman" w:eastAsia="Times New Roman" w:hint="default"/>
                <w:spacing w:val="-1"/>
                <w:sz w:val="18"/>
                <w:szCs w:val="18"/>
              </w:rPr>
              <w:t>e</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ter</w:t>
            </w:r>
            <w:r>
              <w:rPr>
                <w:rFonts w:ascii="宋体" w:hAnsi="宋体" w:cs="宋体" w:eastAsia="宋体" w:hint="default"/>
                <w:spacing w:val="-92"/>
                <w:sz w:val="18"/>
                <w:szCs w:val="18"/>
              </w:rPr>
              <w:t>）</w:t>
            </w:r>
            <w:r>
              <w:rPr>
                <w:rFonts w:ascii="宋体" w:hAnsi="宋体" w:cs="宋体" w:eastAsia="宋体" w:hint="default"/>
                <w:sz w:val="18"/>
                <w:szCs w:val="18"/>
              </w:rPr>
              <w:t>，主要包括服务</w:t>
            </w:r>
            <w:r>
              <w:rPr>
                <w:rFonts w:ascii="宋体" w:hAnsi="宋体" w:cs="宋体" w:eastAsia="宋体" w:hint="default"/>
                <w:spacing w:val="2"/>
                <w:sz w:val="18"/>
                <w:szCs w:val="18"/>
              </w:rPr>
              <w:t>器</w:t>
            </w:r>
            <w:r>
              <w:rPr>
                <w:rFonts w:ascii="宋体" w:hAnsi="宋体" w:cs="宋体" w:eastAsia="宋体" w:hint="default"/>
                <w:sz w:val="18"/>
                <w:szCs w:val="18"/>
              </w:rPr>
              <w:t>托管、</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BodyText"/>
        <w:spacing w:line="240" w:lineRule="auto" w:before="44"/>
        <w:ind w:left="0" w:right="156"/>
        <w:jc w:val="right"/>
      </w:pPr>
      <w:r>
        <w:rPr/>
        <w:pict>
          <v:shape style="position:absolute;margin-left:56.400002pt;margin-top:-306.538269pt;width:479.3pt;height:362.1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0"/>
                    <w:gridCol w:w="5425"/>
                  </w:tblGrid>
                  <w:tr>
                    <w:trPr>
                      <w:trHeight w:val="363"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租用、运维以及网络接入服务的业务。</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宽带接入、</w:t>
                        </w:r>
                        <w:r>
                          <w:rPr>
                            <w:rFonts w:ascii="Times New Roman" w:hAnsi="Times New Roman" w:cs="Times New Roman" w:eastAsia="Times New Roman" w:hint="default"/>
                            <w:sz w:val="18"/>
                            <w:szCs w:val="18"/>
                          </w:rPr>
                          <w:t>ISP</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主要指通过电话线、电缆、光纤等各种传输手段向用户提供将计算机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或者其他终端设备接入互联网的服务。</w:t>
                        </w:r>
                      </w:p>
                    </w:tc>
                  </w:tr>
                  <w:tr>
                    <w:trPr>
                      <w:trHeight w:val="133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9"/>
                          <w:jc w:val="both"/>
                          <w:rPr>
                            <w:rFonts w:ascii="宋体" w:hAnsi="宋体" w:cs="宋体" w:eastAsia="宋体" w:hint="default"/>
                            <w:sz w:val="18"/>
                            <w:szCs w:val="18"/>
                          </w:rPr>
                        </w:pPr>
                        <w:r>
                          <w:rPr>
                            <w:rFonts w:ascii="宋体" w:hAnsi="宋体" w:cs="宋体" w:eastAsia="宋体" w:hint="default"/>
                            <w:sz w:val="18"/>
                            <w:szCs w:val="18"/>
                          </w:rPr>
                          <w:t>云计算是一种通过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Internet </w:t>
                        </w:r>
                        <w:r>
                          <w:rPr>
                            <w:rFonts w:ascii="宋体" w:hAnsi="宋体" w:cs="宋体" w:eastAsia="宋体" w:hint="default"/>
                            <w:sz w:val="18"/>
                            <w:szCs w:val="18"/>
                          </w:rPr>
                          <w:t>以服务的方式提供动态可伸缩的虚拟化的 资源的计算模式。狭义云计算指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基础设施的交付和使用模式，指 </w:t>
                        </w:r>
                        <w:r>
                          <w:rPr>
                            <w:rFonts w:ascii="宋体" w:hAnsi="宋体" w:cs="宋体" w:eastAsia="宋体" w:hint="default"/>
                            <w:spacing w:val="-2"/>
                            <w:sz w:val="18"/>
                            <w:szCs w:val="18"/>
                          </w:rPr>
                          <w:t>通过网络以按需、易扩展的方式获得所需资源；广义云计算指服务的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交付和使用模式，指通过网络以按需、易扩展的方式获得所需服务。</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搜索引擎营销、</w:t>
                        </w:r>
                        <w:r>
                          <w:rPr>
                            <w:rFonts w:ascii="Times New Roman" w:hAnsi="Times New Roman" w:cs="Times New Roman" w:eastAsia="Times New Roman" w:hint="default"/>
                            <w:sz w:val="18"/>
                            <w:szCs w:val="18"/>
                          </w:rPr>
                          <w:t>SEM</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9"/>
                          <w:jc w:val="left"/>
                          <w:rPr>
                            <w:rFonts w:ascii="宋体" w:hAnsi="宋体" w:cs="宋体" w:eastAsia="宋体" w:hint="default"/>
                            <w:sz w:val="18"/>
                            <w:szCs w:val="18"/>
                          </w:rPr>
                        </w:pPr>
                        <w:r>
                          <w:rPr>
                            <w:rFonts w:ascii="宋体" w:hAnsi="宋体" w:cs="宋体" w:eastAsia="宋体" w:hint="default"/>
                            <w:sz w:val="18"/>
                            <w:szCs w:val="18"/>
                          </w:rPr>
                          <w:t>在互联网用户搜索关键词时向其展示特定营销内容的互联网营销方 式。</w:t>
                        </w:r>
                      </w:p>
                    </w:tc>
                  </w:tr>
                  <w:tr>
                    <w:trPr>
                      <w:trHeight w:val="165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IaaS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0"/>
                          <w:jc w:val="both"/>
                          <w:rPr>
                            <w:rFonts w:ascii="宋体" w:hAnsi="宋体" w:cs="宋体" w:eastAsia="宋体" w:hint="default"/>
                            <w:sz w:val="18"/>
                            <w:szCs w:val="18"/>
                          </w:rPr>
                        </w:pPr>
                        <w:r>
                          <w:rPr>
                            <w:rFonts w:ascii="宋体" w:hAnsi="宋体" w:cs="宋体" w:eastAsia="宋体" w:hint="default"/>
                            <w:spacing w:val="-2"/>
                            <w:sz w:val="18"/>
                            <w:szCs w:val="18"/>
                          </w:rPr>
                          <w:t>云计算服务模式之一，即设施即服务，向客户提供处理、存储、网络</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以及其他基础计算资源，客户可以在其上运行任意软件，包括操作系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统和应用程序。用户不管理或者控制底层的云基础架构，但是可以控</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制操作系统、存储、发布应用程序，以及可能有限度地控制选择的网</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络组件。</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PaaS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2"/>
                            <w:sz w:val="18"/>
                            <w:szCs w:val="18"/>
                          </w:rPr>
                          <w:t>云计算服务模式之一，即平台即服务，客户使用云供应商支持的开发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语言和工具，开发出应用程序，并发布到云基础架构上。</w:t>
                        </w:r>
                      </w:p>
                    </w:tc>
                  </w:tr>
                  <w:tr>
                    <w:trPr>
                      <w:trHeight w:val="134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SaaS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云计算服务模式之一，即软件即服务，客户所使用的服务商提供的运</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行在云基础设施上的应用程序。这些应用程序可以通过各种各样的客</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4"/>
                            <w:sz w:val="18"/>
                            <w:szCs w:val="18"/>
                          </w:rPr>
                          <w:t>户端设备所访问。客户不管理或者控制底层的云基础架构，包括网络</w:t>
                        </w:r>
                        <w:r>
                          <w:rPr>
                            <w:rFonts w:ascii="宋体" w:hAnsi="宋体" w:cs="宋体" w:eastAsia="宋体" w:hint="default"/>
                            <w:sz w:val="18"/>
                            <w:szCs w:val="18"/>
                          </w:rPr>
                          <w:t> 服务器、操作系统、存储设备，甚至独立的应用程序机能。</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6"/>
                            <w:sz w:val="18"/>
                          </w:rPr>
                          <w:t>AWS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亚马逊的公有云服务</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AWS</w:t>
                        </w:r>
                        <w:r>
                          <w:rPr>
                            <w:rFonts w:ascii="宋体" w:hAnsi="宋体" w:cs="宋体" w:eastAsia="宋体" w:hint="default"/>
                            <w:sz w:val="18"/>
                            <w:szCs w:val="18"/>
                          </w:rPr>
                          <w:t>（</w:t>
                        </w:r>
                        <w:r>
                          <w:rPr>
                            <w:rFonts w:ascii="Times New Roman" w:hAnsi="Times New Roman" w:cs="Times New Roman" w:eastAsia="Times New Roman" w:hint="default"/>
                            <w:sz w:val="18"/>
                            <w:szCs w:val="18"/>
                          </w:rPr>
                          <w:t>Amazon</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pacing w:val="-6"/>
                            <w:sz w:val="18"/>
                            <w:szCs w:val="18"/>
                          </w:rPr>
                          <w:t>Web</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Services</w:t>
                        </w:r>
                        <w:r>
                          <w:rPr>
                            <w:rFonts w:ascii="宋体" w:hAnsi="宋体" w:cs="宋体" w:eastAsia="宋体" w:hint="default"/>
                            <w:sz w:val="18"/>
                            <w:szCs w:val="18"/>
                          </w:rPr>
                          <w:t>）</w:t>
                        </w:r>
                      </w:p>
                    </w:tc>
                  </w:tr>
                </w:tbl>
                <w:p>
                  <w:pPr/>
                </w:p>
              </w:txbxContent>
            </v:textbox>
            <w10:wrap type="none"/>
          </v:shape>
        </w:pict>
      </w:r>
      <w:r>
        <w:rPr/>
        <w:t>、</w:t>
      </w:r>
    </w:p>
    <w:p>
      <w:pPr>
        <w:spacing w:after="0" w:line="240" w:lineRule="auto"/>
        <w:jc w:val="righ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2" w:right="0"/>
        <w:jc w:val="left"/>
        <w:rPr>
          <w:b w:val="0"/>
          <w:bCs w:val="0"/>
        </w:rPr>
      </w:pPr>
      <w:bookmarkStart w:name="_bookmark1" w:id="2"/>
      <w:bookmarkEnd w:id="2"/>
      <w:r>
        <w:rPr>
          <w:b w:val="0"/>
          <w:bCs w:val="0"/>
        </w:rPr>
      </w:r>
      <w:r>
        <w:rPr/>
        <w:t>第二节</w:t>
      </w:r>
      <w:r>
        <w:rPr>
          <w:spacing w:val="-5"/>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2839"/>
        <w:jc w:val="left"/>
        <w:rPr>
          <w:b w:val="0"/>
          <w:bCs w:val="0"/>
        </w:rPr>
      </w:pPr>
      <w:r>
        <w:rPr/>
        <w:pict>
          <v:group style="position:absolute;margin-left:172.339996pt;margin-top:114.705597pt;width:361.55pt;height:19.7pt;mso-position-horizontal-relative:page;mso-position-vertical-relative:paragraph;z-index:-1815856" coordorigin="3447,2294" coordsize="7231,394">
            <v:shape style="position:absolute;left:3447;top:2294;width:7231;height:394" coordorigin="3447,2294" coordsize="7231,394" path="m3447,2688l10677,2688,10677,2294,3447,2294,3447,2688xe" filled="true" fillcolor="#ffffff" stroked="false">
              <v:path arrowok="t"/>
              <v:fill type="solid"/>
            </v:shape>
            <w10:wrap type="none"/>
          </v:group>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光环新网</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300383</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北京光环新网科技股份有限公司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光环新网</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Beijing Sinnet Technology Co.,</w:t>
            </w:r>
            <w:r>
              <w:rPr>
                <w:rFonts w:ascii="Times New Roman"/>
                <w:spacing w:val="-27"/>
                <w:sz w:val="18"/>
              </w:rPr>
              <w:t> </w:t>
            </w:r>
            <w:r>
              <w:rPr>
                <w:rFonts w:ascii="Times New Roman"/>
                <w:sz w:val="18"/>
              </w:rPr>
              <w:t>Ltd</w:t>
            </w:r>
          </w:p>
        </w:tc>
      </w:tr>
      <w:tr>
        <w:trPr>
          <w:trHeight w:val="403"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Sinnet</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耿殿根</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北京市门头沟区石龙经济开发区永安路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号楼二层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102300</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北京市东城区东中街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号东环广场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2A</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100027</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www.sinnet.com.cn</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i_r@sinnet.com.cn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2839"/>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陈静</w:t>
            </w:r>
          </w:p>
        </w:tc>
      </w:tr>
      <w:tr>
        <w:trPr>
          <w:trHeight w:val="161" w:hRule="exact"/>
        </w:trPr>
        <w:tc>
          <w:tcPr>
            <w:tcW w:w="31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1" w:type="dxa"/>
            <w:vMerge w:val="restart"/>
            <w:tcBorders>
              <w:top w:val="single" w:sz="4" w:space="0" w:color="000000"/>
              <w:left w:val="single" w:sz="9" w:space="0" w:color="D2D2D2"/>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北京市东城区东中街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号东环广场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座</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2A</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北京市东城区东中街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号东环广场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座</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2A</w:t>
            </w:r>
          </w:p>
        </w:tc>
      </w:tr>
      <w:tr>
        <w:trPr>
          <w:trHeight w:val="391" w:hRule="exact"/>
        </w:trPr>
        <w:tc>
          <w:tcPr>
            <w:tcW w:w="31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68"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1"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010-64183433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010-64183433</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010-64181819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010-64181819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i_r@sinnet.com.cn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i_r@sinnet.com.cn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2839"/>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line="240" w:lineRule="auto" w:before="1"/>
        <w:rPr>
          <w:rFonts w:ascii="宋体" w:hAnsi="宋体" w:cs="宋体" w:eastAsia="宋体" w:hint="default"/>
          <w:b/>
          <w:bCs/>
          <w:sz w:val="18"/>
          <w:szCs w:val="18"/>
        </w:rPr>
      </w:pPr>
    </w:p>
    <w:p>
      <w:pPr>
        <w:pStyle w:val="Heading2"/>
        <w:spacing w:line="240" w:lineRule="auto" w:before="26"/>
        <w:ind w:right="2839"/>
        <w:jc w:val="left"/>
        <w:rPr>
          <w:b w:val="0"/>
          <w:bCs w:val="0"/>
        </w:rPr>
      </w:pP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839"/>
        <w:jc w:val="left"/>
      </w:pPr>
      <w:r>
        <w:rPr/>
        <w:t>公司聘请的会计师事务所</w:t>
      </w:r>
    </w:p>
    <w:p>
      <w:pPr>
        <w:spacing w:after="0" w:line="240" w:lineRule="auto"/>
        <w:jc w:val="lef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中兴华会计师事务所（特殊普通合伙）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北京市西城区阜外大街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号四川大厦东座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谢维、白秀荣</w:t>
            </w:r>
          </w:p>
        </w:tc>
      </w:tr>
    </w:tbl>
    <w:p>
      <w:pPr>
        <w:pStyle w:val="BodyText"/>
        <w:spacing w:line="240" w:lineRule="auto" w:before="49"/>
        <w:ind w:right="2839"/>
        <w:jc w:val="left"/>
      </w:pPr>
      <w:r>
        <w:rPr/>
        <w:t>公司聘请的报告期内履行持续督导职责的保荐机构</w:t>
      </w:r>
    </w:p>
    <w:p>
      <w:pPr>
        <w:pStyle w:val="BodyText"/>
        <w:spacing w:line="240" w:lineRule="auto" w:before="115"/>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西南证券股份有限公司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01"/>
              <w:jc w:val="left"/>
              <w:rPr>
                <w:rFonts w:ascii="宋体" w:hAnsi="宋体" w:cs="宋体" w:eastAsia="宋体" w:hint="default"/>
                <w:sz w:val="18"/>
                <w:szCs w:val="18"/>
              </w:rPr>
            </w:pPr>
            <w:r>
              <w:rPr>
                <w:rFonts w:ascii="宋体" w:hAnsi="宋体" w:cs="宋体" w:eastAsia="宋体" w:hint="default"/>
                <w:sz w:val="18"/>
                <w:szCs w:val="18"/>
              </w:rPr>
              <w:t>北京市西城区金融大街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国际企业大厦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陈国潮、李皓</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日至</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西南证券股份有限公司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101"/>
              <w:jc w:val="left"/>
              <w:rPr>
                <w:rFonts w:ascii="宋体" w:hAnsi="宋体" w:cs="宋体" w:eastAsia="宋体" w:hint="default"/>
                <w:sz w:val="18"/>
                <w:szCs w:val="18"/>
              </w:rPr>
            </w:pPr>
            <w:r>
              <w:rPr>
                <w:rFonts w:ascii="宋体" w:hAnsi="宋体" w:cs="宋体" w:eastAsia="宋体" w:hint="default"/>
                <w:sz w:val="18"/>
                <w:szCs w:val="18"/>
              </w:rPr>
              <w:t>北京市西城区金融大街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国际企业大厦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任强、李皓</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49"/>
        <w:ind w:right="2839"/>
        <w:jc w:val="left"/>
      </w:pPr>
      <w:r>
        <w:rPr/>
        <w:t>公司聘请的报告期内履行持续督导职责的财务顾问</w:t>
      </w:r>
    </w:p>
    <w:p>
      <w:pPr>
        <w:pStyle w:val="BodyText"/>
        <w:spacing w:line="240" w:lineRule="auto" w:before="117"/>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西南证券股份有限公司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01"/>
              <w:jc w:val="left"/>
              <w:rPr>
                <w:rFonts w:ascii="宋体" w:hAnsi="宋体" w:cs="宋体" w:eastAsia="宋体" w:hint="default"/>
                <w:sz w:val="18"/>
                <w:szCs w:val="18"/>
              </w:rPr>
            </w:pPr>
            <w:r>
              <w:rPr>
                <w:rFonts w:ascii="宋体" w:hAnsi="宋体" w:cs="宋体" w:eastAsia="宋体" w:hint="default"/>
                <w:sz w:val="18"/>
                <w:szCs w:val="18"/>
              </w:rPr>
              <w:t>北京市西城区金融大街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国际企业大厦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江亮君、夏华旺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1"/>
        <w:rPr>
          <w:rFonts w:ascii="宋体" w:hAnsi="宋体" w:cs="宋体" w:eastAsia="宋体" w:hint="default"/>
          <w:sz w:val="18"/>
          <w:szCs w:val="18"/>
        </w:rPr>
      </w:pPr>
    </w:p>
    <w:p>
      <w:pPr>
        <w:pStyle w:val="Heading2"/>
        <w:spacing w:line="240" w:lineRule="auto" w:before="26"/>
        <w:ind w:right="2839"/>
        <w:jc w:val="left"/>
        <w:rPr>
          <w:b w:val="0"/>
          <w:bCs w:val="0"/>
        </w:rPr>
      </w:pP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839"/>
        <w:jc w:val="left"/>
      </w:pPr>
      <w:r>
        <w:rPr/>
        <w:t>公司是否需追溯调整或重述以前年度会计数据</w:t>
      </w:r>
    </w:p>
    <w:p>
      <w:pPr>
        <w:pStyle w:val="BodyText"/>
        <w:spacing w:line="240" w:lineRule="auto" w:before="117"/>
        <w:ind w:right="283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5"/>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4,077,168,684.62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2,317,626,641.04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75.92%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591,530,413.09</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435,862,060.15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335,159,778.67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113,588,409.62</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432,006,572.96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293,510,286.17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47.19%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94,908,418.31</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405,697,450.59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479,516,081.72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-15.39%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99,912,261.17</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w w:val="95"/>
                <w:sz w:val="18"/>
              </w:rPr>
              <w:t>0.11</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w w:val="95"/>
                <w:sz w:val="18"/>
              </w:rPr>
              <w:t>0.11</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-0.77%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15.51%</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10,613,566,205.19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8,917,624,206.08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1,575,639,828.51</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6,431,051,379.57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6,055,783,300.03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6.20%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762,050,984.66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2839"/>
        <w:jc w:val="left"/>
        <w:rPr>
          <w:b w:val="0"/>
          <w:bCs w:val="0"/>
        </w:rPr>
      </w:pPr>
      <w:r>
        <w:rPr/>
        <w:t>六、分季度主要财务指标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866,239,591.42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937,741,045.93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1,091,751,263.44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1,181,436,783.83</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85,824,287.10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123,774,197.13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115,536,634.03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110,726,941.89</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86,597,689.68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118,845,842.13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115,397,478.67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111,165,562.48</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-51,619,317.41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77,707,547.40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225,367,457.96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154,241,762.64</w:t>
            </w:r>
          </w:p>
        </w:tc>
      </w:tr>
    </w:tbl>
    <w:p>
      <w:pPr>
        <w:pStyle w:val="BodyText"/>
        <w:spacing w:line="240" w:lineRule="auto" w:before="49"/>
        <w:ind w:right="0"/>
        <w:jc w:val="left"/>
      </w:pPr>
      <w:r>
        <w:rPr/>
        <w:t>上述财务指标或其加总数是否与公司已披露季度报告、半年度报告相关财务指标存在重大差异</w:t>
      </w:r>
    </w:p>
    <w:p>
      <w:pPr>
        <w:pStyle w:val="BodyText"/>
        <w:spacing w:line="240" w:lineRule="auto" w:before="115"/>
        <w:ind w:right="283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2839"/>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5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1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2839"/>
        <w:jc w:val="left"/>
        <w:rPr>
          <w:b w:val="0"/>
          <w:bCs w:val="0"/>
        </w:rPr>
      </w:pPr>
      <w:r>
        <w:rPr/>
        <w:t>八、非经常性损益项目及金额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-1,574,720.06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-941,498.91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-186.69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6,366,600.00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50,108,497.79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21,959,000.00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3,177.85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-123,318.15</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946,695.73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7,472,785.37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3,278,822.00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-7,125.13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-78,597.14</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3,855,487.19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41,649,492.50</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18,679,991.31</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240" w:lineRule="auto" w:before="60"/>
        <w:ind w:right="0"/>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2839"/>
        <w:jc w:val="left"/>
      </w:pPr>
      <w:r>
        <w:rPr/>
        <w:t>说明原因</w:t>
      </w:r>
    </w:p>
    <w:p>
      <w:pPr>
        <w:pStyle w:val="BodyText"/>
        <w:spacing w:line="240" w:lineRule="auto" w:before="117"/>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1"/>
        <w:ind w:right="13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470"/>
        <w:jc w:val="center"/>
        <w:rPr>
          <w:b w:val="0"/>
          <w:bCs w:val="0"/>
        </w:rPr>
      </w:pPr>
      <w:bookmarkStart w:name="_bookmark2" w:id="3"/>
      <w:bookmarkEnd w:id="3"/>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83"/>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pStyle w:val="BodyText"/>
        <w:spacing w:line="316" w:lineRule="auto" w:before="25"/>
        <w:ind w:left="513" w:right="183"/>
        <w:jc w:val="left"/>
      </w:pPr>
      <w:r>
        <w:rPr>
          <w:rFonts w:ascii="宋体" w:hAnsi="宋体" w:cs="宋体" w:eastAsia="宋体" w:hint="default"/>
        </w:rPr>
        <w:t>1</w:t>
      </w:r>
      <w:r>
        <w:rPr/>
        <w:t>、报告期内公司主要从事的业务 光环新网是业界领先的互联网综合服务提供商，主营业务为云计算业务及互联网数据中心服务（</w:t>
      </w:r>
      <w:r>
        <w:rPr>
          <w:rFonts w:ascii="宋体" w:hAnsi="宋体" w:cs="宋体" w:eastAsia="宋体" w:hint="default"/>
        </w:rPr>
        <w:t>IDC</w:t>
      </w:r>
      <w:r>
        <w:rPr/>
        <w:t>及其增值服务）等</w:t>
      </w:r>
    </w:p>
    <w:p>
      <w:pPr>
        <w:pStyle w:val="BodyText"/>
        <w:spacing w:line="316" w:lineRule="auto" w:before="19"/>
        <w:ind w:left="513" w:right="183" w:hanging="361"/>
        <w:jc w:val="left"/>
      </w:pPr>
      <w:r>
        <w:rPr/>
        <w:t>互联网综合服务，是北京最具影响力的互联网服务商之一。 </w:t>
      </w:r>
      <w:r>
        <w:rPr>
          <w:spacing w:val="-2"/>
        </w:rPr>
        <w:t>近年来，随着云计算业务的日益发展，公司积极布局云计算市场，自</w:t>
      </w:r>
      <w:r>
        <w:rPr>
          <w:rFonts w:ascii="宋体" w:hAnsi="宋体" w:cs="宋体" w:eastAsia="宋体" w:hint="default"/>
          <w:spacing w:val="-2"/>
        </w:rPr>
        <w:t>2016</w:t>
      </w:r>
      <w:r>
        <w:rPr>
          <w:spacing w:val="-2"/>
        </w:rPr>
        <w:t>年与亚马逊通技术服务（北京）有限公司达成</w:t>
      </w:r>
    </w:p>
    <w:p>
      <w:pPr>
        <w:pStyle w:val="BodyText"/>
        <w:spacing w:line="316" w:lineRule="auto" w:before="19"/>
        <w:ind w:right="102"/>
        <w:jc w:val="left"/>
      </w:pPr>
      <w:r>
        <w:rPr/>
        <w:t>《运营协议》后，公司获得亚马逊通授权独立运营</w:t>
      </w:r>
      <w:r>
        <w:rPr>
          <w:rFonts w:ascii="宋体" w:hAnsi="宋体" w:cs="宋体" w:eastAsia="宋体" w:hint="default"/>
        </w:rPr>
        <w:t>AWS</w:t>
      </w:r>
      <w:r>
        <w:rPr/>
        <w:t>中国（北京）区域云服务，利用公司北京及周边地区的基础设施面向 </w:t>
      </w:r>
      <w:r>
        <w:rPr>
          <w:spacing w:val="-2"/>
        </w:rPr>
        <w:t>中国境内客户提供服务。</w:t>
      </w:r>
      <w:r>
        <w:rPr>
          <w:rFonts w:ascii="宋体" w:hAnsi="宋体" w:cs="宋体" w:eastAsia="宋体" w:hint="default"/>
          <w:spacing w:val="-2"/>
        </w:rPr>
        <w:t>2017</w:t>
      </w:r>
      <w:r>
        <w:rPr>
          <w:spacing w:val="-2"/>
        </w:rPr>
        <w:t>年双方进一步加深合作，公司与亚马逊通签署了《分期资产出售主协议》，拟以不超过人民币</w:t>
      </w:r>
      <w:r>
        <w:rPr>
          <w:spacing w:val="-63"/>
        </w:rPr>
        <w:t> </w:t>
      </w:r>
      <w:r>
        <w:rPr>
          <w:spacing w:val="-63"/>
        </w:rPr>
      </w:r>
      <w:r>
        <w:rPr>
          <w:rFonts w:ascii="宋体" w:hAnsi="宋体" w:cs="宋体" w:eastAsia="宋体" w:hint="default"/>
          <w:spacing w:val="-4"/>
        </w:rPr>
        <w:t>20</w:t>
      </w:r>
      <w:r>
        <w:rPr>
          <w:spacing w:val="-4"/>
        </w:rPr>
        <w:t>亿元向亚马逊通购买基于亚马逊云技术的云服务相关的特定经营性资产。截至报告期末公司已首批采购</w:t>
      </w:r>
      <w:r>
        <w:rPr>
          <w:rFonts w:ascii="宋体" w:hAnsi="宋体" w:cs="宋体" w:eastAsia="宋体" w:hint="default"/>
          <w:spacing w:val="-4"/>
        </w:rPr>
        <w:t>8.46</w:t>
      </w:r>
      <w:r>
        <w:rPr>
          <w:spacing w:val="-4"/>
        </w:rPr>
        <w:t>亿元（不含税）</w:t>
      </w:r>
      <w:r>
        <w:rPr>
          <w:spacing w:val="-34"/>
        </w:rPr>
        <w:t> </w:t>
      </w:r>
      <w:r>
        <w:rPr>
          <w:spacing w:val="-34"/>
        </w:rPr>
      </w:r>
      <w:r>
        <w:rPr/>
        <w:t>设备，从而确保公司可以持续稳定地提供并运营基于</w:t>
      </w:r>
      <w:r>
        <w:rPr>
          <w:rFonts w:ascii="宋体" w:hAnsi="宋体" w:cs="宋体" w:eastAsia="宋体" w:hint="default"/>
        </w:rPr>
        <w:t>AWS</w:t>
      </w:r>
      <w:r>
        <w:rPr/>
        <w:t>技术的云服务，进一步夯实了公司在云计算业务领域的行业地位， 增强了公司在云计算业务方面的竞争实力。</w:t>
      </w:r>
      <w:r>
        <w:rPr>
          <w:rFonts w:ascii="宋体" w:hAnsi="宋体" w:cs="宋体" w:eastAsia="宋体" w:hint="default"/>
        </w:rPr>
        <w:t>2017</w:t>
      </w:r>
      <w:r>
        <w:rPr/>
        <w:t>年度公司云计算业务收入占全年总收入</w:t>
      </w:r>
      <w:r>
        <w:rPr>
          <w:rFonts w:ascii="宋体" w:hAnsi="宋体" w:cs="宋体" w:eastAsia="宋体" w:hint="default"/>
        </w:rPr>
        <w:t>70%</w:t>
      </w:r>
      <w:r>
        <w:rPr/>
        <w:t>以上。报告期内，公司推出了基 </w:t>
      </w:r>
      <w:r>
        <w:rPr>
          <w:spacing w:val="-2"/>
        </w:rPr>
        <w:t>于亚马逊技术的</w:t>
      </w:r>
      <w:r>
        <w:rPr>
          <w:rFonts w:ascii="宋体" w:hAnsi="宋体" w:cs="宋体" w:eastAsia="宋体" w:hint="default"/>
          <w:spacing w:val="-2"/>
        </w:rPr>
        <w:t>AWS-DX</w:t>
      </w:r>
      <w:r>
        <w:rPr>
          <w:spacing w:val="-2"/>
        </w:rPr>
        <w:t>等多种产品，为广大客户提供了云计算架构及方案咨询服务、混合云系统集成服务、云平台运维服务</w:t>
      </w:r>
      <w:r>
        <w:rPr>
          <w:spacing w:val="-60"/>
        </w:rPr>
        <w:t> </w:t>
      </w:r>
      <w:r>
        <w:rPr>
          <w:spacing w:val="-60"/>
        </w:rPr>
      </w:r>
      <w:r>
        <w:rPr>
          <w:spacing w:val="-2"/>
        </w:rPr>
        <w:t>等多项服务内容。同时，公司继续推进光环云产品的开发和服务内容的拓展，努力打造更为便捷、高效、安全、可信赖的企</w:t>
      </w:r>
      <w:r>
        <w:rPr>
          <w:spacing w:val="-67"/>
        </w:rPr>
        <w:t> </w:t>
      </w:r>
      <w:r>
        <w:rPr>
          <w:spacing w:val="-67"/>
        </w:rPr>
      </w:r>
      <w:r>
        <w:rPr/>
        <w:t>业级云产品及服务，为客户提供更专业的云计算一体化解决方案。通过光环云和由光环新网运营的</w:t>
      </w:r>
      <w:r>
        <w:rPr>
          <w:rFonts w:ascii="宋体" w:hAnsi="宋体" w:cs="宋体" w:eastAsia="宋体" w:hint="default"/>
        </w:rPr>
        <w:t>AWS</w:t>
      </w:r>
      <w:r>
        <w:rPr/>
        <w:t>云两大平台，公司可 满足不同层次客户对云计算产品组合和配套服务的需求。</w:t>
      </w:r>
    </w:p>
    <w:p>
      <w:pPr>
        <w:pStyle w:val="BodyText"/>
        <w:spacing w:line="316" w:lineRule="auto" w:before="19"/>
        <w:ind w:right="186" w:firstLine="360"/>
        <w:jc w:val="both"/>
      </w:pPr>
      <w:r>
        <w:rPr>
          <w:spacing w:val="-2"/>
        </w:rPr>
        <w:t>互联网数据中心业务（</w:t>
      </w:r>
      <w:r>
        <w:rPr>
          <w:rFonts w:ascii="宋体" w:hAnsi="宋体" w:cs="宋体" w:eastAsia="宋体" w:hint="default"/>
          <w:spacing w:val="-2"/>
        </w:rPr>
        <w:t>IDC</w:t>
      </w:r>
      <w:r>
        <w:rPr>
          <w:spacing w:val="-2"/>
        </w:rPr>
        <w:t>及其增值服务）是云计算业务发展必不可少的组成部分。公司自行设计、建设的</w:t>
      </w:r>
      <w:r>
        <w:rPr>
          <w:rFonts w:ascii="宋体" w:hAnsi="宋体" w:cs="宋体" w:eastAsia="宋体" w:hint="default"/>
          <w:spacing w:val="-2"/>
        </w:rPr>
        <w:t>IDC</w:t>
      </w:r>
      <w:r>
        <w:rPr>
          <w:spacing w:val="-2"/>
        </w:rPr>
        <w:t>机房相对</w:t>
      </w:r>
      <w:r>
        <w:rPr/>
        <w:t> </w:t>
      </w:r>
      <w:r>
        <w:rPr>
          <w:spacing w:val="-2"/>
        </w:rPr>
        <w:t>于基础运营及其他网络资源，更能适应商企用户的高端需求，几大数据中心无论在地理位置上还是在硬件设施上均具有突出</w:t>
      </w:r>
      <w:r>
        <w:rPr>
          <w:spacing w:val="-64"/>
        </w:rPr>
        <w:t> </w:t>
      </w:r>
      <w:r>
        <w:rPr>
          <w:spacing w:val="-64"/>
        </w:rPr>
      </w:r>
      <w:r>
        <w:rPr>
          <w:spacing w:val="-2"/>
        </w:rPr>
        <w:t>优势，服务能力已达到国际先进水平。经过十余年专业运营管理经验的积累，公司已建立起资深技术团队能够充分满足各类</w:t>
      </w:r>
      <w:r>
        <w:rPr>
          <w:spacing w:val="-62"/>
        </w:rPr>
        <w:t> </w:t>
      </w:r>
      <w:r>
        <w:rPr>
          <w:spacing w:val="-62"/>
        </w:rPr>
      </w:r>
      <w:r>
        <w:rPr/>
        <w:t>客户的需求，为用户提供高品质的</w:t>
      </w:r>
      <w:r>
        <w:rPr>
          <w:rFonts w:ascii="宋体" w:hAnsi="宋体" w:cs="宋体" w:eastAsia="宋体" w:hint="default"/>
        </w:rPr>
        <w:t>IDC</w:t>
      </w:r>
      <w:r>
        <w:rPr/>
        <w:t>基础服务及多样化的增值服务。公司目前在北京、上海、河北燕郊等地拥有多处高品 </w:t>
      </w:r>
      <w:r>
        <w:rPr>
          <w:spacing w:val="-2"/>
        </w:rPr>
        <w:t>质的数据中心。截至报告期末，上海绿色云计算基地项目、科信盛彩亦庄绿色云计算基地项目、燕郊光环云谷二期项目已有</w:t>
      </w:r>
      <w:r>
        <w:rPr>
          <w:spacing w:val="-64"/>
        </w:rPr>
        <w:t> </w:t>
      </w:r>
      <w:r>
        <w:rPr>
          <w:spacing w:val="-64"/>
        </w:rPr>
      </w:r>
      <w:r>
        <w:rPr>
          <w:spacing w:val="-2"/>
        </w:rPr>
        <w:t>部分模块完成验收工作并进入正式运营状态，房山绿色云计算基地一期项目已完成工程主体建筑建设工作，报告期内机房建</w:t>
      </w:r>
      <w:r>
        <w:rPr>
          <w:spacing w:val="-64"/>
        </w:rPr>
        <w:t> </w:t>
      </w:r>
      <w:r>
        <w:rPr>
          <w:spacing w:val="-64"/>
        </w:rPr>
      </w:r>
      <w:r>
        <w:rPr/>
        <w:t>设工作正按照项目规划进度有序进行。上述在建项目全部达产后，公司将拥有超过</w:t>
      </w:r>
      <w:r>
        <w:rPr>
          <w:rFonts w:ascii="宋体" w:hAnsi="宋体" w:cs="宋体" w:eastAsia="宋体" w:hint="default"/>
        </w:rPr>
        <w:t>4</w:t>
      </w:r>
      <w:r>
        <w:rPr/>
        <w:t>万个机柜的服务能力，充分满足全国云 计算用户的各层次需求。</w:t>
      </w:r>
    </w:p>
    <w:p>
      <w:pPr>
        <w:pStyle w:val="BodyText"/>
        <w:spacing w:line="240" w:lineRule="auto" w:before="19"/>
        <w:ind w:left="513" w:right="183"/>
        <w:jc w:val="left"/>
      </w:pPr>
      <w:r>
        <w:rPr>
          <w:rFonts w:ascii="Times New Roman" w:hAnsi="Times New Roman" w:cs="Times New Roman" w:eastAsia="Times New Roman" w:hint="default"/>
        </w:rPr>
        <w:t>2</w:t>
      </w:r>
      <w:r>
        <w:rPr/>
        <w:t>、报告期内公司所属行业的发展状况</w:t>
      </w:r>
    </w:p>
    <w:p>
      <w:pPr>
        <w:pStyle w:val="BodyText"/>
        <w:spacing w:line="300" w:lineRule="auto" w:before="63"/>
        <w:ind w:left="513" w:right="253"/>
        <w:jc w:val="left"/>
      </w:pPr>
      <w:r>
        <w:rPr/>
        <w:t>（</w:t>
      </w:r>
      <w:r>
        <w:rPr>
          <w:rFonts w:ascii="Times New Roman" w:hAnsi="Times New Roman" w:cs="Times New Roman" w:eastAsia="Times New Roman" w:hint="default"/>
        </w:rPr>
        <w:t>1</w:t>
      </w:r>
      <w:r>
        <w:rPr/>
        <w:t>）中国互联网发展趋势 中国互联网络信息中心（</w:t>
      </w:r>
      <w:r>
        <w:rPr>
          <w:rFonts w:ascii="Times New Roman" w:hAnsi="Times New Roman" w:cs="Times New Roman" w:eastAsia="Times New Roman" w:hint="default"/>
        </w:rPr>
        <w:t>CNNIC</w:t>
      </w:r>
      <w:r>
        <w:rPr/>
        <w:t>）第</w:t>
      </w:r>
      <w:r>
        <w:rPr>
          <w:rFonts w:ascii="Times New Roman" w:hAnsi="Times New Roman" w:cs="Times New Roman" w:eastAsia="Times New Roman" w:hint="default"/>
        </w:rPr>
        <w:t>41</w:t>
      </w:r>
      <w:r>
        <w:rPr/>
        <w:t>次《中国互联网络发展状况统计报告》统计显示，截至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月，我国网民</w:t>
      </w:r>
    </w:p>
    <w:p>
      <w:pPr>
        <w:pStyle w:val="BodyText"/>
        <w:spacing w:line="304" w:lineRule="auto" w:before="13"/>
        <w:ind w:right="183"/>
        <w:jc w:val="left"/>
      </w:pPr>
      <w:r>
        <w:rPr>
          <w:spacing w:val="-2"/>
        </w:rPr>
        <w:t>规模达</w:t>
      </w:r>
      <w:r>
        <w:rPr>
          <w:rFonts w:ascii="Times New Roman" w:hAnsi="Times New Roman" w:cs="Times New Roman" w:eastAsia="Times New Roman" w:hint="default"/>
          <w:spacing w:val="-2"/>
        </w:rPr>
        <w:t>7.72</w:t>
      </w:r>
      <w:r>
        <w:rPr>
          <w:spacing w:val="-2"/>
        </w:rPr>
        <w:t>亿，普及率达到</w:t>
      </w:r>
      <w:r>
        <w:rPr>
          <w:rFonts w:ascii="Times New Roman" w:hAnsi="Times New Roman" w:cs="Times New Roman" w:eastAsia="Times New Roman" w:hint="default"/>
          <w:spacing w:val="-2"/>
        </w:rPr>
        <w:t>55.8%</w:t>
      </w:r>
      <w:r>
        <w:rPr>
          <w:spacing w:val="-2"/>
        </w:rPr>
        <w:t>，超过全球平均水平（</w:t>
      </w:r>
      <w:r>
        <w:rPr>
          <w:rFonts w:ascii="Times New Roman" w:hAnsi="Times New Roman" w:cs="Times New Roman" w:eastAsia="Times New Roman" w:hint="default"/>
          <w:spacing w:val="-2"/>
        </w:rPr>
        <w:t>51.7%</w:t>
      </w:r>
      <w:r>
        <w:rPr>
          <w:spacing w:val="-2"/>
        </w:rPr>
        <w:t>）</w:t>
      </w:r>
      <w:r>
        <w:rPr>
          <w:rFonts w:ascii="Times New Roman" w:hAnsi="Times New Roman" w:cs="Times New Roman" w:eastAsia="Times New Roman" w:hint="default"/>
          <w:spacing w:val="-2"/>
        </w:rPr>
        <w:t>4.1</w:t>
      </w:r>
      <w:r>
        <w:rPr>
          <w:spacing w:val="-2"/>
        </w:rPr>
        <w:t>个百分点，超过亚洲平均水平（</w:t>
      </w:r>
      <w:r>
        <w:rPr>
          <w:rFonts w:ascii="Times New Roman" w:hAnsi="Times New Roman" w:cs="Times New Roman" w:eastAsia="Times New Roman" w:hint="default"/>
          <w:spacing w:val="-2"/>
        </w:rPr>
        <w:t>46.7%</w:t>
      </w:r>
      <w:r>
        <w:rPr>
          <w:spacing w:val="-2"/>
        </w:rPr>
        <w:t>）</w:t>
      </w:r>
      <w:r>
        <w:rPr>
          <w:rFonts w:ascii="Times New Roman" w:hAnsi="Times New Roman" w:cs="Times New Roman" w:eastAsia="Times New Roman" w:hint="default"/>
          <w:spacing w:val="-2"/>
        </w:rPr>
        <w:t>9.1</w:t>
      </w:r>
      <w:r>
        <w:rPr>
          <w:spacing w:val="-2"/>
        </w:rPr>
        <w:t>个百分点。我</w:t>
      </w:r>
      <w:r>
        <w:rPr>
          <w:spacing w:val="-52"/>
        </w:rPr>
        <w:t> </w:t>
      </w:r>
      <w:r>
        <w:rPr>
          <w:spacing w:val="-52"/>
        </w:rPr>
      </w:r>
      <w:r>
        <w:rPr>
          <w:spacing w:val="-2"/>
        </w:rPr>
        <w:t>国网民规模继续保持平稳增长，互联网模式不断创新、线上线下服务融合加速以及公共服务线上化步伐加快，成为网民规模</w:t>
      </w:r>
      <w:r>
        <w:rPr>
          <w:spacing w:val="-66"/>
        </w:rPr>
        <w:t> </w:t>
      </w:r>
      <w:r>
        <w:rPr>
          <w:spacing w:val="-66"/>
        </w:rPr>
      </w:r>
      <w:r>
        <w:rPr>
          <w:spacing w:val="-2"/>
        </w:rPr>
        <w:t>增长推动力。国际出口带宽实现</w:t>
      </w:r>
      <w:r>
        <w:rPr>
          <w:rFonts w:ascii="Times New Roman" w:hAnsi="Times New Roman" w:cs="Times New Roman" w:eastAsia="Times New Roman" w:hint="default"/>
          <w:spacing w:val="-2"/>
        </w:rPr>
        <w:t>10.2%</w:t>
      </w:r>
      <w:r>
        <w:rPr>
          <w:spacing w:val="-2"/>
        </w:rPr>
        <w:t>的增长，达</w:t>
      </w:r>
      <w:r>
        <w:rPr>
          <w:rFonts w:ascii="Times New Roman" w:hAnsi="Times New Roman" w:cs="Times New Roman" w:eastAsia="Times New Roman" w:hint="default"/>
          <w:spacing w:val="-2"/>
        </w:rPr>
        <w:t>7,320,180Mbps</w:t>
      </w:r>
      <w:r>
        <w:rPr>
          <w:spacing w:val="-2"/>
        </w:rPr>
        <w:t>；此外，光缆、互联网接入端口、移动电话基站和互联网数</w:t>
      </w:r>
      <w:r>
        <w:rPr>
          <w:spacing w:val="-31"/>
        </w:rPr>
        <w:t> </w:t>
      </w:r>
      <w:r>
        <w:rPr>
          <w:spacing w:val="-31"/>
        </w:rPr>
      </w:r>
      <w:r>
        <w:rPr/>
        <w:t>据中心等基础设施建设稳步推进。在此基础上，网站、网页、移动互联网接入流量与</w:t>
      </w:r>
      <w:r>
        <w:rPr>
          <w:rFonts w:ascii="Times New Roman" w:hAnsi="Times New Roman" w:cs="Times New Roman" w:eastAsia="Times New Roman" w:hint="default"/>
        </w:rPr>
        <w:t>APP</w:t>
      </w:r>
      <w:r>
        <w:rPr/>
        <w:t>数量等应用发展迅速，均在</w:t>
      </w:r>
      <w:r>
        <w:rPr>
          <w:rFonts w:ascii="Times New Roman" w:hAnsi="Times New Roman" w:cs="Times New Roman" w:eastAsia="Times New Roman" w:hint="default"/>
        </w:rPr>
        <w:t>2017 </w:t>
      </w:r>
      <w:r>
        <w:rPr/>
        <w:t>年实现显著增长，尤其是移动互联网接入流量自</w:t>
      </w:r>
      <w:r>
        <w:rPr>
          <w:rFonts w:ascii="Times New Roman" w:hAnsi="Times New Roman" w:cs="Times New Roman" w:eastAsia="Times New Roman" w:hint="default"/>
        </w:rPr>
        <w:t>2014</w:t>
      </w:r>
      <w:r>
        <w:rPr/>
        <w:t>年以来连续三年实现翻番增长。</w:t>
      </w:r>
    </w:p>
    <w:p>
      <w:pPr>
        <w:pStyle w:val="BodyText"/>
        <w:spacing w:line="300" w:lineRule="auto" w:before="9"/>
        <w:ind w:left="513" w:right="173"/>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IDC</w:t>
      </w:r>
      <w:r>
        <w:rPr/>
        <w:t>市场发展趋势 根据目前可以取得的统计数据信息，</w:t>
      </w:r>
      <w:r>
        <w:rPr>
          <w:rFonts w:ascii="Times New Roman" w:hAnsi="Times New Roman" w:cs="Times New Roman" w:eastAsia="Times New Roman" w:hint="default"/>
        </w:rPr>
        <w:t>2016</w:t>
      </w:r>
      <w:r>
        <w:rPr/>
        <w:t>年全球</w:t>
      </w:r>
      <w:r>
        <w:rPr>
          <w:rFonts w:ascii="Times New Roman" w:hAnsi="Times New Roman" w:cs="Times New Roman" w:eastAsia="Times New Roman" w:hint="default"/>
        </w:rPr>
        <w:t>IDC</w:t>
      </w:r>
      <w:r>
        <w:rPr/>
        <w:t>整体市场规模达到</w:t>
      </w:r>
      <w:r>
        <w:rPr>
          <w:rFonts w:ascii="Times New Roman" w:hAnsi="Times New Roman" w:cs="Times New Roman" w:eastAsia="Times New Roman" w:hint="default"/>
        </w:rPr>
        <w:t>451.9</w:t>
      </w:r>
      <w:r>
        <w:rPr/>
        <w:t>亿美元，增速为</w:t>
      </w:r>
      <w:r>
        <w:rPr>
          <w:rFonts w:ascii="Times New Roman" w:hAnsi="Times New Roman" w:cs="Times New Roman" w:eastAsia="Times New Roman" w:hint="default"/>
        </w:rPr>
        <w:t>17.5%</w:t>
      </w:r>
      <w:r>
        <w:rPr/>
        <w:t>。相比</w:t>
      </w:r>
      <w:r>
        <w:rPr>
          <w:rFonts w:ascii="Times New Roman" w:hAnsi="Times New Roman" w:cs="Times New Roman" w:eastAsia="Times New Roman" w:hint="default"/>
        </w:rPr>
        <w:t>2015</w:t>
      </w:r>
      <w:r>
        <w:rPr/>
        <w:t>年继续保</w:t>
      </w:r>
    </w:p>
    <w:p>
      <w:pPr>
        <w:pStyle w:val="BodyText"/>
        <w:spacing w:line="316" w:lineRule="auto" w:before="13"/>
        <w:ind w:right="183"/>
        <w:jc w:val="left"/>
      </w:pPr>
      <w:r>
        <w:rPr>
          <w:spacing w:val="-2"/>
        </w:rPr>
        <w:t>持稳定增长。移动互联网领域快速发展和云计算技术的广泛应用带动数据存储规模、计算能力以及网络流量的大幅增加，是</w:t>
      </w:r>
      <w:r>
        <w:rPr>
          <w:spacing w:val="-63"/>
        </w:rPr>
        <w:t> </w:t>
      </w:r>
      <w:r>
        <w:rPr>
          <w:spacing w:val="-63"/>
        </w:rPr>
      </w:r>
      <w:r>
        <w:rPr/>
        <w:t>保持</w:t>
      </w:r>
      <w:r>
        <w:rPr>
          <w:rFonts w:ascii="Times New Roman" w:hAnsi="Times New Roman" w:cs="Times New Roman" w:eastAsia="Times New Roman" w:hint="default"/>
        </w:rPr>
        <w:t>IDC</w:t>
      </w:r>
      <w:r>
        <w:rPr/>
        <w:t>市场增速提升的主要原因。</w:t>
      </w:r>
    </w:p>
    <w:p>
      <w:pPr>
        <w:spacing w:after="0" w:line="316" w:lineRule="auto"/>
        <w:jc w:val="left"/>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p>
      <w:pPr>
        <w:spacing w:line="4608" w:lineRule="exact"/>
        <w:ind w:left="1928" w:right="0" w:firstLine="0"/>
        <w:rPr>
          <w:rFonts w:ascii="宋体" w:hAnsi="宋体" w:cs="宋体" w:eastAsia="宋体" w:hint="default"/>
          <w:sz w:val="20"/>
          <w:szCs w:val="20"/>
        </w:rPr>
      </w:pPr>
      <w:r>
        <w:rPr>
          <w:rFonts w:ascii="宋体" w:hAnsi="宋体" w:cs="宋体" w:eastAsia="宋体" w:hint="default"/>
          <w:position w:val="-91"/>
          <w:sz w:val="20"/>
          <w:szCs w:val="20"/>
        </w:rPr>
        <w:drawing>
          <wp:inline distT="0" distB="0" distL="0" distR="0">
            <wp:extent cx="4117480" cy="2926079"/>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2" cstate="print"/>
                    <a:stretch>
                      <a:fillRect/>
                    </a:stretch>
                  </pic:blipFill>
                  <pic:spPr>
                    <a:xfrm>
                      <a:off x="0" y="0"/>
                      <a:ext cx="4117480" cy="2926079"/>
                    </a:xfrm>
                    <a:prstGeom prst="rect">
                      <a:avLst/>
                    </a:prstGeom>
                  </pic:spPr>
                </pic:pic>
              </a:graphicData>
            </a:graphic>
          </wp:inline>
        </w:drawing>
      </w:r>
      <w:r>
        <w:rPr>
          <w:rFonts w:ascii="宋体" w:hAnsi="宋体" w:cs="宋体" w:eastAsia="宋体" w:hint="default"/>
          <w:position w:val="-91"/>
          <w:sz w:val="20"/>
          <w:szCs w:val="20"/>
        </w:rPr>
      </w:r>
    </w:p>
    <w:p>
      <w:pPr>
        <w:pStyle w:val="Heading5"/>
        <w:spacing w:line="240" w:lineRule="auto" w:before="43"/>
        <w:ind w:left="3523" w:right="2839"/>
        <w:jc w:val="left"/>
        <w:rPr>
          <w:rFonts w:ascii="宋体" w:hAnsi="宋体" w:cs="宋体" w:eastAsia="宋体" w:hint="default"/>
          <w:b w:val="0"/>
          <w:bCs w:val="0"/>
        </w:rPr>
      </w:pPr>
      <w:r>
        <w:rPr>
          <w:rFonts w:ascii="宋体" w:hAnsi="宋体" w:cs="宋体" w:eastAsia="宋体" w:hint="default"/>
        </w:rPr>
        <w:t>2010</w:t>
      </w:r>
      <w:r>
        <w:rPr/>
        <w:t>－</w:t>
      </w:r>
      <w:r>
        <w:rPr>
          <w:rFonts w:ascii="宋体" w:hAnsi="宋体" w:cs="宋体" w:eastAsia="宋体" w:hint="default"/>
        </w:rPr>
        <w:t>2016</w:t>
      </w:r>
      <w:r>
        <w:rPr/>
        <w:t>年全球</w:t>
      </w:r>
      <w:r>
        <w:rPr>
          <w:rFonts w:ascii="宋体" w:hAnsi="宋体" w:cs="宋体" w:eastAsia="宋体" w:hint="default"/>
        </w:rPr>
        <w:t>IDC</w:t>
      </w:r>
      <w:r>
        <w:rPr/>
        <w:t>市场规模</w:t>
      </w:r>
      <w:r>
        <w:rPr>
          <w:spacing w:val="-5"/>
        </w:rPr>
        <w:t> </w:t>
      </w:r>
      <w:r>
        <w:rPr>
          <w:rFonts w:ascii="宋体" w:hAnsi="宋体" w:cs="宋体" w:eastAsia="宋体" w:hint="default"/>
        </w:rPr>
        <w:t>(</w:t>
      </w:r>
      <w:r>
        <w:rPr/>
        <w:t>亿美元</w:t>
      </w:r>
      <w:r>
        <w:rPr>
          <w:rFonts w:ascii="宋体" w:hAnsi="宋体" w:cs="宋体" w:eastAsia="宋体" w:hint="default"/>
        </w:rPr>
        <w:t>)</w:t>
      </w:r>
      <w:r>
        <w:rPr>
          <w:rFonts w:ascii="宋体" w:hAnsi="宋体" w:cs="宋体" w:eastAsia="宋体" w:hint="default"/>
          <w:b w:val="0"/>
          <w:bCs w:val="0"/>
        </w:rPr>
      </w:r>
    </w:p>
    <w:p>
      <w:pPr>
        <w:pStyle w:val="BodyText"/>
        <w:spacing w:line="316" w:lineRule="auto" w:before="76"/>
        <w:ind w:right="151" w:firstLine="360"/>
        <w:jc w:val="right"/>
      </w:pPr>
      <w:r>
        <w:rPr>
          <w:rFonts w:ascii="宋体" w:hAnsi="宋体" w:cs="宋体" w:eastAsia="宋体" w:hint="default"/>
          <w:spacing w:val="-2"/>
        </w:rPr>
        <w:t>2016</w:t>
      </w:r>
      <w:r>
        <w:rPr>
          <w:spacing w:val="-2"/>
        </w:rPr>
        <w:t>年中国</w:t>
      </w:r>
      <w:r>
        <w:rPr>
          <w:rFonts w:ascii="宋体" w:hAnsi="宋体" w:cs="宋体" w:eastAsia="宋体" w:hint="default"/>
          <w:spacing w:val="-2"/>
        </w:rPr>
        <w:t>IDC</w:t>
      </w:r>
      <w:r>
        <w:rPr>
          <w:spacing w:val="-2"/>
        </w:rPr>
        <w:t>市场继续保持高速增长，市场总规模为</w:t>
      </w:r>
      <w:r>
        <w:rPr>
          <w:rFonts w:ascii="宋体" w:hAnsi="宋体" w:cs="宋体" w:eastAsia="宋体" w:hint="default"/>
          <w:spacing w:val="-2"/>
        </w:rPr>
        <w:t>714.5</w:t>
      </w:r>
      <w:r>
        <w:rPr>
          <w:spacing w:val="-2"/>
        </w:rPr>
        <w:t>亿元人民币，同比增长</w:t>
      </w:r>
      <w:r>
        <w:rPr>
          <w:rFonts w:ascii="宋体" w:hAnsi="宋体" w:cs="宋体" w:eastAsia="宋体" w:hint="default"/>
          <w:spacing w:val="-2"/>
        </w:rPr>
        <w:t>37.8%.</w:t>
      </w:r>
      <w:r>
        <w:rPr>
          <w:spacing w:val="-2"/>
        </w:rPr>
        <w:t>电信运营商近年来加大了对带</w:t>
      </w:r>
      <w:r>
        <w:rPr/>
        <w:t> 宽的投资力度，电信网、广电网和互联网的融合进一步加速，传统行业信息化快速发展，由此带动</w:t>
      </w:r>
      <w:r>
        <w:rPr>
          <w:rFonts w:ascii="宋体" w:hAnsi="宋体" w:cs="宋体" w:eastAsia="宋体" w:hint="default"/>
        </w:rPr>
        <w:t>IDC</w:t>
      </w:r>
      <w:r>
        <w:rPr/>
        <w:t>机房需求和网络需求 </w:t>
      </w:r>
      <w:r>
        <w:rPr>
          <w:spacing w:val="-4"/>
        </w:rPr>
        <w:t>持续增长。移动互联网和视频行业呈现爆发增长，游戏等行业增速稳定，这些领域客户需求的增长拉动了</w:t>
      </w:r>
      <w:r>
        <w:rPr>
          <w:rFonts w:ascii="宋体" w:hAnsi="宋体" w:cs="宋体" w:eastAsia="宋体" w:hint="default"/>
          <w:spacing w:val="-4"/>
        </w:rPr>
        <w:t>IDC</w:t>
      </w:r>
      <w:r>
        <w:rPr>
          <w:spacing w:val="-4"/>
        </w:rPr>
        <w:t>市场整体规模。</w:t>
      </w:r>
    </w:p>
    <w:p>
      <w:pPr>
        <w:spacing w:line="4354" w:lineRule="exact"/>
        <w:ind w:left="2048"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3966362" cy="2765012"/>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3" cstate="print"/>
                    <a:stretch>
                      <a:fillRect/>
                    </a:stretch>
                  </pic:blipFill>
                  <pic:spPr>
                    <a:xfrm>
                      <a:off x="0" y="0"/>
                      <a:ext cx="3966362" cy="2765012"/>
                    </a:xfrm>
                    <a:prstGeom prst="rect">
                      <a:avLst/>
                    </a:prstGeom>
                  </pic:spPr>
                </pic:pic>
              </a:graphicData>
            </a:graphic>
          </wp:inline>
        </w:drawing>
      </w:r>
      <w:r>
        <w:rPr>
          <w:rFonts w:ascii="宋体" w:hAnsi="宋体" w:cs="宋体" w:eastAsia="宋体" w:hint="default"/>
          <w:position w:val="-86"/>
          <w:sz w:val="20"/>
          <w:szCs w:val="20"/>
        </w:rPr>
      </w:r>
    </w:p>
    <w:p>
      <w:pPr>
        <w:pStyle w:val="BodyText"/>
        <w:spacing w:line="316" w:lineRule="auto" w:before="34"/>
        <w:ind w:right="144" w:firstLine="360"/>
        <w:jc w:val="left"/>
      </w:pPr>
      <w:r>
        <w:rPr/>
        <w:t>未来三年，中国</w:t>
      </w:r>
      <w:r>
        <w:rPr>
          <w:rFonts w:ascii="宋体" w:hAnsi="宋体" w:cs="宋体" w:eastAsia="宋体" w:hint="default"/>
        </w:rPr>
        <w:t>IDC</w:t>
      </w:r>
      <w:r>
        <w:rPr/>
        <w:t>市场规模持续上升，预计</w:t>
      </w:r>
      <w:r>
        <w:rPr>
          <w:rFonts w:ascii="宋体" w:hAnsi="宋体" w:cs="宋体" w:eastAsia="宋体" w:hint="default"/>
        </w:rPr>
        <w:t>2019</w:t>
      </w:r>
      <w:r>
        <w:rPr/>
        <w:t>年，市场规模将接近</w:t>
      </w:r>
      <w:r>
        <w:rPr>
          <w:rFonts w:ascii="宋体" w:hAnsi="宋体" w:cs="宋体" w:eastAsia="宋体" w:hint="default"/>
        </w:rPr>
        <w:t>1900</w:t>
      </w:r>
      <w:r>
        <w:rPr/>
        <w:t>亿元。移动互联网、视频、网络游戏等垂直 行业客户需求稳定增长，是拉动</w:t>
      </w:r>
      <w:r>
        <w:rPr>
          <w:rFonts w:ascii="宋体" w:hAnsi="宋体" w:cs="宋体" w:eastAsia="宋体" w:hint="default"/>
        </w:rPr>
        <w:t>IDC</w:t>
      </w:r>
      <w:r>
        <w:rPr/>
        <w:t>市场规模的核心驱动力。</w:t>
      </w:r>
    </w:p>
    <w:p>
      <w:pPr>
        <w:spacing w:after="0" w:line="316"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line="4169" w:lineRule="exact"/>
        <w:ind w:left="2093" w:right="0" w:firstLine="0"/>
        <w:rPr>
          <w:rFonts w:ascii="宋体" w:hAnsi="宋体" w:cs="宋体" w:eastAsia="宋体" w:hint="default"/>
          <w:sz w:val="20"/>
          <w:szCs w:val="20"/>
        </w:rPr>
      </w:pPr>
      <w:r>
        <w:rPr>
          <w:rFonts w:ascii="宋体" w:hAnsi="宋体" w:cs="宋体" w:eastAsia="宋体" w:hint="default"/>
          <w:position w:val="-82"/>
          <w:sz w:val="20"/>
          <w:szCs w:val="20"/>
        </w:rPr>
        <w:drawing>
          <wp:inline distT="0" distB="0" distL="0" distR="0">
            <wp:extent cx="3895304" cy="2647664"/>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4" cstate="print"/>
                    <a:stretch>
                      <a:fillRect/>
                    </a:stretch>
                  </pic:blipFill>
                  <pic:spPr>
                    <a:xfrm>
                      <a:off x="0" y="0"/>
                      <a:ext cx="3895304" cy="2647664"/>
                    </a:xfrm>
                    <a:prstGeom prst="rect">
                      <a:avLst/>
                    </a:prstGeom>
                  </pic:spPr>
                </pic:pic>
              </a:graphicData>
            </a:graphic>
          </wp:inline>
        </w:drawing>
      </w:r>
      <w:r>
        <w:rPr>
          <w:rFonts w:ascii="宋体" w:hAnsi="宋体" w:cs="宋体" w:eastAsia="宋体" w:hint="default"/>
          <w:position w:val="-82"/>
          <w:sz w:val="20"/>
          <w:szCs w:val="20"/>
        </w:rPr>
      </w:r>
    </w:p>
    <w:p>
      <w:pPr>
        <w:spacing w:line="240" w:lineRule="auto" w:before="1"/>
        <w:rPr>
          <w:rFonts w:ascii="宋体" w:hAnsi="宋体" w:cs="宋体" w:eastAsia="宋体" w:hint="default"/>
          <w:sz w:val="8"/>
          <w:szCs w:val="8"/>
        </w:rPr>
      </w:pPr>
    </w:p>
    <w:p>
      <w:pPr>
        <w:pStyle w:val="BodyText"/>
        <w:spacing w:line="316" w:lineRule="auto" w:before="44"/>
        <w:ind w:right="111" w:firstLine="360"/>
        <w:jc w:val="left"/>
      </w:pPr>
      <w:r>
        <w:rPr>
          <w:spacing w:val="-2"/>
        </w:rPr>
        <w:t>未来，中国互联网产业的高速发展将促进了数据中心产业的持续增长，预计在未来几年数据中心服务市场仍然处于上升</w:t>
      </w:r>
      <w:r>
        <w:rPr/>
        <w:t> 的阶段。</w:t>
      </w:r>
    </w:p>
    <w:p>
      <w:pPr>
        <w:pStyle w:val="BodyText"/>
        <w:spacing w:line="360" w:lineRule="auto" w:before="57"/>
        <w:ind w:left="513" w:right="111"/>
        <w:jc w:val="left"/>
      </w:pPr>
      <w:r>
        <w:rPr/>
        <w:t>（</w:t>
      </w:r>
      <w:r>
        <w:rPr>
          <w:rFonts w:ascii="宋体" w:hAnsi="宋体" w:cs="宋体" w:eastAsia="宋体" w:hint="default"/>
        </w:rPr>
        <w:t>3</w:t>
      </w:r>
      <w:r>
        <w:rPr/>
        <w:t>）云计算市场发展趋势 </w:t>
      </w:r>
      <w:r>
        <w:rPr>
          <w:spacing w:val="-4"/>
        </w:rPr>
        <w:t>全球云计算市场总体平稳增长。</w:t>
      </w:r>
      <w:r>
        <w:rPr>
          <w:rFonts w:ascii="宋体" w:hAnsi="宋体" w:cs="宋体" w:eastAsia="宋体" w:hint="default"/>
          <w:spacing w:val="-4"/>
        </w:rPr>
        <w:t>2016</w:t>
      </w:r>
      <w:r>
        <w:rPr>
          <w:spacing w:val="-4"/>
        </w:rPr>
        <w:t>年以</w:t>
      </w:r>
      <w:r>
        <w:rPr>
          <w:rFonts w:ascii="宋体" w:hAnsi="宋体" w:cs="宋体" w:eastAsia="宋体" w:hint="default"/>
          <w:spacing w:val="-4"/>
        </w:rPr>
        <w:t>IaaS</w:t>
      </w:r>
      <w:r>
        <w:rPr>
          <w:spacing w:val="-4"/>
        </w:rPr>
        <w:t>、</w:t>
      </w:r>
      <w:r>
        <w:rPr>
          <w:rFonts w:ascii="宋体" w:hAnsi="宋体" w:cs="宋体" w:eastAsia="宋体" w:hint="default"/>
          <w:spacing w:val="-4"/>
        </w:rPr>
        <w:t>PaaS</w:t>
      </w:r>
      <w:r>
        <w:rPr>
          <w:spacing w:val="-4"/>
        </w:rPr>
        <w:t>和</w:t>
      </w:r>
      <w:r>
        <w:rPr>
          <w:rFonts w:ascii="宋体" w:hAnsi="宋体" w:cs="宋体" w:eastAsia="宋体" w:hint="default"/>
          <w:spacing w:val="-4"/>
        </w:rPr>
        <w:t>SaaS</w:t>
      </w:r>
      <w:r>
        <w:rPr>
          <w:spacing w:val="-4"/>
        </w:rPr>
        <w:t>为代表的典型云服务市场规模达到</w:t>
      </w:r>
      <w:r>
        <w:rPr>
          <w:rFonts w:ascii="宋体" w:hAnsi="宋体" w:cs="宋体" w:eastAsia="宋体" w:hint="default"/>
          <w:spacing w:val="-4"/>
        </w:rPr>
        <w:t>654.83</w:t>
      </w:r>
      <w:r>
        <w:rPr>
          <w:spacing w:val="-4"/>
        </w:rPr>
        <w:t>亿美元，增速</w:t>
      </w:r>
      <w:r>
        <w:rPr>
          <w:rFonts w:ascii="宋体" w:hAnsi="宋体" w:cs="宋体" w:eastAsia="宋体" w:hint="default"/>
          <w:spacing w:val="-4"/>
        </w:rPr>
        <w:t>20.6%</w:t>
      </w:r>
      <w:r>
        <w:rPr>
          <w:spacing w:val="-4"/>
        </w:rPr>
        <w:t>，</w:t>
      </w:r>
    </w:p>
    <w:p>
      <w:pPr>
        <w:pStyle w:val="BodyText"/>
        <w:spacing w:line="222" w:lineRule="exact"/>
        <w:ind w:right="111"/>
        <w:jc w:val="left"/>
        <w:rPr>
          <w:rFonts w:ascii="宋体" w:hAnsi="宋体" w:cs="宋体" w:eastAsia="宋体" w:hint="default"/>
        </w:rPr>
      </w:pPr>
      <w:r>
        <w:rPr>
          <w:spacing w:val="-3"/>
        </w:rPr>
        <w:t>预计</w:t>
      </w:r>
      <w:r>
        <w:rPr>
          <w:rFonts w:ascii="宋体" w:hAnsi="宋体" w:cs="宋体" w:eastAsia="宋体" w:hint="default"/>
          <w:spacing w:val="-3"/>
        </w:rPr>
        <w:t>2020</w:t>
      </w:r>
      <w:r>
        <w:rPr>
          <w:spacing w:val="-3"/>
        </w:rPr>
        <w:t>年将达到</w:t>
      </w:r>
      <w:r>
        <w:rPr>
          <w:rFonts w:ascii="宋体" w:hAnsi="宋体" w:cs="宋体" w:eastAsia="宋体" w:hint="default"/>
          <w:spacing w:val="-3"/>
        </w:rPr>
        <w:t>1435.3</w:t>
      </w:r>
      <w:r>
        <w:rPr>
          <w:spacing w:val="-3"/>
        </w:rPr>
        <w:t>亿美元，年复合增长率达</w:t>
      </w:r>
      <w:r>
        <w:rPr>
          <w:rFonts w:ascii="宋体" w:hAnsi="宋体" w:cs="宋体" w:eastAsia="宋体" w:hint="default"/>
          <w:spacing w:val="-3"/>
        </w:rPr>
        <w:t>22%</w:t>
      </w:r>
      <w:r>
        <w:rPr>
          <w:spacing w:val="-3"/>
        </w:rPr>
        <w:t>。</w:t>
      </w:r>
      <w:r>
        <w:rPr>
          <w:rFonts w:ascii="宋体" w:hAnsi="宋体" w:cs="宋体" w:eastAsia="宋体" w:hint="default"/>
          <w:spacing w:val="-3"/>
        </w:rPr>
        <w:t>2016</w:t>
      </w:r>
      <w:r>
        <w:rPr>
          <w:spacing w:val="-3"/>
        </w:rPr>
        <w:t>年，中国云服务市场规模超过</w:t>
      </w:r>
      <w:r>
        <w:rPr>
          <w:rFonts w:ascii="宋体" w:hAnsi="宋体" w:cs="宋体" w:eastAsia="宋体" w:hint="default"/>
          <w:spacing w:val="-3"/>
        </w:rPr>
        <w:t>500</w:t>
      </w:r>
      <w:r>
        <w:rPr>
          <w:spacing w:val="-3"/>
        </w:rPr>
        <w:t>亿元，达到</w:t>
      </w:r>
      <w:r>
        <w:rPr>
          <w:rFonts w:ascii="宋体" w:hAnsi="宋体" w:cs="宋体" w:eastAsia="宋体" w:hint="default"/>
          <w:spacing w:val="-3"/>
        </w:rPr>
        <w:t>516.6</w:t>
      </w:r>
      <w:r>
        <w:rPr>
          <w:spacing w:val="-3"/>
        </w:rPr>
        <w:t>亿。预计</w:t>
      </w:r>
      <w:r>
        <w:rPr>
          <w:rFonts w:ascii="宋体" w:hAnsi="宋体" w:cs="宋体" w:eastAsia="宋体" w:hint="default"/>
          <w:spacing w:val="-3"/>
        </w:rPr>
        <w:t>2017</w:t>
      </w:r>
    </w:p>
    <w:p>
      <w:pPr>
        <w:pStyle w:val="BodyText"/>
        <w:spacing w:line="360" w:lineRule="auto" w:before="76"/>
        <w:ind w:left="513" w:right="111" w:hanging="361"/>
        <w:jc w:val="left"/>
      </w:pPr>
      <w:r>
        <w:rPr/>
        <w:t>年中国云计算市场份额将达到</w:t>
      </w:r>
      <w:r>
        <w:rPr>
          <w:rFonts w:ascii="宋体" w:hAnsi="宋体" w:cs="宋体" w:eastAsia="宋体" w:hint="default"/>
        </w:rPr>
        <w:t>690</w:t>
      </w:r>
      <w:r>
        <w:rPr/>
        <w:t>亿以上。</w:t>
      </w:r>
      <w:r>
        <w:rPr>
          <w:spacing w:val="-87"/>
        </w:rPr>
        <w:t> </w:t>
      </w:r>
      <w:r>
        <w:rPr>
          <w:rFonts w:ascii="宋体" w:hAnsi="宋体" w:cs="宋体" w:eastAsia="宋体" w:hint="default"/>
          <w:spacing w:val="-5"/>
        </w:rPr>
        <w:t>IaaS</w:t>
      </w:r>
      <w:r>
        <w:rPr>
          <w:spacing w:val="-5"/>
        </w:rPr>
        <w:t>服务得到国内企业用户的充分认可。国内</w:t>
      </w:r>
      <w:r>
        <w:rPr>
          <w:rFonts w:ascii="宋体" w:hAnsi="宋体" w:cs="宋体" w:eastAsia="宋体" w:hint="default"/>
          <w:spacing w:val="-5"/>
        </w:rPr>
        <w:t>IaaS</w:t>
      </w:r>
      <w:r>
        <w:rPr>
          <w:spacing w:val="-5"/>
        </w:rPr>
        <w:t>市场成为游戏、视频、移动互联网等领域中小企业</w:t>
      </w:r>
      <w:r>
        <w:rPr>
          <w:rFonts w:ascii="宋体" w:hAnsi="宋体" w:cs="宋体" w:eastAsia="宋体" w:hint="default"/>
          <w:spacing w:val="-5"/>
        </w:rPr>
        <w:t>IT</w:t>
      </w:r>
      <w:r>
        <w:rPr>
          <w:spacing w:val="-5"/>
        </w:rPr>
        <w:t>资源建设的首选，</w:t>
      </w:r>
    </w:p>
    <w:p>
      <w:pPr>
        <w:pStyle w:val="BodyText"/>
        <w:spacing w:line="222" w:lineRule="exact"/>
        <w:ind w:right="111"/>
        <w:jc w:val="left"/>
        <w:rPr>
          <w:rFonts w:ascii="宋体" w:hAnsi="宋体" w:cs="宋体" w:eastAsia="宋体" w:hint="default"/>
        </w:rPr>
      </w:pPr>
      <w:r>
        <w:rPr/>
        <w:t>预计未来几年仍将保持较高的增速。从应用形式来看，云主机、云存储用户采用率最高，使用比例</w:t>
      </w:r>
      <w:r>
        <w:rPr>
          <w:rFonts w:ascii="宋体" w:hAnsi="宋体" w:cs="宋体" w:eastAsia="宋体" w:hint="default"/>
        </w:rPr>
        <w:t>70%</w:t>
      </w:r>
      <w:r>
        <w:rPr/>
        <w:t>以上，同时也有</w:t>
      </w:r>
      <w:r>
        <w:rPr>
          <w:rFonts w:ascii="宋体" w:hAnsi="宋体" w:cs="宋体" w:eastAsia="宋体" w:hint="default"/>
        </w:rPr>
        <w:t>70%</w:t>
      </w:r>
    </w:p>
    <w:p>
      <w:pPr>
        <w:pStyle w:val="BodyText"/>
        <w:spacing w:line="240" w:lineRule="auto" w:before="76"/>
        <w:ind w:right="111"/>
        <w:jc w:val="left"/>
      </w:pPr>
      <w:r>
        <w:rPr/>
        <w:t>以上的企业表示未来将会采用云主机或云存储服务，并且云存储的比例将进一步提升。</w:t>
      </w:r>
    </w:p>
    <w:p>
      <w:pPr>
        <w:spacing w:line="240" w:lineRule="auto" w:before="1"/>
        <w:rPr>
          <w:rFonts w:ascii="宋体" w:hAnsi="宋体" w:cs="宋体" w:eastAsia="宋体" w:hint="default"/>
          <w:sz w:val="25"/>
          <w:szCs w:val="25"/>
        </w:rPr>
      </w:pPr>
    </w:p>
    <w:p>
      <w:pPr>
        <w:pStyle w:val="Heading2"/>
        <w:spacing w:line="240" w:lineRule="auto"/>
        <w:ind w:right="111"/>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9"/>
          <w:szCs w:val="19"/>
        </w:rPr>
      </w:pPr>
    </w:p>
    <w:p>
      <w:pPr>
        <w:pStyle w:val="BodyText"/>
        <w:spacing w:line="240" w:lineRule="auto" w:before="44"/>
        <w:ind w:left="0" w:right="219"/>
        <w:jc w:val="right"/>
      </w:pPr>
      <w:r>
        <w:rPr/>
        <w:pict>
          <v:shape style="position:absolute;margin-left:57pt;margin-top:-74.678261pt;width:478.7pt;height:252.9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39"/>
                    <w:gridCol w:w="6519"/>
                  </w:tblGrid>
                  <w:tr>
                    <w:trPr>
                      <w:trHeight w:val="185" w:hRule="exact"/>
                    </w:trPr>
                    <w:tc>
                      <w:tcPr>
                        <w:tcW w:w="303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0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303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10" w:space="0" w:color="D2D2D2"/>
                          <w:right w:val="single" w:sz="4" w:space="0" w:color="000000"/>
                        </w:tcBorders>
                      </w:tcPr>
                      <w:p>
                        <w:pPr>
                          <w:pStyle w:val="TableParagraph"/>
                          <w:spacing w:line="300" w:lineRule="auto" w:before="49"/>
                          <w:ind w:left="16" w:right="22"/>
                          <w:jc w:val="left"/>
                          <w:rPr>
                            <w:rFonts w:ascii="宋体" w:hAnsi="宋体" w:cs="宋体" w:eastAsia="宋体" w:hint="default"/>
                            <w:sz w:val="18"/>
                            <w:szCs w:val="18"/>
                          </w:rPr>
                        </w:pPr>
                        <w:r>
                          <w:rPr>
                            <w:rFonts w:ascii="宋体" w:hAnsi="宋体" w:cs="宋体" w:eastAsia="宋体" w:hint="default"/>
                            <w:spacing w:val="-3"/>
                            <w:sz w:val="18"/>
                            <w:szCs w:val="18"/>
                          </w:rPr>
                          <w:t>报告期内，长期股权投资减少</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16.03%</w:t>
                        </w:r>
                        <w:r>
                          <w:rPr>
                            <w:rFonts w:ascii="宋体" w:hAnsi="宋体" w:cs="宋体" w:eastAsia="宋体" w:hint="default"/>
                            <w:sz w:val="18"/>
                            <w:szCs w:val="18"/>
                          </w:rPr>
                          <w:t>，主要原因为权益法核算被投资单位当期亏损 所致。</w:t>
                        </w:r>
                      </w:p>
                    </w:tc>
                  </w:tr>
                  <w:tr>
                    <w:trPr>
                      <w:trHeight w:val="394" w:hRule="exact"/>
                    </w:trPr>
                    <w:tc>
                      <w:tcPr>
                        <w:tcW w:w="30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vMerge/>
                        <w:tcBorders>
                          <w:left w:val="single" w:sz="10" w:space="0" w:color="D2D2D2"/>
                          <w:right w:val="single" w:sz="4" w:space="0" w:color="000000"/>
                        </w:tcBorders>
                      </w:tcPr>
                      <w:p>
                        <w:pPr/>
                      </w:p>
                    </w:tc>
                  </w:tr>
                  <w:tr>
                    <w:trPr>
                      <w:trHeight w:val="161" w:hRule="exact"/>
                    </w:trPr>
                    <w:tc>
                      <w:tcPr>
                        <w:tcW w:w="30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10" w:space="0" w:color="D2D2D2"/>
                          <w:bottom w:val="single" w:sz="4" w:space="0" w:color="000000"/>
                          <w:right w:val="single" w:sz="4" w:space="0" w:color="000000"/>
                        </w:tcBorders>
                      </w:tcPr>
                      <w:p>
                        <w:pPr/>
                      </w:p>
                    </w:tc>
                  </w:tr>
                  <w:tr>
                    <w:trPr>
                      <w:trHeight w:val="317" w:hRule="exact"/>
                    </w:trPr>
                    <w:tc>
                      <w:tcPr>
                        <w:tcW w:w="303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10" w:space="0" w:color="D2D2D2"/>
                          <w:right w:val="single" w:sz="4" w:space="0" w:color="000000"/>
                        </w:tcBorders>
                      </w:tcPr>
                      <w:p>
                        <w:pPr>
                          <w:pStyle w:val="TableParagraph"/>
                          <w:spacing w:line="307" w:lineRule="auto" w:before="49"/>
                          <w:ind w:left="16" w:right="22"/>
                          <w:jc w:val="left"/>
                          <w:rPr>
                            <w:rFonts w:ascii="宋体" w:hAnsi="宋体" w:cs="宋体" w:eastAsia="宋体" w:hint="default"/>
                            <w:sz w:val="18"/>
                            <w:szCs w:val="18"/>
                          </w:rPr>
                        </w:pPr>
                        <w:r>
                          <w:rPr>
                            <w:rFonts w:ascii="宋体" w:hAnsi="宋体" w:cs="宋体" w:eastAsia="宋体" w:hint="default"/>
                            <w:spacing w:val="-6"/>
                            <w:sz w:val="18"/>
                            <w:szCs w:val="18"/>
                          </w:rPr>
                          <w:t>报告期内，固定资产增加</w:t>
                        </w:r>
                        <w:r>
                          <w:rPr>
                            <w:rFonts w:ascii="宋体" w:hAnsi="宋体" w:cs="宋体" w:eastAsia="宋体" w:hint="default"/>
                            <w:spacing w:val="-36"/>
                            <w:sz w:val="18"/>
                            <w:szCs w:val="18"/>
                          </w:rPr>
                          <w:t> </w:t>
                        </w:r>
                        <w:r>
                          <w:rPr>
                            <w:rFonts w:ascii="Times New Roman" w:hAnsi="Times New Roman" w:cs="Times New Roman" w:eastAsia="Times New Roman" w:hint="default"/>
                            <w:spacing w:val="-5"/>
                            <w:sz w:val="18"/>
                            <w:szCs w:val="18"/>
                          </w:rPr>
                          <w:t>41.46%</w:t>
                        </w:r>
                        <w:r>
                          <w:rPr>
                            <w:rFonts w:ascii="宋体" w:hAnsi="宋体" w:cs="宋体" w:eastAsia="宋体" w:hint="default"/>
                            <w:spacing w:val="-5"/>
                            <w:sz w:val="18"/>
                            <w:szCs w:val="18"/>
                          </w:rPr>
                          <w:t>，主要原因为报告期内向亚马逊通技术服务（北京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
                            <w:sz w:val="18"/>
                            <w:szCs w:val="18"/>
                          </w:rPr>
                          <w:t>有限公司购买设备；亦庄绿色云计算基地、上海嘉定绿色云计算基地以及燕郊云谷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二期部分完工转固。</w:t>
                        </w:r>
                      </w:p>
                    </w:tc>
                  </w:tr>
                  <w:tr>
                    <w:trPr>
                      <w:trHeight w:val="391" w:hRule="exact"/>
                    </w:trPr>
                    <w:tc>
                      <w:tcPr>
                        <w:tcW w:w="30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vMerge/>
                        <w:tcBorders>
                          <w:left w:val="single" w:sz="10" w:space="0" w:color="D2D2D2"/>
                          <w:right w:val="single" w:sz="4" w:space="0" w:color="000000"/>
                        </w:tcBorders>
                      </w:tcPr>
                      <w:p>
                        <w:pPr/>
                      </w:p>
                    </w:tc>
                  </w:tr>
                  <w:tr>
                    <w:trPr>
                      <w:trHeight w:val="317" w:hRule="exact"/>
                    </w:trPr>
                    <w:tc>
                      <w:tcPr>
                        <w:tcW w:w="30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10" w:space="0" w:color="D2D2D2"/>
                          <w:bottom w:val="single" w:sz="4" w:space="0" w:color="000000"/>
                          <w:right w:val="single" w:sz="4" w:space="0" w:color="000000"/>
                        </w:tcBorders>
                      </w:tcPr>
                      <w:p>
                        <w:pP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报告期内，无形资产减少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1.25%</w:t>
                        </w:r>
                        <w:r>
                          <w:rPr>
                            <w:rFonts w:ascii="宋体" w:hAnsi="宋体" w:cs="宋体" w:eastAsia="宋体" w:hint="default"/>
                            <w:sz w:val="18"/>
                            <w:szCs w:val="18"/>
                          </w:rPr>
                          <w:t>，主要原因为本期无形资产摊销。</w:t>
                        </w:r>
                      </w:p>
                    </w:tc>
                  </w:tr>
                  <w:tr>
                    <w:trPr>
                      <w:trHeight w:val="317" w:hRule="exact"/>
                    </w:trPr>
                    <w:tc>
                      <w:tcPr>
                        <w:tcW w:w="303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10" w:space="0" w:color="D2D2D2"/>
                          <w:right w:val="single" w:sz="4" w:space="0" w:color="000000"/>
                        </w:tcBorders>
                      </w:tcPr>
                      <w:p>
                        <w:pPr>
                          <w:pStyle w:val="TableParagraph"/>
                          <w:spacing w:line="307" w:lineRule="auto" w:before="49"/>
                          <w:ind w:left="16" w:right="20"/>
                          <w:jc w:val="both"/>
                          <w:rPr>
                            <w:rFonts w:ascii="宋体" w:hAnsi="宋体" w:cs="宋体" w:eastAsia="宋体" w:hint="default"/>
                            <w:sz w:val="18"/>
                            <w:szCs w:val="18"/>
                          </w:rPr>
                        </w:pPr>
                        <w:r>
                          <w:rPr>
                            <w:rFonts w:ascii="宋体" w:hAnsi="宋体" w:cs="宋体" w:eastAsia="宋体" w:hint="default"/>
                            <w:spacing w:val="-3"/>
                            <w:sz w:val="18"/>
                            <w:szCs w:val="18"/>
                          </w:rPr>
                          <w:t>报告期内，在建工程增加</w:t>
                        </w:r>
                        <w:r>
                          <w:rPr>
                            <w:rFonts w:ascii="宋体" w:hAnsi="宋体" w:cs="宋体" w:eastAsia="宋体" w:hint="default"/>
                            <w:spacing w:val="-40"/>
                            <w:sz w:val="18"/>
                            <w:szCs w:val="18"/>
                          </w:rPr>
                          <w:t> </w:t>
                        </w:r>
                        <w:r>
                          <w:rPr>
                            <w:rFonts w:ascii="Times New Roman" w:hAnsi="Times New Roman" w:cs="Times New Roman" w:eastAsia="Times New Roman" w:hint="default"/>
                            <w:spacing w:val="-2"/>
                            <w:sz w:val="18"/>
                            <w:szCs w:val="18"/>
                          </w:rPr>
                          <w:t>75.86%</w:t>
                        </w:r>
                        <w:r>
                          <w:rPr>
                            <w:rFonts w:ascii="宋体" w:hAnsi="宋体" w:cs="宋体" w:eastAsia="宋体" w:hint="default"/>
                            <w:spacing w:val="-2"/>
                            <w:sz w:val="18"/>
                            <w:szCs w:val="18"/>
                          </w:rPr>
                          <w:t>，主要原因为公司燕郊光环云谷二期项目、上海嘉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定绿色云计算基地项目、房山绿色云计算基地项目、亦庄绿色云计算基地项目逐步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投入建设。</w:t>
                        </w:r>
                      </w:p>
                    </w:tc>
                  </w:tr>
                  <w:tr>
                    <w:trPr>
                      <w:trHeight w:val="391" w:hRule="exact"/>
                    </w:trPr>
                    <w:tc>
                      <w:tcPr>
                        <w:tcW w:w="30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vMerge/>
                        <w:tcBorders>
                          <w:left w:val="single" w:sz="10" w:space="0" w:color="D2D2D2"/>
                          <w:right w:val="single" w:sz="4" w:space="0" w:color="000000"/>
                        </w:tcBorders>
                      </w:tcPr>
                      <w:p>
                        <w:pPr/>
                      </w:p>
                    </w:tc>
                  </w:tr>
                  <w:tr>
                    <w:trPr>
                      <w:trHeight w:val="317" w:hRule="exact"/>
                    </w:trPr>
                    <w:tc>
                      <w:tcPr>
                        <w:tcW w:w="30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10" w:space="0" w:color="D2D2D2"/>
                          <w:bottom w:val="single" w:sz="4" w:space="0" w:color="000000"/>
                          <w:right w:val="single" w:sz="4" w:space="0" w:color="000000"/>
                        </w:tcBorders>
                      </w:tcPr>
                      <w:p>
                        <w:pPr/>
                      </w:p>
                    </w:tc>
                  </w:tr>
                  <w:tr>
                    <w:trPr>
                      <w:trHeight w:val="716" w:hRule="exact"/>
                    </w:trPr>
                    <w:tc>
                      <w:tcPr>
                        <w:tcW w:w="30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报告期内，可供出售金融资产增加</w:t>
                        </w:r>
                        <w:r>
                          <w:rPr>
                            <w:rFonts w:ascii="宋体" w:hAnsi="宋体" w:cs="宋体" w:eastAsia="宋体" w:hint="default"/>
                            <w:spacing w:val="-52"/>
                            <w:sz w:val="18"/>
                            <w:szCs w:val="18"/>
                          </w:rPr>
                          <w:t> </w:t>
                        </w:r>
                        <w:r>
                          <w:rPr>
                            <w:rFonts w:ascii="Times New Roman" w:hAnsi="Times New Roman" w:cs="Times New Roman" w:eastAsia="Times New Roman" w:hint="default"/>
                            <w:spacing w:val="-3"/>
                            <w:sz w:val="18"/>
                            <w:szCs w:val="18"/>
                          </w:rPr>
                          <w:t>22.08%</w:t>
                        </w:r>
                        <w:r>
                          <w:rPr>
                            <w:rFonts w:ascii="宋体" w:hAnsi="宋体" w:cs="宋体" w:eastAsia="宋体" w:hint="default"/>
                            <w:spacing w:val="-3"/>
                            <w:sz w:val="18"/>
                            <w:szCs w:val="18"/>
                          </w:rPr>
                          <w:t>，主要原因为增资北京柘量投资中心（有</w:t>
                        </w:r>
                        <w:r>
                          <w:rPr>
                            <w:rFonts w:ascii="宋体" w:hAnsi="宋体" w:cs="宋体" w:eastAsia="宋体" w:hint="default"/>
                            <w:sz w:val="18"/>
                            <w:szCs w:val="18"/>
                          </w:rPr>
                          <w:t> </w:t>
                        </w:r>
                        <w:r>
                          <w:rPr>
                            <w:rFonts w:ascii="宋体" w:hAnsi="宋体" w:cs="宋体" w:eastAsia="宋体" w:hint="default"/>
                            <w:spacing w:val="-19"/>
                            <w:sz w:val="18"/>
                            <w:szCs w:val="18"/>
                          </w:rPr>
                          <w:t>限合伙）。</w:t>
                        </w: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报告期内，货币资金增加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86.75%</w:t>
                        </w:r>
                        <w:r>
                          <w:rPr>
                            <w:rFonts w:ascii="宋体" w:hAnsi="宋体" w:cs="宋体" w:eastAsia="宋体" w:hint="default"/>
                            <w:sz w:val="18"/>
                            <w:szCs w:val="18"/>
                          </w:rPr>
                          <w:t>，主要原因为报告期内收回应收客户欠款。</w:t>
                        </w:r>
                      </w:p>
                    </w:tc>
                  </w:tr>
                </w:tbl>
                <w:p>
                  <w:pPr/>
                </w:p>
              </w:txbxContent>
            </v:textbox>
            <w10:wrap type="none"/>
          </v:shape>
        </w:pict>
      </w:r>
      <w:r>
        <w:rPr/>
        <w:t>）</w:t>
      </w:r>
    </w:p>
    <w:p>
      <w:pPr>
        <w:spacing w:after="0" w:line="240" w:lineRule="auto"/>
        <w:jc w:val="right"/>
        <w:sectPr>
          <w:pgSz w:w="11910" w:h="16840"/>
          <w:pgMar w:header="745" w:footer="979" w:top="1060" w:bottom="1160" w:left="980" w:right="9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050"/>
        <w:gridCol w:w="6519"/>
      </w:tblGrid>
      <w:tr>
        <w:trPr>
          <w:trHeight w:val="713"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jc w:val="left"/>
              <w:rPr>
                <w:rFonts w:ascii="宋体" w:hAnsi="宋体" w:cs="宋体" w:eastAsia="宋体" w:hint="default"/>
                <w:sz w:val="18"/>
                <w:szCs w:val="18"/>
              </w:rPr>
            </w:pPr>
            <w:r>
              <w:rPr>
                <w:rFonts w:ascii="宋体" w:hAnsi="宋体" w:cs="宋体" w:eastAsia="宋体" w:hint="default"/>
                <w:spacing w:val="-3"/>
                <w:sz w:val="18"/>
                <w:szCs w:val="18"/>
              </w:rPr>
              <w:t>报告期内，应收账款增加</w:t>
            </w:r>
            <w:r>
              <w:rPr>
                <w:rFonts w:ascii="宋体" w:hAnsi="宋体" w:cs="宋体" w:eastAsia="宋体" w:hint="default"/>
                <w:spacing w:val="-40"/>
                <w:sz w:val="18"/>
                <w:szCs w:val="18"/>
              </w:rPr>
              <w:t> </w:t>
            </w:r>
            <w:r>
              <w:rPr>
                <w:rFonts w:ascii="Times New Roman" w:hAnsi="Times New Roman" w:cs="Times New Roman" w:eastAsia="Times New Roman" w:hint="default"/>
                <w:spacing w:val="-2"/>
                <w:sz w:val="18"/>
                <w:szCs w:val="18"/>
              </w:rPr>
              <w:t>76.17%</w:t>
            </w:r>
            <w:r>
              <w:rPr>
                <w:rFonts w:ascii="宋体" w:hAnsi="宋体" w:cs="宋体" w:eastAsia="宋体" w:hint="default"/>
                <w:spacing w:val="-2"/>
                <w:sz w:val="18"/>
                <w:szCs w:val="18"/>
              </w:rPr>
              <w:t>，主要原因为公司云计算业务快速发展，对客户账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期之内的应收款项增加。</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报告期内，其他应收款增加</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54.42%</w:t>
            </w:r>
            <w:r>
              <w:rPr>
                <w:rFonts w:ascii="宋体" w:hAnsi="宋体" w:cs="宋体" w:eastAsia="宋体" w:hint="default"/>
                <w:sz w:val="18"/>
                <w:szCs w:val="18"/>
              </w:rPr>
              <w:t>，主要原因为支付的保证金增加。</w:t>
            </w:r>
          </w:p>
        </w:tc>
      </w:tr>
      <w:tr>
        <w:trPr>
          <w:trHeight w:val="401"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报告期内，其他流动资产减少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32.99%</w:t>
            </w:r>
            <w:r>
              <w:rPr>
                <w:rFonts w:ascii="宋体" w:hAnsi="宋体" w:cs="宋体" w:eastAsia="宋体" w:hint="default"/>
                <w:sz w:val="18"/>
                <w:szCs w:val="18"/>
              </w:rPr>
              <w:t>，主要原因为公司收回到期理财产品本金。</w:t>
            </w:r>
          </w:p>
        </w:tc>
      </w:tr>
      <w:tr>
        <w:trPr>
          <w:trHeight w:val="715"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2"/>
              <w:jc w:val="left"/>
              <w:rPr>
                <w:rFonts w:ascii="宋体" w:hAnsi="宋体" w:cs="宋体" w:eastAsia="宋体" w:hint="default"/>
                <w:sz w:val="18"/>
                <w:szCs w:val="18"/>
              </w:rPr>
            </w:pPr>
            <w:r>
              <w:rPr>
                <w:rFonts w:ascii="宋体" w:hAnsi="宋体" w:cs="宋体" w:eastAsia="宋体" w:hint="default"/>
                <w:spacing w:val="-3"/>
                <w:sz w:val="18"/>
                <w:szCs w:val="18"/>
              </w:rPr>
              <w:t>报告期内，长期待摊费用增加</w:t>
            </w:r>
            <w:r>
              <w:rPr>
                <w:rFonts w:ascii="宋体" w:hAnsi="宋体" w:cs="宋体" w:eastAsia="宋体" w:hint="default"/>
                <w:spacing w:val="-41"/>
                <w:sz w:val="18"/>
                <w:szCs w:val="18"/>
              </w:rPr>
              <w:t> </w:t>
            </w:r>
            <w:r>
              <w:rPr>
                <w:rFonts w:ascii="Times New Roman" w:hAnsi="Times New Roman" w:cs="Times New Roman" w:eastAsia="Times New Roman" w:hint="default"/>
                <w:spacing w:val="-2"/>
                <w:sz w:val="18"/>
                <w:szCs w:val="18"/>
              </w:rPr>
              <w:t>56.45%</w:t>
            </w:r>
            <w:r>
              <w:rPr>
                <w:rFonts w:ascii="宋体" w:hAnsi="宋体" w:cs="宋体" w:eastAsia="宋体" w:hint="default"/>
                <w:spacing w:val="-2"/>
                <w:sz w:val="18"/>
                <w:szCs w:val="18"/>
              </w:rPr>
              <w:t>，主要原因为报告期内上海嘉定绿色云计算基</w:t>
            </w:r>
            <w:r>
              <w:rPr>
                <w:rFonts w:ascii="宋体" w:hAnsi="宋体" w:cs="宋体" w:eastAsia="宋体" w:hint="default"/>
                <w:sz w:val="18"/>
                <w:szCs w:val="18"/>
              </w:rPr>
              <w:t> 地项目、燕郊云谷二期部分完工和增加燕郊云谷二期项目场地租赁费。</w:t>
            </w:r>
          </w:p>
        </w:tc>
      </w:tr>
      <w:tr>
        <w:trPr>
          <w:trHeight w:val="715"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1"/>
              <w:jc w:val="left"/>
              <w:rPr>
                <w:rFonts w:ascii="宋体" w:hAnsi="宋体" w:cs="宋体" w:eastAsia="宋体" w:hint="default"/>
                <w:sz w:val="18"/>
                <w:szCs w:val="18"/>
              </w:rPr>
            </w:pPr>
            <w:r>
              <w:rPr>
                <w:rFonts w:ascii="宋体" w:hAnsi="宋体" w:cs="宋体" w:eastAsia="宋体" w:hint="default"/>
                <w:sz w:val="18"/>
                <w:szCs w:val="18"/>
              </w:rPr>
              <w:t>报告期内，递延所得税资产增加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317.48%</w:t>
            </w:r>
            <w:r>
              <w:rPr>
                <w:rFonts w:ascii="宋体" w:hAnsi="宋体" w:cs="宋体" w:eastAsia="宋体" w:hint="default"/>
                <w:sz w:val="18"/>
                <w:szCs w:val="18"/>
              </w:rPr>
              <w:t>，主要原因为研发费在企业所得税前分期 抵扣。</w:t>
            </w:r>
          </w:p>
        </w:tc>
      </w:tr>
    </w:tbl>
    <w:p>
      <w:pPr>
        <w:spacing w:line="240" w:lineRule="auto" w:before="3"/>
        <w:rPr>
          <w:rFonts w:ascii="宋体" w:hAnsi="宋体" w:cs="宋体" w:eastAsia="宋体" w:hint="default"/>
          <w:sz w:val="19"/>
          <w:szCs w:val="19"/>
        </w:rPr>
      </w:pPr>
    </w:p>
    <w:p>
      <w:pPr>
        <w:pStyle w:val="Heading3"/>
        <w:spacing w:line="240" w:lineRule="auto" w:before="36"/>
        <w:ind w:right="183"/>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83"/>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6754"/>
        <w:jc w:val="left"/>
      </w:pPr>
      <w:r>
        <w:rPr/>
        <w:t>公司是否需要遵守特殊行业的披露要求 否</w:t>
      </w:r>
    </w:p>
    <w:p>
      <w:pPr>
        <w:pStyle w:val="BodyText"/>
        <w:spacing w:line="316" w:lineRule="auto" w:before="29"/>
        <w:ind w:right="94" w:firstLine="360"/>
        <w:jc w:val="left"/>
      </w:pPr>
      <w:r>
        <w:rPr/>
        <w:t>公司成立至今，致力于以先进技术、优质资源和高品质服务推动公司业务不断发展创新，为用户提供更加高速、稳定、 安全的互联网环境，聚拢优质资源和技术，赢得了良好的商业信誉，尤其在云计算业务及</w:t>
      </w:r>
      <w:r>
        <w:rPr>
          <w:rFonts w:ascii="宋体" w:hAnsi="宋体" w:cs="宋体" w:eastAsia="宋体" w:hint="default"/>
        </w:rPr>
        <w:t>IDC</w:t>
      </w:r>
      <w:r>
        <w:rPr/>
        <w:t>及其增值业务领域取得了长足 的发展，在市场上享有领先的市场份额和较高的品牌知名度。</w:t>
      </w:r>
    </w:p>
    <w:p>
      <w:pPr>
        <w:pStyle w:val="BodyText"/>
        <w:spacing w:line="300" w:lineRule="auto" w:before="19"/>
        <w:ind w:left="513" w:right="183"/>
        <w:jc w:val="left"/>
      </w:pPr>
      <w:r>
        <w:rPr>
          <w:rFonts w:ascii="Times New Roman" w:hAnsi="Times New Roman" w:cs="Times New Roman" w:eastAsia="Times New Roman" w:hint="default"/>
          <w:b/>
          <w:bCs/>
        </w:rPr>
        <w:t>1</w:t>
      </w:r>
      <w:r>
        <w:rPr>
          <w:rFonts w:ascii="宋体" w:hAnsi="宋体" w:cs="宋体" w:eastAsia="宋体" w:hint="default"/>
          <w:b/>
          <w:bCs/>
        </w:rPr>
        <w:t>、技术服务创新优势</w:t>
      </w:r>
      <w:r>
        <w:rPr>
          <w:rFonts w:ascii="宋体" w:hAnsi="宋体" w:cs="宋体" w:eastAsia="宋体" w:hint="default"/>
          <w:b/>
          <w:bCs/>
          <w:w w:val="99"/>
        </w:rPr>
        <w:t> </w:t>
      </w:r>
      <w:r>
        <w:rPr>
          <w:spacing w:val="-2"/>
        </w:rPr>
        <w:t>公司与国际知名企业亚马逊保持着长期友好的合作关系，</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8</w:t>
      </w:r>
      <w:r>
        <w:rPr>
          <w:spacing w:val="-2"/>
        </w:rPr>
        <w:t>月公司经亚马逊授权开始提供并运营北京区域</w:t>
      </w:r>
      <w:r>
        <w:rPr>
          <w:rFonts w:ascii="宋体" w:hAnsi="宋体" w:cs="宋体" w:eastAsia="宋体" w:hint="default"/>
          <w:spacing w:val="-2"/>
        </w:rPr>
        <w:t>AWS</w:t>
      </w:r>
      <w:r>
        <w:rPr>
          <w:spacing w:val="-2"/>
        </w:rPr>
        <w:t>云服</w:t>
      </w:r>
    </w:p>
    <w:p>
      <w:pPr>
        <w:pStyle w:val="BodyText"/>
        <w:spacing w:line="316" w:lineRule="auto" w:before="13"/>
        <w:ind w:right="184"/>
        <w:jc w:val="left"/>
      </w:pPr>
      <w:r>
        <w:rPr/>
        <w:t>务，报告期内公司向亚马逊购买了运营亚马逊云服务的特定经营性资产，进一步确保持续稳定地提供并运营</w:t>
      </w:r>
      <w:r>
        <w:rPr>
          <w:rFonts w:ascii="宋体" w:hAnsi="宋体" w:cs="宋体" w:eastAsia="宋体" w:hint="default"/>
        </w:rPr>
        <w:t>AWS</w:t>
      </w:r>
      <w:r>
        <w:rPr/>
        <w:t>云服务，夯 实了公司在云计算业务领域的行业地位，增强了公司在云计算业务方面的竞争实力。</w:t>
      </w:r>
    </w:p>
    <w:p>
      <w:pPr>
        <w:pStyle w:val="BodyText"/>
        <w:spacing w:line="309" w:lineRule="auto" w:before="19"/>
        <w:ind w:right="189" w:firstLine="360"/>
        <w:jc w:val="both"/>
      </w:pPr>
      <w:r>
        <w:rPr>
          <w:spacing w:val="-1"/>
        </w:rPr>
        <w:t>报告期内，公司依托</w:t>
      </w:r>
      <w:r>
        <w:rPr>
          <w:rFonts w:ascii="Times New Roman" w:hAnsi="Times New Roman" w:cs="Times New Roman" w:eastAsia="Times New Roman" w:hint="default"/>
          <w:spacing w:val="-1"/>
        </w:rPr>
        <w:t>IDC</w:t>
      </w:r>
      <w:r>
        <w:rPr>
          <w:spacing w:val="-1"/>
        </w:rPr>
        <w:t>业务和公有云服务进行混合云应用的深入开发，完成混合云数据备份与恢复、大数据存储与分</w:t>
      </w:r>
      <w:r>
        <w:rPr/>
        <w:t> </w:t>
      </w:r>
      <w:r>
        <w:rPr>
          <w:spacing w:val="-2"/>
        </w:rPr>
        <w:t>析等应用开发，可为客户提供一站式混合云解决方案服务。公司还完成了数据中心智能化管理系统的研发，进一步提升了数</w:t>
      </w:r>
      <w:r>
        <w:rPr>
          <w:spacing w:val="-62"/>
        </w:rPr>
        <w:t> </w:t>
      </w:r>
      <w:r>
        <w:rPr>
          <w:spacing w:val="-62"/>
        </w:rPr>
      </w:r>
      <w:r>
        <w:rPr/>
        <w:t>据中心运维服务能力。</w:t>
      </w:r>
    </w:p>
    <w:p>
      <w:pPr>
        <w:pStyle w:val="BodyText"/>
        <w:spacing w:line="309" w:lineRule="auto" w:before="24"/>
        <w:ind w:right="189" w:firstLine="360"/>
        <w:jc w:val="both"/>
      </w:pPr>
      <w:r>
        <w:rPr>
          <w:spacing w:val="-2"/>
        </w:rPr>
        <w:t>公司在全国范围内拥有多家大型自建数据中心，在数据中心建设方面积累了丰富的经验，拥有一支由多名资深行业工程</w:t>
      </w:r>
      <w:r>
        <w:rPr/>
        <w:t> </w:t>
      </w:r>
      <w:r>
        <w:rPr>
          <w:spacing w:val="-5"/>
        </w:rPr>
        <w:t>师组建的技术团队。在实践过程中，公司不断更新、改进现有技术，致力于打造高品质、高效率、高性价比的一流数据中心。</w:t>
      </w:r>
      <w:r>
        <w:rPr>
          <w:spacing w:val="-79"/>
        </w:rPr>
        <w:t> </w:t>
      </w:r>
      <w:r>
        <w:rPr>
          <w:spacing w:val="-79"/>
        </w:rPr>
      </w:r>
      <w:r>
        <w:rPr>
          <w:spacing w:val="-2"/>
        </w:rPr>
        <w:t>公司秉承这一理念，不断提供数据中心建设标准，</w:t>
      </w:r>
      <w:r>
        <w:rPr>
          <w:rFonts w:ascii="Times New Roman" w:hAnsi="Times New Roman" w:cs="Times New Roman" w:eastAsia="Times New Roman" w:hint="default"/>
          <w:spacing w:val="-2"/>
        </w:rPr>
        <w:t>2017</w:t>
      </w:r>
      <w:r>
        <w:rPr>
          <w:spacing w:val="-2"/>
        </w:rPr>
        <w:t>年公司上海嘉定数据中心经过全球数据中心业界最知名、权威的认证</w:t>
      </w:r>
      <w:r>
        <w:rPr>
          <w:spacing w:val="-60"/>
        </w:rPr>
        <w:t> </w:t>
      </w:r>
      <w:r>
        <w:rPr>
          <w:spacing w:val="-60"/>
        </w:rPr>
      </w:r>
      <w:r>
        <w:rPr/>
        <w:t>机构</w:t>
      </w:r>
      <w:r>
        <w:rPr>
          <w:rFonts w:ascii="Times New Roman" w:hAnsi="Times New Roman" w:cs="Times New Roman" w:eastAsia="Times New Roman" w:hint="default"/>
        </w:rPr>
        <w:t>Uptime Institute</w:t>
      </w:r>
      <w:r>
        <w:rPr/>
        <w:t>为期数月的严格评审，获得</w:t>
      </w:r>
      <w:r>
        <w:rPr>
          <w:rFonts w:ascii="Times New Roman" w:hAnsi="Times New Roman" w:cs="Times New Roman" w:eastAsia="Times New Roman" w:hint="default"/>
        </w:rPr>
        <w:t>Uptime Institute</w:t>
      </w:r>
      <w:r>
        <w:rPr>
          <w:rFonts w:ascii="Times New Roman" w:hAnsi="Times New Roman" w:cs="Times New Roman" w:eastAsia="Times New Roman" w:hint="default"/>
          <w:spacing w:val="-6"/>
        </w:rPr>
        <w:t> </w:t>
      </w:r>
      <w:r>
        <w:rPr>
          <w:rFonts w:ascii="Times New Roman" w:hAnsi="Times New Roman" w:cs="Times New Roman" w:eastAsia="Times New Roman" w:hint="default"/>
        </w:rPr>
        <w:t>T4</w:t>
      </w:r>
      <w:r>
        <w:rPr/>
        <w:t>标准认证，成为上海地区唯一一家获得</w:t>
      </w:r>
      <w:r>
        <w:rPr>
          <w:rFonts w:ascii="Times New Roman" w:hAnsi="Times New Roman" w:cs="Times New Roman" w:eastAsia="Times New Roman" w:hint="default"/>
        </w:rPr>
        <w:t>T4</w:t>
      </w:r>
      <w:r>
        <w:rPr/>
        <w:t>标准认证的商用 数据中心，进一步提升了公司的竞争实力。</w:t>
      </w:r>
    </w:p>
    <w:p>
      <w:pPr>
        <w:pStyle w:val="BodyText"/>
        <w:spacing w:line="312" w:lineRule="auto" w:before="24"/>
        <w:ind w:right="188" w:firstLine="360"/>
        <w:jc w:val="both"/>
      </w:pPr>
      <w:r>
        <w:rPr>
          <w:spacing w:val="-2"/>
        </w:rPr>
        <w:t>公司全资子公司中金云网主要从事云计算服务，高等级数据中心基础设施外包服务、</w:t>
      </w:r>
      <w:r>
        <w:rPr>
          <w:rFonts w:ascii="宋体" w:hAnsi="宋体" w:cs="宋体" w:eastAsia="宋体" w:hint="default"/>
          <w:spacing w:val="-2"/>
        </w:rPr>
        <w:t>IT</w:t>
      </w:r>
      <w:r>
        <w:rPr>
          <w:spacing w:val="-2"/>
        </w:rPr>
        <w:t>外包服务，主要面向金融行业客</w:t>
      </w:r>
      <w:r>
        <w:rPr/>
        <w:t> </w:t>
      </w:r>
      <w:r>
        <w:rPr>
          <w:spacing w:val="-2"/>
        </w:rPr>
        <w:t>户提供云主机、云存储、云桌面等基础的云服务产品和增值服务，在金融客户细分领域处于国内领先的地位。报告期内，公</w:t>
      </w:r>
      <w:r>
        <w:rPr>
          <w:spacing w:val="-66"/>
        </w:rPr>
        <w:t> </w:t>
      </w:r>
      <w:r>
        <w:rPr>
          <w:spacing w:val="-66"/>
        </w:rPr>
      </w:r>
      <w:r>
        <w:rPr>
          <w:spacing w:val="-2"/>
        </w:rPr>
        <w:t>司全资子公司中金云网继续推进数据中心绿色节能改造项目研发，在总结原有节能技术经验的基础上，持续对数据中心基础</w:t>
      </w:r>
      <w:r>
        <w:rPr>
          <w:spacing w:val="-64"/>
        </w:rPr>
        <w:t> </w:t>
      </w:r>
      <w:r>
        <w:rPr>
          <w:spacing w:val="-64"/>
        </w:rPr>
      </w:r>
      <w:r>
        <w:rPr>
          <w:spacing w:val="-2"/>
        </w:rPr>
        <w:t>设施进行节能技术改造，已完成照明管控及</w:t>
      </w:r>
      <w:r>
        <w:rPr>
          <w:rFonts w:ascii="Times New Roman" w:hAnsi="Times New Roman" w:cs="Times New Roman" w:eastAsia="Times New Roman" w:hint="default"/>
          <w:spacing w:val="-2"/>
        </w:rPr>
        <w:t>LED</w:t>
      </w:r>
      <w:r>
        <w:rPr>
          <w:spacing w:val="-2"/>
        </w:rPr>
        <w:t>灯更换、自然冷源利用、气流组织调节等工作，节能效果显著，进一步节约</w:t>
      </w:r>
      <w:r>
        <w:rPr>
          <w:spacing w:val="-55"/>
        </w:rPr>
        <w:t> </w:t>
      </w:r>
      <w:r>
        <w:rPr>
          <w:spacing w:val="-55"/>
        </w:rPr>
      </w:r>
      <w:r>
        <w:rPr/>
        <w:t>数据中心能耗，降低数据中心运营成本。另外，由中金云网主导研发的云计算平台运维系统</w:t>
      </w:r>
      <w:r>
        <w:rPr>
          <w:rFonts w:ascii="Times New Roman" w:hAnsi="Times New Roman" w:cs="Times New Roman" w:eastAsia="Times New Roman" w:hint="default"/>
        </w:rPr>
        <w:t>2.0</w:t>
      </w:r>
      <w:r>
        <w:rPr/>
        <w:t>版本已完成研发工作，并于 </w:t>
      </w:r>
      <w:r>
        <w:rPr>
          <w:rFonts w:ascii="Times New Roman" w:hAnsi="Times New Roman" w:cs="Times New Roman" w:eastAsia="Times New Roman" w:hint="default"/>
          <w:spacing w:val="-2"/>
        </w:rPr>
        <w:t>2017</w:t>
      </w:r>
      <w:r>
        <w:rPr>
          <w:spacing w:val="-2"/>
        </w:rPr>
        <w:t>年末上线使用。本系统包含了用户自服务门户层、管理自服务门户层、云服务管理层、虚拟化支撑层四部分。其中用户</w:t>
      </w:r>
      <w:r>
        <w:rPr>
          <w:spacing w:val="-65"/>
        </w:rPr>
        <w:t> </w:t>
      </w:r>
      <w:r>
        <w:rPr>
          <w:spacing w:val="-65"/>
        </w:rPr>
      </w:r>
      <w:r>
        <w:rPr>
          <w:spacing w:val="-2"/>
        </w:rPr>
        <w:t>自服务门户层可以让云平台的最终用户自主创建计算、存储、网络、增值业务，并实时查看自己业务的状态，对业务的实际</w:t>
      </w:r>
      <w:r>
        <w:rPr>
          <w:spacing w:val="-65"/>
        </w:rPr>
        <w:t> </w:t>
      </w:r>
      <w:r>
        <w:rPr>
          <w:spacing w:val="-65"/>
        </w:rPr>
      </w:r>
      <w:r>
        <w:rPr>
          <w:spacing w:val="-2"/>
        </w:rPr>
        <w:t>使用情况进行报表的统计。管理自服务门户可以让云服务平台的用户自主管理自己订阅的云服务，对云资源进行项目分组管</w:t>
      </w:r>
      <w:r>
        <w:rPr>
          <w:spacing w:val="-64"/>
        </w:rPr>
        <w:t> </w:t>
      </w:r>
      <w:r>
        <w:rPr>
          <w:spacing w:val="-64"/>
        </w:rPr>
      </w:r>
      <w:r>
        <w:rPr>
          <w:spacing w:val="-2"/>
        </w:rPr>
        <w:t>理、对内部流程进行流程审批、对主机进行监控报警设置，对内部的组织权限和操作日志进行审计等。云服务管理层的客户</w:t>
      </w:r>
      <w:r>
        <w:rPr>
          <w:spacing w:val="-64"/>
        </w:rPr>
        <w:t> </w:t>
      </w:r>
      <w:r>
        <w:rPr>
          <w:spacing w:val="-64"/>
        </w:rPr>
      </w:r>
      <w:r>
        <w:rPr>
          <w:spacing w:val="-2"/>
        </w:rPr>
        <w:t>经理可以对整个平台的客户进行服务资源、服务目录的定制和管理、同时支持复杂的消息管理和工单流转等功能。系统与底</w:t>
      </w:r>
      <w:r>
        <w:rPr>
          <w:spacing w:val="-62"/>
        </w:rPr>
        <w:t> </w:t>
      </w:r>
      <w:r>
        <w:rPr>
          <w:spacing w:val="-62"/>
        </w:rPr>
      </w:r>
      <w:r>
        <w:rPr/>
        <w:t>层云计算</w:t>
      </w:r>
      <w:r>
        <w:rPr>
          <w:rFonts w:ascii="Times New Roman" w:hAnsi="Times New Roman" w:cs="Times New Roman" w:eastAsia="Times New Roman" w:hint="default"/>
        </w:rPr>
        <w:t>IaaS</w:t>
      </w:r>
      <w:r>
        <w:rPr/>
        <w:t>的虚拟化平台接口进行了</w:t>
      </w:r>
      <w:r>
        <w:rPr>
          <w:rFonts w:ascii="Times New Roman" w:hAnsi="Times New Roman" w:cs="Times New Roman" w:eastAsia="Times New Roman" w:hint="default"/>
        </w:rPr>
        <w:t>SDK</w:t>
      </w:r>
      <w:r>
        <w:rPr/>
        <w:t>的封装，保证了数据的安全性和一致性。前后端的消息接口采用了</w:t>
      </w:r>
      <w:r>
        <w:rPr>
          <w:rFonts w:ascii="Times New Roman" w:hAnsi="Times New Roman" w:cs="Times New Roman" w:eastAsia="Times New Roman" w:hint="default"/>
        </w:rPr>
        <w:t>RabbitMQ</w:t>
      </w:r>
      <w:r>
        <w:rPr/>
        <w:t>消</w:t>
      </w:r>
    </w:p>
    <w:p>
      <w:pPr>
        <w:spacing w:after="0" w:line="312" w:lineRule="auto"/>
        <w:jc w:val="both"/>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0"/>
        <w:jc w:val="left"/>
      </w:pPr>
      <w:r>
        <w:rPr>
          <w:spacing w:val="-2"/>
        </w:rPr>
        <w:t>息中间件服务，保证了消息的安全和健壮。进一步提升了公司云服务平台的服务质量和客户体验度，同时和底层服务的充分</w:t>
      </w:r>
      <w:r>
        <w:rPr>
          <w:spacing w:val="-63"/>
        </w:rPr>
        <w:t> </w:t>
      </w:r>
      <w:r>
        <w:rPr>
          <w:spacing w:val="-63"/>
        </w:rPr>
      </w:r>
      <w:r>
        <w:rPr/>
        <w:t>对接，提高了云计算平台的运维效率，节省了运维成本，各种的客户资源的可视化报表提高了管理的效率。</w:t>
      </w:r>
    </w:p>
    <w:p>
      <w:pPr>
        <w:pStyle w:val="BodyText"/>
        <w:spacing w:line="307" w:lineRule="auto" w:before="19"/>
        <w:ind w:right="150" w:firstLine="360"/>
        <w:jc w:val="both"/>
      </w:pPr>
      <w:r>
        <w:rPr/>
        <w:t>报告期内，由中金云网主导研发的互联网流量矩阵项目</w:t>
      </w:r>
      <w:r>
        <w:rPr>
          <w:rFonts w:ascii="Times New Roman" w:hAnsi="Times New Roman" w:cs="Times New Roman" w:eastAsia="Times New Roman" w:hint="default"/>
        </w:rPr>
        <w:t>2.0</w:t>
      </w:r>
      <w:r>
        <w:rPr/>
        <w:t>已完成研发工作并投入使用，该项目支持移动、联通、电信 等三大运营商的</w:t>
      </w:r>
      <w:r>
        <w:rPr>
          <w:rFonts w:ascii="Times New Roman" w:hAnsi="Times New Roman" w:cs="Times New Roman" w:eastAsia="Times New Roman" w:hint="default"/>
        </w:rPr>
        <w:t>2G/3G/4G</w:t>
      </w:r>
      <w:r>
        <w:rPr/>
        <w:t>数据流量资源，实现了一体化的手机流量分发管理，以及短信分发营销服务。采用云服务模式， </w:t>
      </w:r>
      <w:r>
        <w:rPr>
          <w:spacing w:val="-2"/>
        </w:rPr>
        <w:t>多线服务网络，自动负载均衡，用户可以基于自己的网站和微信公众号来实现吸粉和流量转化的功能。该项技术将进一步丰</w:t>
      </w:r>
      <w:r>
        <w:rPr>
          <w:spacing w:val="-63"/>
        </w:rPr>
        <w:t> </w:t>
      </w:r>
      <w:r>
        <w:rPr>
          <w:spacing w:val="-63"/>
        </w:rPr>
      </w:r>
      <w:r>
        <w:rPr/>
        <w:t>富公司云平台的服务产品，短信服务将直接对接三大运营商接口，实现了大流量发送和高到达率的业务特点。</w:t>
      </w:r>
    </w:p>
    <w:p>
      <w:pPr>
        <w:pStyle w:val="BodyText"/>
        <w:spacing w:line="304" w:lineRule="auto" w:before="26"/>
        <w:ind w:right="0" w:firstLine="360"/>
        <w:jc w:val="left"/>
      </w:pPr>
      <w:r>
        <w:rPr>
          <w:spacing w:val="-2"/>
        </w:rPr>
        <w:t>报告期内，全资子公司无双科技继续深挖最新的移动搜索营销机会，为客户提供搜索引擎投放的数据追踪系统、效果评</w:t>
      </w:r>
      <w:r>
        <w:rPr/>
        <w:t> 估体系和</w:t>
      </w:r>
      <w:r>
        <w:rPr>
          <w:rFonts w:ascii="Times New Roman" w:hAnsi="Times New Roman" w:cs="Times New Roman" w:eastAsia="Times New Roman" w:hint="default"/>
        </w:rPr>
        <w:t>SaaS</w:t>
      </w:r>
      <w:r>
        <w:rPr/>
        <w:t>实现工具，帮助客户大幅降低新营销模式的学习成本和进入门槛。报告期内，无双科技完成了</w:t>
      </w:r>
      <w:r>
        <w:rPr>
          <w:rFonts w:ascii="Times New Roman" w:hAnsi="Times New Roman" w:cs="Times New Roman" w:eastAsia="Times New Roman" w:hint="default"/>
        </w:rPr>
        <w:t>AG</w:t>
      </w:r>
      <w:r>
        <w:rPr/>
        <w:t>动态创意模 </w:t>
      </w:r>
      <w:r>
        <w:rPr>
          <w:spacing w:val="-2"/>
        </w:rPr>
        <w:t>板系统、</w:t>
      </w:r>
      <w:r>
        <w:rPr>
          <w:rFonts w:ascii="Times New Roman" w:hAnsi="Times New Roman" w:cs="Times New Roman" w:eastAsia="Times New Roman" w:hint="default"/>
          <w:spacing w:val="-2"/>
        </w:rPr>
        <w:t>AG</w:t>
      </w:r>
      <w:r>
        <w:rPr>
          <w:spacing w:val="-2"/>
        </w:rPr>
        <w:t>人群库广告产品推荐系统、无双多媒体营销助手软件、无双广告数据诊断工具（数据医生）软件、</w:t>
      </w:r>
      <w:r>
        <w:rPr>
          <w:rFonts w:ascii="Times New Roman" w:hAnsi="Times New Roman" w:cs="Times New Roman" w:eastAsia="Times New Roman" w:hint="default"/>
          <w:spacing w:val="-2"/>
        </w:rPr>
        <w:t>AG</w:t>
      </w:r>
      <w:r>
        <w:rPr>
          <w:spacing w:val="-2"/>
        </w:rPr>
        <w:t>第三方监</w:t>
      </w:r>
      <w:r>
        <w:rPr>
          <w:spacing w:val="-46"/>
        </w:rPr>
        <w:t> </w:t>
      </w:r>
      <w:r>
        <w:rPr>
          <w:spacing w:val="-46"/>
        </w:rPr>
      </w:r>
      <w:r>
        <w:rPr/>
        <w:t>测数据对接分析系统、</w:t>
      </w:r>
      <w:r>
        <w:rPr>
          <w:rFonts w:ascii="Times New Roman" w:hAnsi="Times New Roman" w:cs="Times New Roman" w:eastAsia="Times New Roman" w:hint="default"/>
        </w:rPr>
        <w:t>AG</w:t>
      </w:r>
      <w:r>
        <w:rPr/>
        <w:t>网站影响力排名分析平台、</w:t>
      </w:r>
      <w:r>
        <w:rPr>
          <w:rFonts w:ascii="Times New Roman" w:hAnsi="Times New Roman" w:cs="Times New Roman" w:eastAsia="Times New Roman" w:hint="default"/>
        </w:rPr>
        <w:t>AG</w:t>
      </w:r>
      <w:r>
        <w:rPr/>
        <w:t>应用统计分析平台、</w:t>
      </w:r>
      <w:r>
        <w:rPr>
          <w:rFonts w:ascii="Times New Roman" w:hAnsi="Times New Roman" w:cs="Times New Roman" w:eastAsia="Times New Roman" w:hint="default"/>
        </w:rPr>
        <w:t>AG</w:t>
      </w:r>
      <w:r>
        <w:rPr/>
        <w:t>网站推广关键词自动推荐系统、基于网页 </w:t>
      </w:r>
      <w:r>
        <w:rPr>
          <w:rFonts w:ascii="Times New Roman" w:hAnsi="Times New Roman" w:cs="Times New Roman" w:eastAsia="Times New Roman" w:hint="default"/>
        </w:rPr>
        <w:t>Context</w:t>
      </w:r>
      <w:r>
        <w:rPr/>
        <w:t>语境分析的</w:t>
      </w:r>
      <w:r>
        <w:rPr>
          <w:rFonts w:ascii="Times New Roman" w:hAnsi="Times New Roman" w:cs="Times New Roman" w:eastAsia="Times New Roman" w:hint="default"/>
        </w:rPr>
        <w:t>AG</w:t>
      </w:r>
      <w:r>
        <w:rPr/>
        <w:t>人群库系统、</w:t>
      </w:r>
      <w:r>
        <w:rPr>
          <w:rFonts w:ascii="Times New Roman" w:hAnsi="Times New Roman" w:cs="Times New Roman" w:eastAsia="Times New Roman" w:hint="default"/>
        </w:rPr>
        <w:t>AG</w:t>
      </w:r>
      <w:r>
        <w:rPr/>
        <w:t>客户网站流量分析、创意点击优化系统、广告主私有定制化人群库系统、多层模型 广告点击率预测系统的研发和建立，对运营效率和客户体验将有大幅度的提升。</w:t>
      </w:r>
    </w:p>
    <w:p>
      <w:pPr>
        <w:pStyle w:val="BodyText"/>
        <w:spacing w:line="316" w:lineRule="auto" w:before="28"/>
        <w:ind w:right="149" w:firstLine="360"/>
        <w:jc w:val="both"/>
      </w:pPr>
      <w:r>
        <w:rPr>
          <w:spacing w:val="-2"/>
        </w:rPr>
        <w:t>报告期内，公司子公司科信盛彩不断改进、完善云计算平台数据块存储、云计算平台内容存储、网络性能分析、网络实</w:t>
      </w:r>
      <w:r>
        <w:rPr/>
        <w:t> </w:t>
      </w:r>
      <w:r>
        <w:rPr>
          <w:spacing w:val="-2"/>
        </w:rPr>
        <w:t>时监控及日志维护、系统运维身份认证与授权、互联网数据传输监控系统、网络安全备案系统等自主研发技术，保持行业技</w:t>
      </w:r>
      <w:r>
        <w:rPr>
          <w:spacing w:val="-63"/>
        </w:rPr>
        <w:t> </w:t>
      </w:r>
      <w:r>
        <w:rPr>
          <w:spacing w:val="-63"/>
        </w:rPr>
      </w:r>
      <w:r>
        <w:rPr/>
        <w:t>术领先地位，进一步提高核心竞争力。</w:t>
      </w:r>
    </w:p>
    <w:p>
      <w:pPr>
        <w:pStyle w:val="BodyText"/>
        <w:spacing w:line="309" w:lineRule="auto" w:before="19"/>
        <w:ind w:right="152" w:firstLine="360"/>
        <w:jc w:val="both"/>
      </w:pPr>
      <w:r>
        <w:rPr/>
        <w:t>报告期内，公司及子公司新增计算机软件著作权</w:t>
      </w:r>
      <w:r>
        <w:rPr>
          <w:rFonts w:ascii="Times New Roman" w:hAnsi="Times New Roman" w:cs="Times New Roman" w:eastAsia="Times New Roman" w:hint="default"/>
        </w:rPr>
        <w:t>25</w:t>
      </w:r>
      <w:r>
        <w:rPr/>
        <w:t>项。截至报告期末，公司及子公司共取得</w:t>
      </w:r>
      <w:r>
        <w:rPr>
          <w:rFonts w:ascii="Times New Roman" w:hAnsi="Times New Roman" w:cs="Times New Roman" w:eastAsia="Times New Roman" w:hint="default"/>
        </w:rPr>
        <w:t>104</w:t>
      </w:r>
      <w:r>
        <w:rPr/>
        <w:t>项计算机软件著作权及 </w:t>
      </w:r>
      <w:r>
        <w:rPr>
          <w:spacing w:val="-2"/>
        </w:rPr>
        <w:t>专利权。上述计算机软件著作权登记证书及专利权的取得有利于公司及子公司发挥主导产品的自主知识产权优势，形成持续</w:t>
      </w:r>
      <w:r>
        <w:rPr>
          <w:spacing w:val="-64"/>
        </w:rPr>
        <w:t> </w:t>
      </w:r>
      <w:r>
        <w:rPr>
          <w:spacing w:val="-64"/>
        </w:rPr>
      </w:r>
      <w:r>
        <w:rPr/>
        <w:t>创新机制，保持技术的领先。</w:t>
      </w:r>
    </w:p>
    <w:p>
      <w:pPr>
        <w:pStyle w:val="BodyText"/>
        <w:spacing w:line="240" w:lineRule="auto" w:before="24"/>
        <w:ind w:left="513" w:right="2839"/>
        <w:jc w:val="left"/>
      </w:pPr>
      <w:r>
        <w:rPr/>
        <w:t>报告期内公司及子公司取得的软件著作权情况如下：</w:t>
      </w:r>
    </w:p>
    <w:p>
      <w:pPr>
        <w:spacing w:line="240" w:lineRule="auto" w:before="3"/>
        <w:rPr>
          <w:rFonts w:ascii="宋体" w:hAnsi="宋体" w:cs="宋体" w:eastAsia="宋体" w:hint="default"/>
          <w:sz w:val="5"/>
          <w:szCs w:val="5"/>
        </w:rPr>
      </w:pPr>
    </w:p>
    <w:tbl>
      <w:tblPr>
        <w:tblW w:w="0" w:type="auto"/>
        <w:jc w:val="left"/>
        <w:tblInd w:w="150" w:type="dxa"/>
        <w:tblLayout w:type="fixed"/>
        <w:tblCellMar>
          <w:top w:w="0" w:type="dxa"/>
          <w:left w:w="0" w:type="dxa"/>
          <w:bottom w:w="0" w:type="dxa"/>
          <w:right w:w="0" w:type="dxa"/>
        </w:tblCellMar>
        <w:tblLook w:val="01E0"/>
      </w:tblPr>
      <w:tblGrid>
        <w:gridCol w:w="704"/>
        <w:gridCol w:w="1135"/>
        <w:gridCol w:w="1702"/>
        <w:gridCol w:w="1700"/>
        <w:gridCol w:w="2126"/>
        <w:gridCol w:w="1844"/>
      </w:tblGrid>
      <w:tr>
        <w:trPr>
          <w:trHeight w:val="348" w:hRule="exact"/>
        </w:trPr>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97"/>
              <w:jc w:val="right"/>
              <w:rPr>
                <w:rFonts w:ascii="宋体" w:hAnsi="宋体" w:cs="宋体" w:eastAsia="宋体" w:hint="default"/>
                <w:sz w:val="18"/>
                <w:szCs w:val="18"/>
              </w:rPr>
            </w:pPr>
            <w:r>
              <w:rPr>
                <w:rFonts w:ascii="宋体" w:hAnsi="宋体" w:cs="宋体" w:eastAsia="宋体" w:hint="default"/>
                <w:sz w:val="18"/>
                <w:szCs w:val="18"/>
              </w:rPr>
              <w:t>所属公司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软件名称</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登记号</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证件号</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证书取得日期</w:t>
            </w:r>
          </w:p>
        </w:tc>
      </w:tr>
      <w:tr>
        <w:trPr>
          <w:trHeight w:val="658" w:hRule="exact"/>
        </w:trPr>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97"/>
              <w:jc w:val="right"/>
              <w:rPr>
                <w:rFonts w:ascii="宋体" w:hAnsi="宋体" w:cs="宋体" w:eastAsia="宋体" w:hint="default"/>
                <w:sz w:val="18"/>
                <w:szCs w:val="18"/>
              </w:rPr>
            </w:pPr>
            <w:r>
              <w:rPr>
                <w:rFonts w:ascii="宋体" w:hAnsi="宋体" w:cs="宋体" w:eastAsia="宋体" w:hint="default"/>
                <w:sz w:val="18"/>
                <w:szCs w:val="18"/>
              </w:rPr>
              <w:t>无双科技</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575" w:right="26" w:hanging="54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SEM</w:t>
            </w:r>
            <w:r>
              <w:rPr>
                <w:rFonts w:ascii="宋体" w:hAnsi="宋体" w:cs="宋体" w:eastAsia="宋体" w:hint="default"/>
                <w:sz w:val="18"/>
                <w:szCs w:val="18"/>
              </w:rPr>
              <w:t>数据分析助手软 件</w:t>
            </w:r>
            <w:r>
              <w:rPr>
                <w:rFonts w:ascii="Times New Roman" w:hAnsi="Times New Roman" w:cs="Times New Roman" w:eastAsia="Times New Roman" w:hint="default"/>
                <w:sz w:val="18"/>
                <w:szCs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2017SR669687</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2254971</w:t>
            </w:r>
            <w:r>
              <w:rPr>
                <w:rFonts w:ascii="宋体" w:hAnsi="宋体" w:cs="宋体" w:eastAsia="宋体" w:hint="default"/>
                <w:sz w:val="18"/>
                <w:szCs w:val="18"/>
              </w:rPr>
              <w:t>号</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r>
      <w:tr>
        <w:trPr>
          <w:trHeight w:val="660" w:hRule="exact"/>
        </w:trPr>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97"/>
              <w:jc w:val="right"/>
              <w:rPr>
                <w:rFonts w:ascii="宋体" w:hAnsi="宋体" w:cs="宋体" w:eastAsia="宋体" w:hint="default"/>
                <w:sz w:val="18"/>
                <w:szCs w:val="18"/>
              </w:rPr>
            </w:pPr>
            <w:r>
              <w:rPr>
                <w:rFonts w:ascii="宋体" w:hAnsi="宋体" w:cs="宋体" w:eastAsia="宋体" w:hint="default"/>
                <w:sz w:val="18"/>
                <w:szCs w:val="18"/>
              </w:rPr>
              <w:t>无双科技</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07" w:right="32" w:hanging="274"/>
              <w:jc w:val="left"/>
              <w:rPr>
                <w:rFonts w:ascii="Times New Roman" w:hAnsi="Times New Roman" w:cs="Times New Roman" w:eastAsia="Times New Roman" w:hint="default"/>
                <w:sz w:val="18"/>
                <w:szCs w:val="18"/>
              </w:rPr>
            </w:pPr>
            <w:r>
              <w:rPr>
                <w:rFonts w:ascii="宋体" w:hAnsi="宋体" w:cs="宋体" w:eastAsia="宋体" w:hint="default"/>
                <w:sz w:val="18"/>
                <w:szCs w:val="18"/>
              </w:rPr>
              <w:t>多层模型广告点击率 预测系统</w:t>
            </w:r>
            <w:r>
              <w:rPr>
                <w:rFonts w:ascii="Times New Roman" w:hAnsi="Times New Roman" w:cs="Times New Roman" w:eastAsia="Times New Roman" w:hint="default"/>
                <w:sz w:val="18"/>
                <w:szCs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2017SR668895</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2254179</w:t>
            </w:r>
            <w:r>
              <w:rPr>
                <w:rFonts w:ascii="宋体" w:hAnsi="宋体" w:cs="宋体" w:eastAsia="宋体" w:hint="default"/>
                <w:sz w:val="18"/>
                <w:szCs w:val="18"/>
              </w:rPr>
              <w:t>号</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r>
      <w:tr>
        <w:trPr>
          <w:trHeight w:val="658" w:hRule="exact"/>
        </w:trPr>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3</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97"/>
              <w:jc w:val="right"/>
              <w:rPr>
                <w:rFonts w:ascii="宋体" w:hAnsi="宋体" w:cs="宋体" w:eastAsia="宋体" w:hint="default"/>
                <w:sz w:val="18"/>
                <w:szCs w:val="18"/>
              </w:rPr>
            </w:pPr>
            <w:r>
              <w:rPr>
                <w:rFonts w:ascii="宋体" w:hAnsi="宋体" w:cs="宋体" w:eastAsia="宋体" w:hint="default"/>
                <w:sz w:val="18"/>
                <w:szCs w:val="18"/>
              </w:rPr>
              <w:t>无双科技</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07" w:right="32" w:hanging="274"/>
              <w:jc w:val="left"/>
              <w:rPr>
                <w:rFonts w:ascii="Times New Roman" w:hAnsi="Times New Roman" w:cs="Times New Roman" w:eastAsia="Times New Roman" w:hint="default"/>
                <w:sz w:val="18"/>
                <w:szCs w:val="18"/>
              </w:rPr>
            </w:pPr>
            <w:r>
              <w:rPr>
                <w:rFonts w:ascii="宋体" w:hAnsi="宋体" w:cs="宋体" w:eastAsia="宋体" w:hint="default"/>
                <w:sz w:val="18"/>
                <w:szCs w:val="18"/>
              </w:rPr>
              <w:t>广告主私有定制化人 群库系统</w:t>
            </w:r>
            <w:r>
              <w:rPr>
                <w:rFonts w:ascii="Times New Roman" w:hAnsi="Times New Roman" w:cs="Times New Roman" w:eastAsia="Times New Roman" w:hint="default"/>
                <w:sz w:val="18"/>
                <w:szCs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2017SR669678</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2254962</w:t>
            </w:r>
            <w:r>
              <w:rPr>
                <w:rFonts w:ascii="宋体" w:hAnsi="宋体" w:cs="宋体" w:eastAsia="宋体" w:hint="default"/>
                <w:sz w:val="18"/>
                <w:szCs w:val="18"/>
              </w:rPr>
              <w:t>号</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r>
      <w:tr>
        <w:trPr>
          <w:trHeight w:val="660" w:hRule="exact"/>
        </w:trPr>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4</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97"/>
              <w:jc w:val="right"/>
              <w:rPr>
                <w:rFonts w:ascii="宋体" w:hAnsi="宋体" w:cs="宋体" w:eastAsia="宋体" w:hint="default"/>
                <w:sz w:val="18"/>
                <w:szCs w:val="18"/>
              </w:rPr>
            </w:pPr>
            <w:r>
              <w:rPr>
                <w:rFonts w:ascii="宋体" w:hAnsi="宋体" w:cs="宋体" w:eastAsia="宋体" w:hint="default"/>
                <w:sz w:val="18"/>
                <w:szCs w:val="18"/>
              </w:rPr>
              <w:t>无双科技</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395" w:right="26" w:hanging="36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SEM</w:t>
            </w:r>
            <w:r>
              <w:rPr>
                <w:rFonts w:ascii="宋体" w:hAnsi="宋体" w:cs="宋体" w:eastAsia="宋体" w:hint="default"/>
                <w:sz w:val="18"/>
                <w:szCs w:val="18"/>
              </w:rPr>
              <w:t>内部运营管理平 台系统</w:t>
            </w:r>
            <w:r>
              <w:rPr>
                <w:rFonts w:ascii="Times New Roman" w:hAnsi="Times New Roman" w:cs="Times New Roman" w:eastAsia="Times New Roman" w:hint="default"/>
                <w:sz w:val="18"/>
                <w:szCs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2017SR668657</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2253941</w:t>
            </w:r>
            <w:r>
              <w:rPr>
                <w:rFonts w:ascii="宋体" w:hAnsi="宋体" w:cs="宋体" w:eastAsia="宋体" w:hint="default"/>
                <w:sz w:val="18"/>
                <w:szCs w:val="18"/>
              </w:rPr>
              <w:t>号</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r>
      <w:tr>
        <w:trPr>
          <w:trHeight w:val="658" w:hRule="exact"/>
        </w:trPr>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5</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97"/>
              <w:jc w:val="right"/>
              <w:rPr>
                <w:rFonts w:ascii="宋体" w:hAnsi="宋体" w:cs="宋体" w:eastAsia="宋体" w:hint="default"/>
                <w:sz w:val="18"/>
                <w:szCs w:val="18"/>
              </w:rPr>
            </w:pPr>
            <w:r>
              <w:rPr>
                <w:rFonts w:ascii="宋体" w:hAnsi="宋体" w:cs="宋体" w:eastAsia="宋体" w:hint="default"/>
                <w:sz w:val="18"/>
                <w:szCs w:val="18"/>
              </w:rPr>
              <w:t>无双科技</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575" w:right="5" w:hanging="56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SEM</w:t>
            </w:r>
            <w:r>
              <w:rPr>
                <w:rFonts w:ascii="宋体" w:hAnsi="宋体" w:cs="宋体" w:eastAsia="宋体" w:hint="default"/>
                <w:sz w:val="18"/>
                <w:szCs w:val="18"/>
              </w:rPr>
              <w:t>智能竞价</w:t>
            </w:r>
            <w:r>
              <w:rPr>
                <w:rFonts w:ascii="Times New Roman" w:hAnsi="Times New Roman" w:cs="Times New Roman" w:eastAsia="Times New Roman" w:hint="default"/>
                <w:sz w:val="18"/>
                <w:szCs w:val="18"/>
              </w:rPr>
              <w:t>WEB</w:t>
            </w:r>
            <w:r>
              <w:rPr>
                <w:rFonts w:ascii="宋体" w:hAnsi="宋体" w:cs="宋体" w:eastAsia="宋体" w:hint="default"/>
                <w:sz w:val="18"/>
                <w:szCs w:val="18"/>
              </w:rPr>
              <w:t>系 统</w:t>
            </w:r>
            <w:r>
              <w:rPr>
                <w:rFonts w:ascii="Times New Roman" w:hAnsi="Times New Roman" w:cs="Times New Roman" w:eastAsia="Times New Roman" w:hint="default"/>
                <w:sz w:val="18"/>
                <w:szCs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2017SR668649</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2253933</w:t>
            </w:r>
            <w:r>
              <w:rPr>
                <w:rFonts w:ascii="宋体" w:hAnsi="宋体" w:cs="宋体" w:eastAsia="宋体" w:hint="default"/>
                <w:sz w:val="18"/>
                <w:szCs w:val="18"/>
              </w:rPr>
              <w:t>号</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r>
      <w:tr>
        <w:trPr>
          <w:trHeight w:val="973" w:hRule="exact"/>
        </w:trPr>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6</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97"/>
              <w:jc w:val="right"/>
              <w:rPr>
                <w:rFonts w:ascii="宋体" w:hAnsi="宋体" w:cs="宋体" w:eastAsia="宋体" w:hint="default"/>
                <w:sz w:val="18"/>
                <w:szCs w:val="18"/>
              </w:rPr>
            </w:pPr>
            <w:r>
              <w:rPr>
                <w:rFonts w:ascii="宋体" w:hAnsi="宋体" w:cs="宋体" w:eastAsia="宋体" w:hint="default"/>
                <w:sz w:val="18"/>
                <w:szCs w:val="18"/>
              </w:rPr>
              <w:t>无双科技</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33" w:right="32"/>
              <w:jc w:val="center"/>
              <w:rPr>
                <w:rFonts w:ascii="Times New Roman" w:hAnsi="Times New Roman" w:cs="Times New Roman" w:eastAsia="Times New Roman" w:hint="default"/>
                <w:sz w:val="18"/>
                <w:szCs w:val="18"/>
              </w:rPr>
            </w:pPr>
            <w:r>
              <w:rPr>
                <w:rFonts w:ascii="宋体" w:hAnsi="宋体" w:cs="宋体" w:eastAsia="宋体" w:hint="default"/>
                <w:sz w:val="18"/>
                <w:szCs w:val="18"/>
              </w:rPr>
              <w:t>基于搜索词的搜索引 擎创意点击率优化系 统</w:t>
            </w:r>
            <w:r>
              <w:rPr>
                <w:rFonts w:ascii="Times New Roman" w:hAnsi="Times New Roman" w:cs="Times New Roman" w:eastAsia="Times New Roman" w:hint="default"/>
                <w:sz w:val="18"/>
                <w:szCs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2017SR668350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2253634</w:t>
            </w:r>
            <w:r>
              <w:rPr>
                <w:rFonts w:ascii="宋体" w:hAnsi="宋体" w:cs="宋体" w:eastAsia="宋体" w:hint="default"/>
                <w:sz w:val="18"/>
                <w:szCs w:val="18"/>
              </w:rPr>
              <w:t>号</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r>
      <w:tr>
        <w:trPr>
          <w:trHeight w:val="348" w:hRule="exact"/>
        </w:trPr>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7</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97"/>
              <w:jc w:val="right"/>
              <w:rPr>
                <w:rFonts w:ascii="宋体" w:hAnsi="宋体" w:cs="宋体" w:eastAsia="宋体" w:hint="default"/>
                <w:sz w:val="18"/>
                <w:szCs w:val="18"/>
              </w:rPr>
            </w:pPr>
            <w:r>
              <w:rPr>
                <w:rFonts w:ascii="宋体" w:hAnsi="宋体" w:cs="宋体" w:eastAsia="宋体" w:hint="default"/>
                <w:sz w:val="18"/>
                <w:szCs w:val="18"/>
              </w:rPr>
              <w:t>无双科技</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帐户体检系统</w:t>
            </w:r>
            <w:r>
              <w:rPr>
                <w:rFonts w:ascii="Times New Roman" w:hAnsi="Times New Roman" w:cs="Times New Roman" w:eastAsia="Times New Roman" w:hint="default"/>
                <w:sz w:val="18"/>
                <w:szCs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2017SR676893</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2262177</w:t>
            </w:r>
            <w:r>
              <w:rPr>
                <w:rFonts w:ascii="宋体" w:hAnsi="宋体" w:cs="宋体" w:eastAsia="宋体" w:hint="default"/>
                <w:sz w:val="18"/>
                <w:szCs w:val="18"/>
              </w:rPr>
              <w:t>号</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r>
      <w:tr>
        <w:trPr>
          <w:trHeight w:val="658" w:hRule="exact"/>
        </w:trPr>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8</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97"/>
              <w:jc w:val="right"/>
              <w:rPr>
                <w:rFonts w:ascii="宋体" w:hAnsi="宋体" w:cs="宋体" w:eastAsia="宋体" w:hint="default"/>
                <w:sz w:val="18"/>
                <w:szCs w:val="18"/>
              </w:rPr>
            </w:pPr>
            <w:r>
              <w:rPr>
                <w:rFonts w:ascii="宋体" w:hAnsi="宋体" w:cs="宋体" w:eastAsia="宋体" w:hint="default"/>
                <w:sz w:val="18"/>
                <w:szCs w:val="18"/>
              </w:rPr>
              <w:t>科信盛彩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127" w:right="86" w:hanging="39"/>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Times New Roman" w:hAnsi="Times New Roman" w:cs="Times New Roman" w:eastAsia="Times New Roman" w:hint="default"/>
                <w:sz w:val="18"/>
                <w:szCs w:val="18"/>
              </w:rPr>
              <w:t>OpenStack</w:t>
            </w:r>
            <w:r>
              <w:rPr>
                <w:rFonts w:ascii="宋体" w:hAnsi="宋体" w:cs="宋体" w:eastAsia="宋体" w:hint="default"/>
                <w:sz w:val="18"/>
                <w:szCs w:val="18"/>
              </w:rPr>
              <w:t>架构 的云计算平台</w:t>
            </w:r>
            <w:r>
              <w:rPr>
                <w:rFonts w:ascii="Times New Roman" w:hAnsi="Times New Roman" w:cs="Times New Roman" w:eastAsia="Times New Roman" w:hint="default"/>
                <w:sz w:val="18"/>
                <w:szCs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2017SR679834</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2265118</w:t>
            </w:r>
            <w:r>
              <w:rPr>
                <w:rFonts w:ascii="宋体" w:hAnsi="宋体" w:cs="宋体" w:eastAsia="宋体" w:hint="default"/>
                <w:sz w:val="18"/>
                <w:szCs w:val="18"/>
              </w:rPr>
              <w:t>号</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r>
      <w:tr>
        <w:trPr>
          <w:trHeight w:val="660" w:hRule="exact"/>
        </w:trPr>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9</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97"/>
              <w:jc w:val="right"/>
              <w:rPr>
                <w:rFonts w:ascii="宋体" w:hAnsi="宋体" w:cs="宋体" w:eastAsia="宋体" w:hint="default"/>
                <w:sz w:val="18"/>
                <w:szCs w:val="18"/>
              </w:rPr>
            </w:pPr>
            <w:r>
              <w:rPr>
                <w:rFonts w:ascii="宋体" w:hAnsi="宋体" w:cs="宋体" w:eastAsia="宋体" w:hint="default"/>
                <w:sz w:val="18"/>
                <w:szCs w:val="18"/>
              </w:rPr>
              <w:t>科信盛彩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95" w:right="32" w:hanging="363"/>
              <w:jc w:val="left"/>
              <w:rPr>
                <w:rFonts w:ascii="Times New Roman" w:hAnsi="Times New Roman" w:cs="Times New Roman" w:eastAsia="Times New Roman" w:hint="default"/>
                <w:sz w:val="18"/>
                <w:szCs w:val="18"/>
              </w:rPr>
            </w:pPr>
            <w:r>
              <w:rPr>
                <w:rFonts w:ascii="宋体" w:hAnsi="宋体" w:cs="宋体" w:eastAsia="宋体" w:hint="default"/>
                <w:sz w:val="18"/>
                <w:szCs w:val="18"/>
              </w:rPr>
              <w:t>云计算平台数据块存 储系统</w:t>
            </w:r>
            <w:r>
              <w:rPr>
                <w:rFonts w:ascii="Times New Roman" w:hAnsi="Times New Roman" w:cs="Times New Roman" w:eastAsia="Times New Roman" w:hint="default"/>
                <w:sz w:val="18"/>
                <w:szCs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2017SR679759</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2265043</w:t>
            </w:r>
            <w:r>
              <w:rPr>
                <w:rFonts w:ascii="宋体" w:hAnsi="宋体" w:cs="宋体" w:eastAsia="宋体" w:hint="default"/>
                <w:sz w:val="18"/>
                <w:szCs w:val="18"/>
              </w:rPr>
              <w:t>号</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r>
      <w:tr>
        <w:trPr>
          <w:trHeight w:val="658" w:hRule="exact"/>
        </w:trPr>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10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97"/>
              <w:jc w:val="right"/>
              <w:rPr>
                <w:rFonts w:ascii="宋体" w:hAnsi="宋体" w:cs="宋体" w:eastAsia="宋体" w:hint="default"/>
                <w:sz w:val="18"/>
                <w:szCs w:val="18"/>
              </w:rPr>
            </w:pPr>
            <w:r>
              <w:rPr>
                <w:rFonts w:ascii="宋体" w:hAnsi="宋体" w:cs="宋体" w:eastAsia="宋体" w:hint="default"/>
                <w:sz w:val="18"/>
                <w:szCs w:val="18"/>
              </w:rPr>
              <w:t>科信盛彩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网络性能分析系统</w:t>
            </w:r>
          </w:p>
          <w:p>
            <w:pPr>
              <w:pStyle w:val="TableParagraph"/>
              <w:spacing w:line="240" w:lineRule="auto" w:before="118"/>
              <w:ind w:left="2" w:right="0"/>
              <w:jc w:val="center"/>
              <w:rPr>
                <w:rFonts w:ascii="Times New Roman" w:hAnsi="Times New Roman" w:cs="Times New Roman" w:eastAsia="Times New Roman" w:hint="default"/>
                <w:sz w:val="18"/>
                <w:szCs w:val="18"/>
              </w:rPr>
            </w:pPr>
            <w:r>
              <w:rPr>
                <w:rFonts w:ascii="Times New Roman"/>
                <w:sz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2017SR679811</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2265095</w:t>
            </w:r>
            <w:r>
              <w:rPr>
                <w:rFonts w:ascii="宋体" w:hAnsi="宋体" w:cs="宋体" w:eastAsia="宋体" w:hint="default"/>
                <w:sz w:val="18"/>
                <w:szCs w:val="18"/>
              </w:rPr>
              <w:t>号</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r>
      <w:tr>
        <w:trPr>
          <w:trHeight w:val="660" w:hRule="exact"/>
        </w:trPr>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11</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97"/>
              <w:jc w:val="right"/>
              <w:rPr>
                <w:rFonts w:ascii="宋体" w:hAnsi="宋体" w:cs="宋体" w:eastAsia="宋体" w:hint="default"/>
                <w:sz w:val="18"/>
                <w:szCs w:val="18"/>
              </w:rPr>
            </w:pPr>
            <w:r>
              <w:rPr>
                <w:rFonts w:ascii="宋体" w:hAnsi="宋体" w:cs="宋体" w:eastAsia="宋体" w:hint="default"/>
                <w:sz w:val="18"/>
                <w:szCs w:val="18"/>
              </w:rPr>
              <w:t>科信盛彩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307" w:right="32" w:hanging="274"/>
              <w:jc w:val="left"/>
              <w:rPr>
                <w:rFonts w:ascii="Times New Roman" w:hAnsi="Times New Roman" w:cs="Times New Roman" w:eastAsia="Times New Roman" w:hint="default"/>
                <w:sz w:val="18"/>
                <w:szCs w:val="18"/>
              </w:rPr>
            </w:pPr>
            <w:r>
              <w:rPr>
                <w:rFonts w:ascii="宋体" w:hAnsi="宋体" w:cs="宋体" w:eastAsia="宋体" w:hint="default"/>
                <w:sz w:val="18"/>
                <w:szCs w:val="18"/>
              </w:rPr>
              <w:t>网络实时监控及日志 维护系统</w:t>
            </w:r>
            <w:r>
              <w:rPr>
                <w:rFonts w:ascii="Times New Roman" w:hAnsi="Times New Roman" w:cs="Times New Roman" w:eastAsia="Times New Roman" w:hint="default"/>
                <w:sz w:val="18"/>
                <w:szCs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2017SR695503</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2280787</w:t>
            </w:r>
            <w:r>
              <w:rPr>
                <w:rFonts w:ascii="宋体" w:hAnsi="宋体" w:cs="宋体" w:eastAsia="宋体" w:hint="default"/>
                <w:sz w:val="18"/>
                <w:szCs w:val="18"/>
              </w:rPr>
              <w:t>号</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r>
      <w:tr>
        <w:trPr>
          <w:trHeight w:val="348" w:hRule="exact"/>
        </w:trPr>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12</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97"/>
              <w:jc w:val="right"/>
              <w:rPr>
                <w:rFonts w:ascii="宋体" w:hAnsi="宋体" w:cs="宋体" w:eastAsia="宋体" w:hint="default"/>
                <w:sz w:val="18"/>
                <w:szCs w:val="18"/>
              </w:rPr>
            </w:pPr>
            <w:r>
              <w:rPr>
                <w:rFonts w:ascii="宋体" w:hAnsi="宋体" w:cs="宋体" w:eastAsia="宋体" w:hint="default"/>
                <w:sz w:val="18"/>
                <w:szCs w:val="18"/>
              </w:rPr>
              <w:t>科信盛彩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恒温空间自控系统</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2017SR679821</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2265105</w:t>
            </w:r>
            <w:r>
              <w:rPr>
                <w:rFonts w:ascii="宋体" w:hAnsi="宋体" w:cs="宋体" w:eastAsia="宋体" w:hint="default"/>
                <w:sz w:val="18"/>
                <w:szCs w:val="18"/>
              </w:rPr>
              <w:t>号</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50" w:type="dxa"/>
        <w:tblLayout w:type="fixed"/>
        <w:tblCellMar>
          <w:top w:w="0" w:type="dxa"/>
          <w:left w:w="0" w:type="dxa"/>
          <w:bottom w:w="0" w:type="dxa"/>
          <w:right w:w="0" w:type="dxa"/>
        </w:tblCellMar>
        <w:tblLook w:val="01E0"/>
      </w:tblPr>
      <w:tblGrid>
        <w:gridCol w:w="704"/>
        <w:gridCol w:w="1135"/>
        <w:gridCol w:w="1702"/>
        <w:gridCol w:w="1700"/>
        <w:gridCol w:w="2126"/>
        <w:gridCol w:w="1844"/>
      </w:tblGrid>
      <w:tr>
        <w:trPr>
          <w:trHeight w:val="348" w:hRule="exact"/>
        </w:trPr>
        <w:tc>
          <w:tcPr>
            <w:tcW w:w="704"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V1.0</w:t>
            </w:r>
          </w:p>
        </w:tc>
        <w:tc>
          <w:tcPr>
            <w:tcW w:w="170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47"/>
              <w:jc w:val="right"/>
              <w:rPr>
                <w:rFonts w:ascii="Times New Roman" w:hAnsi="Times New Roman" w:cs="Times New Roman" w:eastAsia="Times New Roman" w:hint="default"/>
                <w:sz w:val="18"/>
                <w:szCs w:val="18"/>
              </w:rPr>
            </w:pPr>
            <w:r>
              <w:rPr>
                <w:rFonts w:ascii="Times New Roman"/>
                <w:sz w:val="18"/>
              </w:rPr>
              <w:t>13</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97"/>
              <w:jc w:val="right"/>
              <w:rPr>
                <w:rFonts w:ascii="宋体" w:hAnsi="宋体" w:cs="宋体" w:eastAsia="宋体" w:hint="default"/>
                <w:sz w:val="18"/>
                <w:szCs w:val="18"/>
              </w:rPr>
            </w:pPr>
            <w:r>
              <w:rPr>
                <w:rFonts w:ascii="宋体" w:hAnsi="宋体" w:cs="宋体" w:eastAsia="宋体" w:hint="default"/>
                <w:sz w:val="18"/>
                <w:szCs w:val="18"/>
              </w:rPr>
              <w:t>科信盛彩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恒湿空间自控系统</w:t>
            </w:r>
          </w:p>
          <w:p>
            <w:pPr>
              <w:pStyle w:val="TableParagraph"/>
              <w:spacing w:line="240" w:lineRule="auto" w:before="118"/>
              <w:ind w:left="2" w:right="0"/>
              <w:jc w:val="center"/>
              <w:rPr>
                <w:rFonts w:ascii="Times New Roman" w:hAnsi="Times New Roman" w:cs="Times New Roman" w:eastAsia="Times New Roman" w:hint="default"/>
                <w:sz w:val="18"/>
                <w:szCs w:val="18"/>
              </w:rPr>
            </w:pPr>
            <w:r>
              <w:rPr>
                <w:rFonts w:ascii="Times New Roman"/>
                <w:sz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2017SR679841</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2265125</w:t>
            </w:r>
            <w:r>
              <w:rPr>
                <w:rFonts w:ascii="宋体" w:hAnsi="宋体" w:cs="宋体" w:eastAsia="宋体" w:hint="default"/>
                <w:sz w:val="18"/>
                <w:szCs w:val="18"/>
              </w:rPr>
              <w:t>号</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78"/>
              <w:jc w:val="right"/>
              <w:rPr>
                <w:rFonts w:ascii="宋体" w:hAnsi="宋体" w:cs="宋体" w:eastAsia="宋体" w:hint="default"/>
                <w:sz w:val="18"/>
                <w:szCs w:val="18"/>
              </w:rPr>
            </w:pPr>
            <w:r>
              <w:rPr>
                <w:rFonts w:ascii="Times New Roman" w:hAnsi="Times New Roman" w:cs="Times New Roman" w:eastAsia="Times New Roman" w:hint="default"/>
                <w:w w:val="95"/>
                <w:sz w:val="18"/>
                <w:szCs w:val="18"/>
              </w:rPr>
              <w:t>2017</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12</w:t>
            </w:r>
            <w:r>
              <w:rPr>
                <w:rFonts w:ascii="宋体" w:hAnsi="宋体" w:cs="宋体" w:eastAsia="宋体" w:hint="default"/>
                <w:w w:val="95"/>
                <w:sz w:val="18"/>
                <w:szCs w:val="18"/>
              </w:rPr>
              <w:t>月</w:t>
            </w:r>
            <w:r>
              <w:rPr>
                <w:rFonts w:ascii="Times New Roman" w:hAnsi="Times New Roman" w:cs="Times New Roman" w:eastAsia="Times New Roman" w:hint="default"/>
                <w:w w:val="95"/>
                <w:sz w:val="18"/>
                <w:szCs w:val="18"/>
              </w:rPr>
              <w:t>11</w:t>
            </w:r>
            <w:r>
              <w:rPr>
                <w:rFonts w:ascii="宋体" w:hAnsi="宋体" w:cs="宋体" w:eastAsia="宋体" w:hint="default"/>
                <w:w w:val="95"/>
                <w:sz w:val="18"/>
                <w:szCs w:val="18"/>
              </w:rPr>
              <w:t>日</w:t>
            </w:r>
          </w:p>
        </w:tc>
      </w:tr>
      <w:tr>
        <w:trPr>
          <w:trHeight w:val="660" w:hRule="exact"/>
        </w:trPr>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47"/>
              <w:jc w:val="right"/>
              <w:rPr>
                <w:rFonts w:ascii="Times New Roman" w:hAnsi="Times New Roman" w:cs="Times New Roman" w:eastAsia="Times New Roman" w:hint="default"/>
                <w:sz w:val="18"/>
                <w:szCs w:val="18"/>
              </w:rPr>
            </w:pPr>
            <w:r>
              <w:rPr>
                <w:rFonts w:ascii="Times New Roman"/>
                <w:sz w:val="18"/>
              </w:rPr>
              <w:t>14</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97"/>
              <w:jc w:val="right"/>
              <w:rPr>
                <w:rFonts w:ascii="宋体" w:hAnsi="宋体" w:cs="宋体" w:eastAsia="宋体" w:hint="default"/>
                <w:sz w:val="18"/>
                <w:szCs w:val="18"/>
              </w:rPr>
            </w:pPr>
            <w:r>
              <w:rPr>
                <w:rFonts w:ascii="宋体" w:hAnsi="宋体" w:cs="宋体" w:eastAsia="宋体" w:hint="default"/>
                <w:sz w:val="18"/>
                <w:szCs w:val="18"/>
              </w:rPr>
              <w:t>科信盛彩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07" w:right="32" w:hanging="274"/>
              <w:jc w:val="left"/>
              <w:rPr>
                <w:rFonts w:ascii="Times New Roman" w:hAnsi="Times New Roman" w:cs="Times New Roman" w:eastAsia="Times New Roman" w:hint="default"/>
                <w:sz w:val="18"/>
                <w:szCs w:val="18"/>
              </w:rPr>
            </w:pPr>
            <w:r>
              <w:rPr>
                <w:rFonts w:ascii="宋体" w:hAnsi="宋体" w:cs="宋体" w:eastAsia="宋体" w:hint="default"/>
                <w:sz w:val="18"/>
                <w:szCs w:val="18"/>
              </w:rPr>
              <w:t>系统运维身份认证与 授权系统</w:t>
            </w:r>
            <w:r>
              <w:rPr>
                <w:rFonts w:ascii="Times New Roman" w:hAnsi="Times New Roman" w:cs="Times New Roman" w:eastAsia="Times New Roman" w:hint="default"/>
                <w:sz w:val="18"/>
                <w:szCs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2017SR679805</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2265089</w:t>
            </w:r>
            <w:r>
              <w:rPr>
                <w:rFonts w:ascii="宋体" w:hAnsi="宋体" w:cs="宋体" w:eastAsia="宋体" w:hint="default"/>
                <w:sz w:val="18"/>
                <w:szCs w:val="18"/>
              </w:rPr>
              <w:t>号</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78"/>
              <w:jc w:val="right"/>
              <w:rPr>
                <w:rFonts w:ascii="宋体" w:hAnsi="宋体" w:cs="宋体" w:eastAsia="宋体" w:hint="default"/>
                <w:sz w:val="18"/>
                <w:szCs w:val="18"/>
              </w:rPr>
            </w:pPr>
            <w:r>
              <w:rPr>
                <w:rFonts w:ascii="Times New Roman" w:hAnsi="Times New Roman" w:cs="Times New Roman" w:eastAsia="Times New Roman" w:hint="default"/>
                <w:w w:val="95"/>
                <w:sz w:val="18"/>
                <w:szCs w:val="18"/>
              </w:rPr>
              <w:t>2017</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12</w:t>
            </w:r>
            <w:r>
              <w:rPr>
                <w:rFonts w:ascii="宋体" w:hAnsi="宋体" w:cs="宋体" w:eastAsia="宋体" w:hint="default"/>
                <w:w w:val="95"/>
                <w:sz w:val="18"/>
                <w:szCs w:val="18"/>
              </w:rPr>
              <w:t>月</w:t>
            </w:r>
            <w:r>
              <w:rPr>
                <w:rFonts w:ascii="Times New Roman" w:hAnsi="Times New Roman" w:cs="Times New Roman" w:eastAsia="Times New Roman" w:hint="default"/>
                <w:w w:val="95"/>
                <w:sz w:val="18"/>
                <w:szCs w:val="18"/>
              </w:rPr>
              <w:t>11</w:t>
            </w:r>
            <w:r>
              <w:rPr>
                <w:rFonts w:ascii="宋体" w:hAnsi="宋体" w:cs="宋体" w:eastAsia="宋体" w:hint="default"/>
                <w:w w:val="95"/>
                <w:sz w:val="18"/>
                <w:szCs w:val="18"/>
              </w:rPr>
              <w:t>日</w:t>
            </w:r>
          </w:p>
        </w:tc>
      </w:tr>
      <w:tr>
        <w:trPr>
          <w:trHeight w:val="658" w:hRule="exact"/>
        </w:trPr>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47"/>
              <w:jc w:val="right"/>
              <w:rPr>
                <w:rFonts w:ascii="Times New Roman" w:hAnsi="Times New Roman" w:cs="Times New Roman" w:eastAsia="Times New Roman" w:hint="default"/>
                <w:sz w:val="18"/>
                <w:szCs w:val="18"/>
              </w:rPr>
            </w:pPr>
            <w:r>
              <w:rPr>
                <w:rFonts w:ascii="Times New Roman"/>
                <w:sz w:val="18"/>
              </w:rPr>
              <w:t>15</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97"/>
              <w:jc w:val="right"/>
              <w:rPr>
                <w:rFonts w:ascii="宋体" w:hAnsi="宋体" w:cs="宋体" w:eastAsia="宋体" w:hint="default"/>
                <w:sz w:val="18"/>
                <w:szCs w:val="18"/>
              </w:rPr>
            </w:pPr>
            <w:r>
              <w:rPr>
                <w:rFonts w:ascii="宋体" w:hAnsi="宋体" w:cs="宋体" w:eastAsia="宋体" w:hint="default"/>
                <w:sz w:val="18"/>
                <w:szCs w:val="18"/>
              </w:rPr>
              <w:t>科信盛彩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日志集中处理系统</w:t>
            </w:r>
          </w:p>
          <w:p>
            <w:pPr>
              <w:pStyle w:val="TableParagraph"/>
              <w:spacing w:line="240" w:lineRule="auto" w:before="118"/>
              <w:ind w:left="2" w:right="0"/>
              <w:jc w:val="center"/>
              <w:rPr>
                <w:rFonts w:ascii="Times New Roman" w:hAnsi="Times New Roman" w:cs="Times New Roman" w:eastAsia="Times New Roman" w:hint="default"/>
                <w:sz w:val="18"/>
                <w:szCs w:val="18"/>
              </w:rPr>
            </w:pPr>
            <w:r>
              <w:rPr>
                <w:rFonts w:ascii="Times New Roman"/>
                <w:sz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2017SR696104</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2281388</w:t>
            </w:r>
            <w:r>
              <w:rPr>
                <w:rFonts w:ascii="宋体" w:hAnsi="宋体" w:cs="宋体" w:eastAsia="宋体" w:hint="default"/>
                <w:sz w:val="18"/>
                <w:szCs w:val="18"/>
              </w:rPr>
              <w:t>号</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8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15</w:t>
            </w:r>
            <w:r>
              <w:rPr>
                <w:rFonts w:ascii="宋体" w:hAnsi="宋体" w:cs="宋体" w:eastAsia="宋体" w:hint="default"/>
                <w:spacing w:val="-1"/>
                <w:sz w:val="18"/>
                <w:szCs w:val="18"/>
              </w:rPr>
              <w:t>日</w:t>
            </w:r>
          </w:p>
        </w:tc>
      </w:tr>
      <w:tr>
        <w:trPr>
          <w:trHeight w:val="348" w:hRule="exact"/>
        </w:trPr>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47"/>
              <w:jc w:val="right"/>
              <w:rPr>
                <w:rFonts w:ascii="Times New Roman" w:hAnsi="Times New Roman" w:cs="Times New Roman" w:eastAsia="Times New Roman" w:hint="default"/>
                <w:sz w:val="18"/>
                <w:szCs w:val="18"/>
              </w:rPr>
            </w:pPr>
            <w:r>
              <w:rPr>
                <w:rFonts w:ascii="Times New Roman"/>
                <w:sz w:val="18"/>
              </w:rPr>
              <w:t>16</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97"/>
              <w:jc w:val="right"/>
              <w:rPr>
                <w:rFonts w:ascii="宋体" w:hAnsi="宋体" w:cs="宋体" w:eastAsia="宋体" w:hint="default"/>
                <w:sz w:val="18"/>
                <w:szCs w:val="18"/>
              </w:rPr>
            </w:pPr>
            <w:r>
              <w:rPr>
                <w:rFonts w:ascii="宋体" w:hAnsi="宋体" w:cs="宋体" w:eastAsia="宋体" w:hint="default"/>
                <w:sz w:val="18"/>
                <w:szCs w:val="18"/>
              </w:rPr>
              <w:t>科信盛彩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日志审计系统</w:t>
            </w:r>
            <w:r>
              <w:rPr>
                <w:rFonts w:ascii="Times New Roman" w:hAnsi="Times New Roman" w:cs="Times New Roman" w:eastAsia="Times New Roman" w:hint="default"/>
                <w:sz w:val="18"/>
                <w:szCs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2017SR696099</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2281383</w:t>
            </w:r>
            <w:r>
              <w:rPr>
                <w:rFonts w:ascii="宋体" w:hAnsi="宋体" w:cs="宋体" w:eastAsia="宋体" w:hint="default"/>
                <w:sz w:val="18"/>
                <w:szCs w:val="18"/>
              </w:rPr>
              <w:t>号</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8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15</w:t>
            </w:r>
            <w:r>
              <w:rPr>
                <w:rFonts w:ascii="宋体" w:hAnsi="宋体" w:cs="宋体" w:eastAsia="宋体" w:hint="default"/>
                <w:spacing w:val="-1"/>
                <w:sz w:val="18"/>
                <w:szCs w:val="18"/>
              </w:rPr>
              <w:t>日</w:t>
            </w:r>
          </w:p>
        </w:tc>
      </w:tr>
      <w:tr>
        <w:trPr>
          <w:trHeight w:val="658" w:hRule="exact"/>
        </w:trPr>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47"/>
              <w:jc w:val="right"/>
              <w:rPr>
                <w:rFonts w:ascii="Times New Roman" w:hAnsi="Times New Roman" w:cs="Times New Roman" w:eastAsia="Times New Roman" w:hint="default"/>
                <w:sz w:val="18"/>
                <w:szCs w:val="18"/>
              </w:rPr>
            </w:pPr>
            <w:r>
              <w:rPr>
                <w:rFonts w:ascii="Times New Roman"/>
                <w:sz w:val="18"/>
              </w:rPr>
              <w:t>17</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97"/>
              <w:jc w:val="right"/>
              <w:rPr>
                <w:rFonts w:ascii="宋体" w:hAnsi="宋体" w:cs="宋体" w:eastAsia="宋体" w:hint="default"/>
                <w:sz w:val="18"/>
                <w:szCs w:val="18"/>
              </w:rPr>
            </w:pPr>
            <w:r>
              <w:rPr>
                <w:rFonts w:ascii="宋体" w:hAnsi="宋体" w:cs="宋体" w:eastAsia="宋体" w:hint="default"/>
                <w:sz w:val="18"/>
                <w:szCs w:val="18"/>
              </w:rPr>
              <w:t>科信盛彩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防</w:t>
            </w:r>
            <w:r>
              <w:rPr>
                <w:rFonts w:ascii="Times New Roman" w:hAnsi="Times New Roman" w:cs="Times New Roman" w:eastAsia="Times New Roman" w:hint="default"/>
                <w:sz w:val="18"/>
                <w:szCs w:val="18"/>
              </w:rPr>
              <w:t>DDoS</w:t>
            </w:r>
            <w:r>
              <w:rPr>
                <w:rFonts w:ascii="宋体" w:hAnsi="宋体" w:cs="宋体" w:eastAsia="宋体" w:hint="default"/>
                <w:sz w:val="18"/>
                <w:szCs w:val="18"/>
              </w:rPr>
              <w:t>攻击系统</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2017SR679808</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2265092</w:t>
            </w:r>
            <w:r>
              <w:rPr>
                <w:rFonts w:ascii="宋体" w:hAnsi="宋体" w:cs="宋体" w:eastAsia="宋体" w:hint="default"/>
                <w:sz w:val="18"/>
                <w:szCs w:val="18"/>
              </w:rPr>
              <w:t>号</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78"/>
              <w:jc w:val="right"/>
              <w:rPr>
                <w:rFonts w:ascii="宋体" w:hAnsi="宋体" w:cs="宋体" w:eastAsia="宋体" w:hint="default"/>
                <w:sz w:val="18"/>
                <w:szCs w:val="18"/>
              </w:rPr>
            </w:pPr>
            <w:r>
              <w:rPr>
                <w:rFonts w:ascii="Times New Roman" w:hAnsi="Times New Roman" w:cs="Times New Roman" w:eastAsia="Times New Roman" w:hint="default"/>
                <w:w w:val="95"/>
                <w:sz w:val="18"/>
                <w:szCs w:val="18"/>
              </w:rPr>
              <w:t>2017</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12</w:t>
            </w:r>
            <w:r>
              <w:rPr>
                <w:rFonts w:ascii="宋体" w:hAnsi="宋体" w:cs="宋体" w:eastAsia="宋体" w:hint="default"/>
                <w:w w:val="95"/>
                <w:sz w:val="18"/>
                <w:szCs w:val="18"/>
              </w:rPr>
              <w:t>月</w:t>
            </w:r>
            <w:r>
              <w:rPr>
                <w:rFonts w:ascii="Times New Roman" w:hAnsi="Times New Roman" w:cs="Times New Roman" w:eastAsia="Times New Roman" w:hint="default"/>
                <w:w w:val="95"/>
                <w:sz w:val="18"/>
                <w:szCs w:val="18"/>
              </w:rPr>
              <w:t>11</w:t>
            </w:r>
            <w:r>
              <w:rPr>
                <w:rFonts w:ascii="宋体" w:hAnsi="宋体" w:cs="宋体" w:eastAsia="宋体" w:hint="default"/>
                <w:w w:val="95"/>
                <w:sz w:val="18"/>
                <w:szCs w:val="18"/>
              </w:rPr>
              <w:t>日</w:t>
            </w:r>
          </w:p>
        </w:tc>
      </w:tr>
      <w:tr>
        <w:trPr>
          <w:trHeight w:val="661" w:hRule="exact"/>
        </w:trPr>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47"/>
              <w:jc w:val="right"/>
              <w:rPr>
                <w:rFonts w:ascii="Times New Roman" w:hAnsi="Times New Roman" w:cs="Times New Roman" w:eastAsia="Times New Roman" w:hint="default"/>
                <w:sz w:val="18"/>
                <w:szCs w:val="18"/>
              </w:rPr>
            </w:pPr>
            <w:r>
              <w:rPr>
                <w:rFonts w:ascii="Times New Roman"/>
                <w:sz w:val="18"/>
              </w:rPr>
              <w:t>18</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97"/>
              <w:jc w:val="right"/>
              <w:rPr>
                <w:rFonts w:ascii="宋体" w:hAnsi="宋体" w:cs="宋体" w:eastAsia="宋体" w:hint="default"/>
                <w:sz w:val="18"/>
                <w:szCs w:val="18"/>
              </w:rPr>
            </w:pPr>
            <w:r>
              <w:rPr>
                <w:rFonts w:ascii="宋体" w:hAnsi="宋体" w:cs="宋体" w:eastAsia="宋体" w:hint="default"/>
                <w:sz w:val="18"/>
                <w:szCs w:val="18"/>
              </w:rPr>
              <w:t>科信盛彩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40" w:lineRule="auto" w:before="20"/>
              <w:ind w:left="667" w:right="63" w:hanging="60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web</w:t>
            </w:r>
            <w:r>
              <w:rPr>
                <w:rFonts w:ascii="宋体" w:hAnsi="宋体" w:cs="宋体" w:eastAsia="宋体" w:hint="default"/>
                <w:sz w:val="18"/>
                <w:szCs w:val="18"/>
              </w:rPr>
              <w:t>应用防火墙系统 </w:t>
            </w:r>
            <w:r>
              <w:rPr>
                <w:rFonts w:ascii="Times New Roman" w:hAnsi="Times New Roman" w:cs="Times New Roman" w:eastAsia="Times New Roman" w:hint="default"/>
                <w:sz w:val="18"/>
                <w:szCs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2017SR679813</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2265097</w:t>
            </w:r>
            <w:r>
              <w:rPr>
                <w:rFonts w:ascii="宋体" w:hAnsi="宋体" w:cs="宋体" w:eastAsia="宋体" w:hint="default"/>
                <w:sz w:val="18"/>
                <w:szCs w:val="18"/>
              </w:rPr>
              <w:t>号</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78"/>
              <w:jc w:val="right"/>
              <w:rPr>
                <w:rFonts w:ascii="宋体" w:hAnsi="宋体" w:cs="宋体" w:eastAsia="宋体" w:hint="default"/>
                <w:sz w:val="18"/>
                <w:szCs w:val="18"/>
              </w:rPr>
            </w:pPr>
            <w:r>
              <w:rPr>
                <w:rFonts w:ascii="Times New Roman" w:hAnsi="Times New Roman" w:cs="Times New Roman" w:eastAsia="Times New Roman" w:hint="default"/>
                <w:w w:val="95"/>
                <w:sz w:val="18"/>
                <w:szCs w:val="18"/>
              </w:rPr>
              <w:t>2017</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12</w:t>
            </w:r>
            <w:r>
              <w:rPr>
                <w:rFonts w:ascii="宋体" w:hAnsi="宋体" w:cs="宋体" w:eastAsia="宋体" w:hint="default"/>
                <w:w w:val="95"/>
                <w:sz w:val="18"/>
                <w:szCs w:val="18"/>
              </w:rPr>
              <w:t>月</w:t>
            </w:r>
            <w:r>
              <w:rPr>
                <w:rFonts w:ascii="Times New Roman" w:hAnsi="Times New Roman" w:cs="Times New Roman" w:eastAsia="Times New Roman" w:hint="default"/>
                <w:w w:val="95"/>
                <w:sz w:val="18"/>
                <w:szCs w:val="18"/>
              </w:rPr>
              <w:t>11</w:t>
            </w:r>
            <w:r>
              <w:rPr>
                <w:rFonts w:ascii="宋体" w:hAnsi="宋体" w:cs="宋体" w:eastAsia="宋体" w:hint="default"/>
                <w:w w:val="95"/>
                <w:sz w:val="18"/>
                <w:szCs w:val="18"/>
              </w:rPr>
              <w:t>日</w:t>
            </w:r>
          </w:p>
        </w:tc>
      </w:tr>
      <w:tr>
        <w:trPr>
          <w:trHeight w:val="660" w:hRule="exact"/>
        </w:trPr>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47"/>
              <w:jc w:val="right"/>
              <w:rPr>
                <w:rFonts w:ascii="Times New Roman" w:hAnsi="Times New Roman" w:cs="Times New Roman" w:eastAsia="Times New Roman" w:hint="default"/>
                <w:sz w:val="18"/>
                <w:szCs w:val="18"/>
              </w:rPr>
            </w:pPr>
            <w:r>
              <w:rPr>
                <w:rFonts w:ascii="Times New Roman"/>
                <w:sz w:val="18"/>
              </w:rPr>
              <w:t>19</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97"/>
              <w:jc w:val="right"/>
              <w:rPr>
                <w:rFonts w:ascii="宋体" w:hAnsi="宋体" w:cs="宋体" w:eastAsia="宋体" w:hint="default"/>
                <w:sz w:val="18"/>
                <w:szCs w:val="18"/>
              </w:rPr>
            </w:pPr>
            <w:r>
              <w:rPr>
                <w:rFonts w:ascii="宋体" w:hAnsi="宋体" w:cs="宋体" w:eastAsia="宋体" w:hint="default"/>
                <w:sz w:val="18"/>
                <w:szCs w:val="18"/>
              </w:rPr>
              <w:t>科信盛彩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87" w:right="32" w:hanging="454"/>
              <w:jc w:val="left"/>
              <w:rPr>
                <w:rFonts w:ascii="Times New Roman" w:hAnsi="Times New Roman" w:cs="Times New Roman" w:eastAsia="Times New Roman" w:hint="default"/>
                <w:sz w:val="18"/>
                <w:szCs w:val="18"/>
              </w:rPr>
            </w:pPr>
            <w:r>
              <w:rPr>
                <w:rFonts w:ascii="宋体" w:hAnsi="宋体" w:cs="宋体" w:eastAsia="宋体" w:hint="default"/>
                <w:sz w:val="18"/>
                <w:szCs w:val="18"/>
              </w:rPr>
              <w:t>互联网数据传输监控 系统</w:t>
            </w:r>
            <w:r>
              <w:rPr>
                <w:rFonts w:ascii="Times New Roman" w:hAnsi="Times New Roman" w:cs="Times New Roman" w:eastAsia="Times New Roman" w:hint="default"/>
                <w:sz w:val="18"/>
                <w:szCs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2017SR679772</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2265056</w:t>
            </w:r>
            <w:r>
              <w:rPr>
                <w:rFonts w:ascii="宋体" w:hAnsi="宋体" w:cs="宋体" w:eastAsia="宋体" w:hint="default"/>
                <w:sz w:val="18"/>
                <w:szCs w:val="18"/>
              </w:rPr>
              <w:t>号</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78"/>
              <w:jc w:val="right"/>
              <w:rPr>
                <w:rFonts w:ascii="宋体" w:hAnsi="宋体" w:cs="宋体" w:eastAsia="宋体" w:hint="default"/>
                <w:sz w:val="18"/>
                <w:szCs w:val="18"/>
              </w:rPr>
            </w:pPr>
            <w:r>
              <w:rPr>
                <w:rFonts w:ascii="Times New Roman" w:hAnsi="Times New Roman" w:cs="Times New Roman" w:eastAsia="Times New Roman" w:hint="default"/>
                <w:w w:val="95"/>
                <w:sz w:val="18"/>
                <w:szCs w:val="18"/>
              </w:rPr>
              <w:t>2017</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12</w:t>
            </w:r>
            <w:r>
              <w:rPr>
                <w:rFonts w:ascii="宋体" w:hAnsi="宋体" w:cs="宋体" w:eastAsia="宋体" w:hint="default"/>
                <w:w w:val="95"/>
                <w:sz w:val="18"/>
                <w:szCs w:val="18"/>
              </w:rPr>
              <w:t>月</w:t>
            </w:r>
            <w:r>
              <w:rPr>
                <w:rFonts w:ascii="Times New Roman" w:hAnsi="Times New Roman" w:cs="Times New Roman" w:eastAsia="Times New Roman" w:hint="default"/>
                <w:w w:val="95"/>
                <w:sz w:val="18"/>
                <w:szCs w:val="18"/>
              </w:rPr>
              <w:t>11</w:t>
            </w:r>
            <w:r>
              <w:rPr>
                <w:rFonts w:ascii="宋体" w:hAnsi="宋体" w:cs="宋体" w:eastAsia="宋体" w:hint="default"/>
                <w:w w:val="95"/>
                <w:sz w:val="18"/>
                <w:szCs w:val="18"/>
              </w:rPr>
              <w:t>日</w:t>
            </w:r>
          </w:p>
        </w:tc>
      </w:tr>
      <w:tr>
        <w:trPr>
          <w:trHeight w:val="658" w:hRule="exact"/>
        </w:trPr>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47"/>
              <w:jc w:val="right"/>
              <w:rPr>
                <w:rFonts w:ascii="Times New Roman" w:hAnsi="Times New Roman" w:cs="Times New Roman" w:eastAsia="Times New Roman" w:hint="default"/>
                <w:sz w:val="18"/>
                <w:szCs w:val="18"/>
              </w:rPr>
            </w:pPr>
            <w:r>
              <w:rPr>
                <w:rFonts w:ascii="Times New Roman"/>
                <w:sz w:val="18"/>
              </w:rPr>
              <w:t>20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97"/>
              <w:jc w:val="right"/>
              <w:rPr>
                <w:rFonts w:ascii="宋体" w:hAnsi="宋体" w:cs="宋体" w:eastAsia="宋体" w:hint="default"/>
                <w:sz w:val="18"/>
                <w:szCs w:val="18"/>
              </w:rPr>
            </w:pPr>
            <w:r>
              <w:rPr>
                <w:rFonts w:ascii="宋体" w:hAnsi="宋体" w:cs="宋体" w:eastAsia="宋体" w:hint="default"/>
                <w:sz w:val="18"/>
                <w:szCs w:val="18"/>
              </w:rPr>
              <w:t>科信盛彩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网络安全备案系统</w:t>
            </w:r>
          </w:p>
          <w:p>
            <w:pPr>
              <w:pStyle w:val="TableParagraph"/>
              <w:spacing w:line="240" w:lineRule="auto" w:before="118"/>
              <w:ind w:left="2" w:right="0"/>
              <w:jc w:val="center"/>
              <w:rPr>
                <w:rFonts w:ascii="Times New Roman" w:hAnsi="Times New Roman" w:cs="Times New Roman" w:eastAsia="Times New Roman" w:hint="default"/>
                <w:sz w:val="18"/>
                <w:szCs w:val="18"/>
              </w:rPr>
            </w:pPr>
            <w:r>
              <w:rPr>
                <w:rFonts w:ascii="Times New Roman"/>
                <w:sz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2017SR679779</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2265063</w:t>
            </w:r>
            <w:r>
              <w:rPr>
                <w:rFonts w:ascii="宋体" w:hAnsi="宋体" w:cs="宋体" w:eastAsia="宋体" w:hint="default"/>
                <w:sz w:val="18"/>
                <w:szCs w:val="18"/>
              </w:rPr>
              <w:t>号</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78"/>
              <w:jc w:val="right"/>
              <w:rPr>
                <w:rFonts w:ascii="宋体" w:hAnsi="宋体" w:cs="宋体" w:eastAsia="宋体" w:hint="default"/>
                <w:sz w:val="18"/>
                <w:szCs w:val="18"/>
              </w:rPr>
            </w:pPr>
            <w:r>
              <w:rPr>
                <w:rFonts w:ascii="Times New Roman" w:hAnsi="Times New Roman" w:cs="Times New Roman" w:eastAsia="Times New Roman" w:hint="default"/>
                <w:w w:val="95"/>
                <w:sz w:val="18"/>
                <w:szCs w:val="18"/>
              </w:rPr>
              <w:t>2017</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12</w:t>
            </w:r>
            <w:r>
              <w:rPr>
                <w:rFonts w:ascii="宋体" w:hAnsi="宋体" w:cs="宋体" w:eastAsia="宋体" w:hint="default"/>
                <w:w w:val="95"/>
                <w:sz w:val="18"/>
                <w:szCs w:val="18"/>
              </w:rPr>
              <w:t>月</w:t>
            </w:r>
            <w:r>
              <w:rPr>
                <w:rFonts w:ascii="Times New Roman" w:hAnsi="Times New Roman" w:cs="Times New Roman" w:eastAsia="Times New Roman" w:hint="default"/>
                <w:w w:val="95"/>
                <w:sz w:val="18"/>
                <w:szCs w:val="18"/>
              </w:rPr>
              <w:t>11</w:t>
            </w:r>
            <w:r>
              <w:rPr>
                <w:rFonts w:ascii="宋体" w:hAnsi="宋体" w:cs="宋体" w:eastAsia="宋体" w:hint="default"/>
                <w:w w:val="95"/>
                <w:sz w:val="18"/>
                <w:szCs w:val="18"/>
              </w:rPr>
              <w:t>日</w:t>
            </w:r>
          </w:p>
        </w:tc>
      </w:tr>
      <w:tr>
        <w:trPr>
          <w:trHeight w:val="660" w:hRule="exact"/>
        </w:trPr>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47"/>
              <w:jc w:val="right"/>
              <w:rPr>
                <w:rFonts w:ascii="Times New Roman" w:hAnsi="Times New Roman" w:cs="Times New Roman" w:eastAsia="Times New Roman" w:hint="default"/>
                <w:sz w:val="18"/>
                <w:szCs w:val="18"/>
              </w:rPr>
            </w:pPr>
            <w:r>
              <w:rPr>
                <w:rFonts w:ascii="Times New Roman"/>
                <w:sz w:val="18"/>
              </w:rPr>
              <w:t>21</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97"/>
              <w:jc w:val="right"/>
              <w:rPr>
                <w:rFonts w:ascii="宋体" w:hAnsi="宋体" w:cs="宋体" w:eastAsia="宋体" w:hint="default"/>
                <w:sz w:val="18"/>
                <w:szCs w:val="18"/>
              </w:rPr>
            </w:pPr>
            <w:r>
              <w:rPr>
                <w:rFonts w:ascii="宋体" w:hAnsi="宋体" w:cs="宋体" w:eastAsia="宋体" w:hint="default"/>
                <w:sz w:val="18"/>
                <w:szCs w:val="18"/>
              </w:rPr>
              <w:t>科信盛彩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87" w:right="32" w:hanging="454"/>
              <w:jc w:val="left"/>
              <w:rPr>
                <w:rFonts w:ascii="Times New Roman" w:hAnsi="Times New Roman" w:cs="Times New Roman" w:eastAsia="Times New Roman" w:hint="default"/>
                <w:sz w:val="18"/>
                <w:szCs w:val="18"/>
              </w:rPr>
            </w:pPr>
            <w:r>
              <w:rPr>
                <w:rFonts w:ascii="宋体" w:hAnsi="宋体" w:cs="宋体" w:eastAsia="宋体" w:hint="default"/>
                <w:sz w:val="18"/>
                <w:szCs w:val="18"/>
              </w:rPr>
              <w:t>云计算平台内容存储 系统</w:t>
            </w:r>
            <w:r>
              <w:rPr>
                <w:rFonts w:ascii="Times New Roman" w:hAnsi="Times New Roman" w:cs="Times New Roman" w:eastAsia="Times New Roman" w:hint="default"/>
                <w:sz w:val="18"/>
                <w:szCs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2017SR679822</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2265106</w:t>
            </w:r>
            <w:r>
              <w:rPr>
                <w:rFonts w:ascii="宋体" w:hAnsi="宋体" w:cs="宋体" w:eastAsia="宋体" w:hint="default"/>
                <w:sz w:val="18"/>
                <w:szCs w:val="18"/>
              </w:rPr>
              <w:t>号</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78"/>
              <w:jc w:val="right"/>
              <w:rPr>
                <w:rFonts w:ascii="宋体" w:hAnsi="宋体" w:cs="宋体" w:eastAsia="宋体" w:hint="default"/>
                <w:sz w:val="18"/>
                <w:szCs w:val="18"/>
              </w:rPr>
            </w:pPr>
            <w:r>
              <w:rPr>
                <w:rFonts w:ascii="Times New Roman" w:hAnsi="Times New Roman" w:cs="Times New Roman" w:eastAsia="Times New Roman" w:hint="default"/>
                <w:w w:val="95"/>
                <w:sz w:val="18"/>
                <w:szCs w:val="18"/>
              </w:rPr>
              <w:t>2017</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12</w:t>
            </w:r>
            <w:r>
              <w:rPr>
                <w:rFonts w:ascii="宋体" w:hAnsi="宋体" w:cs="宋体" w:eastAsia="宋体" w:hint="default"/>
                <w:w w:val="95"/>
                <w:sz w:val="18"/>
                <w:szCs w:val="18"/>
              </w:rPr>
              <w:t>月</w:t>
            </w:r>
            <w:r>
              <w:rPr>
                <w:rFonts w:ascii="Times New Roman" w:hAnsi="Times New Roman" w:cs="Times New Roman" w:eastAsia="Times New Roman" w:hint="default"/>
                <w:w w:val="95"/>
                <w:sz w:val="18"/>
                <w:szCs w:val="18"/>
              </w:rPr>
              <w:t>11</w:t>
            </w:r>
            <w:r>
              <w:rPr>
                <w:rFonts w:ascii="宋体" w:hAnsi="宋体" w:cs="宋体" w:eastAsia="宋体" w:hint="default"/>
                <w:w w:val="95"/>
                <w:sz w:val="18"/>
                <w:szCs w:val="18"/>
              </w:rPr>
              <w:t>日</w:t>
            </w:r>
          </w:p>
        </w:tc>
      </w:tr>
      <w:tr>
        <w:trPr>
          <w:trHeight w:val="658" w:hRule="exact"/>
        </w:trPr>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47"/>
              <w:jc w:val="right"/>
              <w:rPr>
                <w:rFonts w:ascii="Times New Roman" w:hAnsi="Times New Roman" w:cs="Times New Roman" w:eastAsia="Times New Roman" w:hint="default"/>
                <w:sz w:val="18"/>
                <w:szCs w:val="18"/>
              </w:rPr>
            </w:pPr>
            <w:r>
              <w:rPr>
                <w:rFonts w:ascii="Times New Roman"/>
                <w:sz w:val="18"/>
              </w:rPr>
              <w:t>22</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97"/>
              <w:jc w:val="right"/>
              <w:rPr>
                <w:rFonts w:ascii="宋体" w:hAnsi="宋体" w:cs="宋体" w:eastAsia="宋体" w:hint="default"/>
                <w:sz w:val="18"/>
                <w:szCs w:val="18"/>
              </w:rPr>
            </w:pPr>
            <w:r>
              <w:rPr>
                <w:rFonts w:ascii="宋体" w:hAnsi="宋体" w:cs="宋体" w:eastAsia="宋体" w:hint="default"/>
                <w:sz w:val="18"/>
                <w:szCs w:val="18"/>
              </w:rPr>
              <w:t>科信盛彩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07" w:right="32" w:hanging="274"/>
              <w:jc w:val="left"/>
              <w:rPr>
                <w:rFonts w:ascii="Times New Roman" w:hAnsi="Times New Roman" w:cs="Times New Roman" w:eastAsia="Times New Roman" w:hint="default"/>
                <w:sz w:val="18"/>
                <w:szCs w:val="18"/>
              </w:rPr>
            </w:pPr>
            <w:r>
              <w:rPr>
                <w:rFonts w:ascii="宋体" w:hAnsi="宋体" w:cs="宋体" w:eastAsia="宋体" w:hint="default"/>
                <w:sz w:val="18"/>
                <w:szCs w:val="18"/>
              </w:rPr>
              <w:t>云计算平台流量负载 均衡系统</w:t>
            </w:r>
            <w:r>
              <w:rPr>
                <w:rFonts w:ascii="Times New Roman" w:hAnsi="Times New Roman" w:cs="Times New Roman" w:eastAsia="Times New Roman" w:hint="default"/>
                <w:sz w:val="18"/>
                <w:szCs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2017SR679768</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2265052</w:t>
            </w:r>
            <w:r>
              <w:rPr>
                <w:rFonts w:ascii="宋体" w:hAnsi="宋体" w:cs="宋体" w:eastAsia="宋体" w:hint="default"/>
                <w:sz w:val="18"/>
                <w:szCs w:val="18"/>
              </w:rPr>
              <w:t>号</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78"/>
              <w:jc w:val="right"/>
              <w:rPr>
                <w:rFonts w:ascii="宋体" w:hAnsi="宋体" w:cs="宋体" w:eastAsia="宋体" w:hint="default"/>
                <w:sz w:val="18"/>
                <w:szCs w:val="18"/>
              </w:rPr>
            </w:pPr>
            <w:r>
              <w:rPr>
                <w:rFonts w:ascii="Times New Roman" w:hAnsi="Times New Roman" w:cs="Times New Roman" w:eastAsia="Times New Roman" w:hint="default"/>
                <w:w w:val="95"/>
                <w:sz w:val="18"/>
                <w:szCs w:val="18"/>
              </w:rPr>
              <w:t>2017</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12</w:t>
            </w:r>
            <w:r>
              <w:rPr>
                <w:rFonts w:ascii="宋体" w:hAnsi="宋体" w:cs="宋体" w:eastAsia="宋体" w:hint="default"/>
                <w:w w:val="95"/>
                <w:sz w:val="18"/>
                <w:szCs w:val="18"/>
              </w:rPr>
              <w:t>月</w:t>
            </w:r>
            <w:r>
              <w:rPr>
                <w:rFonts w:ascii="Times New Roman" w:hAnsi="Times New Roman" w:cs="Times New Roman" w:eastAsia="Times New Roman" w:hint="default"/>
                <w:w w:val="95"/>
                <w:sz w:val="18"/>
                <w:szCs w:val="18"/>
              </w:rPr>
              <w:t>11</w:t>
            </w:r>
            <w:r>
              <w:rPr>
                <w:rFonts w:ascii="宋体" w:hAnsi="宋体" w:cs="宋体" w:eastAsia="宋体" w:hint="default"/>
                <w:w w:val="95"/>
                <w:sz w:val="18"/>
                <w:szCs w:val="18"/>
              </w:rPr>
              <w:t>日</w:t>
            </w:r>
          </w:p>
        </w:tc>
      </w:tr>
      <w:tr>
        <w:trPr>
          <w:trHeight w:val="660" w:hRule="exact"/>
        </w:trPr>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47"/>
              <w:jc w:val="right"/>
              <w:rPr>
                <w:rFonts w:ascii="Times New Roman" w:hAnsi="Times New Roman" w:cs="Times New Roman" w:eastAsia="Times New Roman" w:hint="default"/>
                <w:sz w:val="18"/>
                <w:szCs w:val="18"/>
              </w:rPr>
            </w:pPr>
            <w:r>
              <w:rPr>
                <w:rFonts w:ascii="Times New Roman"/>
                <w:sz w:val="18"/>
              </w:rPr>
              <w:t>23</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97"/>
              <w:jc w:val="right"/>
              <w:rPr>
                <w:rFonts w:ascii="宋体" w:hAnsi="宋体" w:cs="宋体" w:eastAsia="宋体" w:hint="default"/>
                <w:sz w:val="18"/>
                <w:szCs w:val="18"/>
              </w:rPr>
            </w:pPr>
            <w:r>
              <w:rPr>
                <w:rFonts w:ascii="宋体" w:hAnsi="宋体" w:cs="宋体" w:eastAsia="宋体" w:hint="default"/>
                <w:sz w:val="18"/>
                <w:szCs w:val="18"/>
              </w:rPr>
              <w:t>科信盛彩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87" w:right="32" w:hanging="454"/>
              <w:jc w:val="left"/>
              <w:rPr>
                <w:rFonts w:ascii="Times New Roman" w:hAnsi="Times New Roman" w:cs="Times New Roman" w:eastAsia="Times New Roman" w:hint="default"/>
                <w:sz w:val="18"/>
                <w:szCs w:val="18"/>
              </w:rPr>
            </w:pPr>
            <w:r>
              <w:rPr>
                <w:rFonts w:ascii="宋体" w:hAnsi="宋体" w:cs="宋体" w:eastAsia="宋体" w:hint="default"/>
                <w:sz w:val="18"/>
                <w:szCs w:val="18"/>
              </w:rPr>
              <w:t>云计算平台资源调度 系统</w:t>
            </w:r>
            <w:r>
              <w:rPr>
                <w:rFonts w:ascii="Times New Roman" w:hAnsi="Times New Roman" w:cs="Times New Roman" w:eastAsia="Times New Roman" w:hint="default"/>
                <w:sz w:val="18"/>
                <w:szCs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2017SR679819</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2265103</w:t>
            </w:r>
            <w:r>
              <w:rPr>
                <w:rFonts w:ascii="宋体" w:hAnsi="宋体" w:cs="宋体" w:eastAsia="宋体" w:hint="default"/>
                <w:sz w:val="18"/>
                <w:szCs w:val="18"/>
              </w:rPr>
              <w:t>号</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78"/>
              <w:jc w:val="right"/>
              <w:rPr>
                <w:rFonts w:ascii="宋体" w:hAnsi="宋体" w:cs="宋体" w:eastAsia="宋体" w:hint="default"/>
                <w:sz w:val="18"/>
                <w:szCs w:val="18"/>
              </w:rPr>
            </w:pPr>
            <w:r>
              <w:rPr>
                <w:rFonts w:ascii="Times New Roman" w:hAnsi="Times New Roman" w:cs="Times New Roman" w:eastAsia="Times New Roman" w:hint="default"/>
                <w:w w:val="95"/>
                <w:sz w:val="18"/>
                <w:szCs w:val="18"/>
              </w:rPr>
              <w:t>2017</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12</w:t>
            </w:r>
            <w:r>
              <w:rPr>
                <w:rFonts w:ascii="宋体" w:hAnsi="宋体" w:cs="宋体" w:eastAsia="宋体" w:hint="default"/>
                <w:w w:val="95"/>
                <w:sz w:val="18"/>
                <w:szCs w:val="18"/>
              </w:rPr>
              <w:t>月</w:t>
            </w:r>
            <w:r>
              <w:rPr>
                <w:rFonts w:ascii="Times New Roman" w:hAnsi="Times New Roman" w:cs="Times New Roman" w:eastAsia="Times New Roman" w:hint="default"/>
                <w:w w:val="95"/>
                <w:sz w:val="18"/>
                <w:szCs w:val="18"/>
              </w:rPr>
              <w:t>11</w:t>
            </w:r>
            <w:r>
              <w:rPr>
                <w:rFonts w:ascii="宋体" w:hAnsi="宋体" w:cs="宋体" w:eastAsia="宋体" w:hint="default"/>
                <w:w w:val="95"/>
                <w:sz w:val="18"/>
                <w:szCs w:val="18"/>
              </w:rPr>
              <w:t>日</w:t>
            </w:r>
          </w:p>
        </w:tc>
      </w:tr>
      <w:tr>
        <w:trPr>
          <w:trHeight w:val="660" w:hRule="exact"/>
        </w:trPr>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47"/>
              <w:jc w:val="right"/>
              <w:rPr>
                <w:rFonts w:ascii="Times New Roman" w:hAnsi="Times New Roman" w:cs="Times New Roman" w:eastAsia="Times New Roman" w:hint="default"/>
                <w:sz w:val="18"/>
                <w:szCs w:val="18"/>
              </w:rPr>
            </w:pPr>
            <w:r>
              <w:rPr>
                <w:rFonts w:ascii="Times New Roman"/>
                <w:sz w:val="18"/>
              </w:rPr>
              <w:t>24</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97"/>
              <w:jc w:val="right"/>
              <w:rPr>
                <w:rFonts w:ascii="宋体" w:hAnsi="宋体" w:cs="宋体" w:eastAsia="宋体" w:hint="default"/>
                <w:sz w:val="18"/>
                <w:szCs w:val="18"/>
              </w:rPr>
            </w:pPr>
            <w:r>
              <w:rPr>
                <w:rFonts w:ascii="宋体" w:hAnsi="宋体" w:cs="宋体" w:eastAsia="宋体" w:hint="default"/>
                <w:sz w:val="18"/>
                <w:szCs w:val="18"/>
              </w:rPr>
              <w:t>科信盛彩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15" w:right="32" w:hanging="183"/>
              <w:jc w:val="left"/>
              <w:rPr>
                <w:rFonts w:ascii="Times New Roman" w:hAnsi="Times New Roman" w:cs="Times New Roman" w:eastAsia="Times New Roman" w:hint="default"/>
                <w:sz w:val="18"/>
                <w:szCs w:val="18"/>
              </w:rPr>
            </w:pPr>
            <w:r>
              <w:rPr>
                <w:rFonts w:ascii="宋体" w:hAnsi="宋体" w:cs="宋体" w:eastAsia="宋体" w:hint="default"/>
                <w:sz w:val="18"/>
                <w:szCs w:val="18"/>
              </w:rPr>
              <w:t>云计算平台分布式消 息队列系统</w:t>
            </w:r>
            <w:r>
              <w:rPr>
                <w:rFonts w:ascii="Times New Roman" w:hAnsi="Times New Roman" w:cs="Times New Roman" w:eastAsia="Times New Roman" w:hint="default"/>
                <w:sz w:val="18"/>
                <w:szCs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2017SR679765</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2265049</w:t>
            </w:r>
            <w:r>
              <w:rPr>
                <w:rFonts w:ascii="宋体" w:hAnsi="宋体" w:cs="宋体" w:eastAsia="宋体" w:hint="default"/>
                <w:sz w:val="18"/>
                <w:szCs w:val="18"/>
              </w:rPr>
              <w:t>号</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78"/>
              <w:jc w:val="right"/>
              <w:rPr>
                <w:rFonts w:ascii="宋体" w:hAnsi="宋体" w:cs="宋体" w:eastAsia="宋体" w:hint="default"/>
                <w:sz w:val="18"/>
                <w:szCs w:val="18"/>
              </w:rPr>
            </w:pPr>
            <w:r>
              <w:rPr>
                <w:rFonts w:ascii="Times New Roman" w:hAnsi="Times New Roman" w:cs="Times New Roman" w:eastAsia="Times New Roman" w:hint="default"/>
                <w:w w:val="95"/>
                <w:sz w:val="18"/>
                <w:szCs w:val="18"/>
              </w:rPr>
              <w:t>2017</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12</w:t>
            </w:r>
            <w:r>
              <w:rPr>
                <w:rFonts w:ascii="宋体" w:hAnsi="宋体" w:cs="宋体" w:eastAsia="宋体" w:hint="default"/>
                <w:w w:val="95"/>
                <w:sz w:val="18"/>
                <w:szCs w:val="18"/>
              </w:rPr>
              <w:t>月</w:t>
            </w:r>
            <w:r>
              <w:rPr>
                <w:rFonts w:ascii="Times New Roman" w:hAnsi="Times New Roman" w:cs="Times New Roman" w:eastAsia="Times New Roman" w:hint="default"/>
                <w:w w:val="95"/>
                <w:sz w:val="18"/>
                <w:szCs w:val="18"/>
              </w:rPr>
              <w:t>11</w:t>
            </w:r>
            <w:r>
              <w:rPr>
                <w:rFonts w:ascii="宋体" w:hAnsi="宋体" w:cs="宋体" w:eastAsia="宋体" w:hint="default"/>
                <w:w w:val="95"/>
                <w:sz w:val="18"/>
                <w:szCs w:val="18"/>
              </w:rPr>
              <w:t>日</w:t>
            </w:r>
          </w:p>
        </w:tc>
      </w:tr>
      <w:tr>
        <w:trPr>
          <w:trHeight w:val="658" w:hRule="exact"/>
        </w:trPr>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47"/>
              <w:jc w:val="right"/>
              <w:rPr>
                <w:rFonts w:ascii="Times New Roman" w:hAnsi="Times New Roman" w:cs="Times New Roman" w:eastAsia="Times New Roman" w:hint="default"/>
                <w:sz w:val="18"/>
                <w:szCs w:val="18"/>
              </w:rPr>
            </w:pPr>
            <w:r>
              <w:rPr>
                <w:rFonts w:ascii="Times New Roman"/>
                <w:sz w:val="18"/>
              </w:rPr>
              <w:t>25</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97"/>
              <w:jc w:val="right"/>
              <w:rPr>
                <w:rFonts w:ascii="宋体" w:hAnsi="宋体" w:cs="宋体" w:eastAsia="宋体" w:hint="default"/>
                <w:sz w:val="18"/>
                <w:szCs w:val="18"/>
              </w:rPr>
            </w:pPr>
            <w:r>
              <w:rPr>
                <w:rFonts w:ascii="宋体" w:hAnsi="宋体" w:cs="宋体" w:eastAsia="宋体" w:hint="default"/>
                <w:sz w:val="18"/>
                <w:szCs w:val="18"/>
              </w:rPr>
              <w:t>科信盛彩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07" w:right="32" w:hanging="274"/>
              <w:jc w:val="left"/>
              <w:rPr>
                <w:rFonts w:ascii="Times New Roman" w:hAnsi="Times New Roman" w:cs="Times New Roman" w:eastAsia="Times New Roman" w:hint="default"/>
                <w:sz w:val="18"/>
                <w:szCs w:val="18"/>
              </w:rPr>
            </w:pPr>
            <w:r>
              <w:rPr>
                <w:rFonts w:ascii="宋体" w:hAnsi="宋体" w:cs="宋体" w:eastAsia="宋体" w:hint="default"/>
                <w:sz w:val="18"/>
                <w:szCs w:val="18"/>
              </w:rPr>
              <w:t>云计算平台分布式数 据库系统</w:t>
            </w:r>
            <w:r>
              <w:rPr>
                <w:rFonts w:ascii="Times New Roman" w:hAnsi="Times New Roman" w:cs="Times New Roman" w:eastAsia="Times New Roman" w:hint="default"/>
                <w:sz w:val="18"/>
                <w:szCs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2017SR679776</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2265060</w:t>
            </w:r>
            <w:r>
              <w:rPr>
                <w:rFonts w:ascii="宋体" w:hAnsi="宋体" w:cs="宋体" w:eastAsia="宋体" w:hint="default"/>
                <w:sz w:val="18"/>
                <w:szCs w:val="18"/>
              </w:rPr>
              <w:t>号</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78"/>
              <w:jc w:val="right"/>
              <w:rPr>
                <w:rFonts w:ascii="宋体" w:hAnsi="宋体" w:cs="宋体" w:eastAsia="宋体" w:hint="default"/>
                <w:sz w:val="18"/>
                <w:szCs w:val="18"/>
              </w:rPr>
            </w:pPr>
            <w:r>
              <w:rPr>
                <w:rFonts w:ascii="Times New Roman" w:hAnsi="Times New Roman" w:cs="Times New Roman" w:eastAsia="Times New Roman" w:hint="default"/>
                <w:w w:val="95"/>
                <w:sz w:val="18"/>
                <w:szCs w:val="18"/>
              </w:rPr>
              <w:t>2017</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12</w:t>
            </w:r>
            <w:r>
              <w:rPr>
                <w:rFonts w:ascii="宋体" w:hAnsi="宋体" w:cs="宋体" w:eastAsia="宋体" w:hint="default"/>
                <w:w w:val="95"/>
                <w:sz w:val="18"/>
                <w:szCs w:val="18"/>
              </w:rPr>
              <w:t>月</w:t>
            </w:r>
            <w:r>
              <w:rPr>
                <w:rFonts w:ascii="Times New Roman" w:hAnsi="Times New Roman" w:cs="Times New Roman" w:eastAsia="Times New Roman" w:hint="default"/>
                <w:w w:val="95"/>
                <w:sz w:val="18"/>
                <w:szCs w:val="18"/>
              </w:rPr>
              <w:t>11</w:t>
            </w:r>
            <w:r>
              <w:rPr>
                <w:rFonts w:ascii="宋体" w:hAnsi="宋体" w:cs="宋体" w:eastAsia="宋体" w:hint="default"/>
                <w:w w:val="95"/>
                <w:sz w:val="18"/>
                <w:szCs w:val="18"/>
              </w:rPr>
              <w:t>日</w:t>
            </w:r>
          </w:p>
        </w:tc>
      </w:tr>
    </w:tbl>
    <w:p>
      <w:pPr>
        <w:pStyle w:val="BodyText"/>
        <w:spacing w:line="300" w:lineRule="auto" w:before="8"/>
        <w:ind w:left="513" w:right="183"/>
        <w:jc w:val="left"/>
      </w:pPr>
      <w:r>
        <w:rPr>
          <w:rFonts w:ascii="Times New Roman" w:hAnsi="Times New Roman" w:cs="Times New Roman" w:eastAsia="Times New Roman" w:hint="default"/>
          <w:b/>
          <w:bCs/>
        </w:rPr>
        <w:t>2</w:t>
      </w:r>
      <w:r>
        <w:rPr>
          <w:rFonts w:ascii="宋体" w:hAnsi="宋体" w:cs="宋体" w:eastAsia="宋体" w:hint="default"/>
          <w:b/>
          <w:bCs/>
        </w:rPr>
        <w:t>、市场及客户资源优势</w:t>
      </w:r>
      <w:r>
        <w:rPr>
          <w:rFonts w:ascii="宋体" w:hAnsi="宋体" w:cs="宋体" w:eastAsia="宋体" w:hint="default"/>
          <w:b/>
          <w:bCs/>
          <w:w w:val="99"/>
        </w:rPr>
        <w:t> </w:t>
      </w:r>
      <w:r>
        <w:rPr>
          <w:spacing w:val="-2"/>
        </w:rPr>
        <w:t>十余年来，公司始终专注于为客户打造优质的网络环境及数据中心资源，积累了丰富的数据中心建设经验，以及独道的</w:t>
      </w:r>
    </w:p>
    <w:p>
      <w:pPr>
        <w:pStyle w:val="BodyText"/>
        <w:spacing w:line="319" w:lineRule="auto" w:before="31"/>
        <w:ind w:right="94"/>
        <w:jc w:val="left"/>
      </w:pPr>
      <w:r>
        <w:rPr>
          <w:spacing w:val="-2"/>
        </w:rPr>
        <w:t>数据中心管理体系。同时，公司不断改进技术水平、提升服务品质，以高品质服务、高性价比优势成为众多知名客户的优选</w:t>
      </w:r>
      <w:r>
        <w:rPr>
          <w:spacing w:val="-67"/>
        </w:rPr>
        <w:t> </w:t>
      </w:r>
      <w:r>
        <w:rPr>
          <w:spacing w:val="-67"/>
        </w:rPr>
      </w:r>
      <w:r>
        <w:rPr/>
        <w:t>对象。上市以来，公司更充分利用资本市场优势，通过并购重组方式进一步扩充企业规模，扩大业务范围，丰富客户资源，</w:t>
      </w:r>
      <w:r>
        <w:rPr>
          <w:spacing w:val="-86"/>
        </w:rPr>
        <w:t> </w:t>
      </w:r>
      <w:r>
        <w:rPr>
          <w:spacing w:val="-86"/>
        </w:rPr>
      </w:r>
      <w:r>
        <w:rPr/>
        <w:t>提高市场占有率，增强综合竞争力。</w:t>
      </w:r>
    </w:p>
    <w:p>
      <w:pPr>
        <w:pStyle w:val="BodyText"/>
        <w:spacing w:line="300" w:lineRule="auto" w:before="17"/>
        <w:ind w:left="513" w:right="183"/>
        <w:jc w:val="left"/>
      </w:pPr>
      <w:r>
        <w:rPr>
          <w:rFonts w:ascii="Times New Roman" w:hAnsi="Times New Roman" w:cs="Times New Roman" w:eastAsia="Times New Roman" w:hint="default"/>
          <w:b/>
          <w:bCs/>
        </w:rPr>
        <w:t>3</w:t>
      </w:r>
      <w:r>
        <w:rPr>
          <w:rFonts w:ascii="宋体" w:hAnsi="宋体" w:cs="宋体" w:eastAsia="宋体" w:hint="default"/>
          <w:b/>
          <w:bCs/>
        </w:rPr>
        <w:t>、团队及人才优势</w:t>
      </w:r>
      <w:r>
        <w:rPr>
          <w:rFonts w:ascii="宋体" w:hAnsi="宋体" w:cs="宋体" w:eastAsia="宋体" w:hint="default"/>
          <w:b/>
          <w:bCs/>
          <w:w w:val="99"/>
        </w:rPr>
        <w:t> </w:t>
      </w:r>
      <w:r>
        <w:rPr>
          <w:spacing w:val="-2"/>
        </w:rPr>
        <w:t>报告期内，公司持续加大内部培养和外部引进人才的力度，加强员工岗前培训和团队建设，建立了科学化、规范化、系</w:t>
      </w:r>
    </w:p>
    <w:p>
      <w:pPr>
        <w:pStyle w:val="BodyText"/>
        <w:spacing w:line="316" w:lineRule="auto" w:before="31"/>
        <w:ind w:right="195"/>
        <w:jc w:val="both"/>
      </w:pPr>
      <w:r>
        <w:rPr>
          <w:spacing w:val="-2"/>
        </w:rPr>
        <w:t>统化的人力资源培训体系。同时，公司积极培养复合型人才，形成合理的人才梯队，不断加强团队凝聚力，全面提高员工的</w:t>
      </w:r>
      <w:r>
        <w:rPr>
          <w:spacing w:val="-67"/>
        </w:rPr>
        <w:t> </w:t>
      </w:r>
      <w:r>
        <w:rPr>
          <w:spacing w:val="-67"/>
        </w:rPr>
      </w:r>
      <w:r>
        <w:rPr>
          <w:spacing w:val="-2"/>
        </w:rPr>
        <w:t>工作热情。公司培养了一批具有领军精神的人才，带领团队勇于钻研、敢于创新、吃苦耐劳，为公司进一步的发展提供了有</w:t>
      </w:r>
      <w:r>
        <w:rPr>
          <w:spacing w:val="-67"/>
        </w:rPr>
        <w:t> </w:t>
      </w:r>
      <w:r>
        <w:rPr>
          <w:spacing w:val="-67"/>
        </w:rPr>
      </w:r>
      <w:r>
        <w:rPr/>
        <w:t>效的支持。截至报告期末，公司核心技术人员未发生变化。</w:t>
      </w:r>
    </w:p>
    <w:p>
      <w:pPr>
        <w:spacing w:after="0" w:line="316" w:lineRule="auto"/>
        <w:jc w:val="both"/>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183"/>
        <w:jc w:val="left"/>
        <w:rPr>
          <w:b w:val="0"/>
          <w:bCs w:val="0"/>
        </w:rPr>
      </w:pPr>
      <w:bookmarkStart w:name="_bookmark3" w:id="4"/>
      <w:bookmarkEnd w:id="4"/>
      <w:r>
        <w:rPr>
          <w:b w:val="0"/>
          <w:bCs w:val="0"/>
        </w:rPr>
      </w:r>
      <w:r>
        <w:rPr/>
        <w:t>第四节</w:t>
      </w:r>
      <w:r>
        <w:rPr>
          <w:spacing w:val="-6"/>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83"/>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83" w:firstLine="360"/>
        <w:jc w:val="left"/>
      </w:pPr>
      <w:r>
        <w:rPr>
          <w:rFonts w:ascii="Times New Roman" w:hAnsi="Times New Roman" w:cs="Times New Roman" w:eastAsia="Times New Roman" w:hint="default"/>
          <w:spacing w:val="-2"/>
        </w:rPr>
        <w:t>2017</w:t>
      </w:r>
      <w:r>
        <w:rPr>
          <w:spacing w:val="-2"/>
        </w:rPr>
        <w:t>年公司围绕企业发展战略积极推动年度经营计划的贯彻落实。报告期内公司整体经营情况良好，业绩大幅增长，实</w:t>
      </w:r>
      <w:r>
        <w:rPr/>
        <w:t> 现营业收入</w:t>
      </w:r>
      <w:r>
        <w:rPr>
          <w:rFonts w:ascii="Times New Roman" w:hAnsi="Times New Roman" w:cs="Times New Roman" w:eastAsia="Times New Roman" w:hint="default"/>
        </w:rPr>
        <w:t>407,716.87</w:t>
      </w:r>
      <w:r>
        <w:rPr/>
        <w:t>万元，较上年同期增长</w:t>
      </w:r>
      <w:r>
        <w:rPr>
          <w:rFonts w:ascii="Times New Roman" w:hAnsi="Times New Roman" w:cs="Times New Roman" w:eastAsia="Times New Roman" w:hint="default"/>
        </w:rPr>
        <w:t>75.92%</w:t>
      </w:r>
      <w:r>
        <w:rPr/>
        <w:t>；实现营业利润</w:t>
      </w:r>
      <w:r>
        <w:rPr>
          <w:rFonts w:ascii="Times New Roman" w:hAnsi="Times New Roman" w:cs="Times New Roman" w:eastAsia="Times New Roman" w:hint="default"/>
        </w:rPr>
        <w:t>50,424.30</w:t>
      </w:r>
      <w:r>
        <w:rPr/>
        <w:t>万元，较上年同期增长</w:t>
      </w:r>
      <w:r>
        <w:rPr>
          <w:rFonts w:ascii="Times New Roman" w:hAnsi="Times New Roman" w:cs="Times New Roman" w:eastAsia="Times New Roman" w:hint="default"/>
        </w:rPr>
        <w:t>47.68%</w:t>
      </w:r>
      <w:r>
        <w:rPr/>
        <w:t>；利润总额为 </w:t>
      </w:r>
      <w:r>
        <w:rPr>
          <w:rFonts w:ascii="Times New Roman" w:hAnsi="Times New Roman" w:cs="Times New Roman" w:eastAsia="Times New Roman" w:hint="default"/>
        </w:rPr>
        <w:t>51,045.10</w:t>
      </w:r>
      <w:r>
        <w:rPr/>
        <w:t>万元，较上年同期增长</w:t>
      </w:r>
      <w:r>
        <w:rPr>
          <w:rFonts w:ascii="Times New Roman" w:hAnsi="Times New Roman" w:cs="Times New Roman" w:eastAsia="Times New Roman" w:hint="default"/>
        </w:rPr>
        <w:t>30.48%</w:t>
      </w:r>
      <w:r>
        <w:rPr/>
        <w:t>；实现归属于上市公司股东的净利润为</w:t>
      </w:r>
      <w:r>
        <w:rPr>
          <w:rFonts w:ascii="Times New Roman" w:hAnsi="Times New Roman" w:cs="Times New Roman" w:eastAsia="Times New Roman" w:hint="default"/>
        </w:rPr>
        <w:t>43,586.21</w:t>
      </w:r>
      <w:r>
        <w:rPr/>
        <w:t>万元，较上年同期增长</w:t>
      </w:r>
      <w:r>
        <w:rPr>
          <w:rFonts w:ascii="Times New Roman" w:hAnsi="Times New Roman" w:cs="Times New Roman" w:eastAsia="Times New Roman" w:hint="default"/>
        </w:rPr>
        <w:t>30.05%</w:t>
      </w:r>
      <w:r>
        <w:rPr/>
        <w:t>。报</w:t>
      </w:r>
      <w:r>
        <w:rPr>
          <w:spacing w:val="-3"/>
        </w:rPr>
        <w:t> </w:t>
      </w:r>
      <w:r>
        <w:rPr/>
        <w:t>告期内公司业务持续稳定增长，云计算业务大幅增长，云计算服务收入占全年总收入</w:t>
      </w:r>
      <w:r>
        <w:rPr>
          <w:rFonts w:ascii="Times New Roman" w:hAnsi="Times New Roman" w:cs="Times New Roman" w:eastAsia="Times New Roman" w:hint="default"/>
        </w:rPr>
        <w:t>70.42%</w:t>
      </w:r>
      <w:r>
        <w:rPr/>
        <w:t>。</w:t>
      </w:r>
    </w:p>
    <w:p>
      <w:pPr>
        <w:pStyle w:val="BodyText"/>
        <w:spacing w:line="316" w:lineRule="auto" w:before="13"/>
        <w:ind w:left="513" w:right="183"/>
        <w:jc w:val="left"/>
      </w:pPr>
      <w:r>
        <w:rPr>
          <w:rFonts w:ascii="宋体" w:hAnsi="宋体" w:cs="宋体" w:eastAsia="宋体" w:hint="default"/>
          <w:b/>
          <w:bCs/>
        </w:rPr>
        <w:t>云服务运营方面</w:t>
      </w:r>
      <w:r>
        <w:rPr>
          <w:rFonts w:ascii="宋体" w:hAnsi="宋体" w:cs="宋体" w:eastAsia="宋体" w:hint="default"/>
          <w:b/>
          <w:bCs/>
          <w:w w:val="99"/>
        </w:rPr>
        <w:t> </w:t>
      </w:r>
      <w:r>
        <w:rPr>
          <w:spacing w:val="-2"/>
        </w:rPr>
        <w:t>报告期内，公司通过了行业主管部门的审核，如期获得云服务牌照，云计算业务获得大幅增长，云计算服务收入占全年</w:t>
      </w:r>
    </w:p>
    <w:p>
      <w:pPr>
        <w:pStyle w:val="BodyText"/>
        <w:spacing w:line="316" w:lineRule="auto" w:before="19"/>
        <w:ind w:right="105"/>
        <w:jc w:val="left"/>
      </w:pPr>
      <w:r>
        <w:rPr>
          <w:spacing w:val="-3"/>
        </w:rPr>
        <w:t>总收入</w:t>
      </w:r>
      <w:r>
        <w:rPr>
          <w:rFonts w:ascii="Times New Roman" w:hAnsi="Times New Roman" w:cs="Times New Roman" w:eastAsia="Times New Roman" w:hint="default"/>
          <w:spacing w:val="-3"/>
        </w:rPr>
        <w:t>70%</w:t>
      </w:r>
      <w:r>
        <w:rPr>
          <w:spacing w:val="-3"/>
        </w:rPr>
        <w:t>以上。自</w:t>
      </w:r>
      <w:r>
        <w:rPr>
          <w:rFonts w:ascii="宋体" w:hAnsi="宋体" w:cs="宋体" w:eastAsia="宋体" w:hint="default"/>
          <w:spacing w:val="-3"/>
        </w:rPr>
        <w:t>2016</w:t>
      </w:r>
      <w:r>
        <w:rPr>
          <w:spacing w:val="-3"/>
        </w:rPr>
        <w:t>年与亚马逊通技术服务（北京）有限公司达成《运营协议》后，公司获得亚马逊通授权独立运营</w:t>
      </w:r>
      <w:r>
        <w:rPr>
          <w:rFonts w:ascii="宋体" w:hAnsi="宋体" w:cs="宋体" w:eastAsia="宋体" w:hint="default"/>
          <w:spacing w:val="-3"/>
        </w:rPr>
        <w:t>AWS</w:t>
      </w:r>
      <w:r>
        <w:rPr>
          <w:rFonts w:ascii="宋体" w:hAnsi="宋体" w:cs="宋体" w:eastAsia="宋体" w:hint="default"/>
          <w:spacing w:val="-53"/>
        </w:rPr>
        <w:t> </w:t>
      </w:r>
      <w:r>
        <w:rPr/>
        <w:t>中国（北京）区域云服务，利用公司北京及周边地区的基础设施面向中国境内客户提供服务。</w:t>
      </w:r>
      <w:r>
        <w:rPr>
          <w:rFonts w:ascii="宋体" w:hAnsi="宋体" w:cs="宋体" w:eastAsia="宋体" w:hint="default"/>
        </w:rPr>
        <w:t>2017</w:t>
      </w:r>
      <w:r>
        <w:rPr/>
        <w:t>年双方进一步加深合作，</w:t>
      </w:r>
      <w:r>
        <w:rPr>
          <w:spacing w:val="-85"/>
        </w:rPr>
        <w:t> </w:t>
      </w:r>
      <w:r>
        <w:rPr>
          <w:spacing w:val="-85"/>
        </w:rPr>
      </w:r>
      <w:r>
        <w:rPr>
          <w:spacing w:val="-2"/>
        </w:rPr>
        <w:t>公司与亚马逊通签署了《分期资产出售主协议》，拟以不超过人民币</w:t>
      </w:r>
      <w:r>
        <w:rPr>
          <w:rFonts w:ascii="宋体" w:hAnsi="宋体" w:cs="宋体" w:eastAsia="宋体" w:hint="default"/>
          <w:spacing w:val="-2"/>
        </w:rPr>
        <w:t>20</w:t>
      </w:r>
      <w:r>
        <w:rPr>
          <w:spacing w:val="-2"/>
        </w:rPr>
        <w:t>亿元向亚马逊通购买基于亚马逊云技术的云服务相关</w:t>
      </w:r>
      <w:r>
        <w:rPr>
          <w:spacing w:val="-64"/>
        </w:rPr>
        <w:t> </w:t>
      </w:r>
      <w:r>
        <w:rPr>
          <w:spacing w:val="-64"/>
        </w:rPr>
      </w:r>
      <w:r>
        <w:rPr>
          <w:spacing w:val="-2"/>
        </w:rPr>
        <w:t>的特定经营性资产。截至报告期末公司已首批采购</w:t>
      </w:r>
      <w:r>
        <w:rPr>
          <w:rFonts w:ascii="宋体" w:hAnsi="宋体" w:cs="宋体" w:eastAsia="宋体" w:hint="default"/>
          <w:spacing w:val="-2"/>
        </w:rPr>
        <w:t>8.46</w:t>
      </w:r>
      <w:r>
        <w:rPr>
          <w:spacing w:val="-2"/>
        </w:rPr>
        <w:t>亿元（不含税）设备，从而确保公司可以持续稳定地提供并运营基于</w:t>
      </w:r>
      <w:r>
        <w:rPr>
          <w:spacing w:val="-62"/>
        </w:rPr>
        <w:t> </w:t>
      </w:r>
      <w:r>
        <w:rPr>
          <w:spacing w:val="-62"/>
        </w:rPr>
      </w:r>
      <w:r>
        <w:rPr>
          <w:rFonts w:ascii="宋体" w:hAnsi="宋体" w:cs="宋体" w:eastAsia="宋体" w:hint="default"/>
        </w:rPr>
        <w:t>AWS</w:t>
      </w:r>
      <w:r>
        <w:rPr/>
        <w:t>技术的云服务，进一步夯实了公司在云计算业务领域的行业地位，增强了公司在云计算业务方面的竞争实力。</w:t>
      </w:r>
      <w:r>
        <w:rPr>
          <w:rFonts w:ascii="宋体" w:hAnsi="宋体" w:cs="宋体" w:eastAsia="宋体" w:hint="default"/>
        </w:rPr>
        <w:t>2017</w:t>
      </w:r>
      <w:r>
        <w:rPr/>
        <w:t>年度</w:t>
      </w:r>
      <w:r>
        <w:rPr>
          <w:spacing w:val="-3"/>
        </w:rPr>
        <w:t> </w:t>
      </w:r>
      <w:r>
        <w:rPr/>
        <w:t>公司云计算业务收入占全年总收入</w:t>
      </w:r>
      <w:r>
        <w:rPr>
          <w:rFonts w:ascii="宋体" w:hAnsi="宋体" w:cs="宋体" w:eastAsia="宋体" w:hint="default"/>
        </w:rPr>
        <w:t>70%</w:t>
      </w:r>
      <w:r>
        <w:rPr/>
        <w:t>以上。报告期内，公司推出了基于亚马逊技术的</w:t>
      </w:r>
      <w:r>
        <w:rPr>
          <w:rFonts w:ascii="宋体" w:hAnsi="宋体" w:cs="宋体" w:eastAsia="宋体" w:hint="default"/>
        </w:rPr>
        <w:t>AWS-DX</w:t>
      </w:r>
      <w:r>
        <w:rPr/>
        <w:t>等多种产品，为广大客户提供 </w:t>
      </w:r>
      <w:r>
        <w:rPr>
          <w:spacing w:val="-2"/>
        </w:rPr>
        <w:t>了云计算架构及方案咨询服务、混合云系统集成服务、云平台运维服务等多项服务内容。同时，公司继续推进光环云产品的</w:t>
      </w:r>
      <w:r>
        <w:rPr>
          <w:spacing w:val="-64"/>
        </w:rPr>
        <w:t> </w:t>
      </w:r>
      <w:r>
        <w:rPr>
          <w:spacing w:val="-64"/>
        </w:rPr>
      </w:r>
      <w:r>
        <w:rPr>
          <w:spacing w:val="-2"/>
        </w:rPr>
        <w:t>开发和服务内容的拓展，努力打造更为便捷、高效、安全、可信赖的企业级云产品及服务，为客户提供更专业的云计算一体</w:t>
      </w:r>
      <w:r>
        <w:rPr>
          <w:spacing w:val="-65"/>
        </w:rPr>
        <w:t> </w:t>
      </w:r>
      <w:r>
        <w:rPr>
          <w:spacing w:val="-65"/>
        </w:rPr>
      </w:r>
      <w:r>
        <w:rPr/>
        <w:t>化解决方案。通过光环云和由光环新网运营的</w:t>
      </w:r>
      <w:r>
        <w:rPr>
          <w:rFonts w:ascii="宋体" w:hAnsi="宋体" w:cs="宋体" w:eastAsia="宋体" w:hint="default"/>
        </w:rPr>
        <w:t>AWS</w:t>
      </w:r>
      <w:r>
        <w:rPr/>
        <w:t>云两大平台，公司可满足不同层次客户对云计算产品组合和配套服务的需 求。</w:t>
      </w:r>
    </w:p>
    <w:p>
      <w:pPr>
        <w:pStyle w:val="BodyText"/>
        <w:spacing w:line="316" w:lineRule="auto" w:before="19"/>
        <w:ind w:left="513" w:right="183"/>
        <w:jc w:val="left"/>
      </w:pPr>
      <w:r>
        <w:rPr>
          <w:rFonts w:ascii="宋体" w:hAnsi="宋体" w:cs="宋体" w:eastAsia="宋体" w:hint="default"/>
          <w:b/>
          <w:bCs/>
        </w:rPr>
        <w:t>募投项目建设</w:t>
      </w:r>
      <w:r>
        <w:rPr>
          <w:rFonts w:ascii="宋体" w:hAnsi="宋体" w:cs="宋体" w:eastAsia="宋体" w:hint="default"/>
          <w:b/>
          <w:bCs/>
          <w:w w:val="99"/>
        </w:rPr>
        <w:t> </w:t>
      </w:r>
      <w:r>
        <w:rPr>
          <w:spacing w:val="-1"/>
        </w:rPr>
        <w:t>报告期内，公司在加快项目建设的同时进一步提高项目建设质量，</w:t>
      </w:r>
      <w:r>
        <w:rPr>
          <w:rFonts w:ascii="Times New Roman" w:hAnsi="Times New Roman" w:cs="Times New Roman" w:eastAsia="Times New Roman" w:hint="default"/>
          <w:spacing w:val="-1"/>
        </w:rPr>
        <w:t>IDC</w:t>
      </w:r>
      <w:r>
        <w:rPr>
          <w:spacing w:val="-1"/>
        </w:rPr>
        <w:t>服务能力得到进一步提升。其中，公司上海嘉定</w:t>
      </w:r>
    </w:p>
    <w:p>
      <w:pPr>
        <w:pStyle w:val="BodyText"/>
        <w:spacing w:line="300" w:lineRule="auto"/>
        <w:ind w:right="212"/>
        <w:jc w:val="both"/>
      </w:pPr>
      <w:r>
        <w:rPr/>
        <w:t>数据中心经过全球数据中心业界最知名、权威的认证机构</w:t>
      </w:r>
      <w:r>
        <w:rPr>
          <w:rFonts w:ascii="Times New Roman" w:hAnsi="Times New Roman" w:cs="Times New Roman" w:eastAsia="Times New Roman" w:hint="default"/>
        </w:rPr>
        <w:t>Uptime Institute</w:t>
      </w:r>
      <w:r>
        <w:rPr/>
        <w:t>为期数月的严格评审，获得</w:t>
      </w:r>
      <w:r>
        <w:rPr>
          <w:rFonts w:ascii="Times New Roman" w:hAnsi="Times New Roman" w:cs="Times New Roman" w:eastAsia="Times New Roman" w:hint="default"/>
        </w:rPr>
        <w:t>Uptime Institute</w:t>
      </w:r>
      <w:r>
        <w:rPr>
          <w:rFonts w:ascii="Times New Roman" w:hAnsi="Times New Roman" w:cs="Times New Roman" w:eastAsia="Times New Roman" w:hint="default"/>
          <w:spacing w:val="-4"/>
        </w:rPr>
        <w:t> </w:t>
      </w:r>
      <w:r>
        <w:rPr>
          <w:rFonts w:ascii="Times New Roman" w:hAnsi="Times New Roman" w:cs="Times New Roman" w:eastAsia="Times New Roman" w:hint="default"/>
        </w:rPr>
        <w:t>T4</w:t>
      </w:r>
      <w:r>
        <w:rPr/>
        <w:t>标准 认证，成为上海地区唯一一家获得</w:t>
      </w:r>
      <w:r>
        <w:rPr>
          <w:rFonts w:ascii="Times New Roman" w:hAnsi="Times New Roman" w:cs="Times New Roman" w:eastAsia="Times New Roman" w:hint="default"/>
        </w:rPr>
        <w:t>T4</w:t>
      </w:r>
      <w:r>
        <w:rPr/>
        <w:t>标准认证的商用数据中心，将为广大商企用户提供国内最高品质的云计算一体化解决 方案服务。</w:t>
      </w:r>
    </w:p>
    <w:p>
      <w:pPr>
        <w:spacing w:line="240" w:lineRule="auto" w:before="5"/>
        <w:rPr>
          <w:rFonts w:ascii="宋体" w:hAnsi="宋体" w:cs="宋体" w:eastAsia="宋体" w:hint="default"/>
          <w:sz w:val="8"/>
          <w:szCs w:val="8"/>
        </w:rPr>
      </w:pPr>
    </w:p>
    <w:p>
      <w:pPr>
        <w:spacing w:line="3286" w:lineRule="exact"/>
        <w:ind w:left="3458" w:right="0" w:firstLine="0"/>
        <w:rPr>
          <w:rFonts w:ascii="宋体" w:hAnsi="宋体" w:cs="宋体" w:eastAsia="宋体" w:hint="default"/>
          <w:sz w:val="20"/>
          <w:szCs w:val="20"/>
        </w:rPr>
      </w:pPr>
      <w:r>
        <w:rPr>
          <w:rFonts w:ascii="宋体" w:hAnsi="宋体" w:cs="宋体" w:eastAsia="宋体" w:hint="default"/>
          <w:position w:val="-65"/>
          <w:sz w:val="20"/>
          <w:szCs w:val="20"/>
        </w:rPr>
        <w:drawing>
          <wp:inline distT="0" distB="0" distL="0" distR="0">
            <wp:extent cx="2221770" cy="2087118"/>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5" cstate="print"/>
                    <a:stretch>
                      <a:fillRect/>
                    </a:stretch>
                  </pic:blipFill>
                  <pic:spPr>
                    <a:xfrm>
                      <a:off x="0" y="0"/>
                      <a:ext cx="2221770" cy="2087118"/>
                    </a:xfrm>
                    <a:prstGeom prst="rect">
                      <a:avLst/>
                    </a:prstGeom>
                  </pic:spPr>
                </pic:pic>
              </a:graphicData>
            </a:graphic>
          </wp:inline>
        </w:drawing>
      </w:r>
      <w:r>
        <w:rPr>
          <w:rFonts w:ascii="宋体" w:hAnsi="宋体" w:cs="宋体" w:eastAsia="宋体" w:hint="default"/>
          <w:position w:val="-65"/>
          <w:sz w:val="20"/>
          <w:szCs w:val="20"/>
        </w:rPr>
      </w:r>
    </w:p>
    <w:p>
      <w:pPr>
        <w:spacing w:after="0" w:line="3286" w:lineRule="exact"/>
        <w:rPr>
          <w:rFonts w:ascii="宋体" w:hAnsi="宋体" w:cs="宋体" w:eastAsia="宋体" w:hint="default"/>
          <w:sz w:val="20"/>
          <w:szCs w:val="20"/>
        </w:rPr>
        <w:sectPr>
          <w:pgSz w:w="11910" w:h="16840"/>
          <w:pgMar w:header="745" w:footer="979" w:top="1060" w:bottom="1160" w:left="980" w:right="940"/>
        </w:sectPr>
      </w:pPr>
    </w:p>
    <w:p>
      <w:pPr>
        <w:spacing w:line="240" w:lineRule="auto" w:before="0"/>
        <w:rPr>
          <w:rFonts w:ascii="宋体" w:hAnsi="宋体" w:cs="宋体" w:eastAsia="宋体" w:hint="default"/>
          <w:sz w:val="18"/>
          <w:szCs w:val="18"/>
        </w:rPr>
      </w:pPr>
    </w:p>
    <w:p>
      <w:pPr>
        <w:pStyle w:val="Heading5"/>
        <w:spacing w:line="240" w:lineRule="auto" w:before="144"/>
        <w:ind w:right="-20"/>
        <w:jc w:val="left"/>
        <w:rPr>
          <w:b w:val="0"/>
          <w:bCs w:val="0"/>
        </w:rPr>
      </w:pPr>
      <w:r>
        <w:rPr/>
        <w:t>技术研发方面</w:t>
      </w:r>
      <w:r>
        <w:rPr>
          <w:b w:val="0"/>
          <w:bCs w:val="0"/>
        </w:rPr>
      </w:r>
    </w:p>
    <w:p>
      <w:pPr>
        <w:spacing w:before="93"/>
        <w:ind w:left="1169" w:right="0" w:firstLine="0"/>
        <w:jc w:val="left"/>
        <w:rPr>
          <w:rFonts w:ascii="宋体" w:hAnsi="宋体" w:cs="宋体" w:eastAsia="宋体" w:hint="default"/>
          <w:sz w:val="15"/>
          <w:szCs w:val="15"/>
        </w:rPr>
      </w:pPr>
      <w:r>
        <w:rPr/>
        <w:br w:type="column"/>
      </w:r>
      <w:r>
        <w:rPr>
          <w:rFonts w:ascii="Times New Roman" w:hAnsi="Times New Roman" w:cs="Times New Roman" w:eastAsia="Times New Roman" w:hint="default"/>
          <w:sz w:val="15"/>
          <w:szCs w:val="15"/>
        </w:rPr>
        <w:t>T4</w:t>
      </w:r>
      <w:r>
        <w:rPr>
          <w:rFonts w:ascii="宋体" w:hAnsi="宋体" w:cs="宋体" w:eastAsia="宋体" w:hint="default"/>
          <w:sz w:val="15"/>
          <w:szCs w:val="15"/>
        </w:rPr>
        <w:t>认证</w:t>
      </w:r>
      <w:r>
        <w:rPr>
          <w:rFonts w:ascii="Times New Roman" w:hAnsi="Times New Roman" w:cs="Times New Roman" w:eastAsia="Times New Roman" w:hint="default"/>
          <w:sz w:val="15"/>
          <w:szCs w:val="15"/>
        </w:rPr>
        <w:t>-</w:t>
      </w:r>
      <w:r>
        <w:rPr>
          <w:rFonts w:ascii="宋体" w:hAnsi="宋体" w:cs="宋体" w:eastAsia="宋体" w:hint="default"/>
          <w:sz w:val="15"/>
          <w:szCs w:val="15"/>
        </w:rPr>
        <w:t>光环新网上海数据中心</w:t>
      </w:r>
    </w:p>
    <w:p>
      <w:pPr>
        <w:spacing w:after="0"/>
        <w:jc w:val="left"/>
        <w:rPr>
          <w:rFonts w:ascii="宋体" w:hAnsi="宋体" w:cs="宋体" w:eastAsia="宋体" w:hint="default"/>
          <w:sz w:val="15"/>
          <w:szCs w:val="15"/>
        </w:rPr>
        <w:sectPr>
          <w:type w:val="continuous"/>
          <w:pgSz w:w="11910" w:h="16840"/>
          <w:pgMar w:top="1060" w:bottom="1160" w:left="980" w:right="940"/>
          <w:cols w:num="2" w:equalWidth="0">
            <w:col w:w="1598" w:space="1347"/>
            <w:col w:w="7045"/>
          </w:cols>
        </w:sectPr>
      </w:pPr>
    </w:p>
    <w:p>
      <w:pPr>
        <w:pStyle w:val="BodyText"/>
        <w:spacing w:line="309" w:lineRule="auto" w:before="76"/>
        <w:ind w:right="188" w:firstLine="360"/>
        <w:jc w:val="both"/>
      </w:pPr>
      <w:r>
        <w:rPr>
          <w:spacing w:val="-1"/>
        </w:rPr>
        <w:t>报告期内，公司依托</w:t>
      </w:r>
      <w:r>
        <w:rPr>
          <w:rFonts w:ascii="Times New Roman" w:hAnsi="Times New Roman" w:cs="Times New Roman" w:eastAsia="Times New Roman" w:hint="default"/>
          <w:spacing w:val="-1"/>
        </w:rPr>
        <w:t>IDC</w:t>
      </w:r>
      <w:r>
        <w:rPr>
          <w:spacing w:val="-1"/>
        </w:rPr>
        <w:t>业务和公有云服务进行混合云应用的深入开发，完成混合云数据备份与恢复、大数据存储与分</w:t>
      </w:r>
      <w:r>
        <w:rPr/>
        <w:t> </w:t>
      </w:r>
      <w:r>
        <w:rPr>
          <w:spacing w:val="-2"/>
        </w:rPr>
        <w:t>析等应用开发，可为客户提供一站式混合云解决方案服务。公司还完成数据中心智能化管理系统的研发，进一步提升了数据</w:t>
      </w:r>
      <w:r>
        <w:rPr>
          <w:spacing w:val="-63"/>
        </w:rPr>
        <w:t> </w:t>
      </w:r>
      <w:r>
        <w:rPr>
          <w:spacing w:val="-63"/>
        </w:rPr>
      </w:r>
      <w:r>
        <w:rPr/>
        <w:t>中心运维服务能力。</w:t>
      </w:r>
    </w:p>
    <w:p>
      <w:pPr>
        <w:pStyle w:val="BodyText"/>
        <w:spacing w:line="240" w:lineRule="auto" w:before="24"/>
        <w:ind w:left="513" w:right="0"/>
        <w:jc w:val="left"/>
      </w:pPr>
      <w:r>
        <w:rPr/>
        <w:t>报告期内，公司全资子公司中金云网继续推进数据中心绿色节能改造项目研发，持续对数据中心基础设施进行节能技术</w:t>
      </w:r>
    </w:p>
    <w:p>
      <w:pPr>
        <w:spacing w:after="0" w:line="240" w:lineRule="auto"/>
        <w:jc w:val="left"/>
        <w:sectPr>
          <w:type w:val="continuous"/>
          <w:pgSz w:w="11910" w:h="16840"/>
          <w:pgMar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left="513" w:right="188" w:hanging="361"/>
        <w:jc w:val="left"/>
      </w:pPr>
      <w:r>
        <w:rPr/>
        <w:t>改造，节能效果显著，进一步节约数据中心能耗，降低数据中心运营成本。 由中金云网主导研发的云计算平台运维系统</w:t>
      </w:r>
      <w:r>
        <w:rPr>
          <w:rFonts w:ascii="Times New Roman" w:hAnsi="Times New Roman" w:cs="Times New Roman" w:eastAsia="Times New Roman" w:hint="default"/>
        </w:rPr>
        <w:t>2.0</w:t>
      </w:r>
      <w:r>
        <w:rPr/>
        <w:t>版本已完成研发工作，并于</w:t>
      </w:r>
      <w:r>
        <w:rPr>
          <w:rFonts w:ascii="Times New Roman" w:hAnsi="Times New Roman" w:cs="Times New Roman" w:eastAsia="Times New Roman" w:hint="default"/>
        </w:rPr>
        <w:t>2017</w:t>
      </w:r>
      <w:r>
        <w:rPr/>
        <w:t>年末上线使用。进一步提升了公司云服</w:t>
      </w:r>
    </w:p>
    <w:p>
      <w:pPr>
        <w:pStyle w:val="BodyText"/>
        <w:spacing w:line="316" w:lineRule="auto"/>
        <w:ind w:right="0"/>
        <w:jc w:val="left"/>
      </w:pPr>
      <w:r>
        <w:rPr>
          <w:spacing w:val="-2"/>
        </w:rPr>
        <w:t>务平台的服务质量和客户体验度，同时和底层服务的充分对接，提高了云计算平台的运维效率，节省了运维成本，各种的客</w:t>
      </w:r>
      <w:r>
        <w:rPr>
          <w:spacing w:val="-62"/>
        </w:rPr>
        <w:t> </w:t>
      </w:r>
      <w:r>
        <w:rPr>
          <w:spacing w:val="-62"/>
        </w:rPr>
      </w:r>
      <w:r>
        <w:rPr/>
        <w:t>户资源的可视化报表提高了管理的效率。</w:t>
      </w:r>
    </w:p>
    <w:p>
      <w:pPr>
        <w:pStyle w:val="BodyText"/>
        <w:spacing w:line="300" w:lineRule="auto" w:before="19"/>
        <w:ind w:right="204" w:firstLine="360"/>
        <w:jc w:val="both"/>
      </w:pPr>
      <w:r>
        <w:rPr/>
        <w:t>由中金云网主导研发的互联网流量矩阵项目</w:t>
      </w:r>
      <w:r>
        <w:rPr>
          <w:rFonts w:ascii="Times New Roman" w:hAnsi="Times New Roman" w:cs="Times New Roman" w:eastAsia="Times New Roman" w:hint="default"/>
        </w:rPr>
        <w:t>2.0</w:t>
      </w:r>
      <w:r>
        <w:rPr/>
        <w:t>已完成研发工作并投入使用，该项目支持移动、联通、电信等三大运营 商的</w:t>
      </w:r>
      <w:r>
        <w:rPr>
          <w:rFonts w:ascii="Times New Roman" w:hAnsi="Times New Roman" w:cs="Times New Roman" w:eastAsia="Times New Roman" w:hint="default"/>
        </w:rPr>
        <w:t>2G/3G/4G</w:t>
      </w:r>
      <w:r>
        <w:rPr/>
        <w:t>数据流量资源，实现了一体化的手机流量分发管理，以及短信分发营销服务。</w:t>
      </w:r>
    </w:p>
    <w:p>
      <w:pPr>
        <w:pStyle w:val="BodyText"/>
        <w:spacing w:line="312" w:lineRule="auto" w:before="13"/>
        <w:ind w:right="150" w:firstLine="360"/>
        <w:jc w:val="both"/>
      </w:pPr>
      <w:r>
        <w:rPr>
          <w:spacing w:val="-2"/>
        </w:rPr>
        <w:t>报告期内，全资子公司无双科技提供搜索广告的数据追踪、效果评估、智能投放的</w:t>
      </w:r>
      <w:r>
        <w:rPr>
          <w:rFonts w:ascii="Times New Roman" w:hAnsi="Times New Roman" w:cs="Times New Roman" w:eastAsia="Times New Roman" w:hint="default"/>
          <w:spacing w:val="-2"/>
        </w:rPr>
        <w:t>SaaS</w:t>
      </w:r>
      <w:r>
        <w:rPr>
          <w:spacing w:val="-2"/>
        </w:rPr>
        <w:t>服务，帮助客户提升搜索营销领</w:t>
      </w:r>
      <w:r>
        <w:rPr/>
        <w:t> </w:t>
      </w:r>
      <w:r>
        <w:rPr>
          <w:spacing w:val="-2"/>
        </w:rPr>
        <w:t>域的竞争力，使得客户的搜索投放涉及更多元化的形式和更完善的多媒体组合、获得更全面的效果提升，也吸引了更多细分</w:t>
      </w:r>
      <w:r>
        <w:rPr>
          <w:spacing w:val="-63"/>
        </w:rPr>
        <w:t> </w:t>
      </w:r>
      <w:r>
        <w:rPr>
          <w:spacing w:val="-63"/>
        </w:rPr>
      </w:r>
      <w:r>
        <w:rPr>
          <w:spacing w:val="-5"/>
        </w:rPr>
        <w:t>领域大型客户在更早的发展阶段与无双科技进行合作，包括目前热门的二手车交易平台、手机游戏、直播平台等。与此同时，</w:t>
      </w:r>
      <w:r>
        <w:rPr>
          <w:spacing w:val="-75"/>
        </w:rPr>
        <w:t> </w:t>
      </w:r>
      <w:r>
        <w:rPr>
          <w:spacing w:val="-75"/>
        </w:rPr>
      </w:r>
      <w:r>
        <w:rPr/>
        <w:t>公司的营销云计算能力也得到进一步提升，为提供更多智能</w:t>
      </w:r>
      <w:r>
        <w:rPr>
          <w:rFonts w:ascii="Times New Roman" w:hAnsi="Times New Roman" w:cs="Times New Roman" w:eastAsia="Times New Roman" w:hint="default"/>
        </w:rPr>
        <w:t>SaaS</w:t>
      </w:r>
      <w:r>
        <w:rPr/>
        <w:t>服务提供了基础。</w:t>
      </w:r>
    </w:p>
    <w:p>
      <w:pPr>
        <w:pStyle w:val="Heading5"/>
        <w:spacing w:line="240" w:lineRule="auto"/>
        <w:ind w:right="2839"/>
        <w:jc w:val="left"/>
        <w:rPr>
          <w:b w:val="0"/>
          <w:bCs w:val="0"/>
        </w:rPr>
      </w:pPr>
      <w:r>
        <w:rPr/>
        <w:t>公司荣誉方面</w:t>
      </w:r>
      <w:r>
        <w:rPr>
          <w:b w:val="0"/>
          <w:bCs w:val="0"/>
        </w:rPr>
      </w:r>
    </w:p>
    <w:p>
      <w:pPr>
        <w:pStyle w:val="BodyText"/>
        <w:spacing w:line="300" w:lineRule="auto" w:before="77"/>
        <w:ind w:right="150" w:firstLine="360"/>
        <w:jc w:val="both"/>
      </w:pPr>
      <w:r>
        <w:rPr>
          <w:spacing w:val="-2"/>
        </w:rPr>
        <w:t>报告期内，中金云网成为首批面向金融行业的国家级绿色数据中心，荣获</w:t>
      </w:r>
      <w:r>
        <w:rPr>
          <w:rFonts w:ascii="Times New Roman" w:hAnsi="Times New Roman" w:cs="Times New Roman" w:eastAsia="Times New Roman" w:hint="default"/>
          <w:spacing w:val="-2"/>
        </w:rPr>
        <w:t>“2016</w:t>
      </w:r>
      <w:r>
        <w:rPr>
          <w:rFonts w:ascii="Times New Roman" w:hAnsi="Times New Roman" w:cs="Times New Roman" w:eastAsia="Times New Roman" w:hint="default"/>
          <w:spacing w:val="-2"/>
        </w:rPr>
        <w:t>-2017</w:t>
      </w:r>
      <w:r>
        <w:rPr>
          <w:spacing w:val="-2"/>
        </w:rPr>
        <w:t>年度优秀数据中心奖</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“2016</w:t>
      </w:r>
      <w:r>
        <w:rPr>
          <w:rFonts w:ascii="Times New Roman" w:hAnsi="Times New Roman" w:cs="Times New Roman" w:eastAsia="Times New Roman" w:hint="default"/>
          <w:spacing w:val="-2"/>
        </w:rPr>
        <w:t>-2017</w:t>
      </w:r>
      <w:r>
        <w:rPr>
          <w:rFonts w:ascii="Times New Roman" w:hAnsi="Times New Roman" w:cs="Times New Roman" w:eastAsia="Times New Roman" w:hint="default"/>
        </w:rPr>
        <w:t> </w:t>
      </w:r>
      <w:r>
        <w:rPr>
          <w:spacing w:val="-1"/>
        </w:rPr>
        <w:t>年度中国优秀外包数据中心奖</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“2016</w:t>
      </w:r>
      <w:r>
        <w:rPr>
          <w:rFonts w:ascii="Times New Roman" w:hAnsi="Times New Roman" w:cs="Times New Roman" w:eastAsia="Times New Roman" w:hint="default"/>
          <w:spacing w:val="-1"/>
        </w:rPr>
        <w:t>-2017</w:t>
      </w:r>
      <w:r>
        <w:rPr>
          <w:spacing w:val="-1"/>
        </w:rPr>
        <w:t>年度中国金融科技创新榜优秀品牌</w:t>
      </w:r>
      <w:r>
        <w:rPr>
          <w:rFonts w:ascii="Times New Roman" w:hAnsi="Times New Roman" w:cs="Times New Roman" w:eastAsia="Times New Roman" w:hint="default"/>
          <w:spacing w:val="-1"/>
        </w:rPr>
        <w:t>”</w:t>
      </w:r>
      <w:r>
        <w:rPr>
          <w:spacing w:val="-1"/>
        </w:rPr>
        <w:t>等诸多奖项；无双科技在过去的一年，实现</w:t>
      </w:r>
      <w:r>
        <w:rPr>
          <w:spacing w:val="-60"/>
        </w:rPr>
        <w:t> </w:t>
      </w:r>
      <w:r>
        <w:rPr>
          <w:spacing w:val="-60"/>
        </w:rPr>
      </w:r>
      <w:r>
        <w:rPr>
          <w:spacing w:val="-2"/>
        </w:rPr>
        <w:t>了各项业务指标的大幅增长，并再次被认证为百度五星合作伙伴，获得多个行业案例大奖，成为国内互联网营销云计算</w:t>
      </w:r>
      <w:r>
        <w:rPr>
          <w:rFonts w:ascii="Times New Roman" w:hAnsi="Times New Roman" w:cs="Times New Roman" w:eastAsia="Times New Roman" w:hint="default"/>
          <w:spacing w:val="-2"/>
        </w:rPr>
        <w:t>SaaS</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t>解决方案服务的领航者。报告期内，公司荣获中国互联网协会及工业和信息化部信息中心颁发的</w:t>
      </w:r>
      <w:r>
        <w:rPr>
          <w:rFonts w:ascii="Times New Roman" w:hAnsi="Times New Roman" w:cs="Times New Roman" w:eastAsia="Times New Roman" w:hint="default"/>
        </w:rPr>
        <w:t>“2017</w:t>
      </w:r>
      <w:r>
        <w:rPr/>
        <w:t>年中国互联网百强企 </w:t>
      </w:r>
      <w:r>
        <w:rPr>
          <w:spacing w:val="-2"/>
        </w:rPr>
        <w:t>业</w:t>
      </w:r>
      <w:r>
        <w:rPr>
          <w:rFonts w:ascii="Times New Roman" w:hAnsi="Times New Roman" w:cs="Times New Roman" w:eastAsia="Times New Roman" w:hint="default"/>
          <w:spacing w:val="-2"/>
        </w:rPr>
        <w:t>”</w:t>
      </w:r>
      <w:r>
        <w:rPr>
          <w:spacing w:val="-2"/>
        </w:rPr>
        <w:t>证书、荣膺由证券时报、中国基金报、杭州市人民政府、中国上市公司发展联盟等联合评选的</w:t>
      </w:r>
      <w:r>
        <w:rPr>
          <w:rFonts w:ascii="Times New Roman" w:hAnsi="Times New Roman" w:cs="Times New Roman" w:eastAsia="Times New Roman" w:hint="default"/>
          <w:spacing w:val="-2"/>
        </w:rPr>
        <w:t>“</w:t>
      </w:r>
      <w:r>
        <w:rPr>
          <w:spacing w:val="-2"/>
        </w:rPr>
        <w:t>中国创业板最具成长性上</w:t>
      </w:r>
      <w:r>
        <w:rPr>
          <w:spacing w:val="-47"/>
        </w:rPr>
        <w:t> </w:t>
      </w:r>
      <w:r>
        <w:rPr/>
        <w:t>市公司十强</w:t>
      </w:r>
      <w:r>
        <w:rPr>
          <w:rFonts w:ascii="Times New Roman" w:hAnsi="Times New Roman" w:cs="Times New Roman" w:eastAsia="Times New Roman" w:hint="default"/>
        </w:rPr>
        <w:t>”</w:t>
      </w:r>
      <w:r>
        <w:rPr/>
        <w:t>等殊荣。</w:t>
      </w:r>
    </w:p>
    <w:p>
      <w:pPr>
        <w:spacing w:line="240" w:lineRule="auto" w:before="8"/>
        <w:rPr>
          <w:rFonts w:ascii="宋体" w:hAnsi="宋体" w:cs="宋体" w:eastAsia="宋体" w:hint="default"/>
          <w:sz w:val="11"/>
          <w:szCs w:val="11"/>
        </w:rPr>
      </w:pPr>
    </w:p>
    <w:p>
      <w:pPr>
        <w:pStyle w:val="Heading4"/>
        <w:tabs>
          <w:tab w:pos="5794" w:val="left" w:leader="none"/>
        </w:tabs>
        <w:spacing w:line="4694" w:lineRule="exact"/>
        <w:ind w:right="0"/>
        <w:jc w:val="left"/>
      </w:pPr>
      <w:r>
        <w:rPr>
          <w:position w:val="-92"/>
        </w:rPr>
        <w:drawing>
          <wp:inline distT="0" distB="0" distL="0" distR="0">
            <wp:extent cx="2737035" cy="1691639"/>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6" cstate="print"/>
                    <a:stretch>
                      <a:fillRect/>
                    </a:stretch>
                  </pic:blipFill>
                  <pic:spPr>
                    <a:xfrm>
                      <a:off x="0" y="0"/>
                      <a:ext cx="2737035" cy="1691639"/>
                    </a:xfrm>
                    <a:prstGeom prst="rect">
                      <a:avLst/>
                    </a:prstGeom>
                  </pic:spPr>
                </pic:pic>
              </a:graphicData>
            </a:graphic>
          </wp:inline>
        </w:drawing>
      </w:r>
      <w:r>
        <w:rPr>
          <w:position w:val="-92"/>
        </w:rPr>
      </w:r>
      <w:r>
        <w:rPr>
          <w:position w:val="-92"/>
        </w:rPr>
        <w:tab/>
      </w:r>
      <w:r>
        <w:rPr>
          <w:position w:val="-93"/>
        </w:rPr>
        <w:drawing>
          <wp:inline distT="0" distB="0" distL="0" distR="0">
            <wp:extent cx="2209517" cy="2980943"/>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7" cstate="print"/>
                    <a:stretch>
                      <a:fillRect/>
                    </a:stretch>
                  </pic:blipFill>
                  <pic:spPr>
                    <a:xfrm>
                      <a:off x="0" y="0"/>
                      <a:ext cx="2209517" cy="2980943"/>
                    </a:xfrm>
                    <a:prstGeom prst="rect">
                      <a:avLst/>
                    </a:prstGeom>
                  </pic:spPr>
                </pic:pic>
              </a:graphicData>
            </a:graphic>
          </wp:inline>
        </w:drawing>
      </w:r>
      <w:r>
        <w:rPr>
          <w:position w:val="-93"/>
        </w:rPr>
      </w:r>
    </w:p>
    <w:p>
      <w:pPr>
        <w:pStyle w:val="BodyText"/>
        <w:tabs>
          <w:tab w:pos="5707" w:val="left" w:leader="none"/>
        </w:tabs>
        <w:spacing w:line="240" w:lineRule="auto" w:before="159"/>
        <w:ind w:left="1413" w:right="0"/>
        <w:jc w:val="left"/>
      </w:pPr>
      <w:r>
        <w:rPr>
          <w:rFonts w:ascii="Times New Roman" w:hAnsi="Times New Roman" w:cs="Times New Roman" w:eastAsia="Times New Roman" w:hint="default"/>
          <w:spacing w:val="-1"/>
        </w:rPr>
        <w:t>2017</w:t>
      </w:r>
      <w:r>
        <w:rPr>
          <w:spacing w:val="-1"/>
        </w:rPr>
        <w:t>年中国互联网百强企业</w:t>
      </w:r>
      <w:r>
        <w:rPr>
          <w:rFonts w:ascii="Times New Roman" w:hAnsi="Times New Roman" w:cs="Times New Roman" w:eastAsia="Times New Roman" w:hint="default"/>
          <w:spacing w:val="-1"/>
        </w:rPr>
        <w:t>-</w:t>
      </w:r>
      <w:r>
        <w:rPr>
          <w:spacing w:val="-1"/>
        </w:rPr>
        <w:t>光环新网</w:t>
        <w:tab/>
        <w:t>中国创业板最具成长性上市公司十强</w:t>
      </w:r>
      <w:r>
        <w:rPr>
          <w:rFonts w:ascii="Times New Roman" w:hAnsi="Times New Roman" w:cs="Times New Roman" w:eastAsia="Times New Roman" w:hint="default"/>
          <w:spacing w:val="-1"/>
        </w:rPr>
        <w:t>-</w:t>
      </w:r>
      <w:r>
        <w:rPr>
          <w:spacing w:val="-1"/>
        </w:rPr>
        <w:t>光环新网</w:t>
      </w:r>
    </w:p>
    <w:p>
      <w:pPr>
        <w:spacing w:line="240" w:lineRule="auto" w:before="3"/>
        <w:rPr>
          <w:rFonts w:ascii="宋体" w:hAnsi="宋体" w:cs="宋体" w:eastAsia="宋体" w:hint="default"/>
          <w:sz w:val="24"/>
          <w:szCs w:val="24"/>
        </w:rPr>
      </w:pPr>
    </w:p>
    <w:p>
      <w:pPr>
        <w:pStyle w:val="Heading2"/>
        <w:spacing w:line="240" w:lineRule="auto"/>
        <w:ind w:right="2839"/>
        <w:jc w:val="left"/>
        <w:rPr>
          <w:b w:val="0"/>
          <w:bCs w:val="0"/>
        </w:rPr>
      </w:pPr>
      <w:r>
        <w:rPr/>
        <w:t>二、主营业务分析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2839"/>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839"/>
        <w:jc w:val="left"/>
      </w:pPr>
      <w:r>
        <w:rPr/>
        <w:t>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2839"/>
        <w:jc w:val="left"/>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2839"/>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5994"/>
        <w:jc w:val="left"/>
      </w:pPr>
      <w:r>
        <w:rPr/>
        <w:t>公司是否需要遵守光伏产业链相关业的披露要求 否</w:t>
      </w:r>
    </w:p>
    <w:p>
      <w:pPr>
        <w:pStyle w:val="BodyText"/>
        <w:spacing w:line="340" w:lineRule="auto" w:before="25"/>
        <w:ind w:right="416"/>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1"/>
        <w:ind w:right="59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4"/>
        <w:ind w:right="158"/>
        <w:jc w:val="left"/>
      </w:pPr>
      <w:r>
        <w:rPr/>
        <w:t>公司是否需遵守《深圳证券交易所创业板行业信息披露指引第</w:t>
      </w:r>
      <w:r>
        <w:rPr>
          <w:spacing w:val="-45"/>
        </w:rPr>
        <w:t> </w:t>
      </w:r>
      <w:r>
        <w:rPr>
          <w:rFonts w:ascii="Times New Roman" w:hAnsi="Times New Roman" w:cs="Times New Roman" w:eastAsia="Times New Roman" w:hint="default"/>
        </w:rPr>
        <w:t>9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3"/>
        </w:rPr>
        <w:t> </w:t>
      </w:r>
      <w:r>
        <w:rPr/>
        <w:t>产业链相关业务》的披露要求： 否</w:t>
      </w:r>
    </w:p>
    <w:p>
      <w:pPr>
        <w:pStyle w:val="BodyText"/>
        <w:spacing w:line="340" w:lineRule="auto" w:before="39"/>
        <w:ind w:right="684"/>
        <w:jc w:val="left"/>
      </w:pPr>
      <w:r>
        <w:rPr/>
        <w:t>公司是否需遵守《深圳证券交易所创业板行业信息披露指引第</w:t>
      </w:r>
      <w:r>
        <w:rPr>
          <w:spacing w:val="-45"/>
        </w:rPr>
        <w:t> </w:t>
      </w:r>
      <w:r>
        <w:rPr>
          <w:rFonts w:ascii="Times New Roman" w:hAnsi="Times New Roman" w:cs="Times New Roman" w:eastAsia="Times New Roman" w:hint="default"/>
        </w:rPr>
        <w:t>10 </w:t>
      </w:r>
      <w:r>
        <w:rPr/>
        <w:t>号</w:t>
      </w:r>
      <w:r>
        <w:rPr>
          <w:rFonts w:ascii="Times New Roman" w:hAnsi="Times New Roman" w:cs="Times New Roman" w:eastAsia="Times New Roman" w:hint="default"/>
        </w:rPr>
        <w:t>——</w:t>
      </w:r>
      <w:r>
        <w:rPr/>
        <w:t>上市公司从事医疗器械业务》的披露要求： 否</w:t>
      </w:r>
    </w:p>
    <w:p>
      <w:pPr>
        <w:pStyle w:val="BodyText"/>
        <w:spacing w:line="240" w:lineRule="auto" w:before="41"/>
        <w:ind w:right="2839"/>
        <w:jc w:val="left"/>
      </w:pPr>
      <w:r>
        <w:rPr/>
        <w:t>营业收入整体情况</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1"/>
        <w:gridCol w:w="1599"/>
        <w:gridCol w:w="1588"/>
        <w:gridCol w:w="159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9"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4,077,168,684.62</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2,317,626,641.04</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75.92%</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电信服务业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4,013,841,158.00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98.45%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2,272,659,476.99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98.06%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76.61%</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63,327,526.62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44,967,164.05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40.83%</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互联网宽带接入服 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63,548,538.15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57,767,462.25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10.01%</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及其增值服务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874,487,004.05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21.45%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698,053,933.57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30.12%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25.27%</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运营管理服务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204,476,904.23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285,090,610.66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12.30%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-28.28%</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云计算及其服务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2,871,328,711.57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70.42%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1,231,747,470.51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53.15%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133.11%</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63,327,526.62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44,967,164.05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40.83%</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3,943,337,822.30</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96.73%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2,206,450,003.87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95.20%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79.19%</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122,022,529.84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110,615,652.74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10.31%</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10,392,088.14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1,416,244.34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560,984.43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152.46%</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5" w:footer="979" w:top="1060" w:bottom="1160" w:left="980" w:right="840"/>
        </w:sectPr>
      </w:pPr>
    </w:p>
    <w:p>
      <w:pPr>
        <w:pStyle w:val="BodyText"/>
        <w:spacing w:line="360" w:lineRule="auto" w:before="44"/>
        <w:ind w:right="-20"/>
        <w:jc w:val="left"/>
      </w:pPr>
      <w:r>
        <w:rPr/>
        <w:t>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840"/>
          <w:cols w:num="2" w:equalWidth="0">
            <w:col w:w="3213" w:space="5707"/>
            <w:col w:w="117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4,013,841,158.00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3,189,914,625.81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76.61%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92.10%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及其增值服 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874,487,004.05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391,910,735.44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18.19%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2.69%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云计算及其服务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2,871,328,711.57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2,578,656,966.36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133.11%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153.58%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-7.25%</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3,943,337,822.30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3,147,578,088.39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78.72%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94.65%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-6.53%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122,022,529.84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71,893,298.96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19.82%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-4.68%</w:t>
            </w:r>
          </w:p>
        </w:tc>
      </w:tr>
    </w:tbl>
    <w:p>
      <w:pPr>
        <w:pStyle w:val="BodyText"/>
        <w:spacing w:line="240" w:lineRule="auto" w:before="49"/>
        <w:ind w:right="11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1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11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否</w:t>
      </w:r>
    </w:p>
    <w:p>
      <w:pPr>
        <w:pStyle w:val="BodyText"/>
        <w:spacing w:line="300" w:lineRule="auto" w:before="39"/>
        <w:ind w:right="110" w:firstLine="360"/>
        <w:jc w:val="left"/>
      </w:pPr>
      <w:r>
        <w:rPr>
          <w:spacing w:val="-1"/>
        </w:rPr>
        <w:t>公司与中国移动通信集团北京有限公司的</w:t>
      </w:r>
      <w:r>
        <w:rPr>
          <w:rFonts w:ascii="Times New Roman" w:hAnsi="Times New Roman" w:cs="Times New Roman" w:eastAsia="Times New Roman" w:hint="default"/>
          <w:spacing w:val="-1"/>
        </w:rPr>
        <w:t>IDC</w:t>
      </w:r>
      <w:r>
        <w:rPr>
          <w:spacing w:val="-1"/>
        </w:rPr>
        <w:t>及其增值服务订单总金额为</w:t>
      </w:r>
      <w:r>
        <w:rPr>
          <w:rFonts w:ascii="Times New Roman" w:hAnsi="Times New Roman" w:cs="Times New Roman" w:eastAsia="Times New Roman" w:hint="default"/>
          <w:spacing w:val="-1"/>
        </w:rPr>
        <w:t>57,533</w:t>
      </w:r>
      <w:r>
        <w:rPr>
          <w:spacing w:val="-1"/>
        </w:rPr>
        <w:t>万元，报告期内履行金额为</w:t>
      </w:r>
      <w:r>
        <w:rPr>
          <w:rFonts w:ascii="Times New Roman" w:hAnsi="Times New Roman" w:cs="Times New Roman" w:eastAsia="Times New Roman" w:hint="default"/>
          <w:spacing w:val="-1"/>
        </w:rPr>
        <w:t>10,931</w:t>
      </w:r>
      <w:r>
        <w:rPr>
          <w:spacing w:val="-1"/>
        </w:rPr>
        <w:t>万元，</w:t>
      </w:r>
      <w:r>
        <w:rPr/>
        <w:t> 尚未履行金额为</w:t>
      </w:r>
      <w:r>
        <w:rPr>
          <w:rFonts w:ascii="Times New Roman" w:hAnsi="Times New Roman" w:cs="Times New Roman" w:eastAsia="Times New Roman" w:hint="default"/>
        </w:rPr>
        <w:t>9,266</w:t>
      </w:r>
      <w:r>
        <w:rPr/>
        <w:t>万元。</w:t>
      </w:r>
    </w:p>
    <w:p>
      <w:pPr>
        <w:pStyle w:val="BodyText"/>
        <w:spacing w:line="240" w:lineRule="auto" w:before="13"/>
        <w:ind w:left="513" w:right="110"/>
        <w:jc w:val="left"/>
      </w:pPr>
      <w:r>
        <w:rPr/>
        <w:t>公司与中国联合网络通信有限公司北京市分公司的</w:t>
      </w:r>
      <w:r>
        <w:rPr>
          <w:rFonts w:ascii="Times New Roman" w:hAnsi="Times New Roman" w:cs="Times New Roman" w:eastAsia="Times New Roman" w:hint="default"/>
        </w:rPr>
        <w:t>IDC</w:t>
      </w:r>
      <w:r>
        <w:rPr/>
        <w:t>及其增值服务订单总金额为</w:t>
      </w:r>
      <w:r>
        <w:rPr>
          <w:rFonts w:ascii="Times New Roman" w:hAnsi="Times New Roman" w:cs="Times New Roman" w:eastAsia="Times New Roman" w:hint="default"/>
        </w:rPr>
        <w:t>42,345</w:t>
      </w:r>
      <w:r>
        <w:rPr/>
        <w:t>万元，报告期内履行金额为</w:t>
      </w:r>
    </w:p>
    <w:p>
      <w:pPr>
        <w:pStyle w:val="BodyText"/>
        <w:spacing w:line="300" w:lineRule="auto" w:before="63"/>
        <w:ind w:left="513" w:right="288" w:hanging="361"/>
        <w:jc w:val="left"/>
      </w:pPr>
      <w:r>
        <w:rPr>
          <w:rFonts w:ascii="Times New Roman" w:hAnsi="Times New Roman" w:cs="Times New Roman" w:eastAsia="Times New Roman" w:hint="default"/>
        </w:rPr>
        <w:t>6,392</w:t>
      </w:r>
      <w:r>
        <w:rPr/>
        <w:t>万元，尚未履行金额为</w:t>
      </w:r>
      <w:r>
        <w:rPr>
          <w:rFonts w:ascii="Times New Roman" w:hAnsi="Times New Roman" w:cs="Times New Roman" w:eastAsia="Times New Roman" w:hint="default"/>
        </w:rPr>
        <w:t>20,012</w:t>
      </w:r>
      <w:r>
        <w:rPr/>
        <w:t>万元。 公司与北京三快科技有限公司的</w:t>
      </w:r>
      <w:r>
        <w:rPr>
          <w:rFonts w:ascii="Times New Roman" w:hAnsi="Times New Roman" w:cs="Times New Roman" w:eastAsia="Times New Roman" w:hint="default"/>
        </w:rPr>
        <w:t>IDC</w:t>
      </w:r>
      <w:r>
        <w:rPr/>
        <w:t>及其增值服务订单总金额为</w:t>
      </w:r>
      <w:r>
        <w:rPr>
          <w:rFonts w:ascii="Times New Roman" w:hAnsi="Times New Roman" w:cs="Times New Roman" w:eastAsia="Times New Roman" w:hint="default"/>
        </w:rPr>
        <w:t>19,082</w:t>
      </w:r>
      <w:r>
        <w:rPr/>
        <w:t>万元，报告期内履行金额为</w:t>
      </w:r>
      <w:r>
        <w:rPr>
          <w:rFonts w:ascii="Times New Roman" w:hAnsi="Times New Roman" w:cs="Times New Roman" w:eastAsia="Times New Roman" w:hint="default"/>
        </w:rPr>
        <w:t>1908</w:t>
      </w:r>
      <w:r>
        <w:rPr/>
        <w:t>万元，尚未履行</w:t>
      </w:r>
    </w:p>
    <w:p>
      <w:pPr>
        <w:pStyle w:val="BodyText"/>
        <w:spacing w:line="300" w:lineRule="auto" w:before="13"/>
        <w:ind w:left="513" w:right="110" w:hanging="361"/>
        <w:jc w:val="left"/>
      </w:pPr>
      <w:r>
        <w:rPr/>
        <w:t>金额为</w:t>
      </w:r>
      <w:r>
        <w:rPr>
          <w:rFonts w:ascii="Times New Roman" w:hAnsi="Times New Roman" w:cs="Times New Roman" w:eastAsia="Times New Roman" w:hint="default"/>
        </w:rPr>
        <w:t>11,754</w:t>
      </w:r>
      <w:r>
        <w:rPr/>
        <w:t>万元。 </w:t>
      </w:r>
      <w:r>
        <w:rPr>
          <w:spacing w:val="-2"/>
        </w:rPr>
        <w:t>中金云网与华夏银行股份有限公司的数据中心外包服务合同总金额为</w:t>
      </w:r>
      <w:r>
        <w:rPr>
          <w:rFonts w:ascii="Times New Roman" w:hAnsi="Times New Roman" w:cs="Times New Roman" w:eastAsia="Times New Roman" w:hint="default"/>
          <w:spacing w:val="-2"/>
        </w:rPr>
        <w:t>28,781.98</w:t>
      </w:r>
      <w:r>
        <w:rPr>
          <w:spacing w:val="-2"/>
        </w:rPr>
        <w:t>万元，报告期内履行金额为</w:t>
      </w:r>
      <w:r>
        <w:rPr>
          <w:rFonts w:ascii="Times New Roman" w:hAnsi="Times New Roman" w:cs="Times New Roman" w:eastAsia="Times New Roman" w:hint="default"/>
          <w:spacing w:val="-2"/>
        </w:rPr>
        <w:t>15,448.51</w:t>
      </w:r>
      <w:r>
        <w:rPr>
          <w:spacing w:val="-2"/>
        </w:rPr>
        <w:t>万元，</w:t>
      </w:r>
    </w:p>
    <w:p>
      <w:pPr>
        <w:pStyle w:val="BodyText"/>
        <w:spacing w:line="300" w:lineRule="auto" w:before="13"/>
        <w:ind w:left="513" w:right="328" w:hanging="361"/>
        <w:jc w:val="left"/>
      </w:pPr>
      <w:r>
        <w:rPr/>
        <w:t>尚未履行合同金额为</w:t>
      </w:r>
      <w:r>
        <w:rPr>
          <w:rFonts w:ascii="Times New Roman" w:hAnsi="Times New Roman" w:cs="Times New Roman" w:eastAsia="Times New Roman" w:hint="default"/>
        </w:rPr>
        <w:t>13,333.47</w:t>
      </w:r>
      <w:r>
        <w:rPr/>
        <w:t>万元。 中金云网与中国农业银行的数据中心外包服务合同总额为</w:t>
      </w:r>
      <w:r>
        <w:rPr>
          <w:rFonts w:ascii="Times New Roman" w:hAnsi="Times New Roman" w:cs="Times New Roman" w:eastAsia="Times New Roman" w:hint="default"/>
        </w:rPr>
        <w:t>20,822.63</w:t>
      </w:r>
      <w:r>
        <w:rPr/>
        <w:t>万元</w:t>
      </w:r>
      <w:r>
        <w:rPr>
          <w:rFonts w:ascii="Times New Roman" w:hAnsi="Times New Roman" w:cs="Times New Roman" w:eastAsia="Times New Roman" w:hint="default"/>
        </w:rPr>
        <w:t>,</w:t>
      </w:r>
      <w:r>
        <w:rPr/>
        <w:t>报告期内履行合同金额为</w:t>
      </w:r>
      <w:r>
        <w:rPr>
          <w:rFonts w:ascii="Times New Roman" w:hAnsi="Times New Roman" w:cs="Times New Roman" w:eastAsia="Times New Roman" w:hint="default"/>
        </w:rPr>
        <w:t>13,815.01</w:t>
      </w:r>
      <w:r>
        <w:rPr/>
        <w:t>万元，尚未</w:t>
      </w:r>
    </w:p>
    <w:p>
      <w:pPr>
        <w:pStyle w:val="BodyText"/>
        <w:spacing w:line="300" w:lineRule="auto" w:before="13"/>
        <w:ind w:left="513" w:right="110" w:hanging="361"/>
        <w:jc w:val="left"/>
      </w:pPr>
      <w:r>
        <w:rPr/>
        <w:t>履行合同金额为</w:t>
      </w:r>
      <w:r>
        <w:rPr>
          <w:rFonts w:ascii="Times New Roman" w:hAnsi="Times New Roman" w:cs="Times New Roman" w:eastAsia="Times New Roman" w:hint="default"/>
        </w:rPr>
        <w:t>7,007.62</w:t>
      </w:r>
      <w:r>
        <w:rPr/>
        <w:t>万元。 </w:t>
      </w:r>
      <w:r>
        <w:rPr>
          <w:spacing w:val="-2"/>
        </w:rPr>
        <w:t>无双科技与北京融联世纪信息技术有限公司的百度大客户网络推广服务框架合同订单总金额为</w:t>
      </w:r>
      <w:r>
        <w:rPr>
          <w:rFonts w:ascii="Times New Roman" w:hAnsi="Times New Roman" w:cs="Times New Roman" w:eastAsia="Times New Roman" w:hint="default"/>
          <w:spacing w:val="-2"/>
        </w:rPr>
        <w:t>13,000.00</w:t>
      </w:r>
      <w:r>
        <w:rPr>
          <w:spacing w:val="-2"/>
        </w:rPr>
        <w:t>万元，截至本报</w:t>
      </w:r>
    </w:p>
    <w:p>
      <w:pPr>
        <w:pStyle w:val="BodyText"/>
        <w:spacing w:line="240" w:lineRule="auto" w:before="13"/>
        <w:ind w:right="110"/>
        <w:jc w:val="left"/>
      </w:pPr>
      <w:r>
        <w:rPr/>
        <w:t>告期末已履行金额为</w:t>
      </w:r>
      <w:r>
        <w:rPr>
          <w:rFonts w:ascii="Times New Roman" w:hAnsi="Times New Roman" w:cs="Times New Roman" w:eastAsia="Times New Roman" w:hint="default"/>
        </w:rPr>
        <w:t>14,046.19</w:t>
      </w:r>
      <w:r>
        <w:rPr/>
        <w:t>万元。</w:t>
      </w:r>
    </w:p>
    <w:p>
      <w:pPr>
        <w:spacing w:line="240" w:lineRule="auto" w:before="2"/>
        <w:rPr>
          <w:rFonts w:ascii="宋体" w:hAnsi="宋体" w:cs="宋体" w:eastAsia="宋体" w:hint="default"/>
          <w:sz w:val="26"/>
          <w:szCs w:val="26"/>
        </w:rPr>
      </w:pPr>
    </w:p>
    <w:p>
      <w:pPr>
        <w:pStyle w:val="Heading3"/>
        <w:spacing w:line="240" w:lineRule="auto"/>
        <w:ind w:right="11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0"/>
        <w:jc w:val="left"/>
      </w:pPr>
      <w:r>
        <w:rPr/>
        <w:t>行业和产品分类</w:t>
      </w:r>
    </w:p>
    <w:p>
      <w:pPr>
        <w:spacing w:after="0" w:line="240" w:lineRule="auto"/>
        <w:jc w:val="left"/>
        <w:sectPr>
          <w:type w:val="continuous"/>
          <w:pgSz w:w="11910" w:h="16840"/>
          <w:pgMar w:top="1060" w:bottom="1160" w:left="980" w:right="840"/>
        </w:sectPr>
      </w:pPr>
    </w:p>
    <w:p>
      <w:pPr>
        <w:spacing w:line="240" w:lineRule="auto" w:before="10"/>
        <w:rPr>
          <w:rFonts w:ascii="宋体" w:hAnsi="宋体" w:cs="宋体" w:eastAsia="宋体" w:hint="default"/>
          <w:sz w:val="25"/>
          <w:szCs w:val="25"/>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27,527,742.47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27,074,340.59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带宽使用费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219,691,547.11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72,711,595.64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202.14%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29,749,520.44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30,112,002.48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198,533,648.31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240,342,125.19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-17.40%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1,174,793,136.71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361,835,651.40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224.68%</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电费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195,005,798.69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155,295,175.53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25.57%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水费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2,261,609.32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1,773,627.46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0.11%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27.51%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房租及物业费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17,255,056.83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13,101,827.18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31.70%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141,789,418.01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104,963,795.74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35.08%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广告投放费用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1,182,524,696.30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652,938,431.23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81.11%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782,451.62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381,245.88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105.24%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2,427,632.10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1,991,236.72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21.92%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26,742,456.45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1,467,924.49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1,721.79%</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3,143,958.90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3,396,928.90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0.11%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10,397,054.03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-67.33%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水费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46,889.70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物业费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541,196.50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3,106,178.40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-82.58%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电费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1,655,075.07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4,399.97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互联网宽带接入 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2,852,253.94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3,735,838.24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-23.65%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互联网宽带接入 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带宽使用费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24,077,848.30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19,441,339.97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23.85%</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互联网宽带接入 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1,446,543.20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1,446,311.55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0.02%</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互联网宽带接入 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14,150,216.17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9,111,334.29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55.30%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互联网宽带接入 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房租及物业费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20,363.17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互联网宽带接入 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5,635,845.89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8,447,245.30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-33.28%</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及其增值服 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24,675,488.53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22,270,375.34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10.80%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及其增值服 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带宽使用费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16,624,755.02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10,007,768.44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66.12%</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及其增值服 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28,002,596.97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28,655,531.93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-2.28%</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及其增值服 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16,206,285.45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7,348,502.03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120.54%</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及其增值服 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电费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168,853,929.39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153,921,364.83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及其增值服 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水费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2,261,609.32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1,773,627.46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0.11%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27.51%</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及其增值服 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房租及物业费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13,605,605.18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13,101,827.18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3.85%</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及其增值服 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120,898,013.96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94,340,634.92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28.15%</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及其增值服 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782,451.62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181,193.67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331.83%</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运营管理服 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1,068,127.01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运营管理服 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168,177,146.69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223,882,288.87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-24.88%</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运营管理服 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带宽使用费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1,238,600.55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43,262,487.23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-97.14%</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运营管理服 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92,510.45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10,159.00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810.63%</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运营管理服 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1,655,595.65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1,614,117.49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2.57%</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云计算及相关服 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带宽使用费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177,750,343.24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云计算及相关服 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207,869.82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云计算及相关服 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1,174,793,136.71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36.43%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361,835,651.40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21.57%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224.68%</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云计算及相关服 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广告投放费用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1,182,524,696.30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36.67%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652,938,431.23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81.11%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云计算及相关服 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电费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26,151,869.30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1,373,810.70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1,803.60%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云计算及相关服 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房租及物业费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3,629,088.48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0.11%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云计算及相关服 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13,599,962.51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561,798.03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2,320.79%</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云计算及相关服 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200,052.21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2,427,632.10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1,991,236.72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21.92%</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26,742,456.45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0.83%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1,467,924.49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0.09%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1,721.79%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3,143,958.90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3,396,928.90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0.11%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10,397,054.03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-67.33%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水费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46,889.70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物业费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541,196.50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3,106,178.40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-82.58%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电费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1,655,075.07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4,399.97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2839"/>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283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pStyle w:val="BodyText"/>
        <w:spacing w:line="240" w:lineRule="auto" w:before="101"/>
        <w:ind w:right="2839"/>
        <w:jc w:val="left"/>
      </w:pPr>
      <w:r>
        <w:rPr>
          <w:rFonts w:ascii="Times New Roman" w:hAnsi="Times New Roman" w:cs="Times New Roman" w:eastAsia="Times New Roman" w:hint="default"/>
        </w:rPr>
        <w:t>2017</w:t>
      </w:r>
      <w:r>
        <w:rPr/>
        <w:t>年度合并范围共增加两家公司。具体如下：</w:t>
      </w:r>
    </w:p>
    <w:p>
      <w:pPr>
        <w:pStyle w:val="BodyText"/>
        <w:spacing w:line="300" w:lineRule="auto" w:before="63"/>
        <w:ind w:right="0" w:firstLine="360"/>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30</w:t>
      </w:r>
      <w:r>
        <w:rPr>
          <w:spacing w:val="-2"/>
        </w:rPr>
        <w:t>日，本公司与北京无双科技有限公司、西藏瀚博投资管理合伙企业共同投资设立北京光环凯旋管理咨询</w:t>
      </w:r>
      <w:r>
        <w:rPr/>
        <w:t> 有限公司，注册资本</w:t>
      </w:r>
      <w:r>
        <w:rPr>
          <w:rFonts w:ascii="Times New Roman" w:hAnsi="Times New Roman" w:cs="Times New Roman" w:eastAsia="Times New Roman" w:hint="default"/>
        </w:rPr>
        <w:t>1000</w:t>
      </w:r>
      <w:r>
        <w:rPr/>
        <w:t>万元，公司持股比例为</w:t>
      </w:r>
      <w:r>
        <w:rPr>
          <w:rFonts w:ascii="Times New Roman" w:hAnsi="Times New Roman" w:cs="Times New Roman" w:eastAsia="Times New Roman" w:hint="default"/>
        </w:rPr>
        <w:t>40%</w:t>
      </w:r>
      <w:r>
        <w:rPr/>
        <w:t>；北京无双科技有限公司持股比例为</w:t>
      </w:r>
      <w:r>
        <w:rPr>
          <w:rFonts w:ascii="Times New Roman" w:hAnsi="Times New Roman" w:cs="Times New Roman" w:eastAsia="Times New Roman" w:hint="default"/>
        </w:rPr>
        <w:t>20%</w:t>
      </w:r>
      <w:r>
        <w:rPr/>
        <w:t>。</w:t>
      </w:r>
    </w:p>
    <w:p>
      <w:pPr>
        <w:pStyle w:val="BodyText"/>
        <w:spacing w:line="240" w:lineRule="auto" w:before="13"/>
        <w:ind w:left="513"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日，光环有云（北京）网络服务有限公司在香港投资设立了光环有云（香港）网络科技有限公司。</w:t>
      </w:r>
    </w:p>
    <w:p>
      <w:pPr>
        <w:spacing w:line="240" w:lineRule="auto" w:before="2"/>
        <w:rPr>
          <w:rFonts w:ascii="宋体" w:hAnsi="宋体" w:cs="宋体" w:eastAsia="宋体" w:hint="default"/>
          <w:sz w:val="26"/>
          <w:szCs w:val="26"/>
        </w:rPr>
      </w:pPr>
    </w:p>
    <w:p>
      <w:pPr>
        <w:pStyle w:val="Heading3"/>
        <w:spacing w:line="240" w:lineRule="auto"/>
        <w:ind w:right="2839"/>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right="2839"/>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2839"/>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665,122,481.05</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16.31%</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2839"/>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4" w:right="0"/>
              <w:jc w:val="left"/>
              <w:rPr>
                <w:rFonts w:ascii="Times New Roman" w:hAnsi="Times New Roman" w:cs="Times New Roman" w:eastAsia="Times New Roman" w:hint="default"/>
                <w:sz w:val="18"/>
                <w:szCs w:val="18"/>
              </w:rPr>
            </w:pPr>
            <w:r>
              <w:rPr>
                <w:rFonts w:ascii="Times New Roman"/>
                <w:sz w:val="18"/>
              </w:rPr>
              <w:t>366,614,510.29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114,046,492.13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73,106,501.24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1.79%</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65,460,582.70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45,894,394.69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1.13%</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665,122,481.05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16.31%</w:t>
            </w:r>
          </w:p>
        </w:tc>
      </w:tr>
    </w:tbl>
    <w:p>
      <w:pPr>
        <w:pStyle w:val="BodyText"/>
        <w:spacing w:line="240" w:lineRule="auto" w:before="49"/>
        <w:ind w:right="2839"/>
        <w:jc w:val="left"/>
      </w:pPr>
      <w:r>
        <w:rPr/>
        <w:t>主要客户其他情况说明</w:t>
      </w:r>
    </w:p>
    <w:p>
      <w:pPr>
        <w:pStyle w:val="BodyText"/>
        <w:spacing w:line="319" w:lineRule="auto" w:before="115"/>
        <w:ind w:right="1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公司前五名客户与公司不存在关联关系，不存在公司董事、监事、高级管理人员、核心技术人员、持股</w:t>
      </w:r>
      <w:r>
        <w:rPr>
          <w:rFonts w:ascii="Times New Roman" w:hAnsi="Times New Roman" w:cs="Times New Roman" w:eastAsia="Times New Roman" w:hint="default"/>
        </w:rPr>
        <w:t>5%</w:t>
      </w:r>
      <w:r>
        <w:rPr/>
        <w:t>以上股东、实际 控制人和其他关联方在主要客户中直接或者间接拥有权益等情况。</w:t>
      </w:r>
    </w:p>
    <w:p>
      <w:pPr>
        <w:pStyle w:val="BodyText"/>
        <w:spacing w:line="240" w:lineRule="auto" w:before="58"/>
        <w:ind w:right="2839"/>
        <w:jc w:val="left"/>
      </w:pPr>
      <w:r>
        <w:rPr/>
        <w:t>公司主要供应商情况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2,359,484,418.85</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76.59%</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2839"/>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985,261,404.87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31.98%</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892,286,967.53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28.96%</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166,552,377.73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5.41%</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158,145,830.23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5.13%</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157,237,838.49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5.10%</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2,359,484,418.85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76.59%</w:t>
            </w:r>
          </w:p>
        </w:tc>
      </w:tr>
    </w:tbl>
    <w:p>
      <w:pPr>
        <w:pStyle w:val="BodyText"/>
        <w:spacing w:line="240" w:lineRule="auto" w:before="49"/>
        <w:ind w:right="2839"/>
        <w:jc w:val="left"/>
      </w:pPr>
      <w:r>
        <w:rPr/>
        <w:t>主要供应商其他情况说明</w:t>
      </w:r>
    </w:p>
    <w:p>
      <w:pPr>
        <w:pStyle w:val="BodyText"/>
        <w:spacing w:line="319" w:lineRule="auto" w:before="115"/>
        <w:ind w:right="1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公司前五名供应商与公司不存在关联关系，不存在公司董事、监事、高级管理人员、核心技术人员、持股</w:t>
      </w:r>
      <w:r>
        <w:rPr>
          <w:rFonts w:ascii="Times New Roman" w:hAnsi="Times New Roman" w:cs="Times New Roman" w:eastAsia="Times New Roman" w:hint="default"/>
        </w:rPr>
        <w:t>5%</w:t>
      </w:r>
      <w:r>
        <w:rPr/>
        <w:t>以上股东、实 际控制人和其他关联方在主要供应商中直接或者间接拥有权益等情况。</w:t>
      </w:r>
    </w:p>
    <w:p>
      <w:pPr>
        <w:spacing w:line="240" w:lineRule="auto" w:before="9"/>
        <w:rPr>
          <w:rFonts w:ascii="宋体" w:hAnsi="宋体" w:cs="宋体" w:eastAsia="宋体" w:hint="default"/>
          <w:sz w:val="22"/>
          <w:szCs w:val="22"/>
        </w:rPr>
      </w:pPr>
    </w:p>
    <w:p>
      <w:pPr>
        <w:pStyle w:val="Heading3"/>
        <w:spacing w:line="240" w:lineRule="auto"/>
        <w:ind w:right="2839"/>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9"/>
      </w:tblGrid>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3"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51,937,354.50</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22,421,060.99</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82" w:right="0"/>
              <w:jc w:val="left"/>
              <w:rPr>
                <w:rFonts w:ascii="Times New Roman" w:hAnsi="Times New Roman" w:cs="Times New Roman" w:eastAsia="Times New Roman" w:hint="default"/>
                <w:sz w:val="18"/>
                <w:szCs w:val="18"/>
              </w:rPr>
            </w:pPr>
            <w:r>
              <w:rPr>
                <w:rFonts w:ascii="Times New Roman"/>
                <w:sz w:val="18"/>
              </w:rPr>
              <w:t>131.65%</w:t>
            </w:r>
          </w:p>
        </w:tc>
        <w:tc>
          <w:tcPr>
            <w:tcW w:w="2919" w:type="dxa"/>
            <w:vMerge w:val="restart"/>
            <w:tcBorders>
              <w:top w:val="single" w:sz="4" w:space="0" w:color="000000"/>
              <w:left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随着业务发展，公司加大广告宣传投</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入</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236,741,719.59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218,258,330.10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67,676,213.73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1" w:right="0"/>
              <w:jc w:val="left"/>
              <w:rPr>
                <w:rFonts w:ascii="Times New Roman" w:hAnsi="Times New Roman" w:cs="Times New Roman" w:eastAsia="Times New Roman" w:hint="default"/>
                <w:sz w:val="18"/>
                <w:szCs w:val="18"/>
              </w:rPr>
            </w:pPr>
            <w:r>
              <w:rPr>
                <w:rFonts w:ascii="Times New Roman"/>
                <w:sz w:val="18"/>
              </w:rPr>
              <w:t>63,398,563.27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6.75%</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2839"/>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513" w:right="0"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1"/>
        </w:rPr>
        <w:t>报告期内，公司依托</w:t>
      </w:r>
      <w:r>
        <w:rPr>
          <w:rFonts w:ascii="Times New Roman" w:hAnsi="Times New Roman" w:cs="Times New Roman" w:eastAsia="Times New Roman" w:hint="default"/>
          <w:spacing w:val="-1"/>
        </w:rPr>
        <w:t>IDC</w:t>
      </w:r>
      <w:r>
        <w:rPr>
          <w:spacing w:val="-1"/>
        </w:rPr>
        <w:t>业务和公有云服务进行混合云应用的深入开发，完成混合云数据备份与恢复、大数据存储与分</w:t>
      </w:r>
    </w:p>
    <w:p>
      <w:pPr>
        <w:pStyle w:val="BodyText"/>
        <w:spacing w:line="217" w:lineRule="exact"/>
        <w:ind w:right="0"/>
        <w:jc w:val="left"/>
      </w:pPr>
      <w:r>
        <w:rPr/>
        <w:t>析等应用开发，可为客户提供一站式混合云解决方案服务。公司还完成数据中心智能化管理系统的研发，进一步提升了数据</w:t>
      </w:r>
    </w:p>
    <w:p>
      <w:pPr>
        <w:pStyle w:val="BodyText"/>
        <w:spacing w:line="316" w:lineRule="auto" w:before="76"/>
        <w:ind w:left="513" w:right="0" w:hanging="361"/>
        <w:jc w:val="left"/>
      </w:pPr>
      <w:r>
        <w:rPr/>
        <w:t>中心运维服务能力。 </w:t>
      </w:r>
      <w:r>
        <w:rPr>
          <w:spacing w:val="-2"/>
        </w:rPr>
        <w:t>报告期内，中金云网继续推进数据中心绿色节能改造项目研发，持续对数据中心基础设施进行节能技术改造；完成了云</w:t>
      </w:r>
    </w:p>
    <w:p>
      <w:pPr>
        <w:pStyle w:val="BodyText"/>
        <w:spacing w:line="300" w:lineRule="auto" w:before="19"/>
        <w:ind w:left="513" w:right="0" w:hanging="361"/>
        <w:jc w:val="left"/>
      </w:pPr>
      <w:r>
        <w:rPr/>
        <w:t>计算平台运维系统</w:t>
      </w:r>
      <w:r>
        <w:rPr>
          <w:rFonts w:ascii="Times New Roman" w:hAnsi="Times New Roman" w:cs="Times New Roman" w:eastAsia="Times New Roman" w:hint="default"/>
        </w:rPr>
        <w:t>2.0</w:t>
      </w:r>
      <w:r>
        <w:rPr/>
        <w:t>版本、互联网流量矩阵项目</w:t>
      </w:r>
      <w:r>
        <w:rPr>
          <w:rFonts w:ascii="Times New Roman" w:hAnsi="Times New Roman" w:cs="Times New Roman" w:eastAsia="Times New Roman" w:hint="default"/>
        </w:rPr>
        <w:t>2.0</w:t>
      </w:r>
      <w:r>
        <w:rPr/>
        <w:t>的研发，进一步提升了数据中心运营效率，增强公司竞争实力。 </w:t>
      </w:r>
      <w:r>
        <w:rPr>
          <w:spacing w:val="-2"/>
        </w:rPr>
        <w:t>报告期内，无双科技完成了</w:t>
      </w:r>
      <w:r>
        <w:rPr>
          <w:rFonts w:ascii="Times New Roman" w:hAnsi="Times New Roman" w:cs="Times New Roman" w:eastAsia="Times New Roman" w:hint="default"/>
          <w:spacing w:val="-2"/>
        </w:rPr>
        <w:t>AG</w:t>
      </w:r>
      <w:r>
        <w:rPr>
          <w:spacing w:val="-2"/>
        </w:rPr>
        <w:t>动态创意模板系统、</w:t>
      </w:r>
      <w:r>
        <w:rPr>
          <w:rFonts w:ascii="Times New Roman" w:hAnsi="Times New Roman" w:cs="Times New Roman" w:eastAsia="Times New Roman" w:hint="default"/>
          <w:spacing w:val="-2"/>
        </w:rPr>
        <w:t>AG</w:t>
      </w:r>
      <w:r>
        <w:rPr>
          <w:spacing w:val="-2"/>
        </w:rPr>
        <w:t>人群库广告产品推荐系统、无双多媒体营销助手软件、无双广告</w:t>
      </w:r>
    </w:p>
    <w:p>
      <w:pPr>
        <w:pStyle w:val="BodyText"/>
        <w:spacing w:line="307" w:lineRule="auto" w:before="13"/>
        <w:ind w:right="149"/>
        <w:jc w:val="both"/>
      </w:pPr>
      <w:r>
        <w:rPr>
          <w:spacing w:val="-3"/>
        </w:rPr>
        <w:t>数据诊断工具（数据医生）软件、</w:t>
      </w:r>
      <w:r>
        <w:rPr>
          <w:rFonts w:ascii="Times New Roman" w:hAnsi="Times New Roman" w:cs="Times New Roman" w:eastAsia="Times New Roman" w:hint="default"/>
          <w:spacing w:val="-3"/>
        </w:rPr>
        <w:t>AG</w:t>
      </w:r>
      <w:r>
        <w:rPr>
          <w:spacing w:val="-3"/>
        </w:rPr>
        <w:t>第三方监测数据对接分析系统、</w:t>
      </w:r>
      <w:r>
        <w:rPr>
          <w:rFonts w:ascii="Times New Roman" w:hAnsi="Times New Roman" w:cs="Times New Roman" w:eastAsia="Times New Roman" w:hint="default"/>
          <w:spacing w:val="-3"/>
        </w:rPr>
        <w:t>AG</w:t>
      </w:r>
      <w:r>
        <w:rPr>
          <w:spacing w:val="-3"/>
        </w:rPr>
        <w:t>网站影响力排名分析平台、</w:t>
      </w:r>
      <w:r>
        <w:rPr>
          <w:rFonts w:ascii="Times New Roman" w:hAnsi="Times New Roman" w:cs="Times New Roman" w:eastAsia="Times New Roman" w:hint="default"/>
          <w:spacing w:val="-3"/>
        </w:rPr>
        <w:t>AG</w:t>
      </w:r>
      <w:r>
        <w:rPr>
          <w:spacing w:val="-3"/>
        </w:rPr>
        <w:t>应用统计分析平台、</w:t>
      </w:r>
      <w:r>
        <w:rPr>
          <w:spacing w:val="-66"/>
        </w:rPr>
        <w:t> </w:t>
      </w:r>
      <w:r>
        <w:rPr>
          <w:spacing w:val="-66"/>
        </w:rPr>
      </w:r>
      <w:r>
        <w:rPr>
          <w:rFonts w:ascii="Times New Roman" w:hAnsi="Times New Roman" w:cs="Times New Roman" w:eastAsia="Times New Roman" w:hint="default"/>
          <w:spacing w:val="-3"/>
        </w:rPr>
        <w:t>AG</w:t>
      </w:r>
      <w:r>
        <w:rPr>
          <w:spacing w:val="-3"/>
        </w:rPr>
        <w:t>网站推广关键词自动推荐系统、基于网页</w:t>
      </w:r>
      <w:r>
        <w:rPr>
          <w:rFonts w:ascii="Times New Roman" w:hAnsi="Times New Roman" w:cs="Times New Roman" w:eastAsia="Times New Roman" w:hint="default"/>
          <w:spacing w:val="-3"/>
        </w:rPr>
        <w:t>Context</w:t>
      </w:r>
      <w:r>
        <w:rPr>
          <w:spacing w:val="-3"/>
        </w:rPr>
        <w:t>语境分析的</w:t>
      </w:r>
      <w:r>
        <w:rPr>
          <w:rFonts w:ascii="Times New Roman" w:hAnsi="Times New Roman" w:cs="Times New Roman" w:eastAsia="Times New Roman" w:hint="default"/>
          <w:spacing w:val="-3"/>
        </w:rPr>
        <w:t>AG</w:t>
      </w:r>
      <w:r>
        <w:rPr>
          <w:spacing w:val="-3"/>
        </w:rPr>
        <w:t>人群库系统、</w:t>
      </w:r>
      <w:r>
        <w:rPr>
          <w:rFonts w:ascii="Times New Roman" w:hAnsi="Times New Roman" w:cs="Times New Roman" w:eastAsia="Times New Roman" w:hint="default"/>
          <w:spacing w:val="-3"/>
        </w:rPr>
        <w:t>AG</w:t>
      </w:r>
      <w:r>
        <w:rPr>
          <w:spacing w:val="-3"/>
        </w:rPr>
        <w:t>客户网站流量分析、创意点击优化系统、</w:t>
      </w:r>
      <w:r>
        <w:rPr/>
        <w:t> </w:t>
      </w:r>
      <w:r>
        <w:rPr>
          <w:spacing w:val="-2"/>
        </w:rPr>
        <w:t>广告主私有定制化人群库系统、多层模型广告点击率预测系统的研发和建立，预计未来对运营效率和客户体验将有大幅度的</w:t>
      </w:r>
      <w:r>
        <w:rPr>
          <w:spacing w:val="-64"/>
        </w:rPr>
        <w:t> </w:t>
      </w:r>
      <w:r>
        <w:rPr>
          <w:spacing w:val="-64"/>
        </w:rPr>
      </w:r>
      <w:r>
        <w:rPr/>
        <w:t>提升。</w:t>
      </w:r>
    </w:p>
    <w:p>
      <w:pPr>
        <w:pStyle w:val="BodyText"/>
        <w:spacing w:line="316" w:lineRule="auto" w:before="26"/>
        <w:ind w:right="151" w:firstLine="360"/>
        <w:jc w:val="both"/>
      </w:pPr>
      <w:r>
        <w:rPr>
          <w:spacing w:val="-2"/>
        </w:rPr>
        <w:t>报告期内，公司子公司科信盛彩不断改进、完善云计算平台数据块存储、云计算平台内容存储、网络性能分析、网络实</w:t>
      </w:r>
      <w:r>
        <w:rPr/>
        <w:t> </w:t>
      </w:r>
      <w:r>
        <w:rPr>
          <w:spacing w:val="-2"/>
        </w:rPr>
        <w:t>时监控及日志维护、系统运维身份认证与授权、互联网数据传输监控系统、网络安全备案系统等自主研发技术，保持行业技</w:t>
      </w:r>
      <w:r>
        <w:rPr>
          <w:spacing w:val="-65"/>
        </w:rPr>
        <w:t> </w:t>
      </w:r>
      <w:r>
        <w:rPr>
          <w:spacing w:val="-65"/>
        </w:rPr>
      </w:r>
      <w:r>
        <w:rPr/>
        <w:t>术领先地位，进一步提高核心竞争力。</w:t>
      </w:r>
    </w:p>
    <w:p>
      <w:pPr>
        <w:pStyle w:val="BodyText"/>
        <w:spacing w:line="240" w:lineRule="auto" w:before="59"/>
        <w:ind w:right="2839"/>
        <w:jc w:val="left"/>
      </w:pPr>
      <w:r>
        <w:rPr/>
        <w:t>近三年公司研发投入金额及占营业收入的比例</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46.12%</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111,994,123.16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111,781,070.19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19,626,904.80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3.32%</w:t>
            </w:r>
          </w:p>
        </w:tc>
      </w:tr>
    </w:tbl>
    <w:p>
      <w:pPr>
        <w:pStyle w:val="BodyText"/>
        <w:spacing w:line="240" w:lineRule="auto" w:before="49"/>
        <w:ind w:right="2839"/>
        <w:jc w:val="left"/>
      </w:pPr>
      <w:r>
        <w:rPr/>
        <w:t>研发投入总额占营业收入的比重较上年发生显著变化的原因</w:t>
      </w:r>
    </w:p>
    <w:p>
      <w:pPr>
        <w:pStyle w:val="BodyText"/>
        <w:spacing w:line="338" w:lineRule="auto" w:before="117"/>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43"/>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2839"/>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4,032,117,607.68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2,299,040,343.86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75.38%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3,626,420,157.09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1,819,524,262.14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99.31%</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405,697,450.59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479,516,081.72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-15.39%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5,920,346,118.50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2,258,407,066.86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162.15%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6,110,243,090.24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5,398,424,415.62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13.19%</w:t>
            </w:r>
          </w:p>
        </w:tc>
      </w:tr>
      <w:tr>
        <w:trPr>
          <w:trHeight w:val="71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-189,896,971.74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-3,140,017,348.76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93.95%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727,931,161.12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3,177,113,882.20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-77.09%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714,138,993.57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430,366,226.93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65.94%</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13,792,167.55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2,746,747,655.27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-99.50%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229,592,646.40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86,246,388.23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166.21%</w:t>
            </w:r>
          </w:p>
        </w:tc>
      </w:tr>
    </w:tbl>
    <w:p>
      <w:pPr>
        <w:pStyle w:val="BodyText"/>
        <w:spacing w:line="240" w:lineRule="auto" w:before="49"/>
        <w:ind w:right="2839"/>
        <w:jc w:val="left"/>
      </w:pPr>
      <w:r>
        <w:rPr/>
        <w:t>相关数据同比发生重大变动的主要影响因素说明</w:t>
      </w:r>
    </w:p>
    <w:p>
      <w:pPr>
        <w:pStyle w:val="BodyText"/>
        <w:spacing w:line="240" w:lineRule="auto" w:before="115"/>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right="2839"/>
        <w:jc w:val="left"/>
      </w:pPr>
      <w:r>
        <w:rPr>
          <w:rFonts w:ascii="Times New Roman" w:hAnsi="Times New Roman" w:cs="Times New Roman" w:eastAsia="Times New Roman" w:hint="default"/>
        </w:rPr>
        <w:t>1</w:t>
      </w:r>
      <w:r>
        <w:rPr/>
        <w:t>、经营活动现金流入增加主要原因是公司营业收入增长；</w:t>
      </w:r>
    </w:p>
    <w:p>
      <w:pPr>
        <w:pStyle w:val="BodyText"/>
        <w:spacing w:line="240" w:lineRule="auto" w:before="63"/>
        <w:ind w:right="0"/>
        <w:jc w:val="left"/>
      </w:pPr>
      <w:r>
        <w:rPr>
          <w:rFonts w:ascii="Times New Roman" w:hAnsi="Times New Roman" w:cs="Times New Roman" w:eastAsia="Times New Roman" w:hint="default"/>
        </w:rPr>
        <w:t>2</w:t>
      </w:r>
      <w:r>
        <w:rPr/>
        <w:t>、经营活动现金流出增加主要原因是公司营业成本与营业收入同比增长以及预付供应商款；</w:t>
      </w:r>
    </w:p>
    <w:p>
      <w:pPr>
        <w:pStyle w:val="BodyText"/>
        <w:spacing w:line="240" w:lineRule="auto" w:before="63"/>
        <w:ind w:right="2839"/>
        <w:jc w:val="left"/>
      </w:pPr>
      <w:r>
        <w:rPr>
          <w:rFonts w:ascii="Times New Roman" w:hAnsi="Times New Roman" w:cs="Times New Roman" w:eastAsia="Times New Roman" w:hint="default"/>
        </w:rPr>
        <w:t>3</w:t>
      </w:r>
      <w:r>
        <w:rPr/>
        <w:t>、投资活动现金流入增加主要原因是购买的理财产品到期赎回；</w:t>
      </w:r>
    </w:p>
    <w:p>
      <w:pPr>
        <w:pStyle w:val="BodyText"/>
        <w:spacing w:line="240" w:lineRule="auto" w:before="63"/>
        <w:ind w:right="2839"/>
        <w:jc w:val="left"/>
      </w:pPr>
      <w:r>
        <w:rPr>
          <w:rFonts w:ascii="Times New Roman" w:hAnsi="Times New Roman" w:cs="Times New Roman" w:eastAsia="Times New Roman" w:hint="default"/>
        </w:rPr>
        <w:t>4</w:t>
      </w:r>
      <w:r>
        <w:rPr/>
        <w:t>、投资活动现金流出增加主要原因是公司购买理财产品，以及数据中心建设投入。</w:t>
      </w:r>
    </w:p>
    <w:p>
      <w:pPr>
        <w:pStyle w:val="BodyText"/>
        <w:spacing w:line="240" w:lineRule="auto" w:before="63"/>
        <w:ind w:right="2839"/>
        <w:jc w:val="left"/>
      </w:pPr>
      <w:r>
        <w:rPr>
          <w:rFonts w:ascii="Times New Roman" w:hAnsi="Times New Roman" w:cs="Times New Roman" w:eastAsia="Times New Roman" w:hint="default"/>
        </w:rPr>
        <w:t>5</w:t>
      </w:r>
      <w:r>
        <w:rPr/>
        <w:t>、筹资活动现金流入减少的主要原因上年同期公司非公开发行股份募集资金；</w:t>
      </w:r>
    </w:p>
    <w:p>
      <w:pPr>
        <w:pStyle w:val="BodyText"/>
        <w:spacing w:line="340" w:lineRule="auto" w:before="63"/>
        <w:ind w:right="2124"/>
        <w:jc w:val="left"/>
      </w:pPr>
      <w:r>
        <w:rPr>
          <w:rFonts w:ascii="Times New Roman" w:hAnsi="Times New Roman" w:cs="Times New Roman" w:eastAsia="Times New Roman" w:hint="default"/>
        </w:rPr>
        <w:t>6</w:t>
      </w:r>
      <w:r>
        <w:rPr/>
        <w:t>、筹资活动现金流出增加的主要原因是公司偿还金融机构借款和支付借款利息、以及现金分红。 报告期内公司经营活动产生的现金净流量与本年度净利润存在重大差异的原因说明</w:t>
      </w:r>
    </w:p>
    <w:p>
      <w:pPr>
        <w:pStyle w:val="BodyText"/>
        <w:spacing w:line="319" w:lineRule="auto" w:before="39"/>
        <w:ind w:right="14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报告期内公司经营活动产生的现金净额</w:t>
      </w:r>
      <w:r>
        <w:rPr>
          <w:rFonts w:ascii="Times New Roman" w:hAnsi="Times New Roman" w:cs="Times New Roman" w:eastAsia="Times New Roman" w:hint="default"/>
        </w:rPr>
        <w:t>405,697,450.59</w:t>
      </w:r>
      <w:r>
        <w:rPr/>
        <w:t>元，本年度净利润</w:t>
      </w:r>
      <w:r>
        <w:rPr>
          <w:rFonts w:ascii="Times New Roman" w:hAnsi="Times New Roman" w:cs="Times New Roman" w:eastAsia="Times New Roman" w:hint="default"/>
        </w:rPr>
        <w:t>444,278,307.76</w:t>
      </w:r>
      <w:r>
        <w:rPr/>
        <w:t>元，主要差异为折旧摊销等非付现费 用、支付借款利息、以及期末应收账款增加和支付保证金等。详见</w:t>
      </w:r>
      <w:r>
        <w:rPr>
          <w:rFonts w:ascii="Times New Roman" w:hAnsi="Times New Roman" w:cs="Times New Roman" w:eastAsia="Times New Roman" w:hint="default"/>
        </w:rPr>
        <w:t>“</w:t>
      </w:r>
      <w:r>
        <w:rPr/>
        <w:t>第十一节 财务报告 七、</w:t>
      </w:r>
      <w:r>
        <w:rPr>
          <w:rFonts w:ascii="Times New Roman" w:hAnsi="Times New Roman" w:cs="Times New Roman" w:eastAsia="Times New Roman" w:hint="default"/>
        </w:rPr>
        <w:t>44</w:t>
      </w:r>
      <w:r>
        <w:rPr>
          <w:rFonts w:ascii="Times New Roman" w:hAnsi="Times New Roman" w:cs="Times New Roman" w:eastAsia="Times New Roman" w:hint="default"/>
          <w:spacing w:val="-7"/>
        </w:rPr>
        <w:t> </w:t>
      </w:r>
      <w:r>
        <w:rPr/>
        <w:t>现金流量表补充资料</w:t>
      </w:r>
      <w:r>
        <w:rPr>
          <w:rFonts w:ascii="Times New Roman" w:hAnsi="Times New Roman" w:cs="Times New Roman" w:eastAsia="Times New Roman" w:hint="default"/>
        </w:rPr>
        <w:t>”</w:t>
      </w:r>
    </w:p>
    <w:p>
      <w:pPr>
        <w:spacing w:line="240" w:lineRule="auto" w:before="9"/>
        <w:rPr>
          <w:rFonts w:ascii="Times New Roman" w:hAnsi="Times New Roman" w:cs="Times New Roman" w:eastAsia="Times New Roman" w:hint="default"/>
          <w:sz w:val="21"/>
          <w:szCs w:val="21"/>
        </w:rPr>
      </w:pPr>
    </w:p>
    <w:p>
      <w:pPr>
        <w:pStyle w:val="Heading2"/>
        <w:spacing w:line="240" w:lineRule="auto"/>
        <w:ind w:right="2839"/>
        <w:jc w:val="left"/>
        <w:rPr>
          <w:b w:val="0"/>
          <w:bCs w:val="0"/>
        </w:rPr>
      </w:pPr>
      <w:r>
        <w:rPr/>
        <w:t>三、非主营业务情况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00"/>
        <w:gridCol w:w="1928"/>
        <w:gridCol w:w="1622"/>
        <w:gridCol w:w="2168"/>
        <w:gridCol w:w="2341"/>
      </w:tblGrid>
      <w:tr>
        <w:trPr>
          <w:trHeight w:val="401"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17" w:hRule="exact"/>
        </w:trPr>
        <w:tc>
          <w:tcPr>
            <w:tcW w:w="15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4" w:right="0"/>
              <w:jc w:val="left"/>
              <w:rPr>
                <w:rFonts w:ascii="Times New Roman" w:hAnsi="Times New Roman" w:cs="Times New Roman" w:eastAsia="Times New Roman" w:hint="default"/>
                <w:sz w:val="18"/>
                <w:szCs w:val="18"/>
              </w:rPr>
            </w:pPr>
            <w:r>
              <w:rPr>
                <w:rFonts w:ascii="Times New Roman"/>
                <w:sz w:val="18"/>
              </w:rPr>
              <w:t>43,471,077.63</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8.52%</w:t>
            </w:r>
          </w:p>
        </w:tc>
        <w:tc>
          <w:tcPr>
            <w:tcW w:w="2168"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60" w:firstLine="91"/>
              <w:jc w:val="left"/>
              <w:rPr>
                <w:rFonts w:ascii="宋体" w:hAnsi="宋体" w:cs="宋体" w:eastAsia="宋体" w:hint="default"/>
                <w:sz w:val="18"/>
                <w:szCs w:val="18"/>
              </w:rPr>
            </w:pPr>
            <w:r>
              <w:rPr>
                <w:rFonts w:ascii="宋体" w:hAnsi="宋体" w:cs="宋体" w:eastAsia="宋体" w:hint="default"/>
                <w:sz w:val="18"/>
                <w:szCs w:val="18"/>
              </w:rPr>
              <w:t>其中公司对闲置募集资金 进行现金管理取得的收益 </w:t>
            </w:r>
            <w:r>
              <w:rPr>
                <w:rFonts w:ascii="Times New Roman" w:hAnsi="Times New Roman" w:cs="Times New Roman" w:eastAsia="Times New Roman" w:hint="default"/>
                <w:sz w:val="18"/>
                <w:szCs w:val="18"/>
              </w:rPr>
              <w:t>45,143,215.27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234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46"/>
              <w:jc w:val="left"/>
              <w:rPr>
                <w:rFonts w:ascii="宋体" w:hAnsi="宋体" w:cs="宋体" w:eastAsia="宋体" w:hint="default"/>
                <w:sz w:val="18"/>
                <w:szCs w:val="18"/>
              </w:rPr>
            </w:pPr>
            <w:r>
              <w:rPr>
                <w:rFonts w:ascii="宋体" w:hAnsi="宋体" w:cs="宋体" w:eastAsia="宋体" w:hint="default"/>
                <w:sz w:val="18"/>
                <w:szCs w:val="18"/>
              </w:rPr>
              <w:t>在公司实施的募投项目未完 成之前可持续。</w:t>
            </w:r>
          </w:p>
        </w:tc>
      </w:tr>
      <w:tr>
        <w:trPr>
          <w:trHeight w:val="394" w:hRule="exact"/>
        </w:trPr>
        <w:tc>
          <w:tcPr>
            <w:tcW w:w="15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28"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168" w:type="dxa"/>
            <w:vMerge/>
            <w:tcBorders>
              <w:left w:val="single" w:sz="4" w:space="0" w:color="000000"/>
              <w:right w:val="single" w:sz="4" w:space="0" w:color="000000"/>
            </w:tcBorders>
          </w:tcPr>
          <w:p>
            <w:pPr/>
          </w:p>
        </w:tc>
        <w:tc>
          <w:tcPr>
            <w:tcW w:w="2341" w:type="dxa"/>
            <w:vMerge/>
            <w:tcBorders>
              <w:left w:val="single" w:sz="4" w:space="0" w:color="000000"/>
              <w:right w:val="single" w:sz="4" w:space="0" w:color="000000"/>
            </w:tcBorders>
          </w:tcPr>
          <w:p>
            <w:pPr/>
          </w:p>
        </w:tc>
      </w:tr>
      <w:tr>
        <w:trPr>
          <w:trHeight w:val="317" w:hRule="exact"/>
        </w:trPr>
        <w:tc>
          <w:tcPr>
            <w:tcW w:w="15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168" w:type="dxa"/>
            <w:vMerge/>
            <w:tcBorders>
              <w:left w:val="single" w:sz="4" w:space="0" w:color="000000"/>
              <w:bottom w:val="single" w:sz="4" w:space="0" w:color="000000"/>
              <w:right w:val="single" w:sz="4" w:space="0" w:color="000000"/>
            </w:tcBorders>
          </w:tcPr>
          <w:p>
            <w:pPr/>
          </w:p>
        </w:tc>
        <w:tc>
          <w:tcPr>
            <w:tcW w:w="2341" w:type="dxa"/>
            <w:vMerge/>
            <w:tcBorders>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2839"/>
        <w:jc w:val="left"/>
        <w:rPr>
          <w:b w:val="0"/>
          <w:bCs w:val="0"/>
        </w:rPr>
      </w:pP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2839"/>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164"/>
        <w:gridCol w:w="1064"/>
        <w:gridCol w:w="1195"/>
        <w:gridCol w:w="1064"/>
        <w:gridCol w:w="797"/>
        <w:gridCol w:w="2919"/>
      </w:tblGrid>
      <w:tr>
        <w:trPr>
          <w:trHeight w:val="380" w:hRule="exact"/>
        </w:trPr>
        <w:tc>
          <w:tcPr>
            <w:tcW w:w="1356"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9"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6"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5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5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3"/>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3"/>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494,246,688.1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4.66%</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264,654,041.76</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2.97%</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1.69%</w:t>
            </w:r>
          </w:p>
        </w:tc>
        <w:tc>
          <w:tcPr>
            <w:tcW w:w="2919" w:type="dxa"/>
            <w:vMerge w:val="restart"/>
            <w:tcBorders>
              <w:top w:val="single" w:sz="4" w:space="0" w:color="000000"/>
              <w:left w:val="single" w:sz="4" w:space="0" w:color="000000"/>
              <w:right w:val="single" w:sz="4" w:space="0" w:color="000000"/>
            </w:tcBorders>
          </w:tcPr>
          <w:p>
            <w:pPr>
              <w:pStyle w:val="TableParagraph"/>
              <w:spacing w:line="314"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主要原因为报告期内收回应收客户 欠款。</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317"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986,724,852.8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9.30%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560,111,605.56</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6.28%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3.02%</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3"/>
              <w:jc w:val="both"/>
              <w:rPr>
                <w:rFonts w:ascii="宋体" w:hAnsi="宋体" w:cs="宋体" w:eastAsia="宋体" w:hint="default"/>
                <w:sz w:val="18"/>
                <w:szCs w:val="18"/>
              </w:rPr>
            </w:pPr>
            <w:r>
              <w:rPr>
                <w:rFonts w:ascii="宋体" w:hAnsi="宋体" w:cs="宋体" w:eastAsia="宋体" w:hint="default"/>
                <w:sz w:val="18"/>
                <w:szCs w:val="18"/>
              </w:rPr>
              <w:t>主要原因为公司云计算业务快速发 展，对客户账期之内的应收款项增 加。</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176" w:right="0"/>
              <w:jc w:val="left"/>
              <w:rPr>
                <w:rFonts w:ascii="Times New Roman" w:hAnsi="Times New Roman" w:cs="Times New Roman" w:eastAsia="Times New Roman" w:hint="default"/>
                <w:sz w:val="18"/>
                <w:szCs w:val="18"/>
              </w:rPr>
            </w:pPr>
            <w:r>
              <w:rPr>
                <w:rFonts w:ascii="Times New Roman"/>
                <w:sz w:val="18"/>
              </w:rPr>
              <w:t>4,732,138.88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6" w:right="0"/>
              <w:jc w:val="left"/>
              <w:rPr>
                <w:rFonts w:ascii="Times New Roman" w:hAnsi="Times New Roman" w:cs="Times New Roman" w:eastAsia="Times New Roman" w:hint="default"/>
                <w:sz w:val="18"/>
                <w:szCs w:val="18"/>
              </w:rPr>
            </w:pPr>
            <w:r>
              <w:rPr>
                <w:rFonts w:ascii="Times New Roman"/>
                <w:sz w:val="18"/>
              </w:rPr>
              <w:t>0.04%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5" w:right="0"/>
              <w:jc w:val="left"/>
              <w:rPr>
                <w:rFonts w:ascii="Times New Roman" w:hAnsi="Times New Roman" w:cs="Times New Roman" w:eastAsia="Times New Roman" w:hint="default"/>
                <w:sz w:val="18"/>
                <w:szCs w:val="18"/>
              </w:rPr>
            </w:pPr>
            <w:r>
              <w:rPr>
                <w:rFonts w:ascii="Times New Roman"/>
                <w:sz w:val="18"/>
              </w:rPr>
              <w:t>3,115,655.78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6" w:right="0"/>
              <w:jc w:val="left"/>
              <w:rPr>
                <w:rFonts w:ascii="Times New Roman" w:hAnsi="Times New Roman" w:cs="Times New Roman" w:eastAsia="Times New Roman" w:hint="default"/>
                <w:sz w:val="18"/>
                <w:szCs w:val="18"/>
              </w:rPr>
            </w:pPr>
            <w:r>
              <w:rPr>
                <w:rFonts w:ascii="Times New Roman"/>
                <w:sz w:val="18"/>
              </w:rPr>
              <w:t>0.03%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0.01%</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164"/>
        <w:gridCol w:w="1064"/>
        <w:gridCol w:w="1195"/>
        <w:gridCol w:w="1064"/>
        <w:gridCol w:w="797"/>
        <w:gridCol w:w="2919"/>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8,760,282.55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10,432,420.19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3,854,190,075.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36.31%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2,724,524,691.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
              <w:jc w:val="left"/>
              <w:rPr>
                <w:rFonts w:ascii="宋体" w:hAnsi="宋体" w:cs="宋体" w:eastAsia="宋体" w:hint="default"/>
                <w:sz w:val="18"/>
                <w:szCs w:val="18"/>
              </w:rPr>
            </w:pPr>
            <w:r>
              <w:rPr>
                <w:rFonts w:ascii="宋体" w:hAnsi="宋体" w:cs="宋体" w:eastAsia="宋体" w:hint="default"/>
                <w:sz w:val="18"/>
                <w:szCs w:val="18"/>
              </w:rPr>
              <w:t>主要原因为报告期内向亚马逊通技 术服务（北京）有限公司购买设备； 亦庄绿色云计算基地、上海嘉定绿色 云计算基地以及燕郊云谷二期部分 完工转固。</w:t>
            </w:r>
          </w:p>
        </w:tc>
      </w:tr>
      <w:tr>
        <w:trPr>
          <w:trHeight w:val="133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748,411,116.0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425,571,828.57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
              <w:jc w:val="left"/>
              <w:rPr>
                <w:rFonts w:ascii="宋体" w:hAnsi="宋体" w:cs="宋体" w:eastAsia="宋体" w:hint="default"/>
                <w:sz w:val="18"/>
                <w:szCs w:val="18"/>
              </w:rPr>
            </w:pPr>
            <w:r>
              <w:rPr>
                <w:rFonts w:ascii="宋体" w:hAnsi="宋体" w:cs="宋体" w:eastAsia="宋体" w:hint="default"/>
                <w:sz w:val="18"/>
                <w:szCs w:val="18"/>
              </w:rPr>
              <w:t>主要原因为公司燕郊光环云谷二期 项目、上海嘉定绿色云计算基地项 目、房山绿色云计算基地项目、亦庄 绿色云计算基地项目逐步投入建设。</w:t>
            </w: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0.75%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1,544,924,128.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1,386,189,912.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228,258,731.4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218,635,928.65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134,649,620.5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87,197,314.78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主要原因为支付的保证金增加。</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1,067,093,065.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1,592,340,654.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主要原因为公司收回到期理财产品 本金。</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405,031,994.3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410,158,744.69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134,940,155.2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86,253,685.04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主要原因为报告期内上海嘉定绿色 </w:t>
            </w:r>
            <w:r>
              <w:rPr>
                <w:rFonts w:ascii="宋体" w:hAnsi="宋体" w:cs="宋体" w:eastAsia="宋体" w:hint="default"/>
                <w:spacing w:val="-2"/>
                <w:sz w:val="18"/>
                <w:szCs w:val="18"/>
              </w:rPr>
              <w:t>云计算基地项目、燕郊云谷二期部分</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完工和增加燕郊云谷二期项目场地 租赁费。</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919,349,828.7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555,767,307.07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主要原因为公司云计算及其相关服 务快速发展，应付成本增加。</w:t>
            </w: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141,282,094.7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243,730,598.84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主要原因为前期待转收入结转营业 收入。</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102,928,888.8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56,449,763.30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主要原因为云计算及相关服务收入 增长以及公司利润总额增加。</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867,672,820.7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39,384,259.85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主要原因为报告期内分期付款向亚 </w:t>
            </w:r>
            <w:r>
              <w:rPr>
                <w:rFonts w:ascii="宋体" w:hAnsi="宋体" w:cs="宋体" w:eastAsia="宋体" w:hint="default"/>
                <w:spacing w:val="-2"/>
                <w:sz w:val="18"/>
                <w:szCs w:val="18"/>
              </w:rPr>
              <w:t>马逊通技术服务（北京）有限公司购</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买设备。</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277"/>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5"/>
          <w:szCs w:val="25"/>
        </w:rPr>
      </w:pPr>
    </w:p>
    <w:tbl>
      <w:tblPr>
        <w:tblW w:w="0" w:type="auto"/>
        <w:jc w:val="left"/>
        <w:tblInd w:w="123" w:type="dxa"/>
        <w:tblLayout w:type="fixed"/>
        <w:tblCellMar>
          <w:top w:w="0" w:type="dxa"/>
          <w:left w:w="0" w:type="dxa"/>
          <w:bottom w:w="0" w:type="dxa"/>
          <w:right w:w="0" w:type="dxa"/>
        </w:tblCellMar>
        <w:tblLook w:val="01E0"/>
      </w:tblPr>
      <w:tblGrid>
        <w:gridCol w:w="4299"/>
        <w:gridCol w:w="3152"/>
        <w:gridCol w:w="2434"/>
      </w:tblGrid>
      <w:tr>
        <w:trPr>
          <w:trHeight w:val="413" w:hRule="exact"/>
        </w:trPr>
        <w:tc>
          <w:tcPr>
            <w:tcW w:w="4299" w:type="dxa"/>
            <w:tcBorders>
              <w:top w:val="single" w:sz="12" w:space="0" w:color="000000"/>
              <w:left w:val="nil" w:sz="6" w:space="0" w:color="auto"/>
              <w:bottom w:val="single" w:sz="6" w:space="0" w:color="000000"/>
              <w:right w:val="single" w:sz="6" w:space="0" w:color="000000"/>
            </w:tcBorders>
          </w:tcPr>
          <w:p>
            <w:pPr>
              <w:pStyle w:val="TableParagraph"/>
              <w:tabs>
                <w:tab w:pos="448" w:val="left" w:leader="none"/>
              </w:tabs>
              <w:spacing w:line="240" w:lineRule="auto" w:before="49"/>
              <w:ind w:right="1820"/>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315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9"/>
              <w:ind w:left="1027"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43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8" w:hRule="exact"/>
        </w:trPr>
        <w:tc>
          <w:tcPr>
            <w:tcW w:w="429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517,666,861.64</w:t>
            </w:r>
          </w:p>
        </w:tc>
        <w:tc>
          <w:tcPr>
            <w:tcW w:w="243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贷款质押担保</w:t>
            </w:r>
          </w:p>
        </w:tc>
      </w:tr>
      <w:tr>
        <w:trPr>
          <w:trHeight w:val="408" w:hRule="exact"/>
        </w:trPr>
        <w:tc>
          <w:tcPr>
            <w:tcW w:w="429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00"/>
              <w:jc w:val="right"/>
              <w:rPr>
                <w:rFonts w:ascii="Arial Narrow" w:hAnsi="Arial Narrow" w:cs="Arial Narrow" w:eastAsia="Arial Narrow" w:hint="default"/>
                <w:sz w:val="18"/>
                <w:szCs w:val="18"/>
              </w:rPr>
            </w:pPr>
            <w:r>
              <w:rPr>
                <w:rFonts w:ascii="Arial Narrow"/>
                <w:spacing w:val="-1"/>
                <w:sz w:val="18"/>
              </w:rPr>
              <w:t>1,436,052,532.09</w:t>
            </w:r>
          </w:p>
        </w:tc>
        <w:tc>
          <w:tcPr>
            <w:tcW w:w="243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贷款抵押担保</w:t>
            </w:r>
          </w:p>
        </w:tc>
      </w:tr>
      <w:tr>
        <w:trPr>
          <w:trHeight w:val="406" w:hRule="exact"/>
        </w:trPr>
        <w:tc>
          <w:tcPr>
            <w:tcW w:w="429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00"/>
              <w:jc w:val="right"/>
              <w:rPr>
                <w:rFonts w:ascii="Arial Narrow" w:hAnsi="Arial Narrow" w:cs="Arial Narrow" w:eastAsia="Arial Narrow" w:hint="default"/>
                <w:sz w:val="18"/>
                <w:szCs w:val="18"/>
              </w:rPr>
            </w:pPr>
            <w:r>
              <w:rPr>
                <w:rFonts w:ascii="Arial Narrow"/>
                <w:spacing w:val="-1"/>
                <w:sz w:val="18"/>
              </w:rPr>
              <w:t>25,100,371.24</w:t>
            </w:r>
          </w:p>
        </w:tc>
        <w:tc>
          <w:tcPr>
            <w:tcW w:w="243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4"/>
              <w:jc w:val="center"/>
              <w:rPr>
                <w:rFonts w:ascii="宋体" w:hAnsi="宋体" w:cs="宋体" w:eastAsia="宋体" w:hint="default"/>
                <w:sz w:val="18"/>
                <w:szCs w:val="18"/>
              </w:rPr>
            </w:pPr>
            <w:r>
              <w:rPr>
                <w:rFonts w:ascii="宋体" w:hAnsi="宋体" w:cs="宋体" w:eastAsia="宋体" w:hint="default"/>
                <w:sz w:val="18"/>
                <w:szCs w:val="18"/>
              </w:rPr>
              <w:t>贷款抵押担保</w:t>
            </w:r>
          </w:p>
        </w:tc>
      </w:tr>
      <w:tr>
        <w:trPr>
          <w:trHeight w:val="415" w:hRule="exact"/>
        </w:trPr>
        <w:tc>
          <w:tcPr>
            <w:tcW w:w="4299" w:type="dxa"/>
            <w:tcBorders>
              <w:top w:val="single" w:sz="6" w:space="0" w:color="000000"/>
              <w:left w:val="nil" w:sz="6" w:space="0" w:color="auto"/>
              <w:bottom w:val="single" w:sz="12" w:space="0" w:color="000000"/>
              <w:right w:val="single" w:sz="6" w:space="0" w:color="000000"/>
            </w:tcBorders>
          </w:tcPr>
          <w:p>
            <w:pPr>
              <w:pStyle w:val="TableParagraph"/>
              <w:tabs>
                <w:tab w:pos="448" w:val="left" w:leader="none"/>
              </w:tabs>
              <w:spacing w:line="240" w:lineRule="auto" w:before="49"/>
              <w:ind w:right="1820"/>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1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5"/>
              <w:ind w:right="100"/>
              <w:jc w:val="right"/>
              <w:rPr>
                <w:rFonts w:ascii="Arial Narrow" w:hAnsi="Arial Narrow" w:cs="Arial Narrow" w:eastAsia="Arial Narrow" w:hint="default"/>
                <w:sz w:val="18"/>
                <w:szCs w:val="18"/>
              </w:rPr>
            </w:pPr>
            <w:r>
              <w:rPr>
                <w:rFonts w:ascii="Arial Narrow"/>
                <w:spacing w:val="-1"/>
                <w:sz w:val="18"/>
              </w:rPr>
              <w:t>1,978,819,764.97</w:t>
            </w:r>
          </w:p>
        </w:tc>
        <w:tc>
          <w:tcPr>
            <w:tcW w:w="2434" w:type="dxa"/>
            <w:tcBorders>
              <w:top w:val="single" w:sz="6" w:space="0" w:color="000000"/>
              <w:left w:val="single" w:sz="6" w:space="0" w:color="000000"/>
              <w:bottom w:val="single" w:sz="12" w:space="0" w:color="000000"/>
              <w:right w:val="nil" w:sz="6" w:space="0" w:color="auto"/>
            </w:tcBorders>
          </w:tcPr>
          <w:p>
            <w:pPr/>
          </w:p>
        </w:tc>
      </w:tr>
    </w:tbl>
    <w:p>
      <w:pPr>
        <w:pStyle w:val="BodyText"/>
        <w:spacing w:line="240" w:lineRule="auto" w:before="8"/>
        <w:ind w:right="277"/>
        <w:jc w:val="left"/>
      </w:pPr>
      <w:r>
        <w:rPr/>
        <w:t>说明：</w:t>
      </w:r>
    </w:p>
    <w:p>
      <w:pPr>
        <w:pStyle w:val="BodyText"/>
        <w:spacing w:line="300" w:lineRule="auto" w:before="76"/>
        <w:ind w:right="371" w:firstLine="360"/>
        <w:jc w:val="both"/>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12</w:t>
      </w:r>
      <w:r>
        <w:rPr>
          <w:spacing w:val="-1"/>
        </w:rPr>
        <w:t>日，北京无双科技有限公司与浦发硅谷银行有限公司签订【</w:t>
      </w:r>
      <w:r>
        <w:rPr>
          <w:rFonts w:ascii="Times New Roman" w:hAnsi="Times New Roman" w:cs="Times New Roman" w:eastAsia="Times New Roman" w:hint="default"/>
          <w:spacing w:val="-1"/>
        </w:rPr>
        <w:t>CL201607006</w:t>
      </w:r>
      <w:r>
        <w:rPr>
          <w:spacing w:val="-1"/>
        </w:rPr>
        <w:t>】《流动资金借款合同》，累</w:t>
      </w:r>
      <w:r>
        <w:rPr/>
        <w:t> </w:t>
      </w:r>
      <w:r>
        <w:rPr>
          <w:spacing w:val="-6"/>
          <w:w w:val="99"/>
        </w:rPr>
        <w:t>计取得借款肆仟万元整，借款期限</w:t>
      </w:r>
      <w:r>
        <w:rPr>
          <w:rFonts w:ascii="Times New Roman" w:hAnsi="Times New Roman" w:cs="Times New Roman" w:eastAsia="Times New Roman" w:hint="default"/>
          <w:spacing w:val="-6"/>
          <w:w w:val="99"/>
        </w:rPr>
        <w:t>1</w:t>
      </w:r>
      <w:r>
        <w:rPr>
          <w:spacing w:val="-6"/>
          <w:w w:val="99"/>
        </w:rPr>
        <w:t>年，同时，</w:t>
      </w:r>
      <w:r>
        <w:rPr>
          <w:rFonts w:ascii="Times New Roman" w:hAnsi="Times New Roman" w:cs="Times New Roman" w:eastAsia="Times New Roman" w:hint="default"/>
          <w:spacing w:val="-6"/>
          <w:w w:val="99"/>
        </w:rPr>
        <w:t>2016</w:t>
      </w:r>
      <w:r>
        <w:rPr>
          <w:spacing w:val="-6"/>
          <w:w w:val="99"/>
        </w:rPr>
        <w:t>年</w:t>
      </w:r>
      <w:r>
        <w:rPr>
          <w:rFonts w:ascii="Times New Roman" w:hAnsi="Times New Roman" w:cs="Times New Roman" w:eastAsia="Times New Roman" w:hint="default"/>
          <w:spacing w:val="-6"/>
          <w:w w:val="99"/>
        </w:rPr>
        <w:t>9</w:t>
      </w:r>
      <w:r>
        <w:rPr>
          <w:spacing w:val="-6"/>
          <w:w w:val="99"/>
        </w:rPr>
        <w:t>月</w:t>
      </w:r>
      <w:r>
        <w:rPr>
          <w:rFonts w:ascii="Times New Roman" w:hAnsi="Times New Roman" w:cs="Times New Roman" w:eastAsia="Times New Roman" w:hint="default"/>
          <w:spacing w:val="-6"/>
          <w:w w:val="99"/>
        </w:rPr>
        <w:t>12</w:t>
      </w:r>
      <w:r>
        <w:rPr>
          <w:spacing w:val="-6"/>
          <w:w w:val="99"/>
        </w:rPr>
        <w:t>日又签订【</w:t>
      </w:r>
      <w:r>
        <w:rPr>
          <w:rFonts w:ascii="Times New Roman" w:hAnsi="Times New Roman" w:cs="Times New Roman" w:eastAsia="Times New Roman" w:hint="default"/>
          <w:spacing w:val="-6"/>
          <w:w w:val="99"/>
        </w:rPr>
        <w:t>CL201607006-AR</w:t>
      </w:r>
      <w:r>
        <w:rPr>
          <w:spacing w:val="-6"/>
          <w:w w:val="99"/>
        </w:rPr>
        <w:t>】《应收账款质押协议（最高额）》，</w:t>
      </w:r>
      <w:r>
        <w:rPr>
          <w:spacing w:val="-58"/>
          <w:w w:val="99"/>
        </w:rPr>
        <w:t> </w:t>
      </w:r>
      <w:r>
        <w:rPr>
          <w:spacing w:val="-58"/>
          <w:w w:val="99"/>
        </w:rPr>
      </w:r>
      <w:r>
        <w:rPr/>
        <w:t>以全部应收账款做为该借款合同的质押，期间为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11</w:t>
      </w:r>
      <w:r>
        <w:rPr/>
        <w:t>日止，并签订了【</w:t>
      </w:r>
      <w:r>
        <w:rPr>
          <w:rFonts w:ascii="Times New Roman" w:hAnsi="Times New Roman" w:cs="Times New Roman" w:eastAsia="Times New Roman" w:hint="default"/>
        </w:rPr>
        <w:t>CL201607006-RA</w:t>
      </w:r>
      <w:r>
        <w:rPr/>
        <w:t>】《应收 账款质押登记协议》。截止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日，贷款余额</w:t>
      </w:r>
      <w:r>
        <w:rPr>
          <w:rFonts w:ascii="Times New Roman" w:hAnsi="Times New Roman" w:cs="Times New Roman" w:eastAsia="Times New Roman" w:hint="default"/>
        </w:rPr>
        <w:t>30,000,000.00</w:t>
      </w:r>
      <w:r>
        <w:rPr/>
        <w:t>元。</w:t>
      </w:r>
    </w:p>
    <w:p>
      <w:pPr>
        <w:pStyle w:val="BodyText"/>
        <w:spacing w:line="304" w:lineRule="auto" w:before="13"/>
        <w:ind w:right="277" w:firstLine="360"/>
        <w:jc w:val="left"/>
      </w:pPr>
      <w:r>
        <w:rPr>
          <w:rFonts w:ascii="Times New Roman" w:hAnsi="Times New Roman" w:cs="Times New Roman" w:eastAsia="Times New Roman" w:hint="default"/>
          <w:spacing w:val="-7"/>
        </w:rPr>
        <w:t>2</w:t>
      </w:r>
      <w:r>
        <w:rPr>
          <w:spacing w:val="-7"/>
        </w:rPr>
        <w:t>、子公司北京中金云网科技有限公司以其位于北京经济技术开发区博兴八路</w:t>
      </w:r>
      <w:r>
        <w:rPr>
          <w:rFonts w:ascii="Times New Roman" w:hAnsi="Times New Roman" w:cs="Times New Roman" w:eastAsia="Times New Roman" w:hint="default"/>
          <w:spacing w:val="-7"/>
        </w:rPr>
        <w:t>1</w:t>
      </w:r>
      <w:r>
        <w:rPr>
          <w:spacing w:val="-7"/>
        </w:rPr>
        <w:t>号</w:t>
      </w:r>
      <w:r>
        <w:rPr>
          <w:rFonts w:ascii="Times New Roman" w:hAnsi="Times New Roman" w:cs="Times New Roman" w:eastAsia="Times New Roman" w:hint="default"/>
          <w:spacing w:val="-7"/>
        </w:rPr>
        <w:t>1</w:t>
      </w:r>
      <w:r>
        <w:rPr>
          <w:spacing w:val="-7"/>
        </w:rPr>
        <w:t>幢和</w:t>
      </w:r>
      <w:r>
        <w:rPr>
          <w:rFonts w:ascii="Times New Roman" w:hAnsi="Times New Roman" w:cs="Times New Roman" w:eastAsia="Times New Roman" w:hint="default"/>
          <w:spacing w:val="-7"/>
        </w:rPr>
        <w:t>2</w:t>
      </w:r>
      <w:r>
        <w:rPr>
          <w:spacing w:val="-7"/>
        </w:rPr>
        <w:t>幢房产（不动产权证号：京【</w:t>
      </w:r>
      <w:r>
        <w:rPr>
          <w:rFonts w:ascii="Times New Roman" w:hAnsi="Times New Roman" w:cs="Times New Roman" w:eastAsia="Times New Roman" w:hint="default"/>
          <w:spacing w:val="-7"/>
        </w:rPr>
        <w:t>2016</w:t>
      </w:r>
      <w:r>
        <w:rPr>
          <w:spacing w:val="-7"/>
        </w:rPr>
        <w:t>】</w:t>
      </w:r>
      <w:r>
        <w:rPr/>
        <w:t> 开发区不动产权第</w:t>
      </w:r>
      <w:r>
        <w:rPr>
          <w:rFonts w:ascii="Times New Roman" w:hAnsi="Times New Roman" w:cs="Times New Roman" w:eastAsia="Times New Roman" w:hint="default"/>
        </w:rPr>
        <w:t>0011007</w:t>
      </w:r>
      <w:r>
        <w:rPr/>
        <w:t>号）设定抵押，抵押期限</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9</w:t>
      </w:r>
      <w:r>
        <w:rPr/>
        <w:t>日至</w:t>
      </w:r>
      <w:r>
        <w:rPr>
          <w:rFonts w:ascii="Times New Roman" w:hAnsi="Times New Roman" w:cs="Times New Roman" w:eastAsia="Times New Roman" w:hint="default"/>
        </w:rPr>
        <w:t>2023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日；以融资期内北京数据中心一期产生的全 </w:t>
      </w:r>
      <w:r>
        <w:rPr>
          <w:spacing w:val="-2"/>
        </w:rPr>
        <w:t>部经营收入及该合同下应收账款设定质押并由董事长杨洁及其配偶张利做为连带责任保证人，与中国工商银行股份有限公司</w:t>
      </w:r>
      <w:r>
        <w:rPr>
          <w:spacing w:val="-64"/>
        </w:rPr>
        <w:t> </w:t>
      </w:r>
      <w:r>
        <w:rPr>
          <w:spacing w:val="-64"/>
        </w:rPr>
      </w:r>
      <w:r>
        <w:rPr/>
        <w:t>北京经济技术开发区支行于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日签订《固定资产融资借款合同》（编号：</w:t>
      </w:r>
      <w:r>
        <w:rPr>
          <w:rFonts w:ascii="Times New Roman" w:hAnsi="Times New Roman" w:cs="Times New Roman" w:eastAsia="Times New Roman" w:hint="default"/>
        </w:rPr>
        <w:t>0020000094-2015</w:t>
      </w:r>
      <w:r>
        <w:rPr/>
        <w:t>年（亦庄）字</w:t>
      </w:r>
      <w:r>
        <w:rPr>
          <w:rFonts w:ascii="Times New Roman" w:hAnsi="Times New Roman" w:cs="Times New Roman" w:eastAsia="Times New Roman" w:hint="default"/>
        </w:rPr>
        <w:t>0014</w:t>
      </w:r>
      <w:r>
        <w:rPr/>
        <w:t>号）</w:t>
      </w:r>
      <w:r>
        <w:rPr>
          <w:spacing w:val="-62"/>
        </w:rPr>
        <w:t> </w:t>
      </w:r>
      <w:r>
        <w:rPr/>
        <w:t>贷款额度伍亿整，截至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日贷款余额</w:t>
      </w:r>
      <w:r>
        <w:rPr>
          <w:rFonts w:ascii="Times New Roman" w:hAnsi="Times New Roman" w:cs="Times New Roman" w:eastAsia="Times New Roman" w:hint="default"/>
        </w:rPr>
        <w:t>407,460,000.00</w:t>
      </w:r>
      <w:r>
        <w:rPr/>
        <w:t>元。</w:t>
      </w:r>
    </w:p>
    <w:p>
      <w:pPr>
        <w:pStyle w:val="BodyText"/>
        <w:spacing w:line="304" w:lineRule="auto" w:before="9"/>
        <w:ind w:right="277" w:firstLine="360"/>
        <w:jc w:val="left"/>
      </w:pPr>
      <w:r>
        <w:rPr>
          <w:rFonts w:ascii="Times New Roman" w:hAnsi="Times New Roman" w:cs="Times New Roman" w:eastAsia="Times New Roman" w:hint="default"/>
          <w:spacing w:val="-7"/>
        </w:rPr>
        <w:t>3</w:t>
      </w:r>
      <w:r>
        <w:rPr>
          <w:spacing w:val="-7"/>
        </w:rPr>
        <w:t>、子公司北京中金云网科技有限公司以其位于北京经济技术开发区博兴八路</w:t>
      </w:r>
      <w:r>
        <w:rPr>
          <w:rFonts w:ascii="Times New Roman" w:hAnsi="Times New Roman" w:cs="Times New Roman" w:eastAsia="Times New Roman" w:hint="default"/>
          <w:spacing w:val="-7"/>
        </w:rPr>
        <w:t>1</w:t>
      </w:r>
      <w:r>
        <w:rPr>
          <w:spacing w:val="-7"/>
        </w:rPr>
        <w:t>号</w:t>
      </w:r>
      <w:r>
        <w:rPr>
          <w:rFonts w:ascii="Times New Roman" w:hAnsi="Times New Roman" w:cs="Times New Roman" w:eastAsia="Times New Roman" w:hint="default"/>
          <w:spacing w:val="-7"/>
        </w:rPr>
        <w:t>2</w:t>
      </w:r>
      <w:r>
        <w:rPr>
          <w:spacing w:val="-7"/>
        </w:rPr>
        <w:t>幢和</w:t>
      </w:r>
      <w:r>
        <w:rPr>
          <w:rFonts w:ascii="Times New Roman" w:hAnsi="Times New Roman" w:cs="Times New Roman" w:eastAsia="Times New Roman" w:hint="default"/>
          <w:spacing w:val="-7"/>
        </w:rPr>
        <w:t>3</w:t>
      </w:r>
      <w:r>
        <w:rPr>
          <w:spacing w:val="-7"/>
        </w:rPr>
        <w:t>幢房产（不动产权证号：京【</w:t>
      </w:r>
      <w:r>
        <w:rPr>
          <w:rFonts w:ascii="Times New Roman" w:hAnsi="Times New Roman" w:cs="Times New Roman" w:eastAsia="Times New Roman" w:hint="default"/>
          <w:spacing w:val="-7"/>
        </w:rPr>
        <w:t>2016</w:t>
      </w:r>
      <w:r>
        <w:rPr>
          <w:spacing w:val="-7"/>
        </w:rPr>
        <w:t>】</w:t>
      </w:r>
      <w:r>
        <w:rPr/>
        <w:t> </w:t>
      </w:r>
      <w:r>
        <w:rPr>
          <w:spacing w:val="-2"/>
        </w:rPr>
        <w:t>开发区不动产权第</w:t>
      </w:r>
      <w:r>
        <w:rPr>
          <w:rFonts w:ascii="Times New Roman" w:hAnsi="Times New Roman" w:cs="Times New Roman" w:eastAsia="Times New Roman" w:hint="default"/>
          <w:spacing w:val="-2"/>
        </w:rPr>
        <w:t>0011007</w:t>
      </w:r>
      <w:r>
        <w:rPr>
          <w:spacing w:val="-2"/>
        </w:rPr>
        <w:t>号）、位于北京经济技术开发区博兴八路</w:t>
      </w:r>
      <w:r>
        <w:rPr>
          <w:rFonts w:ascii="Times New Roman" w:hAnsi="Times New Roman" w:cs="Times New Roman" w:eastAsia="Times New Roman" w:hint="default"/>
          <w:spacing w:val="-2"/>
        </w:rPr>
        <w:t>1</w:t>
      </w:r>
      <w:r>
        <w:rPr>
          <w:spacing w:val="-2"/>
        </w:rPr>
        <w:t>号的土地（不动产权证号：京【</w:t>
      </w:r>
      <w:r>
        <w:rPr>
          <w:rFonts w:ascii="Times New Roman" w:hAnsi="Times New Roman" w:cs="Times New Roman" w:eastAsia="Times New Roman" w:hint="default"/>
          <w:spacing w:val="-2"/>
        </w:rPr>
        <w:t>2016</w:t>
      </w:r>
      <w:r>
        <w:rPr>
          <w:spacing w:val="-2"/>
        </w:rPr>
        <w:t>】开发区不动产权</w:t>
      </w:r>
      <w:r>
        <w:rPr>
          <w:spacing w:val="-59"/>
        </w:rPr>
        <w:t> </w:t>
      </w:r>
      <w:r>
        <w:rPr>
          <w:spacing w:val="-59"/>
        </w:rPr>
      </w:r>
      <w:r>
        <w:rPr/>
        <w:t>第</w:t>
      </w:r>
      <w:r>
        <w:rPr>
          <w:rFonts w:ascii="Times New Roman" w:hAnsi="Times New Roman" w:cs="Times New Roman" w:eastAsia="Times New Roman" w:hint="default"/>
        </w:rPr>
        <w:t>0011007</w:t>
      </w:r>
      <w:r>
        <w:rPr/>
        <w:t>号）及土地上在建工程（当期已转固）设定抵押；以融资期内北京数据中心二期项目产生全部经营收入及该合同 下应收账款设定质押并由董事长杨洁及其配偶张利做为连带责任保证人与主办银行中国工商银行股份有限公司北京经济技 </w:t>
      </w:r>
      <w:r>
        <w:rPr>
          <w:spacing w:val="-3"/>
        </w:rPr>
        <w:t>术开发区支行于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10</w:t>
      </w:r>
      <w:r>
        <w:rPr>
          <w:spacing w:val="-3"/>
        </w:rPr>
        <w:t>日签订《北京数据中心二期项目银团贷款合同》（编号：</w:t>
      </w:r>
      <w:r>
        <w:rPr>
          <w:rFonts w:ascii="Times New Roman" w:hAnsi="Times New Roman" w:cs="Times New Roman" w:eastAsia="Times New Roman" w:hint="default"/>
          <w:spacing w:val="-3"/>
        </w:rPr>
        <w:t>0020000094-2015</w:t>
      </w:r>
      <w:r>
        <w:rPr>
          <w:spacing w:val="-3"/>
        </w:rPr>
        <w:t>年</w:t>
      </w:r>
      <w:r>
        <w:rPr>
          <w:rFonts w:ascii="Times New Roman" w:hAnsi="Times New Roman" w:cs="Times New Roman" w:eastAsia="Times New Roman" w:hint="default"/>
          <w:spacing w:val="-3"/>
        </w:rPr>
        <w:t>(</w:t>
      </w:r>
      <w:r>
        <w:rPr>
          <w:spacing w:val="-3"/>
        </w:rPr>
        <w:t>亦庄</w:t>
      </w:r>
      <w:r>
        <w:rPr>
          <w:rFonts w:ascii="Times New Roman" w:hAnsi="Times New Roman" w:cs="Times New Roman" w:eastAsia="Times New Roman" w:hint="default"/>
          <w:spacing w:val="-3"/>
        </w:rPr>
        <w:t>)</w:t>
      </w:r>
      <w:r>
        <w:rPr>
          <w:spacing w:val="-3"/>
        </w:rPr>
        <w:t>字</w:t>
      </w:r>
      <w:r>
        <w:rPr>
          <w:rFonts w:ascii="Times New Roman" w:hAnsi="Times New Roman" w:cs="Times New Roman" w:eastAsia="Times New Roman" w:hint="default"/>
          <w:spacing w:val="-3"/>
        </w:rPr>
        <w:t>0023</w:t>
      </w:r>
      <w:r>
        <w:rPr>
          <w:spacing w:val="-3"/>
        </w:rPr>
        <w:t>号），</w:t>
      </w:r>
      <w:r>
        <w:rPr>
          <w:spacing w:val="-64"/>
        </w:rPr>
        <w:t> </w:t>
      </w:r>
      <w:r>
        <w:rPr>
          <w:spacing w:val="-64"/>
        </w:rPr>
      </w:r>
      <w:r>
        <w:rPr>
          <w:spacing w:val="-2"/>
        </w:rPr>
        <w:t>贷款额度分别为中国工商银行股份有限公司北京经济技术开发区支行叁亿元整，北京农村商业银行经济技术开发区支行叁亿</w:t>
      </w:r>
      <w:r>
        <w:rPr>
          <w:spacing w:val="-64"/>
        </w:rPr>
        <w:t> </w:t>
      </w:r>
      <w:r>
        <w:rPr>
          <w:spacing w:val="-64"/>
        </w:rPr>
      </w:r>
      <w:r>
        <w:rPr>
          <w:spacing w:val="-2"/>
        </w:rPr>
        <w:t>元整，北京银行黄村支行贰亿元整。贷款期限</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10</w:t>
      </w:r>
      <w:r>
        <w:rPr>
          <w:spacing w:val="-2"/>
        </w:rPr>
        <w:t>日至</w:t>
      </w:r>
      <w:r>
        <w:rPr>
          <w:rFonts w:ascii="Times New Roman" w:hAnsi="Times New Roman" w:cs="Times New Roman" w:eastAsia="Times New Roman" w:hint="default"/>
          <w:spacing w:val="-2"/>
        </w:rPr>
        <w:t>2023</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30</w:t>
      </w:r>
      <w:r>
        <w:rPr>
          <w:spacing w:val="-2"/>
        </w:rPr>
        <w:t>日。截至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日贷款余额</w:t>
      </w:r>
      <w:r>
        <w:rPr>
          <w:rFonts w:ascii="Times New Roman" w:hAnsi="Times New Roman" w:cs="Times New Roman" w:eastAsia="Times New Roman" w:hint="default"/>
          <w:spacing w:val="-2"/>
        </w:rPr>
        <w:t>727,540,000.00</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元。</w:t>
      </w:r>
    </w:p>
    <w:p>
      <w:pPr>
        <w:pStyle w:val="BodyText"/>
        <w:spacing w:line="240" w:lineRule="auto" w:before="28"/>
        <w:ind w:left="513" w:right="277"/>
        <w:jc w:val="left"/>
      </w:pPr>
      <w:r>
        <w:rPr>
          <w:rFonts w:ascii="Times New Roman" w:hAnsi="Times New Roman" w:cs="Times New Roman" w:eastAsia="Times New Roman" w:hint="default"/>
        </w:rPr>
        <w:t>4</w:t>
      </w:r>
      <w:r>
        <w:rPr/>
        <w:t>、子公司北京科信盛彩云计算有限公司以北京金田恒业置业有限公司位于北京经济技术开发区经海二路</w:t>
      </w:r>
      <w:r>
        <w:rPr>
          <w:rFonts w:ascii="Times New Roman" w:hAnsi="Times New Roman" w:cs="Times New Roman" w:eastAsia="Times New Roman" w:hint="default"/>
        </w:rPr>
        <w:t>28</w:t>
      </w:r>
      <w:r>
        <w:rPr/>
        <w:t>号自有物业</w:t>
      </w:r>
    </w:p>
    <w:p>
      <w:pPr>
        <w:pStyle w:val="BodyText"/>
        <w:spacing w:line="300" w:lineRule="auto" w:before="63"/>
        <w:ind w:right="371"/>
        <w:jc w:val="both"/>
      </w:pPr>
      <w:r>
        <w:rPr>
          <w:spacing w:val="-1"/>
        </w:rPr>
        <w:t>（房产证编号：</w:t>
      </w:r>
      <w:r>
        <w:rPr>
          <w:rFonts w:ascii="Times New Roman" w:hAnsi="Times New Roman" w:cs="Times New Roman" w:eastAsia="Times New Roman" w:hint="default"/>
          <w:spacing w:val="-1"/>
        </w:rPr>
        <w:t>X</w:t>
      </w:r>
      <w:r>
        <w:rPr>
          <w:spacing w:val="-1"/>
        </w:rPr>
        <w:t>房权证开字第</w:t>
      </w:r>
      <w:r>
        <w:rPr>
          <w:rFonts w:ascii="Times New Roman" w:hAnsi="Times New Roman" w:cs="Times New Roman" w:eastAsia="Times New Roman" w:hint="default"/>
          <w:spacing w:val="-1"/>
        </w:rPr>
        <w:t>005009</w:t>
      </w:r>
      <w:r>
        <w:rPr>
          <w:spacing w:val="-1"/>
        </w:rPr>
        <w:t>号、土地证编号：开有限国用</w:t>
      </w:r>
      <w:r>
        <w:rPr>
          <w:rFonts w:ascii="Times New Roman" w:hAnsi="Times New Roman" w:cs="Times New Roman" w:eastAsia="Times New Roman" w:hint="default"/>
          <w:spacing w:val="-1"/>
        </w:rPr>
        <w:t>2016</w:t>
      </w:r>
      <w:r>
        <w:rPr>
          <w:spacing w:val="-1"/>
        </w:rPr>
        <w:t>第</w:t>
      </w:r>
      <w:r>
        <w:rPr>
          <w:rFonts w:ascii="Times New Roman" w:hAnsi="Times New Roman" w:cs="Times New Roman" w:eastAsia="Times New Roman" w:hint="default"/>
          <w:spacing w:val="-1"/>
        </w:rPr>
        <w:t>48</w:t>
      </w:r>
      <w:r>
        <w:rPr>
          <w:spacing w:val="-1"/>
        </w:rPr>
        <w:t>号）设定抵押；以融资期限内亦庄云计算基地</w:t>
      </w:r>
      <w:r>
        <w:rPr>
          <w:spacing w:val="-69"/>
        </w:rPr>
        <w:t> </w:t>
      </w:r>
      <w:r>
        <w:rPr>
          <w:spacing w:val="-69"/>
        </w:rPr>
      </w:r>
      <w:r>
        <w:rPr>
          <w:spacing w:val="-2"/>
        </w:rPr>
        <w:t>产生的全部经营收入（人行征信动产权属统一登记证明编号</w:t>
      </w:r>
      <w:r>
        <w:rPr>
          <w:rFonts w:ascii="Times New Roman" w:hAnsi="Times New Roman" w:cs="Times New Roman" w:eastAsia="Times New Roman" w:hint="default"/>
          <w:spacing w:val="-2"/>
        </w:rPr>
        <w:t>02661269000322397736</w:t>
      </w:r>
      <w:r>
        <w:rPr>
          <w:spacing w:val="-2"/>
        </w:rPr>
        <w:t>）及该合同下应收账款设定质押并由北京</w:t>
      </w:r>
      <w:r>
        <w:rPr>
          <w:spacing w:val="-50"/>
        </w:rPr>
        <w:t> </w:t>
      </w:r>
      <w:r>
        <w:rPr>
          <w:spacing w:val="-50"/>
        </w:rPr>
      </w:r>
      <w:r>
        <w:rPr/>
        <w:t>百汇达投资管理有限公司作为连带责任保证人与中国工商银行股份有限公司北京经济技术开发区支行于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日签订</w:t>
      </w:r>
    </w:p>
    <w:p>
      <w:pPr>
        <w:pStyle w:val="BodyText"/>
        <w:spacing w:line="300" w:lineRule="auto" w:before="13"/>
        <w:ind w:right="371"/>
        <w:jc w:val="both"/>
      </w:pPr>
      <w:r>
        <w:rPr/>
        <w:t>《固定资产借款合同》（编号：</w:t>
      </w:r>
      <w:r>
        <w:rPr>
          <w:rFonts w:ascii="Times New Roman" w:hAnsi="Times New Roman" w:cs="Times New Roman" w:eastAsia="Times New Roman" w:hint="default"/>
        </w:rPr>
        <w:t>0020000094-2016</w:t>
      </w:r>
      <w:r>
        <w:rPr/>
        <w:t>年</w:t>
      </w:r>
      <w:r>
        <w:rPr>
          <w:rFonts w:ascii="Times New Roman" w:hAnsi="Times New Roman" w:cs="Times New Roman" w:eastAsia="Times New Roman" w:hint="default"/>
        </w:rPr>
        <w:t>(</w:t>
      </w:r>
      <w:r>
        <w:rPr/>
        <w:t>亦庄</w:t>
      </w:r>
      <w:r>
        <w:rPr>
          <w:rFonts w:ascii="Times New Roman" w:hAnsi="Times New Roman" w:cs="Times New Roman" w:eastAsia="Times New Roman" w:hint="default"/>
        </w:rPr>
        <w:t>)</w:t>
      </w:r>
      <w:r>
        <w:rPr/>
        <w:t>字</w:t>
      </w:r>
      <w:r>
        <w:rPr>
          <w:rFonts w:ascii="Times New Roman" w:hAnsi="Times New Roman" w:cs="Times New Roman" w:eastAsia="Times New Roman" w:hint="default"/>
        </w:rPr>
        <w:t>0049</w:t>
      </w:r>
      <w:r>
        <w:rPr/>
        <w:t>号），贷款额度为贰亿捌仟万元整。贷款期限</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日至</w:t>
      </w:r>
      <w:r>
        <w:rPr>
          <w:rFonts w:ascii="Times New Roman" w:hAnsi="Times New Roman" w:cs="Times New Roman" w:eastAsia="Times New Roman" w:hint="default"/>
        </w:rPr>
        <w:t>2024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月，子公司北京科信盛彩云计算有限公司根据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日与中国工商银行股份有限公司北 </w:t>
      </w:r>
      <w:r>
        <w:rPr>
          <w:spacing w:val="-2"/>
        </w:rPr>
        <w:t>京经济技术开发区支行签订的最高额抵押合同，将抵押物变更为该公司位于北京经济技术开发区瑞合西二路</w:t>
      </w:r>
      <w:r>
        <w:rPr>
          <w:rFonts w:ascii="Times New Roman" w:hAnsi="Times New Roman" w:cs="Times New Roman" w:eastAsia="Times New Roman" w:hint="default"/>
          <w:spacing w:val="-2"/>
        </w:rPr>
        <w:t>6</w:t>
      </w:r>
      <w:r>
        <w:rPr>
          <w:spacing w:val="-2"/>
        </w:rPr>
        <w:t>号院</w:t>
      </w:r>
      <w:r>
        <w:rPr>
          <w:rFonts w:ascii="Times New Roman" w:hAnsi="Times New Roman" w:cs="Times New Roman" w:eastAsia="Times New Roman" w:hint="default"/>
          <w:spacing w:val="-2"/>
        </w:rPr>
        <w:t>1</w:t>
      </w:r>
      <w:r>
        <w:rPr>
          <w:spacing w:val="-2"/>
        </w:rPr>
        <w:t>号楼等六</w:t>
      </w:r>
      <w:r>
        <w:rPr>
          <w:spacing w:val="-62"/>
        </w:rPr>
        <w:t> </w:t>
      </w:r>
      <w:r>
        <w:rPr>
          <w:spacing w:val="-62"/>
        </w:rPr>
      </w:r>
      <w:r>
        <w:rPr/>
        <w:t>幢楼的房屋所有权及对应的土地使用权（不动产权号：京（</w:t>
      </w:r>
      <w:r>
        <w:rPr>
          <w:rFonts w:ascii="Times New Roman" w:hAnsi="Times New Roman" w:cs="Times New Roman" w:eastAsia="Times New Roman" w:hint="default"/>
        </w:rPr>
        <w:t>2016</w:t>
      </w:r>
      <w:r>
        <w:rPr/>
        <w:t>）开发区不动产第</w:t>
      </w:r>
      <w:r>
        <w:rPr>
          <w:rFonts w:ascii="Times New Roman" w:hAnsi="Times New Roman" w:cs="Times New Roman" w:eastAsia="Times New Roman" w:hint="default"/>
        </w:rPr>
        <w:t>0019466</w:t>
      </w:r>
      <w:r>
        <w:rPr/>
        <w:t>号、京（</w:t>
      </w:r>
      <w:r>
        <w:rPr>
          <w:rFonts w:ascii="Times New Roman" w:hAnsi="Times New Roman" w:cs="Times New Roman" w:eastAsia="Times New Roman" w:hint="default"/>
        </w:rPr>
        <w:t>2016</w:t>
      </w:r>
      <w:r>
        <w:rPr/>
        <w:t>）开发区不动产权 第</w:t>
      </w:r>
      <w:r>
        <w:rPr>
          <w:rFonts w:ascii="Times New Roman" w:hAnsi="Times New Roman" w:cs="Times New Roman" w:eastAsia="Times New Roman" w:hint="default"/>
        </w:rPr>
        <w:t>0019668</w:t>
      </w:r>
      <w:r>
        <w:rPr/>
        <w:t>号）；</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日签订《固定资产借款合同》（编号：</w:t>
      </w:r>
      <w:r>
        <w:rPr>
          <w:rFonts w:ascii="Times New Roman" w:hAnsi="Times New Roman" w:cs="Times New Roman" w:eastAsia="Times New Roman" w:hint="default"/>
        </w:rPr>
        <w:t>0020000094-2017</w:t>
      </w:r>
      <w:r>
        <w:rPr/>
        <w:t>年</w:t>
      </w:r>
      <w:r>
        <w:rPr>
          <w:rFonts w:ascii="Times New Roman" w:hAnsi="Times New Roman" w:cs="Times New Roman" w:eastAsia="Times New Roman" w:hint="default"/>
        </w:rPr>
        <w:t>(</w:t>
      </w:r>
      <w:r>
        <w:rPr/>
        <w:t>亦庄</w:t>
      </w:r>
      <w:r>
        <w:rPr>
          <w:rFonts w:ascii="Times New Roman" w:hAnsi="Times New Roman" w:cs="Times New Roman" w:eastAsia="Times New Roman" w:hint="default"/>
        </w:rPr>
        <w:t>)</w:t>
      </w:r>
      <w:r>
        <w:rPr/>
        <w:t>字</w:t>
      </w:r>
      <w:r>
        <w:rPr>
          <w:rFonts w:ascii="Times New Roman" w:hAnsi="Times New Roman" w:cs="Times New Roman" w:eastAsia="Times New Roman" w:hint="default"/>
        </w:rPr>
        <w:t>00073</w:t>
      </w:r>
      <w:r>
        <w:rPr/>
        <w:t>号），贷款额度为壹 亿肆仟伍佰万元整，贷款期限自实际开始提款日起不超过</w:t>
      </w:r>
      <w:r>
        <w:rPr>
          <w:rFonts w:ascii="Times New Roman" w:hAnsi="Times New Roman" w:cs="Times New Roman" w:eastAsia="Times New Roman" w:hint="default"/>
        </w:rPr>
        <w:t>8</w:t>
      </w:r>
      <w:r>
        <w:rPr/>
        <w:t>年。截止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日，公司贷款余额</w:t>
      </w:r>
      <w:r>
        <w:rPr>
          <w:rFonts w:ascii="Times New Roman" w:hAnsi="Times New Roman" w:cs="Times New Roman" w:eastAsia="Times New Roman" w:hint="default"/>
        </w:rPr>
        <w:t>409,924,128.91</w:t>
      </w:r>
      <w:r>
        <w:rPr/>
        <w:t>元。</w:t>
      </w:r>
    </w:p>
    <w:p>
      <w:pPr>
        <w:spacing w:line="240" w:lineRule="auto" w:before="5"/>
        <w:rPr>
          <w:rFonts w:ascii="宋体" w:hAnsi="宋体" w:cs="宋体" w:eastAsia="宋体" w:hint="default"/>
          <w:sz w:val="20"/>
          <w:szCs w:val="20"/>
        </w:rPr>
      </w:pPr>
    </w:p>
    <w:p>
      <w:pPr>
        <w:pStyle w:val="Heading2"/>
        <w:spacing w:line="240" w:lineRule="auto"/>
        <w:ind w:right="0"/>
        <w:jc w:val="both"/>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76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3"/>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3" w:right="0"/>
              <w:jc w:val="left"/>
              <w:rPr>
                <w:rFonts w:ascii="Times New Roman" w:hAnsi="Times New Roman" w:cs="Times New Roman" w:eastAsia="Times New Roman" w:hint="default"/>
                <w:sz w:val="18"/>
                <w:szCs w:val="18"/>
              </w:rPr>
            </w:pPr>
            <w:r>
              <w:rPr>
                <w:rFonts w:ascii="Times New Roman"/>
                <w:sz w:val="18"/>
              </w:rPr>
              <w:t>6,110,243,090.24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5,398,424,415.62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13.19%</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2839"/>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64"/>
        <w:gridCol w:w="782"/>
        <w:gridCol w:w="783"/>
        <w:gridCol w:w="780"/>
        <w:gridCol w:w="715"/>
        <w:gridCol w:w="718"/>
        <w:gridCol w:w="716"/>
        <w:gridCol w:w="653"/>
        <w:gridCol w:w="650"/>
        <w:gridCol w:w="653"/>
        <w:gridCol w:w="653"/>
        <w:gridCol w:w="650"/>
        <w:gridCol w:w="653"/>
      </w:tblGrid>
      <w:tr>
        <w:trPr>
          <w:trHeight w:val="1652" w:hRule="exact"/>
        </w:trPr>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投资方式</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6" w:right="26"/>
              <w:jc w:val="center"/>
              <w:rPr>
                <w:rFonts w:ascii="宋体" w:hAnsi="宋体" w:cs="宋体" w:eastAsia="宋体" w:hint="default"/>
                <w:sz w:val="18"/>
                <w:szCs w:val="18"/>
              </w:rPr>
            </w:pPr>
            <w:r>
              <w:rPr>
                <w:rFonts w:ascii="宋体" w:hAnsi="宋体" w:cs="宋体" w:eastAsia="宋体" w:hint="default"/>
                <w:sz w:val="18"/>
                <w:szCs w:val="18"/>
              </w:rPr>
              <w:t>是否为固 定资产投 资</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 w:right="23"/>
              <w:jc w:val="left"/>
              <w:rPr>
                <w:rFonts w:ascii="宋体" w:hAnsi="宋体" w:cs="宋体" w:eastAsia="宋体" w:hint="default"/>
                <w:sz w:val="18"/>
                <w:szCs w:val="18"/>
              </w:rPr>
            </w:pPr>
            <w:r>
              <w:rPr>
                <w:rFonts w:ascii="宋体" w:hAnsi="宋体" w:cs="宋体" w:eastAsia="宋体" w:hint="default"/>
                <w:sz w:val="18"/>
                <w:szCs w:val="18"/>
              </w:rPr>
              <w:t>投资项目 涉及行业</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83" w:right="79"/>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79"/>
              <w:jc w:val="both"/>
              <w:rPr>
                <w:rFonts w:ascii="宋体" w:hAnsi="宋体" w:cs="宋体" w:eastAsia="宋体" w:hint="default"/>
                <w:sz w:val="18"/>
                <w:szCs w:val="18"/>
              </w:rPr>
            </w:pPr>
            <w:r>
              <w:rPr>
                <w:rFonts w:ascii="宋体" w:hAnsi="宋体" w:cs="宋体" w:eastAsia="宋体" w:hint="default"/>
                <w:sz w:val="18"/>
                <w:szCs w:val="18"/>
              </w:rPr>
              <w:t>截至报 告期末 累计实 际投入 金额</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4" w:right="81" w:hanging="181"/>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0" w:right="4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48"/>
              <w:jc w:val="center"/>
              <w:rPr>
                <w:rFonts w:ascii="宋体" w:hAnsi="宋体" w:cs="宋体" w:eastAsia="宋体" w:hint="default"/>
                <w:sz w:val="18"/>
                <w:szCs w:val="18"/>
              </w:rPr>
            </w:pPr>
            <w:r>
              <w:rPr>
                <w:rFonts w:ascii="宋体" w:hAnsi="宋体" w:cs="宋体" w:eastAsia="宋体" w:hint="default"/>
                <w:sz w:val="18"/>
                <w:szCs w:val="18"/>
              </w:rPr>
              <w:t>截止报 告期末 累计实 现的收 益</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 w:right="51"/>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50" w:right="48"/>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52" w:right="48"/>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025"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48"/>
              <w:jc w:val="left"/>
              <w:rPr>
                <w:rFonts w:ascii="宋体" w:hAnsi="宋体" w:cs="宋体" w:eastAsia="宋体" w:hint="default"/>
                <w:sz w:val="18"/>
                <w:szCs w:val="18"/>
              </w:rPr>
            </w:pPr>
            <w:r>
              <w:rPr>
                <w:rFonts w:ascii="宋体" w:hAnsi="宋体" w:cs="宋体" w:eastAsia="宋体" w:hint="default"/>
                <w:sz w:val="18"/>
                <w:szCs w:val="18"/>
              </w:rPr>
              <w:t>上海嘉定绿色 云计算基地</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24"/>
              <w:jc w:val="left"/>
              <w:rPr>
                <w:rFonts w:ascii="宋体" w:hAnsi="宋体" w:cs="宋体" w:eastAsia="宋体" w:hint="default"/>
                <w:sz w:val="18"/>
                <w:szCs w:val="18"/>
              </w:rPr>
            </w:pPr>
            <w:r>
              <w:rPr>
                <w:rFonts w:ascii="宋体" w:hAnsi="宋体" w:cs="宋体" w:eastAsia="宋体" w:hint="default"/>
                <w:sz w:val="18"/>
                <w:szCs w:val="18"/>
              </w:rPr>
              <w:t>互联网和 相关服务</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166,961,</w:t>
            </w:r>
          </w:p>
          <w:p>
            <w:pPr>
              <w:pStyle w:val="TableParagraph"/>
              <w:spacing w:line="240" w:lineRule="auto" w:before="102"/>
              <w:ind w:left="168" w:right="0"/>
              <w:jc w:val="center"/>
              <w:rPr>
                <w:rFonts w:ascii="Times New Roman" w:hAnsi="Times New Roman" w:cs="Times New Roman" w:eastAsia="Times New Roman" w:hint="default"/>
                <w:sz w:val="18"/>
                <w:szCs w:val="18"/>
              </w:rPr>
            </w:pPr>
            <w:r>
              <w:rPr>
                <w:rFonts w:ascii="Times New Roman"/>
                <w:sz w:val="18"/>
              </w:rPr>
              <w:t>068.17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438,506,</w:t>
            </w:r>
          </w:p>
          <w:p>
            <w:pPr>
              <w:pStyle w:val="TableParagraph"/>
              <w:spacing w:line="240" w:lineRule="auto" w:before="102"/>
              <w:ind w:left="171" w:right="0"/>
              <w:jc w:val="center"/>
              <w:rPr>
                <w:rFonts w:ascii="Times New Roman" w:hAnsi="Times New Roman" w:cs="Times New Roman" w:eastAsia="Times New Roman" w:hint="default"/>
                <w:sz w:val="18"/>
                <w:szCs w:val="18"/>
              </w:rPr>
            </w:pPr>
            <w:r>
              <w:rPr>
                <w:rFonts w:ascii="Times New Roman"/>
                <w:sz w:val="18"/>
              </w:rPr>
              <w:t>279.93</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4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64.75%</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128,904</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,800.00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10,392,</w:t>
            </w:r>
          </w:p>
          <w:p>
            <w:pPr>
              <w:pStyle w:val="TableParagraph"/>
              <w:spacing w:line="240" w:lineRule="auto" w:before="102"/>
              <w:ind w:left="127" w:right="0"/>
              <w:jc w:val="left"/>
              <w:rPr>
                <w:rFonts w:ascii="Times New Roman" w:hAnsi="Times New Roman" w:cs="Times New Roman" w:eastAsia="Times New Roman" w:hint="default"/>
                <w:sz w:val="18"/>
                <w:szCs w:val="18"/>
              </w:rPr>
            </w:pPr>
            <w:r>
              <w:rPr>
                <w:rFonts w:ascii="Times New Roman"/>
                <w:sz w:val="18"/>
              </w:rPr>
              <w:t>088.14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3"/>
              <w:jc w:val="center"/>
              <w:rPr>
                <w:rFonts w:ascii="宋体" w:hAnsi="宋体" w:cs="宋体" w:eastAsia="宋体" w:hint="default"/>
                <w:sz w:val="18"/>
                <w:szCs w:val="18"/>
              </w:rPr>
            </w:pPr>
            <w:r>
              <w:rPr>
                <w:rFonts w:ascii="宋体" w:hAnsi="宋体" w:cs="宋体" w:eastAsia="宋体" w:hint="default"/>
                <w:sz w:val="18"/>
                <w:szCs w:val="18"/>
              </w:rPr>
              <w:t>建设中</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71"/>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6" w:right="23"/>
              <w:jc w:val="left"/>
              <w:rPr>
                <w:rFonts w:ascii="Times New Roman" w:hAnsi="Times New Roman" w:cs="Times New Roman" w:eastAsia="Times New Roman" w:hint="default"/>
                <w:sz w:val="18"/>
                <w:szCs w:val="18"/>
              </w:rPr>
            </w:pPr>
            <w:r>
              <w:rPr>
                <w:rFonts w:ascii="Times New Roman"/>
                <w:spacing w:val="-3"/>
                <w:sz w:val="18"/>
              </w:rPr>
              <w:t>www.cn</w:t>
            </w:r>
            <w:r>
              <w:rPr>
                <w:rFonts w:ascii="Times New Roman"/>
                <w:spacing w:val="-43"/>
                <w:sz w:val="18"/>
              </w:rPr>
              <w:t> </w:t>
            </w:r>
            <w:r>
              <w:rPr>
                <w:rFonts w:ascii="Times New Roman"/>
                <w:spacing w:val="-43"/>
                <w:sz w:val="18"/>
              </w:rPr>
            </w:r>
            <w:r>
              <w:rPr>
                <w:rFonts w:ascii="Times New Roman"/>
                <w:sz w:val="18"/>
              </w:rPr>
              <w:t>info.co</w:t>
            </w:r>
            <w:r>
              <w:rPr>
                <w:rFonts w:ascii="Times New Roman"/>
                <w:sz w:val="18"/>
              </w:rPr>
              <w:t> m.cn</w:t>
            </w:r>
          </w:p>
        </w:tc>
      </w:tr>
      <w:tr>
        <w:trPr>
          <w:trHeight w:val="1028"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48"/>
              <w:jc w:val="left"/>
              <w:rPr>
                <w:rFonts w:ascii="宋体" w:hAnsi="宋体" w:cs="宋体" w:eastAsia="宋体" w:hint="default"/>
                <w:sz w:val="18"/>
                <w:szCs w:val="18"/>
              </w:rPr>
            </w:pPr>
            <w:r>
              <w:rPr>
                <w:rFonts w:ascii="宋体" w:hAnsi="宋体" w:cs="宋体" w:eastAsia="宋体" w:hint="default"/>
                <w:sz w:val="18"/>
                <w:szCs w:val="18"/>
              </w:rPr>
              <w:t>房山绿色云计 算基地一期</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互联网和 相关服务</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118,964,</w:t>
            </w:r>
          </w:p>
          <w:p>
            <w:pPr>
              <w:pStyle w:val="TableParagraph"/>
              <w:spacing w:line="240" w:lineRule="auto" w:before="105"/>
              <w:ind w:left="168" w:right="0"/>
              <w:jc w:val="center"/>
              <w:rPr>
                <w:rFonts w:ascii="Times New Roman" w:hAnsi="Times New Roman" w:cs="Times New Roman" w:eastAsia="Times New Roman" w:hint="default"/>
                <w:sz w:val="18"/>
                <w:szCs w:val="18"/>
              </w:rPr>
            </w:pPr>
            <w:r>
              <w:rPr>
                <w:rFonts w:ascii="Times New Roman"/>
                <w:sz w:val="18"/>
              </w:rPr>
              <w:t>412.15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319,011,</w:t>
            </w:r>
          </w:p>
          <w:p>
            <w:pPr>
              <w:pStyle w:val="TableParagraph"/>
              <w:spacing w:line="240" w:lineRule="auto" w:before="105"/>
              <w:ind w:left="171" w:right="0"/>
              <w:jc w:val="center"/>
              <w:rPr>
                <w:rFonts w:ascii="Times New Roman" w:hAnsi="Times New Roman" w:cs="Times New Roman" w:eastAsia="Times New Roman" w:hint="default"/>
                <w:sz w:val="18"/>
                <w:szCs w:val="18"/>
              </w:rPr>
            </w:pPr>
            <w:r>
              <w:rPr>
                <w:rFonts w:ascii="Times New Roman"/>
                <w:sz w:val="18"/>
              </w:rPr>
              <w:t>699.83</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4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22.77%</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238,348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,800.00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3"/>
              <w:jc w:val="center"/>
              <w:rPr>
                <w:rFonts w:ascii="宋体" w:hAnsi="宋体" w:cs="宋体" w:eastAsia="宋体" w:hint="default"/>
                <w:sz w:val="18"/>
                <w:szCs w:val="18"/>
              </w:rPr>
            </w:pPr>
            <w:r>
              <w:rPr>
                <w:rFonts w:ascii="宋体" w:hAnsi="宋体" w:cs="宋体" w:eastAsia="宋体" w:hint="default"/>
                <w:sz w:val="18"/>
                <w:szCs w:val="18"/>
              </w:rPr>
              <w:t>建设中</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6" w:right="23"/>
              <w:jc w:val="left"/>
              <w:rPr>
                <w:rFonts w:ascii="Times New Roman" w:hAnsi="Times New Roman" w:cs="Times New Roman" w:eastAsia="Times New Roman" w:hint="default"/>
                <w:sz w:val="18"/>
                <w:szCs w:val="18"/>
              </w:rPr>
            </w:pPr>
            <w:r>
              <w:rPr>
                <w:rFonts w:ascii="Times New Roman"/>
                <w:spacing w:val="-3"/>
                <w:sz w:val="18"/>
              </w:rPr>
              <w:t>www.cn</w:t>
            </w:r>
            <w:r>
              <w:rPr>
                <w:rFonts w:ascii="Times New Roman"/>
                <w:spacing w:val="-43"/>
                <w:sz w:val="18"/>
              </w:rPr>
              <w:t> </w:t>
            </w:r>
            <w:r>
              <w:rPr>
                <w:rFonts w:ascii="Times New Roman"/>
                <w:spacing w:val="-43"/>
                <w:sz w:val="18"/>
              </w:rPr>
            </w:r>
            <w:r>
              <w:rPr>
                <w:rFonts w:ascii="Times New Roman"/>
                <w:sz w:val="18"/>
              </w:rPr>
              <w:t>info.co</w:t>
            </w:r>
            <w:r>
              <w:rPr>
                <w:rFonts w:ascii="Times New Roman"/>
                <w:sz w:val="18"/>
              </w:rPr>
              <w:t> m.cn</w:t>
            </w:r>
          </w:p>
        </w:tc>
      </w:tr>
      <w:tr>
        <w:trPr>
          <w:trHeight w:val="1025"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48"/>
              <w:jc w:val="left"/>
              <w:rPr>
                <w:rFonts w:ascii="宋体" w:hAnsi="宋体" w:cs="宋体" w:eastAsia="宋体" w:hint="default"/>
                <w:sz w:val="18"/>
                <w:szCs w:val="18"/>
              </w:rPr>
            </w:pPr>
            <w:r>
              <w:rPr>
                <w:rFonts w:ascii="宋体" w:hAnsi="宋体" w:cs="宋体" w:eastAsia="宋体" w:hint="default"/>
                <w:sz w:val="18"/>
                <w:szCs w:val="18"/>
              </w:rPr>
              <w:t>房山绿色云计 算基地二期</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24"/>
              <w:jc w:val="left"/>
              <w:rPr>
                <w:rFonts w:ascii="宋体" w:hAnsi="宋体" w:cs="宋体" w:eastAsia="宋体" w:hint="default"/>
                <w:sz w:val="18"/>
                <w:szCs w:val="18"/>
              </w:rPr>
            </w:pPr>
            <w:r>
              <w:rPr>
                <w:rFonts w:ascii="宋体" w:hAnsi="宋体" w:cs="宋体" w:eastAsia="宋体" w:hint="default"/>
                <w:sz w:val="18"/>
                <w:szCs w:val="18"/>
              </w:rPr>
              <w:t>互联网和 相关服务</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3,774,99</w:t>
            </w:r>
          </w:p>
          <w:p>
            <w:pPr>
              <w:pStyle w:val="TableParagraph"/>
              <w:spacing w:line="240" w:lineRule="auto" w:before="102"/>
              <w:ind w:left="369" w:right="0"/>
              <w:jc w:val="left"/>
              <w:rPr>
                <w:rFonts w:ascii="Times New Roman" w:hAnsi="Times New Roman" w:cs="Times New Roman" w:eastAsia="Times New Roman" w:hint="default"/>
                <w:sz w:val="18"/>
                <w:szCs w:val="18"/>
              </w:rPr>
            </w:pPr>
            <w:r>
              <w:rPr>
                <w:rFonts w:ascii="Times New Roman"/>
                <w:sz w:val="18"/>
              </w:rPr>
              <w:t>5.04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46,530,2</w:t>
            </w:r>
          </w:p>
          <w:p>
            <w:pPr>
              <w:pStyle w:val="TableParagraph"/>
              <w:spacing w:line="240" w:lineRule="auto" w:before="102"/>
              <w:ind w:left="280" w:right="0"/>
              <w:jc w:val="left"/>
              <w:rPr>
                <w:rFonts w:ascii="Times New Roman" w:hAnsi="Times New Roman" w:cs="Times New Roman" w:eastAsia="Times New Roman" w:hint="default"/>
                <w:sz w:val="18"/>
                <w:szCs w:val="18"/>
              </w:rPr>
            </w:pPr>
            <w:r>
              <w:rPr>
                <w:rFonts w:ascii="Times New Roman"/>
                <w:sz w:val="18"/>
              </w:rPr>
              <w:t>95.04</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21"/>
              <w:jc w:val="right"/>
              <w:rPr>
                <w:rFonts w:ascii="宋体" w:hAnsi="宋体" w:cs="宋体" w:eastAsia="宋体" w:hint="default"/>
                <w:sz w:val="18"/>
                <w:szCs w:val="18"/>
              </w:rPr>
            </w:pPr>
            <w:r>
              <w:rPr>
                <w:rFonts w:ascii="宋体" w:hAnsi="宋体" w:cs="宋体" w:eastAsia="宋体" w:hint="default"/>
                <w:sz w:val="18"/>
                <w:szCs w:val="18"/>
              </w:rPr>
              <w:t>自筹</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5.06%</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162,068</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,300.00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3"/>
              <w:jc w:val="center"/>
              <w:rPr>
                <w:rFonts w:ascii="宋体" w:hAnsi="宋体" w:cs="宋体" w:eastAsia="宋体" w:hint="default"/>
                <w:sz w:val="18"/>
                <w:szCs w:val="18"/>
              </w:rPr>
            </w:pPr>
            <w:r>
              <w:rPr>
                <w:rFonts w:ascii="宋体" w:hAnsi="宋体" w:cs="宋体" w:eastAsia="宋体" w:hint="default"/>
                <w:sz w:val="18"/>
                <w:szCs w:val="18"/>
              </w:rPr>
              <w:t>建设中</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6" w:right="23"/>
              <w:jc w:val="left"/>
              <w:rPr>
                <w:rFonts w:ascii="Times New Roman" w:hAnsi="Times New Roman" w:cs="Times New Roman" w:eastAsia="Times New Roman" w:hint="default"/>
                <w:sz w:val="18"/>
                <w:szCs w:val="18"/>
              </w:rPr>
            </w:pPr>
            <w:r>
              <w:rPr>
                <w:rFonts w:ascii="Times New Roman"/>
                <w:spacing w:val="-3"/>
                <w:sz w:val="18"/>
              </w:rPr>
              <w:t>www.cn</w:t>
            </w:r>
            <w:r>
              <w:rPr>
                <w:rFonts w:ascii="Times New Roman"/>
                <w:spacing w:val="-43"/>
                <w:sz w:val="18"/>
              </w:rPr>
              <w:t> </w:t>
            </w:r>
            <w:r>
              <w:rPr>
                <w:rFonts w:ascii="Times New Roman"/>
                <w:spacing w:val="-43"/>
                <w:sz w:val="18"/>
              </w:rPr>
            </w:r>
            <w:r>
              <w:rPr>
                <w:rFonts w:ascii="Times New Roman"/>
                <w:sz w:val="18"/>
              </w:rPr>
              <w:t>info.co</w:t>
            </w:r>
            <w:r>
              <w:rPr>
                <w:rFonts w:ascii="Times New Roman"/>
                <w:sz w:val="18"/>
              </w:rPr>
              <w:t> m.cn</w:t>
            </w:r>
          </w:p>
        </w:tc>
      </w:tr>
      <w:tr>
        <w:trPr>
          <w:trHeight w:val="1027"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48"/>
              <w:jc w:val="left"/>
              <w:rPr>
                <w:rFonts w:ascii="宋体" w:hAnsi="宋体" w:cs="宋体" w:eastAsia="宋体" w:hint="default"/>
                <w:sz w:val="18"/>
                <w:szCs w:val="18"/>
              </w:rPr>
            </w:pPr>
            <w:r>
              <w:rPr>
                <w:rFonts w:ascii="宋体" w:hAnsi="宋体" w:cs="宋体" w:eastAsia="宋体" w:hint="default"/>
                <w:sz w:val="18"/>
                <w:szCs w:val="18"/>
              </w:rPr>
              <w:t>亦庄绿色云计 算基地</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互联网和 相关服务</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216,949,</w:t>
            </w:r>
          </w:p>
          <w:p>
            <w:pPr>
              <w:pStyle w:val="TableParagraph"/>
              <w:spacing w:line="240" w:lineRule="auto" w:before="105"/>
              <w:ind w:left="168" w:right="0"/>
              <w:jc w:val="center"/>
              <w:rPr>
                <w:rFonts w:ascii="Times New Roman" w:hAnsi="Times New Roman" w:cs="Times New Roman" w:eastAsia="Times New Roman" w:hint="default"/>
                <w:sz w:val="18"/>
                <w:szCs w:val="18"/>
              </w:rPr>
            </w:pPr>
            <w:r>
              <w:rPr>
                <w:rFonts w:ascii="Times New Roman"/>
                <w:sz w:val="18"/>
              </w:rPr>
              <w:t>560.70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670,215,</w:t>
            </w:r>
          </w:p>
          <w:p>
            <w:pPr>
              <w:pStyle w:val="TableParagraph"/>
              <w:spacing w:line="240" w:lineRule="auto" w:before="105"/>
              <w:ind w:left="171" w:right="0"/>
              <w:jc w:val="center"/>
              <w:rPr>
                <w:rFonts w:ascii="Times New Roman" w:hAnsi="Times New Roman" w:cs="Times New Roman" w:eastAsia="Times New Roman" w:hint="default"/>
                <w:sz w:val="18"/>
                <w:szCs w:val="18"/>
              </w:rPr>
            </w:pPr>
            <w:r>
              <w:rPr>
                <w:rFonts w:ascii="Times New Roman"/>
                <w:sz w:val="18"/>
              </w:rPr>
              <w:t>061.99</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21"/>
              <w:jc w:val="right"/>
              <w:rPr>
                <w:rFonts w:ascii="宋体" w:hAnsi="宋体" w:cs="宋体" w:eastAsia="宋体" w:hint="default"/>
                <w:sz w:val="18"/>
                <w:szCs w:val="18"/>
              </w:rPr>
            </w:pPr>
            <w:r>
              <w:rPr>
                <w:rFonts w:ascii="宋体" w:hAnsi="宋体" w:cs="宋体" w:eastAsia="宋体" w:hint="default"/>
                <w:sz w:val="18"/>
                <w:szCs w:val="18"/>
              </w:rPr>
              <w:t>自筹</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57.26%</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305,732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,300.00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74,065,</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468.71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3"/>
              <w:jc w:val="center"/>
              <w:rPr>
                <w:rFonts w:ascii="宋体" w:hAnsi="宋体" w:cs="宋体" w:eastAsia="宋体" w:hint="default"/>
                <w:sz w:val="18"/>
                <w:szCs w:val="18"/>
              </w:rPr>
            </w:pPr>
            <w:r>
              <w:rPr>
                <w:rFonts w:ascii="宋体" w:hAnsi="宋体" w:cs="宋体" w:eastAsia="宋体" w:hint="default"/>
                <w:sz w:val="18"/>
                <w:szCs w:val="18"/>
              </w:rPr>
              <w:t>建设中</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6" w:right="23"/>
              <w:jc w:val="left"/>
              <w:rPr>
                <w:rFonts w:ascii="Times New Roman" w:hAnsi="Times New Roman" w:cs="Times New Roman" w:eastAsia="Times New Roman" w:hint="default"/>
                <w:sz w:val="18"/>
                <w:szCs w:val="18"/>
              </w:rPr>
            </w:pPr>
            <w:r>
              <w:rPr>
                <w:rFonts w:ascii="Times New Roman"/>
                <w:spacing w:val="-3"/>
                <w:sz w:val="18"/>
              </w:rPr>
              <w:t>www.cn</w:t>
            </w:r>
            <w:r>
              <w:rPr>
                <w:rFonts w:ascii="Times New Roman"/>
                <w:spacing w:val="-43"/>
                <w:sz w:val="18"/>
              </w:rPr>
              <w:t> </w:t>
            </w:r>
            <w:r>
              <w:rPr>
                <w:rFonts w:ascii="Times New Roman"/>
                <w:spacing w:val="-43"/>
                <w:sz w:val="18"/>
              </w:rPr>
            </w:r>
            <w:r>
              <w:rPr>
                <w:rFonts w:ascii="Times New Roman"/>
                <w:sz w:val="18"/>
              </w:rPr>
              <w:t>info.co</w:t>
            </w:r>
            <w:r>
              <w:rPr>
                <w:rFonts w:ascii="Times New Roman"/>
                <w:sz w:val="18"/>
              </w:rPr>
              <w:t> m.cn</w:t>
            </w:r>
          </w:p>
        </w:tc>
      </w:tr>
      <w:tr>
        <w:trPr>
          <w:trHeight w:val="1025"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48"/>
              <w:jc w:val="left"/>
              <w:rPr>
                <w:rFonts w:ascii="宋体" w:hAnsi="宋体" w:cs="宋体" w:eastAsia="宋体" w:hint="default"/>
                <w:sz w:val="18"/>
                <w:szCs w:val="18"/>
              </w:rPr>
            </w:pPr>
            <w:r>
              <w:rPr>
                <w:rFonts w:ascii="宋体" w:hAnsi="宋体" w:cs="宋体" w:eastAsia="宋体" w:hint="default"/>
                <w:sz w:val="18"/>
                <w:szCs w:val="18"/>
              </w:rPr>
              <w:t>燕郊绿色云计 算基地二期</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24"/>
              <w:jc w:val="left"/>
              <w:rPr>
                <w:rFonts w:ascii="宋体" w:hAnsi="宋体" w:cs="宋体" w:eastAsia="宋体" w:hint="default"/>
                <w:sz w:val="18"/>
                <w:szCs w:val="18"/>
              </w:rPr>
            </w:pPr>
            <w:r>
              <w:rPr>
                <w:rFonts w:ascii="宋体" w:hAnsi="宋体" w:cs="宋体" w:eastAsia="宋体" w:hint="default"/>
                <w:sz w:val="18"/>
                <w:szCs w:val="18"/>
              </w:rPr>
              <w:t>互联网和 相关服务</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176,532,</w:t>
            </w:r>
          </w:p>
          <w:p>
            <w:pPr>
              <w:pStyle w:val="TableParagraph"/>
              <w:spacing w:line="240" w:lineRule="auto" w:before="102"/>
              <w:ind w:left="168" w:right="0"/>
              <w:jc w:val="center"/>
              <w:rPr>
                <w:rFonts w:ascii="Times New Roman" w:hAnsi="Times New Roman" w:cs="Times New Roman" w:eastAsia="Times New Roman" w:hint="default"/>
                <w:sz w:val="18"/>
                <w:szCs w:val="18"/>
              </w:rPr>
            </w:pPr>
            <w:r>
              <w:rPr>
                <w:rFonts w:ascii="Times New Roman"/>
                <w:sz w:val="18"/>
              </w:rPr>
              <w:t>856.21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197,287,</w:t>
            </w:r>
          </w:p>
          <w:p>
            <w:pPr>
              <w:pStyle w:val="TableParagraph"/>
              <w:spacing w:line="240" w:lineRule="auto" w:before="102"/>
              <w:ind w:left="171" w:right="0"/>
              <w:jc w:val="center"/>
              <w:rPr>
                <w:rFonts w:ascii="Times New Roman" w:hAnsi="Times New Roman" w:cs="Times New Roman" w:eastAsia="Times New Roman" w:hint="default"/>
                <w:sz w:val="18"/>
                <w:szCs w:val="18"/>
              </w:rPr>
            </w:pPr>
            <w:r>
              <w:rPr>
                <w:rFonts w:ascii="Times New Roman"/>
                <w:sz w:val="18"/>
              </w:rPr>
              <w:t>364.66</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4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86.36%</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43,307,</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400.00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7,553,1</w:t>
            </w:r>
          </w:p>
          <w:p>
            <w:pPr>
              <w:pStyle w:val="TableParagraph"/>
              <w:spacing w:line="240" w:lineRule="auto" w:before="102"/>
              <w:ind w:left="195" w:right="0"/>
              <w:jc w:val="center"/>
              <w:rPr>
                <w:rFonts w:ascii="Times New Roman" w:hAnsi="Times New Roman" w:cs="Times New Roman" w:eastAsia="Times New Roman" w:hint="default"/>
                <w:sz w:val="18"/>
                <w:szCs w:val="18"/>
              </w:rPr>
            </w:pPr>
            <w:r>
              <w:rPr>
                <w:rFonts w:ascii="Times New Roman"/>
                <w:sz w:val="18"/>
              </w:rPr>
              <w:t>71.86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3"/>
              <w:jc w:val="center"/>
              <w:rPr>
                <w:rFonts w:ascii="宋体" w:hAnsi="宋体" w:cs="宋体" w:eastAsia="宋体" w:hint="default"/>
                <w:sz w:val="18"/>
                <w:szCs w:val="18"/>
              </w:rPr>
            </w:pPr>
            <w:r>
              <w:rPr>
                <w:rFonts w:ascii="宋体" w:hAnsi="宋体" w:cs="宋体" w:eastAsia="宋体" w:hint="default"/>
                <w:sz w:val="18"/>
                <w:szCs w:val="18"/>
              </w:rPr>
              <w:t>建设中</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6" w:right="23"/>
              <w:jc w:val="left"/>
              <w:rPr>
                <w:rFonts w:ascii="Times New Roman" w:hAnsi="Times New Roman" w:cs="Times New Roman" w:eastAsia="Times New Roman" w:hint="default"/>
                <w:sz w:val="18"/>
                <w:szCs w:val="18"/>
              </w:rPr>
            </w:pPr>
            <w:r>
              <w:rPr>
                <w:rFonts w:ascii="Times New Roman"/>
                <w:spacing w:val="-3"/>
                <w:sz w:val="18"/>
              </w:rPr>
              <w:t>www.cn</w:t>
            </w:r>
            <w:r>
              <w:rPr>
                <w:rFonts w:ascii="Times New Roman"/>
                <w:spacing w:val="-43"/>
                <w:sz w:val="18"/>
              </w:rPr>
              <w:t> </w:t>
            </w:r>
            <w:r>
              <w:rPr>
                <w:rFonts w:ascii="Times New Roman"/>
                <w:spacing w:val="-43"/>
                <w:sz w:val="18"/>
              </w:rPr>
            </w:r>
            <w:r>
              <w:rPr>
                <w:rFonts w:ascii="Times New Roman"/>
                <w:sz w:val="18"/>
              </w:rPr>
              <w:t>info.co</w:t>
            </w:r>
            <w:r>
              <w:rPr>
                <w:rFonts w:ascii="Times New Roman"/>
                <w:sz w:val="18"/>
              </w:rPr>
              <w:t> m.cn</w:t>
            </w:r>
          </w:p>
        </w:tc>
      </w:tr>
      <w:tr>
        <w:trPr>
          <w:trHeight w:val="1027"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48"/>
              <w:jc w:val="left"/>
              <w:rPr>
                <w:rFonts w:ascii="宋体" w:hAnsi="宋体" w:cs="宋体" w:eastAsia="宋体" w:hint="default"/>
                <w:sz w:val="18"/>
                <w:szCs w:val="18"/>
              </w:rPr>
            </w:pPr>
            <w:r>
              <w:rPr>
                <w:rFonts w:ascii="宋体" w:hAnsi="宋体" w:cs="宋体" w:eastAsia="宋体" w:hint="default"/>
                <w:sz w:val="18"/>
                <w:szCs w:val="18"/>
              </w:rPr>
              <w:t>酒仙桥机房三 期</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互联网和 相关服务</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35,125,7</w:t>
            </w:r>
          </w:p>
          <w:p>
            <w:pPr>
              <w:pStyle w:val="TableParagraph"/>
              <w:spacing w:line="240" w:lineRule="auto" w:before="105"/>
              <w:ind w:left="278" w:right="0"/>
              <w:jc w:val="left"/>
              <w:rPr>
                <w:rFonts w:ascii="Times New Roman" w:hAnsi="Times New Roman" w:cs="Times New Roman" w:eastAsia="Times New Roman" w:hint="default"/>
                <w:sz w:val="18"/>
                <w:szCs w:val="18"/>
              </w:rPr>
            </w:pPr>
            <w:r>
              <w:rPr>
                <w:rFonts w:ascii="Times New Roman"/>
                <w:sz w:val="18"/>
              </w:rPr>
              <w:t>96.89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60,418,4</w:t>
            </w:r>
          </w:p>
          <w:p>
            <w:pPr>
              <w:pStyle w:val="TableParagraph"/>
              <w:spacing w:line="240" w:lineRule="auto" w:before="105"/>
              <w:ind w:left="280" w:right="0"/>
              <w:jc w:val="left"/>
              <w:rPr>
                <w:rFonts w:ascii="Times New Roman" w:hAnsi="Times New Roman" w:cs="Times New Roman" w:eastAsia="Times New Roman" w:hint="default"/>
                <w:sz w:val="18"/>
                <w:szCs w:val="18"/>
              </w:rPr>
            </w:pPr>
            <w:r>
              <w:rPr>
                <w:rFonts w:ascii="Times New Roman"/>
                <w:sz w:val="18"/>
              </w:rPr>
              <w:t>18.10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21"/>
              <w:jc w:val="right"/>
              <w:rPr>
                <w:rFonts w:ascii="宋体" w:hAnsi="宋体" w:cs="宋体" w:eastAsia="宋体" w:hint="default"/>
                <w:sz w:val="18"/>
                <w:szCs w:val="18"/>
              </w:rPr>
            </w:pPr>
            <w:r>
              <w:rPr>
                <w:rFonts w:ascii="宋体" w:hAnsi="宋体" w:cs="宋体" w:eastAsia="宋体" w:hint="default"/>
                <w:sz w:val="18"/>
                <w:szCs w:val="18"/>
              </w:rPr>
              <w:t>自筹</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40.54%</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35,330,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300.00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3"/>
              <w:jc w:val="center"/>
              <w:rPr>
                <w:rFonts w:ascii="宋体" w:hAnsi="宋体" w:cs="宋体" w:eastAsia="宋体" w:hint="default"/>
                <w:sz w:val="18"/>
                <w:szCs w:val="18"/>
              </w:rPr>
            </w:pPr>
            <w:r>
              <w:rPr>
                <w:rFonts w:ascii="宋体" w:hAnsi="宋体" w:cs="宋体" w:eastAsia="宋体" w:hint="default"/>
                <w:sz w:val="18"/>
                <w:szCs w:val="18"/>
              </w:rPr>
              <w:t>建设中</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6" w:right="23"/>
              <w:jc w:val="left"/>
              <w:rPr>
                <w:rFonts w:ascii="Times New Roman" w:hAnsi="Times New Roman" w:cs="Times New Roman" w:eastAsia="Times New Roman" w:hint="default"/>
                <w:sz w:val="18"/>
                <w:szCs w:val="18"/>
              </w:rPr>
            </w:pPr>
            <w:r>
              <w:rPr>
                <w:rFonts w:ascii="Times New Roman"/>
                <w:spacing w:val="-3"/>
                <w:sz w:val="18"/>
              </w:rPr>
              <w:t>www.cn</w:t>
            </w:r>
            <w:r>
              <w:rPr>
                <w:rFonts w:ascii="Times New Roman"/>
                <w:spacing w:val="-43"/>
                <w:sz w:val="18"/>
              </w:rPr>
              <w:t> </w:t>
            </w:r>
            <w:r>
              <w:rPr>
                <w:rFonts w:ascii="Times New Roman"/>
                <w:spacing w:val="-43"/>
                <w:sz w:val="18"/>
              </w:rPr>
            </w:r>
            <w:r>
              <w:rPr>
                <w:rFonts w:ascii="Times New Roman"/>
                <w:sz w:val="18"/>
              </w:rPr>
              <w:t>info.co</w:t>
            </w:r>
            <w:r>
              <w:rPr>
                <w:rFonts w:ascii="Times New Roman"/>
                <w:sz w:val="18"/>
              </w:rPr>
              <w:t> m.cn</w:t>
            </w:r>
          </w:p>
        </w:tc>
      </w:tr>
      <w:tr>
        <w:trPr>
          <w:trHeight w:val="713" w:hRule="exact"/>
        </w:trPr>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718,308,</w:t>
            </w:r>
          </w:p>
          <w:p>
            <w:pPr>
              <w:pStyle w:val="TableParagraph"/>
              <w:spacing w:line="240" w:lineRule="auto" w:before="102"/>
              <w:ind w:left="168" w:right="0"/>
              <w:jc w:val="center"/>
              <w:rPr>
                <w:rFonts w:ascii="Times New Roman" w:hAnsi="Times New Roman" w:cs="Times New Roman" w:eastAsia="Times New Roman" w:hint="default"/>
                <w:sz w:val="18"/>
                <w:szCs w:val="18"/>
              </w:rPr>
            </w:pPr>
            <w:r>
              <w:rPr>
                <w:rFonts w:ascii="Times New Roman"/>
                <w:sz w:val="18"/>
              </w:rPr>
              <w:t>689.16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1,731,96</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9,119.55</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0"/>
              <w:jc w:val="right"/>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913,691</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,900.00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92,010,</w:t>
            </w:r>
          </w:p>
          <w:p>
            <w:pPr>
              <w:pStyle w:val="TableParagraph"/>
              <w:spacing w:line="240" w:lineRule="auto" w:before="102"/>
              <w:ind w:left="127" w:right="0"/>
              <w:jc w:val="left"/>
              <w:rPr>
                <w:rFonts w:ascii="Times New Roman" w:hAnsi="Times New Roman" w:cs="Times New Roman" w:eastAsia="Times New Roman" w:hint="default"/>
                <w:sz w:val="18"/>
                <w:szCs w:val="18"/>
              </w:rPr>
            </w:pPr>
            <w:r>
              <w:rPr>
                <w:rFonts w:ascii="Times New Roman"/>
                <w:sz w:val="18"/>
              </w:rPr>
              <w:t>728.71</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2839"/>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2839"/>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pict>
          <v:group style="position:absolute;margin-left:56.400002pt;margin-top:22.021681pt;width:478.8pt;height:560.65pt;mso-position-horizontal-relative:page;mso-position-vertical-relative:paragraph;z-index:-1815808" coordorigin="1128,440" coordsize="9576,11213">
            <v:group style="position:absolute;left:1140;top:457;width:855;height:468" coordorigin="1140,457" coordsize="855,468">
              <v:shape style="position:absolute;left:1140;top:457;width:855;height:468" coordorigin="1140,457" coordsize="855,468" path="m1140,925l1995,925,1995,457,1140,457,1140,925xe" filled="true" fillcolor="#d2d2d2" stroked="false">
                <v:path arrowok="t"/>
                <v:fill type="solid"/>
              </v:shape>
            </v:group>
            <v:group style="position:absolute;left:1151;top:925;width:2;height:392" coordorigin="1151,925" coordsize="2,392">
              <v:shape style="position:absolute;left:1151;top:925;width:2;height:392" coordorigin="1151,925" coordsize="0,392" path="m1151,925l1151,1316e" filled="false" stroked="true" strokeweight="1.08pt" strokecolor="#d2d2d2">
                <v:path arrowok="t"/>
              </v:shape>
            </v:group>
            <v:group style="position:absolute;left:1983;top:925;width:2;height:392" coordorigin="1983,925" coordsize="2,392">
              <v:shape style="position:absolute;left:1983;top:925;width:2;height:392" coordorigin="1983,925" coordsize="0,392" path="m1983,925l1983,1316e" filled="false" stroked="true" strokeweight="1.2pt" strokecolor="#d2d2d2">
                <v:path arrowok="t"/>
              </v:shape>
            </v:group>
            <v:group style="position:absolute;left:1140;top:1317;width:855;height:469" coordorigin="1140,1317" coordsize="855,469">
              <v:shape style="position:absolute;left:1140;top:1317;width:855;height:469" coordorigin="1140,1317" coordsize="855,469" path="m1140,1785l1995,1785,1995,1317,1140,1317,1140,1785xe" filled="true" fillcolor="#d2d2d2" stroked="false">
                <v:path arrowok="t"/>
                <v:fill type="solid"/>
              </v:shape>
            </v:group>
            <v:group style="position:absolute;left:1162;top:925;width:810;height:392" coordorigin="1162,925" coordsize="810,392">
              <v:shape style="position:absolute;left:1162;top:925;width:810;height:392" coordorigin="1162,925" coordsize="810,392" path="m1162,1316l1971,1316,1971,925,1162,925,1162,1316xe" filled="true" fillcolor="#d2d2d2" stroked="false">
                <v:path arrowok="t"/>
                <v:fill type="solid"/>
              </v:shape>
            </v:group>
            <v:group style="position:absolute;left:2004;top:457;width:860;height:468" coordorigin="2004,457" coordsize="860,468">
              <v:shape style="position:absolute;left:2004;top:457;width:860;height:468" coordorigin="2004,457" coordsize="860,468" path="m2004,925l2864,925,2864,457,2004,457,2004,925xe" filled="true" fillcolor="#d2d2d2" stroked="false">
                <v:path arrowok="t"/>
                <v:fill type="solid"/>
              </v:shape>
            </v:group>
            <v:group style="position:absolute;left:2016;top:925;width:2;height:392" coordorigin="2016,925" coordsize="2,392">
              <v:shape style="position:absolute;left:2016;top:925;width:2;height:392" coordorigin="2016,925" coordsize="0,392" path="m2016,925l2016,1316e" filled="false" stroked="true" strokeweight="1.2pt" strokecolor="#d2d2d2">
                <v:path arrowok="t"/>
              </v:shape>
            </v:group>
            <v:group style="position:absolute;left:2853;top:925;width:2;height:392" coordorigin="2853,925" coordsize="2,392">
              <v:shape style="position:absolute;left:2853;top:925;width:2;height:392" coordorigin="2853,925" coordsize="0,392" path="m2853,925l2853,1316e" filled="false" stroked="true" strokeweight="1.08pt" strokecolor="#d2d2d2">
                <v:path arrowok="t"/>
              </v:shape>
            </v:group>
            <v:group style="position:absolute;left:2004;top:1317;width:860;height:469" coordorigin="2004,1317" coordsize="860,469">
              <v:shape style="position:absolute;left:2004;top:1317;width:860;height:469" coordorigin="2004,1317" coordsize="860,469" path="m2004,1785l2864,1785,2864,1317,2004,1317,2004,1785xe" filled="true" fillcolor="#d2d2d2" stroked="false">
                <v:path arrowok="t"/>
                <v:fill type="solid"/>
              </v:shape>
            </v:group>
            <v:group style="position:absolute;left:2028;top:925;width:814;height:392" coordorigin="2028,925" coordsize="814,392">
              <v:shape style="position:absolute;left:2028;top:925;width:814;height:392" coordorigin="2028,925" coordsize="814,392" path="m2028,1316l2842,1316,2842,925,2028,925,2028,1316xe" filled="true" fillcolor="#d2d2d2" stroked="false">
                <v:path arrowok="t"/>
                <v:fill type="solid"/>
              </v:shape>
            </v:group>
            <v:group style="position:absolute;left:2873;top:457;width:862;height:312" coordorigin="2873,457" coordsize="862,312">
              <v:shape style="position:absolute;left:2873;top:457;width:862;height:312" coordorigin="2873,457" coordsize="862,312" path="m2873,769l3735,769,3735,457,2873,457,2873,769xe" filled="true" fillcolor="#d2d2d2" stroked="false">
                <v:path arrowok="t"/>
                <v:fill type="solid"/>
              </v:shape>
            </v:group>
            <v:group style="position:absolute;left:2885;top:769;width:2;height:704" coordorigin="2885,769" coordsize="2,704">
              <v:shape style="position:absolute;left:2885;top:769;width:2;height:704" coordorigin="2885,769" coordsize="0,704" path="m2885,769l2885,1473e" filled="false" stroked="true" strokeweight="1.2pt" strokecolor="#d2d2d2">
                <v:path arrowok="t"/>
              </v:shape>
            </v:group>
            <v:group style="position:absolute;left:3723;top:769;width:2;height:704" coordorigin="3723,769" coordsize="2,704">
              <v:shape style="position:absolute;left:3723;top:769;width:2;height:704" coordorigin="3723,769" coordsize="0,704" path="m3723,769l3723,1473e" filled="false" stroked="true" strokeweight="1.2pt" strokecolor="#d2d2d2">
                <v:path arrowok="t"/>
              </v:shape>
            </v:group>
            <v:group style="position:absolute;left:2873;top:1473;width:862;height:312" coordorigin="2873,1473" coordsize="862,312">
              <v:shape style="position:absolute;left:2873;top:1473;width:862;height:312" coordorigin="2873,1473" coordsize="862,312" path="m2873,1785l3735,1785,3735,1473,2873,1473,2873,1785xe" filled="true" fillcolor="#d2d2d2" stroked="false">
                <v:path arrowok="t"/>
                <v:fill type="solid"/>
              </v:shape>
            </v:group>
            <v:group style="position:absolute;left:2897;top:769;width:814;height:351" coordorigin="2897,769" coordsize="814,351">
              <v:shape style="position:absolute;left:2897;top:769;width:814;height:351" coordorigin="2897,769" coordsize="814,351" path="m2897,1120l3711,1120,3711,769,2897,769,2897,1120xe" filled="true" fillcolor="#d2d2d2" stroked="false">
                <v:path arrowok="t"/>
                <v:fill type="solid"/>
              </v:shape>
            </v:group>
            <v:group style="position:absolute;left:2897;top:1120;width:814;height:354" coordorigin="2897,1120" coordsize="814,354">
              <v:shape style="position:absolute;left:2897;top:1120;width:814;height:354" coordorigin="2897,1120" coordsize="814,354" path="m2897,1473l3711,1473,3711,1120,2897,1120,2897,1473xe" filled="true" fillcolor="#d2d2d2" stroked="false">
                <v:path arrowok="t"/>
                <v:fill type="solid"/>
              </v:shape>
            </v:group>
            <v:group style="position:absolute;left:3744;top:457;width:860;height:156" coordorigin="3744,457" coordsize="860,156">
              <v:shape style="position:absolute;left:3744;top:457;width:860;height:156" coordorigin="3744,457" coordsize="860,156" path="m3744,613l4604,613,4604,457,3744,457,3744,613xe" filled="true" fillcolor="#d2d2d2" stroked="false">
                <v:path arrowok="t"/>
                <v:fill type="solid"/>
              </v:shape>
            </v:group>
            <v:group style="position:absolute;left:3756;top:613;width:2;height:1016" coordorigin="3756,613" coordsize="2,1016">
              <v:shape style="position:absolute;left:3756;top:613;width:2;height:1016" coordorigin="3756,613" coordsize="0,1016" path="m3756,613l3756,1629e" filled="false" stroked="true" strokeweight="1.2pt" strokecolor="#d2d2d2">
                <v:path arrowok="t"/>
              </v:shape>
            </v:group>
            <v:group style="position:absolute;left:4593;top:613;width:2;height:1016" coordorigin="4593,613" coordsize="2,1016">
              <v:shape style="position:absolute;left:4593;top:613;width:2;height:1016" coordorigin="4593,613" coordsize="0,1016" path="m4593,613l4593,1629e" filled="false" stroked="true" strokeweight="1.08pt" strokecolor="#d2d2d2">
                <v:path arrowok="t"/>
              </v:shape>
            </v:group>
            <v:group style="position:absolute;left:3744;top:1629;width:860;height:156" coordorigin="3744,1629" coordsize="860,156">
              <v:shape style="position:absolute;left:3744;top:1629;width:860;height:156" coordorigin="3744,1629" coordsize="860,156" path="m3744,1785l4604,1785,4604,1629,3744,1629,3744,1785xe" filled="true" fillcolor="#d2d2d2" stroked="false">
                <v:path arrowok="t"/>
                <v:fill type="solid"/>
              </v:shape>
            </v:group>
            <v:group style="position:absolute;left:3768;top:613;width:815;height:351" coordorigin="3768,613" coordsize="815,351">
              <v:shape style="position:absolute;left:3768;top:613;width:815;height:351" coordorigin="3768,613" coordsize="815,351" path="m3768,964l4582,964,4582,613,3768,613,3768,964xe" filled="true" fillcolor="#d2d2d2" stroked="false">
                <v:path arrowok="t"/>
                <v:fill type="solid"/>
              </v:shape>
            </v:group>
            <v:group style="position:absolute;left:3768;top:964;width:815;height:312" coordorigin="3768,964" coordsize="815,312">
              <v:shape style="position:absolute;left:3768;top:964;width:815;height:312" coordorigin="3768,964" coordsize="815,312" path="m3768,1276l4582,1276,4582,964,3768,964,3768,1276xe" filled="true" fillcolor="#d2d2d2" stroked="false">
                <v:path arrowok="t"/>
                <v:fill type="solid"/>
              </v:shape>
            </v:group>
            <v:group style="position:absolute;left:3768;top:1276;width:815;height:354" coordorigin="3768,1276" coordsize="815,354">
              <v:shape style="position:absolute;left:3768;top:1276;width:815;height:354" coordorigin="3768,1276" coordsize="815,354" path="m3768,1629l4582,1629,4582,1276,3768,1276,3768,1629xe" filled="true" fillcolor="#d2d2d2" stroked="false">
                <v:path arrowok="t"/>
                <v:fill type="solid"/>
              </v:shape>
            </v:group>
            <v:group style="position:absolute;left:4614;top:457;width:862;height:156" coordorigin="4614,457" coordsize="862,156">
              <v:shape style="position:absolute;left:4614;top:457;width:862;height:156" coordorigin="4614,457" coordsize="862,156" path="m4614,613l5475,613,5475,457,4614,457,4614,613xe" filled="true" fillcolor="#d2d2d2" stroked="false">
                <v:path arrowok="t"/>
                <v:fill type="solid"/>
              </v:shape>
            </v:group>
            <v:group style="position:absolute;left:4626;top:613;width:2;height:1016" coordorigin="4626,613" coordsize="2,1016">
              <v:shape style="position:absolute;left:4626;top:613;width:2;height:1016" coordorigin="4626,613" coordsize="0,1016" path="m4626,613l4626,1629e" filled="false" stroked="true" strokeweight="1.2pt" strokecolor="#d2d2d2">
                <v:path arrowok="t"/>
              </v:shape>
            </v:group>
            <v:group style="position:absolute;left:5463;top:613;width:2;height:1016" coordorigin="5463,613" coordsize="2,1016">
              <v:shape style="position:absolute;left:5463;top:613;width:2;height:1016" coordorigin="5463,613" coordsize="0,1016" path="m5463,613l5463,1629e" filled="false" stroked="true" strokeweight="1.2pt" strokecolor="#d2d2d2">
                <v:path arrowok="t"/>
              </v:shape>
            </v:group>
            <v:group style="position:absolute;left:4614;top:1629;width:862;height:156" coordorigin="4614,1629" coordsize="862,156">
              <v:shape style="position:absolute;left:4614;top:1629;width:862;height:156" coordorigin="4614,1629" coordsize="862,156" path="m4614,1785l5475,1785,5475,1629,4614,1629,4614,1785xe" filled="true" fillcolor="#d2d2d2" stroked="false">
                <v:path arrowok="t"/>
                <v:fill type="solid"/>
              </v:shape>
            </v:group>
            <v:group style="position:absolute;left:4638;top:613;width:814;height:351" coordorigin="4638,613" coordsize="814,351">
              <v:shape style="position:absolute;left:4638;top:613;width:814;height:351" coordorigin="4638,613" coordsize="814,351" path="m4638,964l5451,964,5451,613,4638,613,4638,964xe" filled="true" fillcolor="#d2d2d2" stroked="false">
                <v:path arrowok="t"/>
                <v:fill type="solid"/>
              </v:shape>
            </v:group>
            <v:group style="position:absolute;left:4638;top:964;width:814;height:312" coordorigin="4638,964" coordsize="814,312">
              <v:shape style="position:absolute;left:4638;top:964;width:814;height:312" coordorigin="4638,964" coordsize="814,312" path="m4638,1276l5451,1276,5451,964,4638,964,4638,1276xe" filled="true" fillcolor="#d2d2d2" stroked="false">
                <v:path arrowok="t"/>
                <v:fill type="solid"/>
              </v:shape>
            </v:group>
            <v:group style="position:absolute;left:4638;top:1276;width:814;height:354" coordorigin="4638,1276" coordsize="814,354">
              <v:shape style="position:absolute;left:4638;top:1276;width:814;height:354" coordorigin="4638,1276" coordsize="814,354" path="m4638,1629l5451,1629,5451,1276,4638,1276,4638,1629xe" filled="true" fillcolor="#d2d2d2" stroked="false">
                <v:path arrowok="t"/>
                <v:fill type="solid"/>
              </v:shape>
            </v:group>
            <v:group style="position:absolute;left:5497;top:457;width:2;height:1328" coordorigin="5497,457" coordsize="2,1328">
              <v:shape style="position:absolute;left:5497;top:457;width:2;height:1328" coordorigin="5497,457" coordsize="0,1328" path="m5497,457l5497,1785e" filled="false" stroked="true" strokeweight="1.2pt" strokecolor="#d2d2d2">
                <v:path arrowok="t"/>
              </v:shape>
            </v:group>
            <v:group style="position:absolute;left:6332;top:457;width:2;height:1328" coordorigin="6332,457" coordsize="2,1328">
              <v:shape style="position:absolute;left:6332;top:457;width:2;height:1328" coordorigin="6332,457" coordsize="0,1328" path="m6332,457l6332,1785e" filled="false" stroked="true" strokeweight="1.224pt" strokecolor="#d2d2d2">
                <v:path arrowok="t"/>
              </v:shape>
            </v:group>
            <v:group style="position:absolute;left:5509;top:457;width:812;height:351" coordorigin="5509,457" coordsize="812,351">
              <v:shape style="position:absolute;left:5509;top:457;width:812;height:351" coordorigin="5509,457" coordsize="812,351" path="m5509,808l6320,808,6320,457,5509,457,5509,808xe" filled="true" fillcolor="#d2d2d2" stroked="false">
                <v:path arrowok="t"/>
                <v:fill type="solid"/>
              </v:shape>
            </v:group>
            <v:group style="position:absolute;left:5509;top:808;width:812;height:312" coordorigin="5509,808" coordsize="812,312">
              <v:shape style="position:absolute;left:5509;top:808;width:812;height:312" coordorigin="5509,808" coordsize="812,312" path="m5509,1120l6320,1120,6320,808,5509,808,5509,1120xe" filled="true" fillcolor="#d2d2d2" stroked="false">
                <v:path arrowok="t"/>
                <v:fill type="solid"/>
              </v:shape>
            </v:group>
            <v:group style="position:absolute;left:5509;top:1120;width:812;height:313" coordorigin="5509,1120" coordsize="812,313">
              <v:shape style="position:absolute;left:5509;top:1120;width:812;height:313" coordorigin="5509,1120" coordsize="812,313" path="m5509,1432l6320,1432,6320,1120,5509,1120,5509,1432xe" filled="true" fillcolor="#d2d2d2" stroked="false">
                <v:path arrowok="t"/>
                <v:fill type="solid"/>
              </v:shape>
            </v:group>
            <v:group style="position:absolute;left:5509;top:1432;width:812;height:353" coordorigin="5509,1432" coordsize="812,353">
              <v:shape style="position:absolute;left:5509;top:1432;width:812;height:353" coordorigin="5509,1432" coordsize="812,353" path="m5509,1785l6320,1785,6320,1432,5509,1432,5509,1785xe" filled="true" fillcolor="#d2d2d2" stroked="false">
                <v:path arrowok="t"/>
                <v:fill type="solid"/>
              </v:shape>
            </v:group>
            <v:group style="position:absolute;left:6366;top:457;width:2;height:1328" coordorigin="6366,457" coordsize="2,1328">
              <v:shape style="position:absolute;left:6366;top:457;width:2;height:1328" coordorigin="6366,457" coordsize="0,1328" path="m6366,457l6366,1785e" filled="false" stroked="true" strokeweight="1.2pt" strokecolor="#d2d2d2">
                <v:path arrowok="t"/>
              </v:shape>
            </v:group>
            <v:group style="position:absolute;left:7203;top:457;width:2;height:1328" coordorigin="7203,457" coordsize="2,1328">
              <v:shape style="position:absolute;left:7203;top:457;width:2;height:1328" coordorigin="7203,457" coordsize="0,1328" path="m7203,457l7203,1785e" filled="false" stroked="true" strokeweight="1.08pt" strokecolor="#d2d2d2">
                <v:path arrowok="t"/>
              </v:shape>
            </v:group>
            <v:group style="position:absolute;left:6378;top:457;width:814;height:351" coordorigin="6378,457" coordsize="814,351">
              <v:shape style="position:absolute;left:6378;top:457;width:814;height:351" coordorigin="6378,457" coordsize="814,351" path="m6378,808l7192,808,7192,457,6378,457,6378,808xe" filled="true" fillcolor="#d2d2d2" stroked="false">
                <v:path arrowok="t"/>
                <v:fill type="solid"/>
              </v:shape>
            </v:group>
            <v:group style="position:absolute;left:6378;top:808;width:814;height:312" coordorigin="6378,808" coordsize="814,312">
              <v:shape style="position:absolute;left:6378;top:808;width:814;height:312" coordorigin="6378,808" coordsize="814,312" path="m6378,1120l7192,1120,7192,808,6378,808,6378,1120xe" filled="true" fillcolor="#d2d2d2" stroked="false">
                <v:path arrowok="t"/>
                <v:fill type="solid"/>
              </v:shape>
            </v:group>
            <v:group style="position:absolute;left:6378;top:1120;width:814;height:313" coordorigin="6378,1120" coordsize="814,313">
              <v:shape style="position:absolute;left:6378;top:1120;width:814;height:313" coordorigin="6378,1120" coordsize="814,313" path="m6378,1432l7192,1432,7192,1120,6378,1120,6378,1432xe" filled="true" fillcolor="#d2d2d2" stroked="false">
                <v:path arrowok="t"/>
                <v:fill type="solid"/>
              </v:shape>
            </v:group>
            <v:group style="position:absolute;left:6378;top:1432;width:814;height:353" coordorigin="6378,1432" coordsize="814,353">
              <v:shape style="position:absolute;left:6378;top:1432;width:814;height:353" coordorigin="6378,1432" coordsize="814,353" path="m6378,1785l7192,1785,7192,1432,6378,1432,6378,1785xe" filled="true" fillcolor="#d2d2d2" stroked="false">
                <v:path arrowok="t"/>
                <v:fill type="solid"/>
              </v:shape>
            </v:group>
            <v:group style="position:absolute;left:7236;top:457;width:2;height:1328" coordorigin="7236,457" coordsize="2,1328">
              <v:shape style="position:absolute;left:7236;top:457;width:2;height:1328" coordorigin="7236,457" coordsize="0,1328" path="m7236,457l7236,1785e" filled="false" stroked="true" strokeweight="1.08pt" strokecolor="#d2d2d2">
                <v:path arrowok="t"/>
              </v:shape>
            </v:group>
            <v:group style="position:absolute;left:8073;top:457;width:2;height:1328" coordorigin="8073,457" coordsize="2,1328">
              <v:shape style="position:absolute;left:8073;top:457;width:2;height:1328" coordorigin="8073,457" coordsize="0,1328" path="m8073,457l8073,1785e" filled="false" stroked="true" strokeweight="1.2pt" strokecolor="#d2d2d2">
                <v:path arrowok="t"/>
              </v:shape>
            </v:group>
            <v:group style="position:absolute;left:7247;top:457;width:814;height:351" coordorigin="7247,457" coordsize="814,351">
              <v:shape style="position:absolute;left:7247;top:457;width:814;height:351" coordorigin="7247,457" coordsize="814,351" path="m7247,808l8061,808,8061,457,7247,457,7247,808xe" filled="true" fillcolor="#d2d2d2" stroked="false">
                <v:path arrowok="t"/>
                <v:fill type="solid"/>
              </v:shape>
            </v:group>
            <v:group style="position:absolute;left:7247;top:808;width:814;height:312" coordorigin="7247,808" coordsize="814,312">
              <v:shape style="position:absolute;left:7247;top:808;width:814;height:312" coordorigin="7247,808" coordsize="814,312" path="m7247,1120l8061,1120,8061,808,7247,808,7247,1120xe" filled="true" fillcolor="#d2d2d2" stroked="false">
                <v:path arrowok="t"/>
                <v:fill type="solid"/>
              </v:shape>
            </v:group>
            <v:group style="position:absolute;left:7247;top:1120;width:814;height:313" coordorigin="7247,1120" coordsize="814,313">
              <v:shape style="position:absolute;left:7247;top:1120;width:814;height:313" coordorigin="7247,1120" coordsize="814,313" path="m7247,1432l8061,1432,8061,1120,7247,1120,7247,1432xe" filled="true" fillcolor="#d2d2d2" stroked="false">
                <v:path arrowok="t"/>
                <v:fill type="solid"/>
              </v:shape>
            </v:group>
            <v:group style="position:absolute;left:7247;top:1432;width:814;height:353" coordorigin="7247,1432" coordsize="814,353">
              <v:shape style="position:absolute;left:7247;top:1432;width:814;height:353" coordorigin="7247,1432" coordsize="814,353" path="m7247,1785l8061,1785,8061,1432,7247,1432,7247,1785xe" filled="true" fillcolor="#d2d2d2" stroked="false">
                <v:path arrowok="t"/>
                <v:fill type="solid"/>
              </v:shape>
            </v:group>
            <v:group style="position:absolute;left:8094;top:457;width:860;height:156" coordorigin="8094,457" coordsize="860,156">
              <v:shape style="position:absolute;left:8094;top:457;width:860;height:156" coordorigin="8094,457" coordsize="860,156" path="m8094,613l8954,613,8954,457,8094,457,8094,613xe" filled="true" fillcolor="#d2d2d2" stroked="false">
                <v:path arrowok="t"/>
                <v:fill type="solid"/>
              </v:shape>
            </v:group>
            <v:group style="position:absolute;left:8106;top:613;width:2;height:1016" coordorigin="8106,613" coordsize="2,1016">
              <v:shape style="position:absolute;left:8106;top:613;width:2;height:1016" coordorigin="8106,613" coordsize="0,1016" path="m8106,613l8106,1629e" filled="false" stroked="true" strokeweight="1.2pt" strokecolor="#d2d2d2">
                <v:path arrowok="t"/>
              </v:shape>
            </v:group>
            <v:group style="position:absolute;left:8943;top:613;width:2;height:1016" coordorigin="8943,613" coordsize="2,1016">
              <v:shape style="position:absolute;left:8943;top:613;width:2;height:1016" coordorigin="8943,613" coordsize="0,1016" path="m8943,613l8943,1629e" filled="false" stroked="true" strokeweight="1.08pt" strokecolor="#d2d2d2">
                <v:path arrowok="t"/>
              </v:shape>
            </v:group>
            <v:group style="position:absolute;left:8094;top:1629;width:860;height:156" coordorigin="8094,1629" coordsize="860,156">
              <v:shape style="position:absolute;left:8094;top:1629;width:860;height:156" coordorigin="8094,1629" coordsize="860,156" path="m8094,1785l8954,1785,8954,1629,8094,1629,8094,1785xe" filled="true" fillcolor="#d2d2d2" stroked="false">
                <v:path arrowok="t"/>
                <v:fill type="solid"/>
              </v:shape>
            </v:group>
            <v:group style="position:absolute;left:8118;top:613;width:815;height:351" coordorigin="8118,613" coordsize="815,351">
              <v:shape style="position:absolute;left:8118;top:613;width:815;height:351" coordorigin="8118,613" coordsize="815,351" path="m8118,964l8932,964,8932,613,8118,613,8118,964xe" filled="true" fillcolor="#d2d2d2" stroked="false">
                <v:path arrowok="t"/>
                <v:fill type="solid"/>
              </v:shape>
            </v:group>
            <v:group style="position:absolute;left:8118;top:964;width:815;height:312" coordorigin="8118,964" coordsize="815,312">
              <v:shape style="position:absolute;left:8118;top:964;width:815;height:312" coordorigin="8118,964" coordsize="815,312" path="m8118,1276l8932,1276,8932,964,8118,964,8118,1276xe" filled="true" fillcolor="#d2d2d2" stroked="false">
                <v:path arrowok="t"/>
                <v:fill type="solid"/>
              </v:shape>
            </v:group>
            <v:group style="position:absolute;left:8118;top:1276;width:815;height:354" coordorigin="8118,1276" coordsize="815,354">
              <v:shape style="position:absolute;left:8118;top:1276;width:815;height:354" coordorigin="8118,1276" coordsize="815,354" path="m8118,1629l8932,1629,8932,1276,8118,1276,8118,1629xe" filled="true" fillcolor="#d2d2d2" stroked="false">
                <v:path arrowok="t"/>
                <v:fill type="solid"/>
              </v:shape>
            </v:group>
            <v:group style="position:absolute;left:8977;top:457;width:2;height:1328" coordorigin="8977,457" coordsize="2,1328">
              <v:shape style="position:absolute;left:8977;top:457;width:2;height:1328" coordorigin="8977,457" coordsize="0,1328" path="m8977,457l8977,1785e" filled="false" stroked="true" strokeweight="1.08pt" strokecolor="#d2d2d2">
                <v:path arrowok="t"/>
              </v:shape>
            </v:group>
            <v:group style="position:absolute;left:9813;top:457;width:2;height:1328" coordorigin="9813,457" coordsize="2,1328">
              <v:shape style="position:absolute;left:9813;top:457;width:2;height:1328" coordorigin="9813,457" coordsize="0,1328" path="m9813,457l9813,1785e" filled="false" stroked="true" strokeweight="1.2pt" strokecolor="#d2d2d2">
                <v:path arrowok="t"/>
              </v:shape>
            </v:group>
            <v:group style="position:absolute;left:8988;top:457;width:814;height:351" coordorigin="8988,457" coordsize="814,351">
              <v:shape style="position:absolute;left:8988;top:457;width:814;height:351" coordorigin="8988,457" coordsize="814,351" path="m8988,808l9801,808,9801,457,8988,457,8988,808xe" filled="true" fillcolor="#d2d2d2" stroked="false">
                <v:path arrowok="t"/>
                <v:fill type="solid"/>
              </v:shape>
            </v:group>
            <v:group style="position:absolute;left:8988;top:808;width:814;height:312" coordorigin="8988,808" coordsize="814,312">
              <v:shape style="position:absolute;left:8988;top:808;width:814;height:312" coordorigin="8988,808" coordsize="814,312" path="m8988,1120l9801,1120,9801,808,8988,808,8988,1120xe" filled="true" fillcolor="#d2d2d2" stroked="false">
                <v:path arrowok="t"/>
                <v:fill type="solid"/>
              </v:shape>
            </v:group>
            <v:group style="position:absolute;left:8988;top:1120;width:814;height:313" coordorigin="8988,1120" coordsize="814,313">
              <v:shape style="position:absolute;left:8988;top:1120;width:814;height:313" coordorigin="8988,1120" coordsize="814,313" path="m8988,1432l9801,1432,9801,1120,8988,1120,8988,1432xe" filled="true" fillcolor="#d2d2d2" stroked="false">
                <v:path arrowok="t"/>
                <v:fill type="solid"/>
              </v:shape>
            </v:group>
            <v:group style="position:absolute;left:8988;top:1432;width:814;height:353" coordorigin="8988,1432" coordsize="814,353">
              <v:shape style="position:absolute;left:8988;top:1432;width:814;height:353" coordorigin="8988,1432" coordsize="814,353" path="m8988,1785l9801,1785,9801,1432,8988,1432,8988,1785xe" filled="true" fillcolor="#d2d2d2" stroked="false">
                <v:path arrowok="t"/>
                <v:fill type="solid"/>
              </v:shape>
            </v:group>
            <v:group style="position:absolute;left:9835;top:457;width:860;height:156" coordorigin="9835,457" coordsize="860,156">
              <v:shape style="position:absolute;left:9835;top:457;width:860;height:156" coordorigin="9835,457" coordsize="860,156" path="m9835,613l10694,613,10694,457,9835,457,9835,613xe" filled="true" fillcolor="#d2d2d2" stroked="false">
                <v:path arrowok="t"/>
                <v:fill type="solid"/>
              </v:shape>
            </v:group>
            <v:group style="position:absolute;left:9847;top:613;width:2;height:1016" coordorigin="9847,613" coordsize="2,1016">
              <v:shape style="position:absolute;left:9847;top:613;width:2;height:1016" coordorigin="9847,613" coordsize="0,1016" path="m9847,613l9847,1629e" filled="false" stroked="true" strokeweight="1.2pt" strokecolor="#d2d2d2">
                <v:path arrowok="t"/>
              </v:shape>
            </v:group>
            <v:group style="position:absolute;left:10682;top:613;width:2;height:1016" coordorigin="10682,613" coordsize="2,1016">
              <v:shape style="position:absolute;left:10682;top:613;width:2;height:1016" coordorigin="10682,613" coordsize="0,1016" path="m10682,613l10682,1629e" filled="false" stroked="true" strokeweight="1.2pt" strokecolor="#d2d2d2">
                <v:path arrowok="t"/>
              </v:shape>
            </v:group>
            <v:group style="position:absolute;left:9835;top:1629;width:860;height:156" coordorigin="9835,1629" coordsize="860,156">
              <v:shape style="position:absolute;left:9835;top:1629;width:860;height:156" coordorigin="9835,1629" coordsize="860,156" path="m9835,1785l10694,1785,10694,1629,9835,1629,9835,1785xe" filled="true" fillcolor="#d2d2d2" stroked="false">
                <v:path arrowok="t"/>
                <v:fill type="solid"/>
              </v:shape>
            </v:group>
            <v:group style="position:absolute;left:9859;top:613;width:812;height:351" coordorigin="9859,613" coordsize="812,351">
              <v:shape style="position:absolute;left:9859;top:613;width:812;height:351" coordorigin="9859,613" coordsize="812,351" path="m9859,964l10670,964,10670,613,9859,613,9859,964xe" filled="true" fillcolor="#d2d2d2" stroked="false">
                <v:path arrowok="t"/>
                <v:fill type="solid"/>
              </v:shape>
            </v:group>
            <v:group style="position:absolute;left:9859;top:964;width:812;height:312" coordorigin="9859,964" coordsize="812,312">
              <v:shape style="position:absolute;left:9859;top:964;width:812;height:312" coordorigin="9859,964" coordsize="812,312" path="m9859,1276l10670,1276,10670,964,9859,964,9859,1276xe" filled="true" fillcolor="#d2d2d2" stroked="false">
                <v:path arrowok="t"/>
                <v:fill type="solid"/>
              </v:shape>
            </v:group>
            <v:group style="position:absolute;left:9859;top:1276;width:812;height:354" coordorigin="9859,1276" coordsize="812,354">
              <v:shape style="position:absolute;left:9859;top:1276;width:812;height:354" coordorigin="9859,1276" coordsize="812,354" path="m9859,1629l10670,1629,10670,1276,9859,1276,9859,1629xe" filled="true" fillcolor="#d2d2d2" stroked="false">
                <v:path arrowok="t"/>
                <v:fill type="solid"/>
              </v:shape>
            </v:group>
            <v:group style="position:absolute;left:1138;top:450;width:855;height:2" coordorigin="1138,450" coordsize="855,2">
              <v:shape style="position:absolute;left:1138;top:450;width:855;height:2" coordorigin="1138,450" coordsize="855,0" path="m1138,450l1992,450e" filled="false" stroked="true" strokeweight=".48pt" strokecolor="#000000">
                <v:path arrowok="t"/>
              </v:shape>
            </v:group>
            <v:group style="position:absolute;left:2002;top:450;width:862;height:2" coordorigin="2002,450" coordsize="862,2">
              <v:shape style="position:absolute;left:2002;top:450;width:862;height:2" coordorigin="2002,450" coordsize="862,0" path="m2002,450l2864,450e" filled="false" stroked="true" strokeweight=".48pt" strokecolor="#000000">
                <v:path arrowok="t"/>
              </v:shape>
            </v:group>
            <v:group style="position:absolute;left:2873;top:450;width:860;height:2" coordorigin="2873,450" coordsize="860,2">
              <v:shape style="position:absolute;left:2873;top:450;width:860;height:2" coordorigin="2873,450" coordsize="860,0" path="m2873,450l3732,450e" filled="false" stroked="true" strokeweight=".48pt" strokecolor="#000000">
                <v:path arrowok="t"/>
              </v:shape>
            </v:group>
            <v:group style="position:absolute;left:3742;top:450;width:863;height:2" coordorigin="3742,450" coordsize="863,2">
              <v:shape style="position:absolute;left:3742;top:450;width:863;height:2" coordorigin="3742,450" coordsize="863,0" path="m3742,450l4604,450e" filled="false" stroked="true" strokeweight=".48pt" strokecolor="#000000">
                <v:path arrowok="t"/>
              </v:shape>
            </v:group>
            <v:group style="position:absolute;left:4614;top:450;width:860;height:2" coordorigin="4614,450" coordsize="860,2">
              <v:shape style="position:absolute;left:4614;top:450;width:860;height:2" coordorigin="4614,450" coordsize="860,0" path="m4614,450l5473,450e" filled="false" stroked="true" strokeweight=".48pt" strokecolor="#000000">
                <v:path arrowok="t"/>
              </v:shape>
            </v:group>
            <v:group style="position:absolute;left:5483;top:450;width:863;height:2" coordorigin="5483,450" coordsize="863,2">
              <v:shape style="position:absolute;left:5483;top:450;width:863;height:2" coordorigin="5483,450" coordsize="863,0" path="m5483,450l6345,450e" filled="false" stroked="true" strokeweight=".48pt" strokecolor="#000000">
                <v:path arrowok="t"/>
              </v:shape>
            </v:group>
            <v:group style="position:absolute;left:6354;top:450;width:860;height:2" coordorigin="6354,450" coordsize="860,2">
              <v:shape style="position:absolute;left:6354;top:450;width:860;height:2" coordorigin="6354,450" coordsize="860,0" path="m6354,450l7213,450e" filled="false" stroked="true" strokeweight=".48pt" strokecolor="#000000">
                <v:path arrowok="t"/>
              </v:shape>
            </v:group>
            <v:group style="position:absolute;left:7223;top:450;width:862;height:2" coordorigin="7223,450" coordsize="862,2">
              <v:shape style="position:absolute;left:7223;top:450;width:862;height:2" coordorigin="7223,450" coordsize="862,0" path="m7223,450l8085,450e" filled="false" stroked="true" strokeweight=".48pt" strokecolor="#000000">
                <v:path arrowok="t"/>
              </v:shape>
            </v:group>
            <v:group style="position:absolute;left:8094;top:450;width:860;height:2" coordorigin="8094,450" coordsize="860,2">
              <v:shape style="position:absolute;left:8094;top:450;width:860;height:2" coordorigin="8094,450" coordsize="860,0" path="m8094,450l8954,450e" filled="false" stroked="true" strokeweight=".48pt" strokecolor="#000000">
                <v:path arrowok="t"/>
              </v:shape>
            </v:group>
            <v:group style="position:absolute;left:8964;top:450;width:862;height:2" coordorigin="8964,450" coordsize="862,2">
              <v:shape style="position:absolute;left:8964;top:450;width:862;height:2" coordorigin="8964,450" coordsize="862,0" path="m8964,450l9825,450e" filled="false" stroked="true" strokeweight=".48pt" strokecolor="#000000">
                <v:path arrowok="t"/>
              </v:shape>
            </v:group>
            <v:group style="position:absolute;left:9835;top:450;width:860;height:2" coordorigin="9835,450" coordsize="860,2">
              <v:shape style="position:absolute;left:9835;top:450;width:860;height:2" coordorigin="9835,450" coordsize="860,0" path="m9835,450l10694,450e" filled="false" stroked="true" strokeweight=".48pt" strokecolor="#000000">
                <v:path arrowok="t"/>
              </v:shape>
            </v:group>
            <v:group style="position:absolute;left:1138;top:1790;width:855;height:2" coordorigin="1138,1790" coordsize="855,2">
              <v:shape style="position:absolute;left:1138;top:1790;width:855;height:2" coordorigin="1138,1790" coordsize="855,0" path="m1138,1790l1992,1790e" filled="false" stroked="true" strokeweight=".47998pt" strokecolor="#000000">
                <v:path arrowok="t"/>
              </v:shape>
            </v:group>
            <v:group style="position:absolute;left:2002;top:1790;width:862;height:2" coordorigin="2002,1790" coordsize="862,2">
              <v:shape style="position:absolute;left:2002;top:1790;width:862;height:2" coordorigin="2002,1790" coordsize="862,0" path="m2002,1790l2864,1790e" filled="false" stroked="true" strokeweight=".47998pt" strokecolor="#000000">
                <v:path arrowok="t"/>
              </v:shape>
            </v:group>
            <v:group style="position:absolute;left:2873;top:1790;width:860;height:2" coordorigin="2873,1790" coordsize="860,2">
              <v:shape style="position:absolute;left:2873;top:1790;width:860;height:2" coordorigin="2873,1790" coordsize="860,0" path="m2873,1790l3732,1790e" filled="false" stroked="true" strokeweight=".47998pt" strokecolor="#000000">
                <v:path arrowok="t"/>
              </v:shape>
            </v:group>
            <v:group style="position:absolute;left:3742;top:1790;width:863;height:2" coordorigin="3742,1790" coordsize="863,2">
              <v:shape style="position:absolute;left:3742;top:1790;width:863;height:2" coordorigin="3742,1790" coordsize="863,0" path="m3742,1790l4604,1790e" filled="false" stroked="true" strokeweight=".47998pt" strokecolor="#000000">
                <v:path arrowok="t"/>
              </v:shape>
            </v:group>
            <v:group style="position:absolute;left:4614;top:1790;width:860;height:2" coordorigin="4614,1790" coordsize="860,2">
              <v:shape style="position:absolute;left:4614;top:1790;width:860;height:2" coordorigin="4614,1790" coordsize="860,0" path="m4614,1790l5473,1790e" filled="false" stroked="true" strokeweight=".47998pt" strokecolor="#000000">
                <v:path arrowok="t"/>
              </v:shape>
            </v:group>
            <v:group style="position:absolute;left:5483;top:1790;width:863;height:2" coordorigin="5483,1790" coordsize="863,2">
              <v:shape style="position:absolute;left:5483;top:1790;width:863;height:2" coordorigin="5483,1790" coordsize="863,0" path="m5483,1790l6345,1790e" filled="false" stroked="true" strokeweight=".47998pt" strokecolor="#000000">
                <v:path arrowok="t"/>
              </v:shape>
            </v:group>
            <v:group style="position:absolute;left:6354;top:1790;width:860;height:2" coordorigin="6354,1790" coordsize="860,2">
              <v:shape style="position:absolute;left:6354;top:1790;width:860;height:2" coordorigin="6354,1790" coordsize="860,0" path="m6354,1790l7213,1790e" filled="false" stroked="true" strokeweight=".47998pt" strokecolor="#000000">
                <v:path arrowok="t"/>
              </v:shape>
            </v:group>
            <v:group style="position:absolute;left:7223;top:1790;width:862;height:2" coordorigin="7223,1790" coordsize="862,2">
              <v:shape style="position:absolute;left:7223;top:1790;width:862;height:2" coordorigin="7223,1790" coordsize="862,0" path="m7223,1790l8085,1790e" filled="false" stroked="true" strokeweight=".47998pt" strokecolor="#000000">
                <v:path arrowok="t"/>
              </v:shape>
            </v:group>
            <v:group style="position:absolute;left:8094;top:1790;width:860;height:2" coordorigin="8094,1790" coordsize="860,2">
              <v:shape style="position:absolute;left:8094;top:1790;width:860;height:2" coordorigin="8094,1790" coordsize="860,0" path="m8094,1790l8954,1790e" filled="false" stroked="true" strokeweight=".47998pt" strokecolor="#000000">
                <v:path arrowok="t"/>
              </v:shape>
            </v:group>
            <v:group style="position:absolute;left:8964;top:1790;width:862;height:2" coordorigin="8964,1790" coordsize="862,2">
              <v:shape style="position:absolute;left:8964;top:1790;width:862;height:2" coordorigin="8964,1790" coordsize="862,0" path="m8964,1790l9825,1790e" filled="false" stroked="true" strokeweight=".47998pt" strokecolor="#000000">
                <v:path arrowok="t"/>
              </v:shape>
            </v:group>
            <v:group style="position:absolute;left:9835;top:1790;width:860;height:2" coordorigin="9835,1790" coordsize="860,2">
              <v:shape style="position:absolute;left:9835;top:1790;width:860;height:2" coordorigin="9835,1790" coordsize="860,0" path="m9835,1790l10694,1790e" filled="false" stroked="true" strokeweight=".47998pt" strokecolor="#000000">
                <v:path arrowok="t"/>
              </v:shape>
            </v:group>
            <v:group style="position:absolute;left:9835;top:2510;width:860;height:4369" coordorigin="9835,2510" coordsize="860,4369">
              <v:shape style="position:absolute;left:9835;top:2510;width:860;height:4369" coordorigin="9835,2510" coordsize="860,4369" path="m9835,6878l10694,6878,10694,2510,9835,2510,9835,6878xe" filled="true" fillcolor="#ffffff" stroked="false">
                <v:path arrowok="t"/>
                <v:fill type="solid"/>
              </v:shape>
            </v:group>
            <v:group style="position:absolute;left:1138;top:2503;width:855;height:2" coordorigin="1138,2503" coordsize="855,2">
              <v:shape style="position:absolute;left:1138;top:2503;width:855;height:2" coordorigin="1138,2503" coordsize="855,0" path="m1138,2503l1992,2503e" filled="false" stroked="true" strokeweight=".48001pt" strokecolor="#000000">
                <v:path arrowok="t"/>
              </v:shape>
            </v:group>
            <v:group style="position:absolute;left:2002;top:2503;width:862;height:2" coordorigin="2002,2503" coordsize="862,2">
              <v:shape style="position:absolute;left:2002;top:2503;width:862;height:2" coordorigin="2002,2503" coordsize="862,0" path="m2002,2503l2864,2503e" filled="false" stroked="true" strokeweight=".48001pt" strokecolor="#000000">
                <v:path arrowok="t"/>
              </v:shape>
            </v:group>
            <v:group style="position:absolute;left:2873;top:2503;width:860;height:2" coordorigin="2873,2503" coordsize="860,2">
              <v:shape style="position:absolute;left:2873;top:2503;width:860;height:2" coordorigin="2873,2503" coordsize="860,0" path="m2873,2503l3732,2503e" filled="false" stroked="true" strokeweight=".48001pt" strokecolor="#000000">
                <v:path arrowok="t"/>
              </v:shape>
            </v:group>
            <v:group style="position:absolute;left:3742;top:2503;width:863;height:2" coordorigin="3742,2503" coordsize="863,2">
              <v:shape style="position:absolute;left:3742;top:2503;width:863;height:2" coordorigin="3742,2503" coordsize="863,0" path="m3742,2503l4604,2503e" filled="false" stroked="true" strokeweight=".48001pt" strokecolor="#000000">
                <v:path arrowok="t"/>
              </v:shape>
            </v:group>
            <v:group style="position:absolute;left:4614;top:2503;width:860;height:2" coordorigin="4614,2503" coordsize="860,2">
              <v:shape style="position:absolute;left:4614;top:2503;width:860;height:2" coordorigin="4614,2503" coordsize="860,0" path="m4614,2503l5473,2503e" filled="false" stroked="true" strokeweight=".48001pt" strokecolor="#000000">
                <v:path arrowok="t"/>
              </v:shape>
            </v:group>
            <v:group style="position:absolute;left:5483;top:2503;width:863;height:2" coordorigin="5483,2503" coordsize="863,2">
              <v:shape style="position:absolute;left:5483;top:2503;width:863;height:2" coordorigin="5483,2503" coordsize="863,0" path="m5483,2503l6345,2503e" filled="false" stroked="true" strokeweight=".48001pt" strokecolor="#000000">
                <v:path arrowok="t"/>
              </v:shape>
            </v:group>
            <v:group style="position:absolute;left:6354;top:2503;width:860;height:2" coordorigin="6354,2503" coordsize="860,2">
              <v:shape style="position:absolute;left:6354;top:2503;width:860;height:2" coordorigin="6354,2503" coordsize="860,0" path="m6354,2503l7213,2503e" filled="false" stroked="true" strokeweight=".48001pt" strokecolor="#000000">
                <v:path arrowok="t"/>
              </v:shape>
            </v:group>
            <v:group style="position:absolute;left:7223;top:2503;width:862;height:2" coordorigin="7223,2503" coordsize="862,2">
              <v:shape style="position:absolute;left:7223;top:2503;width:862;height:2" coordorigin="7223,2503" coordsize="862,0" path="m7223,2503l8085,2503e" filled="false" stroked="true" strokeweight=".48001pt" strokecolor="#000000">
                <v:path arrowok="t"/>
              </v:shape>
            </v:group>
            <v:group style="position:absolute;left:8094;top:2503;width:860;height:2" coordorigin="8094,2503" coordsize="860,2">
              <v:shape style="position:absolute;left:8094;top:2503;width:860;height:2" coordorigin="8094,2503" coordsize="860,0" path="m8094,2503l8954,2503e" filled="false" stroked="true" strokeweight=".48001pt" strokecolor="#000000">
                <v:path arrowok="t"/>
              </v:shape>
            </v:group>
            <v:group style="position:absolute;left:8964;top:2503;width:862;height:2" coordorigin="8964,2503" coordsize="862,2">
              <v:shape style="position:absolute;left:8964;top:2503;width:862;height:2" coordorigin="8964,2503" coordsize="862,0" path="m8964,2503l9825,2503e" filled="false" stroked="true" strokeweight=".48001pt" strokecolor="#000000">
                <v:path arrowok="t"/>
              </v:shape>
            </v:group>
            <v:group style="position:absolute;left:9835;top:2503;width:860;height:2" coordorigin="9835,2503" coordsize="860,2">
              <v:shape style="position:absolute;left:9835;top:2503;width:860;height:2" coordorigin="9835,2503" coordsize="860,0" path="m9835,2503l10694,2503e" filled="false" stroked="true" strokeweight=".48001pt" strokecolor="#000000">
                <v:path arrowok="t"/>
              </v:shape>
            </v:group>
            <v:group style="position:absolute;left:1133;top:445;width:2;height:11203" coordorigin="1133,445" coordsize="2,11203">
              <v:shape style="position:absolute;left:1133;top:445;width:2;height:11203" coordorigin="1133,445" coordsize="0,11203" path="m1133,445l1133,11648e" filled="false" stroked="true" strokeweight=".48pt" strokecolor="#000000">
                <v:path arrowok="t"/>
              </v:shape>
            </v:group>
            <v:group style="position:absolute;left:1138;top:11643;width:855;height:2" coordorigin="1138,11643" coordsize="855,2">
              <v:shape style="position:absolute;left:1138;top:11643;width:855;height:2" coordorigin="1138,11643" coordsize="855,0" path="m1138,11643l1992,11643e" filled="false" stroked="true" strokeweight=".47998pt" strokecolor="#000000">
                <v:path arrowok="t"/>
              </v:shape>
            </v:group>
            <v:group style="position:absolute;left:1997;top:445;width:2;height:11203" coordorigin="1997,445" coordsize="2,11203">
              <v:shape style="position:absolute;left:1997;top:445;width:2;height:11203" coordorigin="1997,445" coordsize="0,11203" path="m1997,445l1997,11648e" filled="false" stroked="true" strokeweight=".48pt" strokecolor="#000000">
                <v:path arrowok="t"/>
              </v:shape>
            </v:group>
            <v:group style="position:absolute;left:2002;top:11643;width:862;height:2" coordorigin="2002,11643" coordsize="862,2">
              <v:shape style="position:absolute;left:2002;top:11643;width:862;height:2" coordorigin="2002,11643" coordsize="862,0" path="m2002,11643l2864,11643e" filled="false" stroked="true" strokeweight=".47998pt" strokecolor="#000000">
                <v:path arrowok="t"/>
              </v:shape>
            </v:group>
            <v:group style="position:absolute;left:2868;top:445;width:2;height:11203" coordorigin="2868,445" coordsize="2,11203">
              <v:shape style="position:absolute;left:2868;top:445;width:2;height:11203" coordorigin="2868,445" coordsize="0,11203" path="m2868,445l2868,11648e" filled="false" stroked="true" strokeweight=".48pt" strokecolor="#000000">
                <v:path arrowok="t"/>
              </v:shape>
            </v:group>
            <v:group style="position:absolute;left:2873;top:11643;width:860;height:2" coordorigin="2873,11643" coordsize="860,2">
              <v:shape style="position:absolute;left:2873;top:11643;width:860;height:2" coordorigin="2873,11643" coordsize="860,0" path="m2873,11643l3732,11643e" filled="false" stroked="true" strokeweight=".47998pt" strokecolor="#000000">
                <v:path arrowok="t"/>
              </v:shape>
            </v:group>
            <v:group style="position:absolute;left:3737;top:445;width:2;height:11203" coordorigin="3737,445" coordsize="2,11203">
              <v:shape style="position:absolute;left:3737;top:445;width:2;height:11203" coordorigin="3737,445" coordsize="0,11203" path="m3737,445l3737,11648e" filled="false" stroked="true" strokeweight=".48pt" strokecolor="#000000">
                <v:path arrowok="t"/>
              </v:shape>
            </v:group>
            <v:group style="position:absolute;left:3742;top:11643;width:863;height:2" coordorigin="3742,11643" coordsize="863,2">
              <v:shape style="position:absolute;left:3742;top:11643;width:863;height:2" coordorigin="3742,11643" coordsize="863,0" path="m3742,11643l4604,11643e" filled="false" stroked="true" strokeweight=".47998pt" strokecolor="#000000">
                <v:path arrowok="t"/>
              </v:shape>
            </v:group>
            <v:group style="position:absolute;left:4609;top:445;width:2;height:11203" coordorigin="4609,445" coordsize="2,11203">
              <v:shape style="position:absolute;left:4609;top:445;width:2;height:11203" coordorigin="4609,445" coordsize="0,11203" path="m4609,445l4609,11648e" filled="false" stroked="true" strokeweight=".48pt" strokecolor="#000000">
                <v:path arrowok="t"/>
              </v:shape>
            </v:group>
            <v:group style="position:absolute;left:4614;top:11643;width:860;height:2" coordorigin="4614,11643" coordsize="860,2">
              <v:shape style="position:absolute;left:4614;top:11643;width:860;height:2" coordorigin="4614,11643" coordsize="860,0" path="m4614,11643l5473,11643e" filled="false" stroked="true" strokeweight=".47998pt" strokecolor="#000000">
                <v:path arrowok="t"/>
              </v:shape>
            </v:group>
            <v:group style="position:absolute;left:5478;top:445;width:2;height:11203" coordorigin="5478,445" coordsize="2,11203">
              <v:shape style="position:absolute;left:5478;top:445;width:2;height:11203" coordorigin="5478,445" coordsize="0,11203" path="m5478,445l5478,11648e" filled="false" stroked="true" strokeweight=".47998pt" strokecolor="#000000">
                <v:path arrowok="t"/>
              </v:shape>
            </v:group>
            <v:group style="position:absolute;left:5483;top:11643;width:863;height:2" coordorigin="5483,11643" coordsize="863,2">
              <v:shape style="position:absolute;left:5483;top:11643;width:863;height:2" coordorigin="5483,11643" coordsize="863,0" path="m5483,11643l6345,11643e" filled="false" stroked="true" strokeweight=".47998pt" strokecolor="#000000">
                <v:path arrowok="t"/>
              </v:shape>
            </v:group>
            <v:group style="position:absolute;left:6349;top:445;width:2;height:11203" coordorigin="6349,445" coordsize="2,11203">
              <v:shape style="position:absolute;left:6349;top:445;width:2;height:11203" coordorigin="6349,445" coordsize="0,11203" path="m6349,445l6349,11648e" filled="false" stroked="true" strokeweight=".48001pt" strokecolor="#000000">
                <v:path arrowok="t"/>
              </v:shape>
            </v:group>
            <v:group style="position:absolute;left:6354;top:11643;width:860;height:2" coordorigin="6354,11643" coordsize="860,2">
              <v:shape style="position:absolute;left:6354;top:11643;width:860;height:2" coordorigin="6354,11643" coordsize="860,0" path="m6354,11643l7213,11643e" filled="false" stroked="true" strokeweight=".47998pt" strokecolor="#000000">
                <v:path arrowok="t"/>
              </v:shape>
            </v:group>
            <v:group style="position:absolute;left:7218;top:445;width:2;height:11203" coordorigin="7218,445" coordsize="2,11203">
              <v:shape style="position:absolute;left:7218;top:445;width:2;height:11203" coordorigin="7218,445" coordsize="0,11203" path="m7218,445l7218,11648e" filled="false" stroked="true" strokeweight=".48001pt" strokecolor="#000000">
                <v:path arrowok="t"/>
              </v:shape>
            </v:group>
            <v:group style="position:absolute;left:7223;top:11643;width:862;height:2" coordorigin="7223,11643" coordsize="862,2">
              <v:shape style="position:absolute;left:7223;top:11643;width:862;height:2" coordorigin="7223,11643" coordsize="862,0" path="m7223,11643l8085,11643e" filled="false" stroked="true" strokeweight=".47998pt" strokecolor="#000000">
                <v:path arrowok="t"/>
              </v:shape>
            </v:group>
            <v:group style="position:absolute;left:8089;top:445;width:2;height:11203" coordorigin="8089,445" coordsize="2,11203">
              <v:shape style="position:absolute;left:8089;top:445;width:2;height:11203" coordorigin="8089,445" coordsize="0,11203" path="m8089,445l8089,11648e" filled="false" stroked="true" strokeweight=".48001pt" strokecolor="#000000">
                <v:path arrowok="t"/>
              </v:shape>
            </v:group>
            <v:group style="position:absolute;left:8094;top:11643;width:860;height:2" coordorigin="8094,11643" coordsize="860,2">
              <v:shape style="position:absolute;left:8094;top:11643;width:860;height:2" coordorigin="8094,11643" coordsize="860,0" path="m8094,11643l8954,11643e" filled="false" stroked="true" strokeweight=".47998pt" strokecolor="#000000">
                <v:path arrowok="t"/>
              </v:shape>
            </v:group>
            <v:group style="position:absolute;left:8959;top:445;width:2;height:11203" coordorigin="8959,445" coordsize="2,11203">
              <v:shape style="position:absolute;left:8959;top:445;width:2;height:11203" coordorigin="8959,445" coordsize="0,11203" path="m8959,445l8959,11648e" filled="false" stroked="true" strokeweight=".47998pt" strokecolor="#000000">
                <v:path arrowok="t"/>
              </v:shape>
            </v:group>
            <v:group style="position:absolute;left:9835;top:7269;width:860;height:4369" coordorigin="9835,7269" coordsize="860,4369">
              <v:shape style="position:absolute;left:9835;top:7269;width:860;height:4369" coordorigin="9835,7269" coordsize="860,4369" path="m9835,11638l10694,11638,10694,7269,9835,7269,9835,11638xe" filled="true" fillcolor="#ffffff" stroked="false">
                <v:path arrowok="t"/>
                <v:fill type="solid"/>
              </v:shape>
            </v:group>
            <v:group style="position:absolute;left:8964;top:11643;width:862;height:2" coordorigin="8964,11643" coordsize="862,2">
              <v:shape style="position:absolute;left:8964;top:11643;width:862;height:2" coordorigin="8964,11643" coordsize="862,0" path="m8964,11643l9825,11643e" filled="false" stroked="true" strokeweight=".47998pt" strokecolor="#000000">
                <v:path arrowok="t"/>
              </v:shape>
            </v:group>
            <v:group style="position:absolute;left:9830;top:445;width:2;height:11203" coordorigin="9830,445" coordsize="2,11203">
              <v:shape style="position:absolute;left:9830;top:445;width:2;height:11203" coordorigin="9830,445" coordsize="0,11203" path="m9830,445l9830,11648e" filled="false" stroked="true" strokeweight=".47998pt" strokecolor="#000000">
                <v:path arrowok="t"/>
              </v:shape>
            </v:group>
            <v:group style="position:absolute;left:9835;top:11643;width:860;height:2" coordorigin="9835,11643" coordsize="860,2">
              <v:shape style="position:absolute;left:9835;top:11643;width:860;height:2" coordorigin="9835,11643" coordsize="860,0" path="m9835,11643l10694,11643e" filled="false" stroked="true" strokeweight=".47998pt" strokecolor="#000000">
                <v:path arrowok="t"/>
              </v:shape>
            </v:group>
            <v:group style="position:absolute;left:10699;top:445;width:2;height:11203" coordorigin="10699,445" coordsize="2,11203">
              <v:shape style="position:absolute;left:10699;top:445;width:2;height:11203" coordorigin="10699,445" coordsize="0,11203" path="m10699,445l10699,11648e" filled="false" stroked="true" strokeweight=".48004pt" strokecolor="#000000">
                <v:path arrowok="t"/>
              </v:shape>
            </v:group>
            <w10:wrap type="none"/>
          </v:group>
        </w:pict>
      </w:r>
      <w:r>
        <w:rPr/>
        <w:t>单位：万元</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45" w:footer="979" w:top="1060" w:bottom="1160" w:left="980" w:right="980"/>
        </w:sect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224" w:right="-19"/>
        <w:jc w:val="left"/>
      </w:pPr>
      <w:r>
        <w:rPr/>
        <w:t>募集年份</w:t>
      </w:r>
      <w:r>
        <w:rPr>
          <w:spacing w:val="59"/>
        </w:rPr>
        <w:t> </w:t>
      </w:r>
      <w:r>
        <w:rPr/>
        <w:t>募集方式</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314" w:lineRule="auto" w:before="121"/>
        <w:ind w:left="288" w:right="-20" w:hanging="180"/>
        <w:jc w:val="left"/>
      </w:pPr>
      <w:r>
        <w:rPr/>
        <w:t>募集资金 总额</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6" w:lineRule="auto"/>
        <w:ind w:left="111" w:right="0"/>
        <w:jc w:val="both"/>
      </w:pPr>
      <w:r>
        <w:rPr/>
        <w:t>本期已使 用募集资 金总额</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6" w:lineRule="auto"/>
        <w:ind w:left="108" w:right="0"/>
        <w:jc w:val="both"/>
      </w:pPr>
      <w:r>
        <w:rPr/>
        <w:t>已累计使 用募集资 金总额</w:t>
      </w:r>
    </w:p>
    <w:p>
      <w:pPr>
        <w:pStyle w:val="BodyText"/>
        <w:spacing w:line="316" w:lineRule="auto" w:before="44"/>
        <w:ind w:left="111" w:right="0"/>
        <w:jc w:val="both"/>
      </w:pPr>
      <w:r>
        <w:rPr/>
        <w:br w:type="column"/>
      </w:r>
      <w:r>
        <w:rPr/>
        <w:t>报告期内 变更用途 的募集资 金总额</w:t>
      </w:r>
    </w:p>
    <w:p>
      <w:pPr>
        <w:pStyle w:val="BodyText"/>
        <w:spacing w:line="316" w:lineRule="auto" w:before="44"/>
        <w:ind w:left="109" w:right="0"/>
        <w:jc w:val="center"/>
      </w:pPr>
      <w:r>
        <w:rPr/>
        <w:br w:type="column"/>
      </w:r>
      <w:r>
        <w:rPr/>
        <w:t>累计变更 用途的募 集资金总 额</w:t>
      </w:r>
    </w:p>
    <w:p>
      <w:pPr>
        <w:pStyle w:val="BodyText"/>
        <w:spacing w:line="316" w:lineRule="auto" w:before="44"/>
        <w:ind w:left="108" w:right="0"/>
        <w:jc w:val="both"/>
      </w:pPr>
      <w:r>
        <w:rPr/>
        <w:br w:type="column"/>
      </w:r>
      <w:r>
        <w:rPr/>
        <w:t>累计变更 用途的募 集资金总 额比例</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6" w:lineRule="auto"/>
        <w:ind w:left="111" w:right="0"/>
        <w:jc w:val="center"/>
      </w:pPr>
      <w:r>
        <w:rPr/>
        <w:t>尚未使用 募集资金 总额</w:t>
      </w:r>
    </w:p>
    <w:p>
      <w:pPr>
        <w:pStyle w:val="BodyText"/>
        <w:spacing w:line="316" w:lineRule="auto" w:before="44"/>
        <w:ind w:left="109" w:right="0"/>
        <w:jc w:val="center"/>
      </w:pPr>
      <w:r>
        <w:rPr/>
        <w:br w:type="column"/>
      </w:r>
      <w:r>
        <w:rPr/>
        <w:t>尚未使用 募集资金 用途及去 向</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6" w:lineRule="auto"/>
        <w:ind w:left="111" w:right="300"/>
        <w:jc w:val="both"/>
      </w:pPr>
      <w:r>
        <w:rPr/>
        <w:t>闲置两年 以上募集 资金金额</w:t>
      </w:r>
    </w:p>
    <w:p>
      <w:pPr>
        <w:spacing w:after="0" w:line="316" w:lineRule="auto"/>
        <w:jc w:val="both"/>
        <w:sectPr>
          <w:type w:val="continuous"/>
          <w:pgSz w:w="11910" w:h="16840"/>
          <w:pgMar w:top="1060" w:bottom="1160" w:left="980" w:right="980"/>
          <w:cols w:num="10" w:equalWidth="0">
            <w:col w:w="1815" w:space="40"/>
            <w:col w:w="829" w:space="40"/>
            <w:col w:w="832" w:space="40"/>
            <w:col w:w="829" w:space="40"/>
            <w:col w:w="832" w:space="40"/>
            <w:col w:w="830" w:space="40"/>
            <w:col w:w="829" w:space="40"/>
            <w:col w:w="832" w:space="40"/>
            <w:col w:w="830" w:space="40"/>
            <w:col w:w="1132"/>
          </w:cols>
        </w:sectPr>
      </w:pPr>
    </w:p>
    <w:p>
      <w:pPr>
        <w:spacing w:line="240" w:lineRule="auto" w:before="4"/>
        <w:rPr>
          <w:rFonts w:ascii="宋体" w:hAnsi="宋体" w:cs="宋体" w:eastAsia="宋体" w:hint="default"/>
          <w:sz w:val="20"/>
          <w:szCs w:val="20"/>
        </w:rPr>
      </w:pPr>
    </w:p>
    <w:p>
      <w:pPr>
        <w:pStyle w:val="BodyText"/>
        <w:spacing w:line="240" w:lineRule="auto"/>
        <w:ind w:left="181" w:right="-18"/>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p>
    <w:p>
      <w:pPr>
        <w:pStyle w:val="BodyText"/>
        <w:spacing w:line="316" w:lineRule="auto" w:before="110"/>
        <w:ind w:left="181" w:right="-20"/>
        <w:jc w:val="left"/>
      </w:pPr>
      <w:r>
        <w:rPr/>
        <w:br w:type="column"/>
      </w:r>
      <w:r>
        <w:rPr/>
        <w:t>公开发行 股票</w:t>
      </w:r>
    </w:p>
    <w:p>
      <w:pPr>
        <w:spacing w:line="240" w:lineRule="auto" w:before="7"/>
        <w:rPr>
          <w:rFonts w:ascii="宋体" w:hAnsi="宋体" w:cs="宋体" w:eastAsia="宋体" w:hint="default"/>
          <w:sz w:val="23"/>
          <w:szCs w:val="23"/>
        </w:rPr>
      </w:pPr>
      <w:r>
        <w:rPr/>
        <w:br w:type="column"/>
      </w:r>
      <w:r>
        <w:rPr>
          <w:rFonts w:ascii="宋体"/>
          <w:sz w:val="23"/>
        </w:rPr>
      </w:r>
    </w:p>
    <w:p>
      <w:pPr>
        <w:pStyle w:val="BodyText"/>
        <w:tabs>
          <w:tab w:pos="1367" w:val="left" w:leader="none"/>
          <w:tab w:pos="3422" w:val="left" w:leader="none"/>
          <w:tab w:pos="3751" w:val="left" w:leader="none"/>
          <w:tab w:pos="4696" w:val="left" w:leader="none"/>
          <w:tab w:pos="6031" w:val="left" w:leader="none"/>
        </w:tabs>
        <w:spacing w:line="240" w:lineRule="auto"/>
        <w:ind w:left="181" w:right="-20"/>
        <w:jc w:val="left"/>
        <w:rPr>
          <w:rFonts w:ascii="Times New Roman" w:hAnsi="Times New Roman" w:cs="Times New Roman" w:eastAsia="Times New Roman" w:hint="default"/>
        </w:rPr>
      </w:pPr>
      <w:r>
        <w:rPr>
          <w:rFonts w:ascii="Times New Roman"/>
          <w:spacing w:val="-1"/>
        </w:rPr>
        <w:t>31,080.83</w:t>
        <w:tab/>
      </w:r>
      <w:r>
        <w:rPr>
          <w:rFonts w:ascii="Times New Roman"/>
        </w:rPr>
        <w:t>78.41  </w:t>
      </w:r>
      <w:r>
        <w:rPr>
          <w:rFonts w:ascii="Times New Roman"/>
          <w:spacing w:val="20"/>
        </w:rPr>
        <w:t> </w:t>
      </w:r>
      <w:r>
        <w:rPr>
          <w:rFonts w:ascii="Times New Roman"/>
          <w:spacing w:val="-1"/>
        </w:rPr>
        <w:t>31,399.07</w:t>
        <w:tab/>
      </w:r>
      <w:r>
        <w:rPr>
          <w:rFonts w:ascii="Times New Roman"/>
        </w:rPr>
        <w:t>0</w:t>
        <w:tab/>
        <w:t>9,038.84</w:t>
        <w:tab/>
        <w:t>29.08%</w:t>
        <w:tab/>
        <w:t>0</w:t>
      </w:r>
    </w:p>
    <w:p>
      <w:pPr>
        <w:pStyle w:val="BodyText"/>
        <w:spacing w:line="217" w:lineRule="exact" w:before="110"/>
        <w:ind w:left="16" w:right="0"/>
        <w:jc w:val="left"/>
      </w:pPr>
      <w:r>
        <w:rPr/>
        <w:br w:type="column"/>
      </w:r>
      <w:r>
        <w:rPr/>
        <w:t>已使用完</w:t>
      </w:r>
    </w:p>
    <w:p>
      <w:pPr>
        <w:pStyle w:val="BodyText"/>
        <w:spacing w:line="142" w:lineRule="exact"/>
        <w:ind w:left="0" w:right="253"/>
        <w:jc w:val="right"/>
        <w:rPr>
          <w:rFonts w:ascii="Times New Roman" w:hAnsi="Times New Roman" w:cs="Times New Roman" w:eastAsia="Times New Roman" w:hint="default"/>
        </w:rPr>
      </w:pPr>
      <w:r>
        <w:rPr>
          <w:rFonts w:ascii="Times New Roman"/>
        </w:rPr>
        <w:t>0</w:t>
      </w:r>
    </w:p>
    <w:p>
      <w:pPr>
        <w:pStyle w:val="BodyText"/>
        <w:spacing w:line="189" w:lineRule="exact"/>
        <w:ind w:left="16" w:right="0"/>
        <w:jc w:val="left"/>
      </w:pPr>
      <w:r>
        <w:rPr/>
        <w:t>毕</w:t>
      </w:r>
    </w:p>
    <w:p>
      <w:pPr>
        <w:spacing w:after="0" w:line="189" w:lineRule="exact"/>
        <w:jc w:val="left"/>
        <w:sectPr>
          <w:type w:val="continuous"/>
          <w:pgSz w:w="11910" w:h="16840"/>
          <w:pgMar w:top="1060" w:bottom="1160" w:left="980" w:right="980"/>
          <w:cols w:num="4" w:equalWidth="0">
            <w:col w:w="771" w:space="96"/>
            <w:col w:w="902" w:space="60"/>
            <w:col w:w="6122" w:space="40"/>
            <w:col w:w="1959"/>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8"/>
          <w:szCs w:val="18"/>
        </w:rPr>
      </w:pPr>
    </w:p>
    <w:p>
      <w:pPr>
        <w:pStyle w:val="BodyText"/>
        <w:spacing w:line="240" w:lineRule="auto"/>
        <w:ind w:left="181" w:right="-18"/>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4"/>
          <w:szCs w:val="24"/>
        </w:rPr>
      </w:pPr>
    </w:p>
    <w:p>
      <w:pPr>
        <w:pStyle w:val="BodyText"/>
        <w:spacing w:line="314" w:lineRule="auto"/>
        <w:ind w:left="58" w:right="-20"/>
        <w:jc w:val="left"/>
      </w:pPr>
      <w:r>
        <w:rPr/>
        <w:t>非公开发 股票</w:t>
      </w:r>
    </w:p>
    <w:p>
      <w:pPr>
        <w:pStyle w:val="BodyText"/>
        <w:spacing w:line="316" w:lineRule="auto" w:before="110"/>
        <w:ind w:left="6199" w:right="1019"/>
        <w:jc w:val="left"/>
      </w:pPr>
      <w:r>
        <w:rPr>
          <w:spacing w:val="-18"/>
        </w:rPr>
        <w:br w:type="column"/>
      </w:r>
      <w:r>
        <w:rPr>
          <w:spacing w:val="-18"/>
        </w:rPr>
        <w:t>公司（全资</w:t>
      </w:r>
      <w:r>
        <w:rPr>
          <w:spacing w:val="-87"/>
        </w:rPr>
        <w:t> </w:t>
      </w:r>
      <w:r>
        <w:rPr>
          <w:spacing w:val="-87"/>
        </w:rPr>
      </w:r>
      <w:r>
        <w:rPr>
          <w:spacing w:val="-18"/>
        </w:rPr>
        <w:t>子公司）与</w:t>
      </w:r>
      <w:r>
        <w:rPr>
          <w:spacing w:val="-87"/>
        </w:rPr>
        <w:t> </w:t>
      </w:r>
      <w:r>
        <w:rPr>
          <w:spacing w:val="-87"/>
        </w:rPr>
      </w:r>
      <w:r>
        <w:rPr/>
        <w:t>银行机构、 西南证券 签订了募 集资金三 方（四方） 监管协议。 截至报告 </w:t>
      </w:r>
      <w:r>
        <w:rPr>
          <w:spacing w:val="-18"/>
        </w:rPr>
        <w:t>期末，公司</w:t>
      </w:r>
      <w:r>
        <w:rPr>
          <w:spacing w:val="-87"/>
        </w:rPr>
        <w:t> </w:t>
      </w:r>
      <w:r>
        <w:rPr>
          <w:spacing w:val="-87"/>
        </w:rPr>
      </w:r>
      <w:r>
        <w:rPr/>
        <w:t>实际补充 流动资金</w:t>
      </w:r>
    </w:p>
    <w:p>
      <w:pPr>
        <w:pStyle w:val="BodyText"/>
        <w:spacing w:line="240" w:lineRule="auto" w:before="61"/>
        <w:ind w:left="0" w:right="1216"/>
        <w:jc w:val="right"/>
        <w:rPr>
          <w:rFonts w:ascii="Times New Roman" w:hAnsi="Times New Roman" w:cs="Times New Roman" w:eastAsia="Times New Roman" w:hint="default"/>
        </w:rPr>
      </w:pPr>
      <w:r>
        <w:rPr>
          <w:rFonts w:ascii="Times New Roman"/>
          <w:spacing w:val="-1"/>
        </w:rPr>
        <w:t>35,600.00</w:t>
      </w:r>
    </w:p>
    <w:p>
      <w:pPr>
        <w:pStyle w:val="BodyText"/>
        <w:spacing w:line="240" w:lineRule="auto" w:before="63"/>
        <w:ind w:left="0" w:right="1123"/>
        <w:jc w:val="right"/>
      </w:pPr>
      <w:r>
        <w:rPr/>
        <w:t>万元</w:t>
      </w:r>
      <w:r>
        <w:rPr>
          <w:spacing w:val="-87"/>
        </w:rPr>
        <w:t>，</w:t>
      </w:r>
      <w:r>
        <w:rPr/>
        <w:t>公司</w:t>
      </w:r>
    </w:p>
    <w:p>
      <w:pPr>
        <w:pStyle w:val="BodyText"/>
        <w:tabs>
          <w:tab w:pos="3442" w:val="left" w:leader="none"/>
          <w:tab w:pos="4312" w:val="left" w:leader="none"/>
          <w:tab w:pos="4806" w:val="left" w:leader="none"/>
          <w:tab w:pos="7792" w:val="left" w:leader="none"/>
        </w:tabs>
        <w:spacing w:line="240" w:lineRule="auto" w:before="79"/>
        <w:ind w:left="111" w:right="0"/>
        <w:jc w:val="left"/>
        <w:rPr>
          <w:rFonts w:ascii="Times New Roman" w:hAnsi="Times New Roman" w:cs="Times New Roman" w:eastAsia="Times New Roman" w:hint="default"/>
        </w:rPr>
      </w:pPr>
      <w:r>
        <w:rPr>
          <w:rFonts w:ascii="Times New Roman" w:hAnsi="Times New Roman" w:cs="Times New Roman" w:eastAsia="Times New Roman" w:hint="default"/>
        </w:rPr>
        <w:t>287,454.52   41,193.68</w:t>
      </w:r>
      <w:r>
        <w:rPr>
          <w:rFonts w:ascii="Times New Roman" w:hAnsi="Times New Roman" w:cs="Times New Roman" w:eastAsia="Times New Roman" w:hint="default"/>
          <w:spacing w:val="24"/>
        </w:rPr>
        <w:t> </w:t>
      </w:r>
      <w:r>
        <w:rPr>
          <w:rFonts w:ascii="Times New Roman" w:hAnsi="Times New Roman" w:cs="Times New Roman" w:eastAsia="Times New Roman" w:hint="default"/>
        </w:rPr>
        <w:t>157,897.14</w:t>
        <w:tab/>
        <w:t>0</w:t>
        <w:tab/>
        <w:t>0</w:t>
        <w:tab/>
        <w:t>0.00% 136,491.13</w:t>
      </w:r>
      <w:r>
        <w:rPr>
          <w:rFonts w:ascii="Times New Roman" w:hAnsi="Times New Roman" w:cs="Times New Roman" w:eastAsia="Times New Roman" w:hint="default"/>
          <w:spacing w:val="23"/>
        </w:rPr>
        <w:t> </w:t>
      </w:r>
      <w:r>
        <w:rPr/>
        <w:t>实际进行</w:t>
      </w:r>
      <w:r>
        <w:rPr>
          <w:rFonts w:ascii="Times New Roman" w:hAnsi="Times New Roman" w:cs="Times New Roman" w:eastAsia="Times New Roman" w:hint="default"/>
        </w:rPr>
        <w:tab/>
        <w:t>0</w:t>
      </w:r>
    </w:p>
    <w:p>
      <w:pPr>
        <w:pStyle w:val="BodyText"/>
        <w:spacing w:line="340" w:lineRule="auto" w:before="60"/>
        <w:ind w:left="6199" w:right="1199"/>
        <w:jc w:val="left"/>
        <w:rPr>
          <w:rFonts w:ascii="Times New Roman" w:hAnsi="Times New Roman" w:cs="Times New Roman" w:eastAsia="Times New Roman" w:hint="default"/>
        </w:rPr>
      </w:pPr>
      <w:r>
        <w:rPr/>
        <w:t>现金管理 余额 </w:t>
      </w:r>
      <w:r>
        <w:rPr>
          <w:rFonts w:ascii="Times New Roman" w:hAnsi="Times New Roman" w:cs="Times New Roman" w:eastAsia="Times New Roman" w:hint="default"/>
        </w:rPr>
        <w:t>99,262.48</w:t>
      </w:r>
    </w:p>
    <w:p>
      <w:pPr>
        <w:pStyle w:val="BodyText"/>
        <w:spacing w:line="215" w:lineRule="exact"/>
        <w:ind w:left="6199" w:right="1019"/>
        <w:jc w:val="left"/>
      </w:pPr>
      <w:r>
        <w:rPr/>
        <w:t>万元</w:t>
      </w:r>
      <w:r>
        <w:rPr>
          <w:spacing w:val="-87"/>
        </w:rPr>
        <w:t>。</w:t>
      </w:r>
      <w:r>
        <w:rPr/>
        <w:t>其余</w:t>
      </w:r>
    </w:p>
    <w:p>
      <w:pPr>
        <w:pStyle w:val="BodyText"/>
        <w:spacing w:line="316" w:lineRule="auto" w:before="76"/>
        <w:ind w:left="6199" w:right="1019"/>
        <w:jc w:val="left"/>
      </w:pPr>
      <w:r>
        <w:rPr/>
        <w:t>尚未使用 募集资金 存放于专 </w:t>
      </w:r>
      <w:r>
        <w:rPr>
          <w:spacing w:val="-18"/>
        </w:rPr>
        <w:t>户中。公司</w:t>
      </w:r>
      <w:r>
        <w:rPr>
          <w:spacing w:val="-87"/>
        </w:rPr>
        <w:t> </w:t>
      </w:r>
      <w:r>
        <w:rPr>
          <w:spacing w:val="-87"/>
        </w:rPr>
      </w:r>
      <w:r>
        <w:rPr/>
        <w:t>募集资金 的使用合 理、规范， 信息披露 及时、准 确、完整。</w:t>
      </w:r>
    </w:p>
    <w:p>
      <w:pPr>
        <w:spacing w:after="0" w:line="316" w:lineRule="auto"/>
        <w:jc w:val="left"/>
        <w:sectPr>
          <w:type w:val="continuous"/>
          <w:pgSz w:w="11910" w:h="16840"/>
          <w:pgMar w:top="1060" w:bottom="1160" w:left="980" w:right="980"/>
          <w:cols w:num="3" w:equalWidth="0">
            <w:col w:w="951" w:space="40"/>
            <w:col w:w="779" w:space="40"/>
            <w:col w:w="8140"/>
          </w:cols>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67"/>
        <w:gridCol w:w="858"/>
        <w:gridCol w:w="880"/>
        <w:gridCol w:w="872"/>
        <w:gridCol w:w="869"/>
        <w:gridCol w:w="872"/>
        <w:gridCol w:w="869"/>
        <w:gridCol w:w="871"/>
        <w:gridCol w:w="881"/>
        <w:gridCol w:w="847"/>
        <w:gridCol w:w="881"/>
      </w:tblGrid>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88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318,535.35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0" w:right="0"/>
              <w:jc w:val="left"/>
              <w:rPr>
                <w:rFonts w:ascii="Times New Roman" w:hAnsi="Times New Roman" w:cs="Times New Roman" w:eastAsia="Times New Roman" w:hint="default"/>
                <w:sz w:val="18"/>
                <w:szCs w:val="18"/>
              </w:rPr>
            </w:pPr>
            <w:r>
              <w:rPr>
                <w:rFonts w:ascii="Times New Roman"/>
                <w:sz w:val="18"/>
              </w:rPr>
              <w:t>41,272.09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189,296.21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9,038.84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3" w:right="0"/>
              <w:jc w:val="left"/>
              <w:rPr>
                <w:rFonts w:ascii="Times New Roman" w:hAnsi="Times New Roman" w:cs="Times New Roman" w:eastAsia="Times New Roman" w:hint="default"/>
                <w:sz w:val="18"/>
                <w:szCs w:val="18"/>
              </w:rPr>
            </w:pPr>
            <w:r>
              <w:rPr>
                <w:rFonts w:ascii="Times New Roman"/>
                <w:sz w:val="18"/>
              </w:rPr>
              <w:t>29.08%</w:t>
            </w:r>
          </w:p>
        </w:tc>
        <w:tc>
          <w:tcPr>
            <w:tcW w:w="88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136,491.13</w:t>
            </w:r>
          </w:p>
        </w:tc>
        <w:tc>
          <w:tcPr>
            <w:tcW w:w="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5403"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8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日，公司实际使用募集资金投入募投项目共计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189,296.21 </w:t>
            </w:r>
            <w:r>
              <w:rPr>
                <w:rFonts w:ascii="宋体" w:hAnsi="宋体" w:cs="宋体" w:eastAsia="宋体" w:hint="default"/>
                <w:sz w:val="18"/>
                <w:szCs w:val="18"/>
              </w:rPr>
              <w:t>万元。其中各募投项目进展情况如下：</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、互联网数据服务一体化平台二期工程项目总投资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18,629.2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万元，截至本报告期末累计投入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18,797.91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万元，投入进度</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100.91%</w:t>
            </w:r>
            <w:r>
              <w:rPr>
                <w:rFonts w:ascii="宋体" w:hAnsi="宋体" w:cs="宋体" w:eastAsia="宋体" w:hint="default"/>
                <w:sz w:val="18"/>
                <w:szCs w:val="18"/>
              </w:rPr>
              <w:t>。</w:t>
            </w:r>
          </w:p>
          <w:p>
            <w:pPr>
              <w:pStyle w:val="TableParagraph"/>
              <w:spacing w:line="300" w:lineRule="auto" w:before="103"/>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、宽带接入服务拓展项目总投资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9,586.00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万元，调整后投资总额</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547.16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万元，截至本报告期末累计投入</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547.16</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万元，投</w:t>
            </w:r>
            <w:r>
              <w:rPr>
                <w:rFonts w:ascii="宋体" w:hAnsi="宋体" w:cs="宋体" w:eastAsia="宋体" w:hint="default"/>
                <w:sz w:val="18"/>
                <w:szCs w:val="18"/>
              </w:rPr>
              <w:t> 入进度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p>
            <w:pPr>
              <w:pStyle w:val="TableParagraph"/>
              <w:spacing w:line="300" w:lineRule="auto" w:before="53"/>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、上海嘉定绿色云计算基地项目（股权收购项目）调整后投资总额</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9,038.84 </w:t>
            </w:r>
            <w:r>
              <w:rPr>
                <w:rFonts w:ascii="宋体" w:hAnsi="宋体" w:cs="宋体" w:eastAsia="宋体" w:hint="default"/>
                <w:sz w:val="18"/>
                <w:szCs w:val="18"/>
              </w:rPr>
              <w:t>万元，截至本报告期末累计投入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9,146.58 </w:t>
            </w:r>
            <w:r>
              <w:rPr>
                <w:rFonts w:ascii="宋体" w:hAnsi="宋体" w:cs="宋体" w:eastAsia="宋体" w:hint="default"/>
                <w:sz w:val="18"/>
                <w:szCs w:val="18"/>
              </w:rPr>
              <w:t>万 元，投入进度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101.19%</w:t>
            </w:r>
            <w:r>
              <w:rPr>
                <w:rFonts w:ascii="宋体" w:hAnsi="宋体" w:cs="宋体" w:eastAsia="宋体" w:hint="default"/>
                <w:sz w:val="18"/>
                <w:szCs w:val="18"/>
              </w:rPr>
              <w:t>。</w:t>
            </w:r>
          </w:p>
          <w:p>
            <w:pPr>
              <w:pStyle w:val="TableParagraph"/>
              <w:spacing w:line="300" w:lineRule="auto" w:before="51"/>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、互联网技术研发中心扩建总投资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2,861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万元，本报告期内投入</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78.41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万元，截至本报告期末累计投入</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2,902.79</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万元，投</w:t>
            </w:r>
            <w:r>
              <w:rPr>
                <w:rFonts w:ascii="宋体" w:hAnsi="宋体" w:cs="宋体" w:eastAsia="宋体" w:hint="default"/>
                <w:sz w:val="18"/>
                <w:szCs w:val="18"/>
              </w:rPr>
              <w:t> 入进度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101.46%</w:t>
            </w:r>
            <w:r>
              <w:rPr>
                <w:rFonts w:ascii="宋体" w:hAnsi="宋体" w:cs="宋体" w:eastAsia="宋体" w:hint="default"/>
                <w:sz w:val="18"/>
                <w:szCs w:val="18"/>
              </w:rPr>
              <w:t>。</w:t>
            </w:r>
          </w:p>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、重组的现金对价总额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万元，截止本报告期末累计支付现金对价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0" w:lineRule="auto" w:before="103"/>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、燕郊光环云谷二期项目总投资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22,844.04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万元，本报告期内投入</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11,299.46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万元，截至本报告期末累计投入</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20,226.58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 元，投入进度</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88.54%</w:t>
            </w:r>
            <w:r>
              <w:rPr>
                <w:rFonts w:ascii="宋体" w:hAnsi="宋体" w:cs="宋体" w:eastAsia="宋体" w:hint="default"/>
                <w:sz w:val="18"/>
                <w:szCs w:val="18"/>
              </w:rPr>
              <w:t>。</w:t>
            </w:r>
          </w:p>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、上海嘉定绿色云计算基地项目总投资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57,354.83</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万元，本报告期内投入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17,324.22 </w:t>
            </w:r>
            <w:r>
              <w:rPr>
                <w:rFonts w:ascii="宋体" w:hAnsi="宋体" w:cs="宋体" w:eastAsia="宋体" w:hint="default"/>
                <w:sz w:val="18"/>
                <w:szCs w:val="18"/>
              </w:rPr>
              <w:t>万元，截至本报告期末累计投入</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35,828.48 </w:t>
            </w:r>
            <w:r>
              <w:rPr>
                <w:rFonts w:ascii="宋体" w:hAnsi="宋体" w:cs="宋体" w:eastAsia="宋体" w:hint="default"/>
                <w:sz w:val="18"/>
                <w:szCs w:val="18"/>
              </w:rPr>
              <w:t>万元，投入进度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62.47%</w:t>
            </w:r>
            <w:r>
              <w:rPr>
                <w:rFonts w:ascii="宋体" w:hAnsi="宋体" w:cs="宋体" w:eastAsia="宋体" w:hint="default"/>
                <w:sz w:val="18"/>
                <w:szCs w:val="18"/>
              </w:rPr>
              <w:t>。</w:t>
            </w:r>
          </w:p>
          <w:p>
            <w:pPr>
              <w:pStyle w:val="TableParagraph"/>
              <w:spacing w:line="240" w:lineRule="auto" w:before="10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72"/>
                <w:sz w:val="18"/>
                <w:szCs w:val="18"/>
              </w:rPr>
              <w:t>、</w:t>
            </w:r>
            <w:r>
              <w:rPr>
                <w:rFonts w:ascii="宋体" w:hAnsi="宋体" w:cs="宋体" w:eastAsia="宋体" w:hint="default"/>
                <w:sz w:val="18"/>
                <w:szCs w:val="18"/>
              </w:rPr>
              <w:t>房山绿色云计算基地项目总投资</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72"/>
                <w:sz w:val="18"/>
                <w:szCs w:val="18"/>
              </w:rPr>
              <w:t>，</w:t>
            </w:r>
            <w:r>
              <w:rPr>
                <w:rFonts w:ascii="宋体" w:hAnsi="宋体" w:cs="宋体" w:eastAsia="宋体" w:hint="default"/>
                <w:sz w:val="18"/>
                <w:szCs w:val="18"/>
              </w:rPr>
              <w:t>本报告期内投入</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72"/>
                <w:sz w:val="18"/>
                <w:szCs w:val="18"/>
              </w:rPr>
              <w:t>，</w:t>
            </w:r>
            <w:r>
              <w:rPr>
                <w:rFonts w:ascii="宋体" w:hAnsi="宋体" w:cs="宋体" w:eastAsia="宋体" w:hint="default"/>
                <w:sz w:val="18"/>
                <w:szCs w:val="18"/>
              </w:rPr>
              <w:t>截</w:t>
            </w:r>
            <w:r>
              <w:rPr>
                <w:rFonts w:ascii="宋体" w:hAnsi="宋体" w:cs="宋体" w:eastAsia="宋体" w:hint="default"/>
                <w:spacing w:val="-3"/>
                <w:sz w:val="18"/>
                <w:szCs w:val="18"/>
              </w:rPr>
              <w:t>至</w:t>
            </w:r>
            <w:r>
              <w:rPr>
                <w:rFonts w:ascii="宋体" w:hAnsi="宋体" w:cs="宋体" w:eastAsia="宋体" w:hint="default"/>
                <w:sz w:val="18"/>
                <w:szCs w:val="18"/>
              </w:rPr>
              <w:t>本报告期末累计投入</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万元，投入进度</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15.03%</w:t>
            </w:r>
            <w:r>
              <w:rPr>
                <w:rFonts w:ascii="宋体" w:hAnsi="宋体" w:cs="宋体" w:eastAsia="宋体" w:hint="default"/>
                <w:sz w:val="18"/>
                <w:szCs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1337"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1"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49"/>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3"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互联网数据服务一体 化平台二期工程</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18,629.2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18,629.2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18,797.91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100.91%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8,841.81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宽带接入服务拓展</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9,586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547.16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547.16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6,354.85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上海嘉定绿色云计算 基地项目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9,038.84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9,146.58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101.19%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117"/>
              <w:jc w:val="left"/>
              <w:rPr>
                <w:rFonts w:ascii="宋体" w:hAnsi="宋体" w:cs="宋体" w:eastAsia="宋体" w:hint="default"/>
                <w:sz w:val="18"/>
                <w:szCs w:val="18"/>
              </w:rPr>
            </w:pPr>
            <w:r>
              <w:rPr>
                <w:rFonts w:ascii="宋体" w:hAnsi="宋体" w:cs="宋体" w:eastAsia="宋体" w:hint="default"/>
                <w:sz w:val="18"/>
                <w:szCs w:val="18"/>
              </w:rPr>
              <w:t>互联网技术研发中心 扩建</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2,902.79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101.46%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r>
        <w:rPr/>
        <w:pict>
          <v:shape style="position:absolute;margin-left:56.400002pt;margin-top:71.999985pt;width:479.3pt;height:693.6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6"/>
                    <w:gridCol w:w="199"/>
                    <w:gridCol w:w="579"/>
                    <w:gridCol w:w="786"/>
                    <w:gridCol w:w="780"/>
                    <w:gridCol w:w="780"/>
                    <w:gridCol w:w="780"/>
                    <w:gridCol w:w="780"/>
                    <w:gridCol w:w="780"/>
                    <w:gridCol w:w="787"/>
                    <w:gridCol w:w="774"/>
                    <w:gridCol w:w="780"/>
                  </w:tblGrid>
                  <w:tr>
                    <w:trPr>
                      <w:trHeight w:val="1025"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重组的现金对价</w:t>
                        </w:r>
                      </w:p>
                    </w:tc>
                    <w:tc>
                      <w:tcPr>
                        <w:tcW w:w="7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83,200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83,200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83,200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7"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11"/>
                          <w:jc w:val="left"/>
                          <w:rPr>
                            <w:rFonts w:ascii="宋体" w:hAnsi="宋体" w:cs="宋体" w:eastAsia="宋体" w:hint="default"/>
                            <w:sz w:val="18"/>
                            <w:szCs w:val="18"/>
                          </w:rPr>
                        </w:pPr>
                        <w:r>
                          <w:rPr>
                            <w:rFonts w:ascii="宋体" w:hAnsi="宋体" w:cs="宋体" w:eastAsia="宋体" w:hint="default"/>
                            <w:sz w:val="18"/>
                            <w:szCs w:val="18"/>
                          </w:rPr>
                          <w:t>燕郊光环云谷二期项 目</w:t>
                        </w:r>
                      </w:p>
                    </w:tc>
                    <w:tc>
                      <w:tcPr>
                        <w:tcW w:w="7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22,844.04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22,844.04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11,299.46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20,226.58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88.54%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755.32</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1"/>
                          <w:jc w:val="left"/>
                          <w:rPr>
                            <w:rFonts w:ascii="宋体" w:hAnsi="宋体" w:cs="宋体" w:eastAsia="宋体" w:hint="default"/>
                            <w:sz w:val="18"/>
                            <w:szCs w:val="18"/>
                          </w:rPr>
                        </w:pPr>
                        <w:r>
                          <w:rPr>
                            <w:rFonts w:ascii="宋体" w:hAnsi="宋体" w:cs="宋体" w:eastAsia="宋体" w:hint="default"/>
                            <w:sz w:val="18"/>
                            <w:szCs w:val="18"/>
                          </w:rPr>
                          <w:t>上海嘉定绿色云计算 基地项目</w:t>
                        </w:r>
                      </w:p>
                    </w:tc>
                    <w:tc>
                      <w:tcPr>
                        <w:tcW w:w="7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57,354.83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57,354.83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17,324.22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35,828.48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62.47%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w w:val="95"/>
                            <w:sz w:val="18"/>
                          </w:rPr>
                          <w:t>1,039.21</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4" w:right="111"/>
                          <w:jc w:val="left"/>
                          <w:rPr>
                            <w:rFonts w:ascii="宋体" w:hAnsi="宋体" w:cs="宋体" w:eastAsia="宋体" w:hint="default"/>
                            <w:sz w:val="18"/>
                            <w:szCs w:val="18"/>
                          </w:rPr>
                        </w:pPr>
                        <w:r>
                          <w:rPr>
                            <w:rFonts w:ascii="宋体" w:hAnsi="宋体" w:cs="宋体" w:eastAsia="宋体" w:hint="default"/>
                            <w:sz w:val="18"/>
                            <w:szCs w:val="18"/>
                          </w:rPr>
                          <w:t>房山绿色云计算基地 项目</w:t>
                        </w:r>
                      </w:p>
                    </w:tc>
                    <w:tc>
                      <w:tcPr>
                        <w:tcW w:w="7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124,055.6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124,055.6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18,642.08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15.03%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7"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766"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86"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318,530.7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318,530.7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41,272.09</w:t>
                        </w:r>
                      </w:p>
                    </w:tc>
                    <w:tc>
                      <w:tcPr>
                        <w:tcW w:w="780" w:type="dxa"/>
                        <w:vMerge w:val="restart"/>
                        <w:tcBorders>
                          <w:top w:val="single" w:sz="4" w:space="0" w:color="000000"/>
                          <w:left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189,291.5</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7" w:type="dxa"/>
                        <w:vMerge w:val="restart"/>
                        <w:tcBorders>
                          <w:top w:val="single" w:sz="4" w:space="0" w:color="000000"/>
                          <w:left w:val="single" w:sz="10" w:space="0" w:color="D2D2D2"/>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16,991.19</w:t>
                        </w:r>
                      </w:p>
                    </w:tc>
                    <w:tc>
                      <w:tcPr>
                        <w:tcW w:w="7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7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786"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7" w:type="dxa"/>
                        <w:vMerge/>
                        <w:tcBorders>
                          <w:left w:val="single" w:sz="10" w:space="0" w:color="D2D2D2"/>
                          <w:right w:val="single" w:sz="10" w:space="0" w:color="D2D2D2"/>
                        </w:tcBorders>
                      </w:tcPr>
                      <w:p>
                        <w:pPr/>
                      </w:p>
                    </w:tc>
                    <w:tc>
                      <w:tcPr>
                        <w:tcW w:w="7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68" w:hRule="exact"/>
                    </w:trPr>
                    <w:tc>
                      <w:tcPr>
                        <w:tcW w:w="1766"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86"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7" w:type="dxa"/>
                        <w:vMerge/>
                        <w:tcBorders>
                          <w:left w:val="single" w:sz="10" w:space="0" w:color="D2D2D2"/>
                          <w:bottom w:val="single" w:sz="4" w:space="0" w:color="000000"/>
                          <w:right w:val="single" w:sz="10" w:space="0" w:color="D2D2D2"/>
                        </w:tcBorders>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1"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78" w:type="dxa"/>
                        <w:gridSpan w:val="2"/>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19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w:t>
                        </w:r>
                      </w:p>
                    </w:tc>
                    <w:tc>
                      <w:tcPr>
                        <w:tcW w:w="57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3"/>
                          <w:ind w:left="135" w:right="0"/>
                          <w:jc w:val="lef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4.63</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4.63</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26" w:right="0"/>
                          <w:jc w:val="left"/>
                          <w:rPr>
                            <w:rFonts w:ascii="Times New Roman" w:hAnsi="Times New Roman" w:cs="Times New Roman" w:eastAsia="Times New Roman" w:hint="default"/>
                            <w:sz w:val="18"/>
                            <w:szCs w:val="18"/>
                          </w:rPr>
                        </w:pPr>
                        <w:r>
                          <w:rPr>
                            <w:rFonts w:ascii="Times New Roman"/>
                            <w:sz w:val="18"/>
                          </w:rPr>
                          <w:t>--</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4.63</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4.63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7" w:type="dxa"/>
                        <w:tcBorders>
                          <w:top w:val="single" w:sz="4" w:space="0" w:color="000000"/>
                          <w:left w:val="single" w:sz="13" w:space="0" w:color="D2D2D2"/>
                          <w:bottom w:val="single" w:sz="4" w:space="0" w:color="000000"/>
                          <w:right w:val="single" w:sz="10" w:space="0" w:color="D2D2D2"/>
                        </w:tcBorders>
                      </w:tcPr>
                      <w:p>
                        <w:pP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1766"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86"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318,535.3</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5</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318,535.3</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5</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41,272.09</w:t>
                        </w:r>
                      </w:p>
                    </w:tc>
                    <w:tc>
                      <w:tcPr>
                        <w:tcW w:w="780" w:type="dxa"/>
                        <w:vMerge w:val="restart"/>
                        <w:tcBorders>
                          <w:top w:val="single" w:sz="4" w:space="0" w:color="000000"/>
                          <w:left w:val="single" w:sz="4" w:space="0" w:color="000000"/>
                          <w:right w:val="single" w:sz="10" w:space="0" w:color="D2D2D2"/>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189,296.2</w:t>
                        </w:r>
                      </w:p>
                      <w:p>
                        <w:pPr>
                          <w:pStyle w:val="TableParagraph"/>
                          <w:spacing w:line="240" w:lineRule="auto" w:before="103"/>
                          <w:ind w:right="13"/>
                          <w:jc w:val="right"/>
                          <w:rPr>
                            <w:rFonts w:ascii="Times New Roman" w:hAnsi="Times New Roman" w:cs="Times New Roman" w:eastAsia="Times New Roman" w:hint="default"/>
                            <w:sz w:val="18"/>
                            <w:szCs w:val="18"/>
                          </w:rPr>
                        </w:pPr>
                        <w:r>
                          <w:rPr>
                            <w:rFonts w:ascii="Times New Roman"/>
                            <w:sz w:val="18"/>
                          </w:rPr>
                          <w:t>1</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7" w:type="dxa"/>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16,991.19</w:t>
                        </w:r>
                      </w:p>
                    </w:tc>
                    <w:tc>
                      <w:tcPr>
                        <w:tcW w:w="7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7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786"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7" w:type="dxa"/>
                        <w:vMerge/>
                        <w:tcBorders>
                          <w:left w:val="single" w:sz="10" w:space="0" w:color="D2D2D2"/>
                          <w:right w:val="single" w:sz="10" w:space="0" w:color="D2D2D2"/>
                        </w:tcBorders>
                      </w:tcPr>
                      <w:p>
                        <w:pPr/>
                      </w:p>
                    </w:tc>
                    <w:tc>
                      <w:tcPr>
                        <w:tcW w:w="7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766"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86"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7" w:type="dxa"/>
                        <w:vMerge/>
                        <w:tcBorders>
                          <w:left w:val="single" w:sz="10" w:space="0" w:color="D2D2D2"/>
                          <w:bottom w:val="single" w:sz="4" w:space="0" w:color="000000"/>
                          <w:right w:val="single" w:sz="10" w:space="0" w:color="D2D2D2"/>
                        </w:tcBorders>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176" w:hRule="exact"/>
                    </w:trPr>
                    <w:tc>
                      <w:tcPr>
                        <w:tcW w:w="176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5" w:type="dxa"/>
                        <w:gridSpan w:val="11"/>
                        <w:vMerge w:val="restart"/>
                        <w:tcBorders>
                          <w:top w:val="single" w:sz="4" w:space="0" w:color="000000"/>
                          <w:left w:val="single" w:sz="10" w:space="0" w:color="D2D2D2"/>
                          <w:right w:val="single" w:sz="4" w:space="0" w:color="000000"/>
                        </w:tcBorders>
                      </w:tcPr>
                      <w:p>
                        <w:pPr>
                          <w:pStyle w:val="TableParagraph"/>
                          <w:spacing w:line="309" w:lineRule="auto" w:before="49"/>
                          <w:ind w:left="22" w:right="5"/>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、互联网数据服务一体化平台二期工程项目预计收益主要包括 </w:t>
                        </w:r>
                        <w:r>
                          <w:rPr>
                            <w:rFonts w:ascii="Times New Roman" w:hAnsi="Times New Roman" w:cs="Times New Roman" w:eastAsia="Times New Roman" w:hint="default"/>
                            <w:sz w:val="18"/>
                            <w:szCs w:val="18"/>
                          </w:rPr>
                          <w:t>IDC </w:t>
                        </w:r>
                        <w:r>
                          <w:rPr>
                            <w:rFonts w:ascii="宋体" w:hAnsi="宋体" w:cs="宋体" w:eastAsia="宋体" w:hint="default"/>
                            <w:sz w:val="18"/>
                            <w:szCs w:val="18"/>
                          </w:rPr>
                          <w:t>业务收益及 </w:t>
                        </w:r>
                        <w:r>
                          <w:rPr>
                            <w:rFonts w:ascii="Times New Roman" w:hAnsi="Times New Roman" w:cs="Times New Roman" w:eastAsia="Times New Roman" w:hint="default"/>
                            <w:sz w:val="18"/>
                            <w:szCs w:val="18"/>
                          </w:rPr>
                          <w:t>CDN </w:t>
                        </w:r>
                        <w:r>
                          <w:rPr>
                            <w:rFonts w:ascii="宋体" w:hAnsi="宋体" w:cs="宋体" w:eastAsia="宋体" w:hint="default"/>
                            <w:sz w:val="18"/>
                            <w:szCs w:val="18"/>
                          </w:rPr>
                          <w:t>业务收益， 随着市场环境及公司发展战略的变化，并未按照项目规划大规模发展，从而导致该项目未达到预计 收益。</w:t>
                        </w:r>
                      </w:p>
                      <w:p>
                        <w:pPr>
                          <w:pStyle w:val="TableParagraph"/>
                          <w:spacing w:line="240" w:lineRule="auto" w:before="62"/>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、因宽带接入服务拓展项目的制定时间较早，近几年市场环境发生较大变化，经第二届董事会</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2014</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年第八次董事会和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年第二次临时股东大会审议通过，变更该项目募集资金投向收购光环新网</w:t>
                        </w:r>
                      </w:p>
                      <w:p>
                        <w:pPr>
                          <w:pStyle w:val="TableParagraph"/>
                          <w:spacing w:line="300" w:lineRule="auto" w:before="63"/>
                          <w:ind w:left="22" w:right="50"/>
                          <w:jc w:val="both"/>
                          <w:rPr>
                            <w:rFonts w:ascii="宋体" w:hAnsi="宋体" w:cs="宋体" w:eastAsia="宋体" w:hint="default"/>
                            <w:sz w:val="18"/>
                            <w:szCs w:val="18"/>
                          </w:rPr>
                        </w:pPr>
                        <w:r>
                          <w:rPr>
                            <w:rFonts w:ascii="宋体" w:hAnsi="宋体" w:cs="宋体" w:eastAsia="宋体" w:hint="default"/>
                            <w:sz w:val="18"/>
                            <w:szCs w:val="18"/>
                          </w:rPr>
                          <w:t>（上海）信息服务有限公司（原上海明月光学有限公司）</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股权，并已于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月完成了收 购工作，光环新网（上海）信息服务有限公司是上海嘉定绿色云计算基地项目的实施主体。</w:t>
                        </w:r>
                      </w:p>
                      <w:p>
                        <w:pPr>
                          <w:pStyle w:val="TableParagraph"/>
                          <w:spacing w:line="240" w:lineRule="auto" w:before="72"/>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、互联网技术研发中心扩建项目已基本建成。</w:t>
                        </w:r>
                      </w:p>
                      <w:p>
                        <w:pPr>
                          <w:pStyle w:val="TableParagraph"/>
                          <w:spacing w:line="240" w:lineRule="auto" w:before="104"/>
                          <w:ind w:left="22" w:right="0"/>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、报告期内，燕郊光环云谷二期项目已有部分模块投入使用，在建项目已有部分模块完成验收工作</w:t>
                        </w:r>
                      </w:p>
                      <w:p>
                        <w:pPr>
                          <w:pStyle w:val="TableParagraph"/>
                          <w:spacing w:line="240" w:lineRule="auto" w:before="10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、报告期内，上海嘉定绿色云计算基地项目已有部分模块投入使用。</w:t>
                        </w:r>
                      </w:p>
                    </w:tc>
                  </w:tr>
                  <w:tr>
                    <w:trPr>
                      <w:trHeight w:val="1018" w:hRule="exact"/>
                    </w:trPr>
                    <w:tc>
                      <w:tcPr>
                        <w:tcW w:w="17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11"/>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5" w:type="dxa"/>
                        <w:gridSpan w:val="11"/>
                        <w:vMerge/>
                        <w:tcBorders>
                          <w:left w:val="single" w:sz="10" w:space="0" w:color="D2D2D2"/>
                          <w:right w:val="single" w:sz="4" w:space="0" w:color="000000"/>
                        </w:tcBorders>
                      </w:tcPr>
                      <w:p>
                        <w:pPr/>
                      </w:p>
                    </w:tc>
                  </w:tr>
                  <w:tr>
                    <w:trPr>
                      <w:trHeight w:val="1177" w:hRule="exact"/>
                    </w:trPr>
                    <w:tc>
                      <w:tcPr>
                        <w:tcW w:w="176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5" w:type="dxa"/>
                        <w:gridSpan w:val="11"/>
                        <w:vMerge/>
                        <w:tcBorders>
                          <w:left w:val="single" w:sz="10" w:space="0" w:color="D2D2D2"/>
                          <w:bottom w:val="single" w:sz="4" w:space="0" w:color="000000"/>
                          <w:right w:val="single" w:sz="4" w:space="0" w:color="000000"/>
                        </w:tcBorders>
                      </w:tcPr>
                      <w:p>
                        <w:pPr/>
                      </w:p>
                    </w:tc>
                  </w:tr>
                  <w:tr>
                    <w:trPr>
                      <w:trHeight w:val="941" w:hRule="exact"/>
                    </w:trPr>
                    <w:tc>
                      <w:tcPr>
                        <w:tcW w:w="176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5" w:type="dxa"/>
                        <w:gridSpan w:val="11"/>
                        <w:vMerge w:val="restart"/>
                        <w:tcBorders>
                          <w:top w:val="single" w:sz="4" w:space="0" w:color="000000"/>
                          <w:left w:val="single" w:sz="10" w:space="0" w:color="D2D2D2"/>
                          <w:right w:val="single" w:sz="4" w:space="0" w:color="000000"/>
                        </w:tcBorders>
                      </w:tcPr>
                      <w:p>
                        <w:pPr>
                          <w:pStyle w:val="TableParagraph"/>
                          <w:spacing w:line="304" w:lineRule="auto" w:before="49"/>
                          <w:ind w:left="22" w:right="17"/>
                          <w:jc w:val="both"/>
                          <w:rPr>
                            <w:rFonts w:ascii="宋体" w:hAnsi="宋体" w:cs="宋体" w:eastAsia="宋体" w:hint="default"/>
                            <w:sz w:val="18"/>
                            <w:szCs w:val="18"/>
                          </w:rPr>
                        </w:pPr>
                        <w:r>
                          <w:rPr>
                            <w:rFonts w:ascii="宋体" w:hAnsi="宋体" w:cs="宋体" w:eastAsia="宋体" w:hint="default"/>
                            <w:sz w:val="18"/>
                            <w:szCs w:val="18"/>
                          </w:rPr>
                          <w:t>为顺应 </w:t>
                        </w: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迅速发展的市场行情，抓住云计算、大数据的发展契机，落实公司战略发展布局，经 公司第二届董事会</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年第八次董事会和</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pacing w:val="-4"/>
                            <w:w w:val="100"/>
                            <w:sz w:val="18"/>
                            <w:szCs w:val="18"/>
                          </w:rPr>
                          <w:t>年第二次临时股东大会审议通过，同意公司终止</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宽</w:t>
                        </w:r>
                        <w:r>
                          <w:rPr>
                            <w:rFonts w:ascii="宋体" w:hAnsi="宋体" w:cs="宋体" w:eastAsia="宋体" w:hint="default"/>
                            <w:sz w:val="18"/>
                            <w:szCs w:val="18"/>
                          </w:rPr>
                          <w:t> 带接入服务拓展项目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，变更该项目募集资金投向收购光环新网（上海）信息服务有限公司</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 权。股权转让完成后，光环新网（上海）信息服务有限公司成为公司的全资子公司，负责实施上海 嘉定绿色云计算基地项目。截至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日，原</w:t>
                        </w:r>
                        <w:r>
                          <w:rPr>
                            <w:rFonts w:ascii="Times New Roman" w:hAnsi="Times New Roman" w:cs="Times New Roman" w:eastAsia="Times New Roman" w:hint="default"/>
                            <w:sz w:val="18"/>
                            <w:szCs w:val="18"/>
                          </w:rPr>
                          <w:t>"</w:t>
                        </w:r>
                        <w:r>
                          <w:rPr>
                            <w:rFonts w:ascii="宋体" w:hAnsi="宋体" w:cs="宋体" w:eastAsia="宋体" w:hint="default"/>
                            <w:sz w:val="18"/>
                            <w:szCs w:val="18"/>
                          </w:rPr>
                          <w:t>宽带接入服务拓展项目</w:t>
                        </w:r>
                        <w:r>
                          <w:rPr>
                            <w:rFonts w:ascii="Times New Roman" w:hAnsi="Times New Roman" w:cs="Times New Roman" w:eastAsia="Times New Roman" w:hint="default"/>
                            <w:sz w:val="18"/>
                            <w:szCs w:val="18"/>
                          </w:rPr>
                          <w:t>"</w:t>
                        </w:r>
                        <w:r>
                          <w:rPr>
                            <w:rFonts w:ascii="宋体" w:hAnsi="宋体" w:cs="宋体" w:eastAsia="宋体" w:hint="default"/>
                            <w:sz w:val="18"/>
                            <w:szCs w:val="18"/>
                          </w:rPr>
                          <w:t>剩余募集资金</w:t>
                        </w:r>
                      </w:p>
                      <w:p>
                        <w:pPr>
                          <w:pStyle w:val="TableParagraph"/>
                          <w:spacing w:line="300" w:lineRule="auto" w:before="9"/>
                          <w:ind w:left="22" w:right="-24"/>
                          <w:jc w:val="both"/>
                          <w:rPr>
                            <w:rFonts w:ascii="宋体" w:hAnsi="宋体" w:cs="宋体" w:eastAsia="宋体" w:hint="default"/>
                            <w:sz w:val="18"/>
                            <w:szCs w:val="18"/>
                          </w:rPr>
                        </w:pPr>
                        <w:r>
                          <w:rPr>
                            <w:rFonts w:ascii="Times New Roman" w:hAnsi="Times New Roman" w:cs="Times New Roman" w:eastAsia="Times New Roman" w:hint="default"/>
                            <w:sz w:val="18"/>
                            <w:szCs w:val="18"/>
                          </w:rPr>
                          <w:t>90,388,396.40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元，账户净损益</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902,661.40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元，合计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91,291,057.80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元全部用于收购光环新网（上海） 信息服务有限公司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月公司已完成了上述收购工作，截至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年末，该募集资</w:t>
                        </w:r>
                        <w:r>
                          <w:rPr>
                            <w:rFonts w:ascii="宋体" w:hAnsi="宋体" w:cs="宋体" w:eastAsia="宋体" w:hint="default"/>
                            <w:sz w:val="18"/>
                            <w:szCs w:val="18"/>
                          </w:rPr>
                          <w:t> 金账户余额已全部用于支付收购款项。</w:t>
                        </w:r>
                      </w:p>
                    </w:tc>
                  </w:tr>
                  <w:tr>
                    <w:trPr>
                      <w:trHeight w:val="706" w:hRule="exact"/>
                    </w:trPr>
                    <w:tc>
                      <w:tcPr>
                        <w:tcW w:w="17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11"/>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5" w:type="dxa"/>
                        <w:gridSpan w:val="11"/>
                        <w:vMerge/>
                        <w:tcBorders>
                          <w:left w:val="single" w:sz="10" w:space="0" w:color="D2D2D2"/>
                          <w:right w:val="single" w:sz="4" w:space="0" w:color="000000"/>
                        </w:tcBorders>
                      </w:tcPr>
                      <w:p>
                        <w:pPr/>
                      </w:p>
                    </w:tc>
                  </w:tr>
                  <w:tr>
                    <w:trPr>
                      <w:trHeight w:val="941" w:hRule="exact"/>
                    </w:trPr>
                    <w:tc>
                      <w:tcPr>
                        <w:tcW w:w="176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5" w:type="dxa"/>
                        <w:gridSpan w:val="11"/>
                        <w:vMerge/>
                        <w:tcBorders>
                          <w:left w:val="single" w:sz="10" w:space="0" w:color="D2D2D2"/>
                          <w:bottom w:val="single" w:sz="4" w:space="0" w:color="000000"/>
                          <w:right w:val="single" w:sz="4" w:space="0" w:color="000000"/>
                        </w:tcBorders>
                      </w:tcPr>
                      <w:p>
                        <w:pPr/>
                      </w:p>
                    </w:tc>
                  </w:tr>
                  <w:tr>
                    <w:trPr>
                      <w:trHeight w:val="401" w:hRule="exact"/>
                    </w:trPr>
                    <w:tc>
                      <w:tcPr>
                        <w:tcW w:w="17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3"/>
                          <w:ind w:left="24" w:right="16"/>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805"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62" w:hRule="exact"/>
                    </w:trPr>
                    <w:tc>
                      <w:tcPr>
                        <w:tcW w:w="1766" w:type="dxa"/>
                        <w:vMerge/>
                        <w:tcBorders>
                          <w:left w:val="single" w:sz="4" w:space="0" w:color="000000"/>
                          <w:bottom w:val="single" w:sz="4" w:space="0" w:color="000000"/>
                          <w:right w:val="single" w:sz="4" w:space="0" w:color="000000"/>
                        </w:tcBorders>
                        <w:shd w:val="clear" w:color="auto" w:fill="D2D2D2"/>
                      </w:tcPr>
                      <w:p>
                        <w:pPr/>
                      </w:p>
                    </w:tc>
                    <w:tc>
                      <w:tcPr>
                        <w:tcW w:w="7805"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首次公开发行股票超募资金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4.63 </w:t>
                        </w:r>
                        <w:r>
                          <w:rPr>
                            <w:rFonts w:ascii="宋体" w:hAnsi="宋体" w:cs="宋体" w:eastAsia="宋体" w:hint="default"/>
                            <w:sz w:val="18"/>
                            <w:szCs w:val="18"/>
                          </w:rPr>
                          <w:t>万元，用于补充公司流动资金，截至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日已全部用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before="44"/>
        <w:ind w:left="0" w:right="158"/>
        <w:jc w:val="right"/>
      </w:pPr>
      <w:r>
        <w:rPr/>
        <w:t>。</w:t>
      </w:r>
    </w:p>
    <w:p>
      <w:pPr>
        <w:spacing w:after="0" w:line="240" w:lineRule="auto"/>
        <w:jc w:val="right"/>
        <w:sectPr>
          <w:pgSz w:w="11910" w:h="16840"/>
          <w:pgMar w:header="745" w:footer="979" w:top="1060" w:bottom="1160" w:left="980" w:right="980"/>
        </w:sectPr>
      </w:pPr>
    </w:p>
    <w:p>
      <w:pPr>
        <w:spacing w:line="240" w:lineRule="auto" w:before="0"/>
        <w:rPr>
          <w:rFonts w:ascii="宋体" w:hAnsi="宋体" w:cs="宋体" w:eastAsia="宋体" w:hint="default"/>
          <w:sz w:val="20"/>
          <w:szCs w:val="20"/>
        </w:rPr>
      </w:pPr>
      <w:r>
        <w:rPr/>
        <w:pict>
          <v:shape style="position:absolute;margin-left:56.459999pt;margin-top:71.999985pt;width:479.2pt;height:693.6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9"/>
                  </w:tblGrid>
                  <w:tr>
                    <w:trPr>
                      <w:trHeight w:val="36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于永久补充流动资金。</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4"/>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1770" w:type="dxa"/>
                        <w:vMerge/>
                        <w:tcBorders>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96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jc w:val="both"/>
                          <w:rPr>
                            <w:rFonts w:ascii="宋体" w:hAnsi="宋体" w:cs="宋体" w:eastAsia="宋体" w:hint="default"/>
                            <w:sz w:val="18"/>
                            <w:szCs w:val="18"/>
                          </w:rPr>
                        </w:pPr>
                        <w:r>
                          <w:rPr>
                            <w:rFonts w:ascii="宋体" w:hAnsi="宋体" w:cs="宋体" w:eastAsia="宋体" w:hint="default"/>
                            <w:sz w:val="18"/>
                            <w:szCs w:val="18"/>
                          </w:rPr>
                          <w:t>公司第三届董事会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年第二次会议、第三届监事会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年第二次会议审议通过，并经独立董事 </w:t>
                        </w:r>
                        <w:r>
                          <w:rPr>
                            <w:rFonts w:ascii="宋体" w:hAnsi="宋体" w:cs="宋体" w:eastAsia="宋体" w:hint="default"/>
                            <w:spacing w:val="-2"/>
                            <w:sz w:val="18"/>
                            <w:szCs w:val="18"/>
                          </w:rPr>
                          <w:t>发表独立意见、</w:t>
                        </w:r>
                        <w:r>
                          <w:rPr>
                            <w:rFonts w:ascii="Times New Roman" w:hAnsi="Times New Roman" w:cs="Times New Roman" w:eastAsia="Times New Roman" w:hint="default"/>
                            <w:spacing w:val="-2"/>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pacing w:val="-1"/>
                            <w:sz w:val="18"/>
                            <w:szCs w:val="18"/>
                          </w:rPr>
                          <w:t>年度股东大会审议通过，同意公司变更互联网数据服务一体化平台项目原来的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实施方案，公司拟收购德信智能手机技术（北京）有限公司（以下简称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德信技术</w:t>
                        </w:r>
                        <w:r>
                          <w:rPr>
                            <w:rFonts w:ascii="Times New Roman" w:hAnsi="Times New Roman" w:cs="Times New Roman" w:eastAsia="Times New Roman" w:hint="default"/>
                            <w:sz w:val="18"/>
                            <w:szCs w:val="18"/>
                          </w:rPr>
                          <w:t>”</w:t>
                        </w:r>
                        <w:r>
                          <w:rPr>
                            <w:rFonts w:ascii="宋体" w:hAnsi="宋体" w:cs="宋体" w:eastAsia="宋体" w:hint="default"/>
                            <w:sz w:val="18"/>
                            <w:szCs w:val="18"/>
                          </w:rPr>
                          <w:t>）拥有的北京市 朝阳区酒仙桥北路甲</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号院的</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号楼的第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层和第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层房屋作为机房，改为公司收购德信技术持</w:t>
                        </w:r>
                        <w:r>
                          <w:rPr>
                            <w:rFonts w:ascii="宋体" w:hAnsi="宋体" w:cs="宋体" w:eastAsia="宋体" w:hint="default"/>
                            <w:sz w:val="18"/>
                            <w:szCs w:val="18"/>
                          </w:rPr>
                          <w:t> 有的亚逊新网的股权，从而间接达到收购上述房屋的目的。</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月，亚逊新网完成了工商变更 登记。</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0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pacing w:val="-3"/>
                            <w:sz w:val="18"/>
                            <w:szCs w:val="18"/>
                          </w:rPr>
                          <w:t>日，公司第二届董事会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年第三次会议和第二届监事会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年第一次会议审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议通过，并经独立董事发表独立意见，同意公司使用募集资金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106,241,143.30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元置换预先已投入募</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集资金投资项目的自筹资金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106,241,143.30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元。上述置换已于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日实施完毕。</w:t>
                        </w:r>
                      </w:p>
                      <w:p>
                        <w:pPr>
                          <w:pStyle w:val="TableParagraph"/>
                          <w:spacing w:line="240" w:lineRule="auto" w:before="103"/>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日，公司第三届董事会</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年第四次会议审议通过，并经独立董事发表独立意见</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同意公司使用非公开发行股份募集资金</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44,545,361.13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元置换预先已投入募集资金投资项目的自筹资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日，上述置换已全部实施完毕。</w:t>
                        </w: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314" w:lineRule="auto"/>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626"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日，公司第三届董事会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年第四次会议和第三届监事会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年第四次会议审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议通过，并经独立董事发表独立意见，同意公司使用不超过</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35,000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万元的闲置非公开发行募集资金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暂时补充流动资金，使用期限为自董事会批准之日起</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个月内，到期后将及时归还至募集资金专用</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账户。</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日，公司已将补充流动资金归还。</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日，公司第三届董事会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年第四次会议和第三届监事会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年第三次会议审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议通过，并经独立董事发表独立意见，同意公司使用不超过</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万元的闲置非公开发行募集资金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暂时补充流动资金，使用期限为自董事会批准之日起</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个月内，到期后将及时归还至募集资金专用</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账户。截至报告期末，公司实际补充流动资金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35,600.00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4"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5"/>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3291"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0"/>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、公司（全资子公司）已与银行机构、西南证券签订了募集资金三方（四方）监管协议。</w:t>
                        </w:r>
                      </w:p>
                      <w:p>
                        <w:pPr>
                          <w:pStyle w:val="TableParagraph"/>
                          <w:spacing w:line="240" w:lineRule="auto" w:before="10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日，公司第三届董事会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年第四次会议和第三届监事会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年第四次会议审</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议通过，并经独立董事发表独立意见，同意公司使用不超过</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35,000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万元的闲置非公开发行募集资金</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暂时补充流动资金，使用期限为自董事会批准之日起</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个月内，到期后将及时归还至募集资金专用</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账户。</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日，公司已将上述补充流动资金归还。</w:t>
                        </w:r>
                      </w:p>
                      <w:p>
                        <w:pPr>
                          <w:pStyle w:val="TableParagraph"/>
                          <w:spacing w:line="309" w:lineRule="auto" w:before="101"/>
                          <w:ind w:left="24"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pacing w:val="-5"/>
                            <w:sz w:val="18"/>
                            <w:szCs w:val="18"/>
                          </w:rPr>
                          <w:t>日，公司第三届董事会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年第四次会议和第三届监事会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年第三次会议审议通 </w:t>
                        </w:r>
                        <w:r>
                          <w:rPr>
                            <w:rFonts w:ascii="宋体" w:hAnsi="宋体" w:cs="宋体" w:eastAsia="宋体" w:hint="default"/>
                            <w:spacing w:val="-5"/>
                            <w:sz w:val="18"/>
                            <w:szCs w:val="18"/>
                          </w:rPr>
                          <w:t>过了《关于继续使用部分闲置募集资金暂时补充流动资金的议案》，并经独立董事发表独立意见，同</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意公司继续使用不超过</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万元的闲置非公开发行募集资金暂时补充流动资金，使用期限为自董</w:t>
                        </w:r>
                      </w:p>
                      <w:p>
                        <w:pPr>
                          <w:pStyle w:val="TableParagraph"/>
                          <w:spacing w:line="240" w:lineRule="auto" w:before="5"/>
                          <w:ind w:left="24" w:right="0"/>
                          <w:jc w:val="both"/>
                          <w:rPr>
                            <w:rFonts w:ascii="宋体" w:hAnsi="宋体" w:cs="宋体" w:eastAsia="宋体" w:hint="default"/>
                            <w:sz w:val="18"/>
                            <w:szCs w:val="18"/>
                          </w:rPr>
                        </w:pPr>
                        <w:r>
                          <w:rPr>
                            <w:rFonts w:ascii="宋体" w:hAnsi="宋体" w:cs="宋体" w:eastAsia="宋体" w:hint="default"/>
                            <w:sz w:val="18"/>
                            <w:szCs w:val="18"/>
                          </w:rPr>
                          <w:t>事会批准之日起</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个月内，到期后将及时归还至募集资金专用账户。截至报告期末，公司实际补充</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before="44"/>
        <w:ind w:left="0" w:right="156"/>
        <w:jc w:val="right"/>
      </w:pPr>
      <w:r>
        <w:rPr/>
        <w:t>，</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9"/>
      </w:tblGrid>
      <w:tr>
        <w:trPr>
          <w:trHeight w:val="4851"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日，公司第三届董事会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年第四次会议和第三届监事会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年第四次会议审</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议通过，并经独立董事发表独立意见，同意公司使用不超过</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38,000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万元的暂时闲置的募集资金进行</w:t>
            </w:r>
          </w:p>
          <w:p>
            <w:pPr>
              <w:pStyle w:val="TableParagraph"/>
              <w:spacing w:line="309" w:lineRule="auto" w:before="63"/>
              <w:ind w:left="24" w:right="19"/>
              <w:jc w:val="both"/>
              <w:rPr>
                <w:rFonts w:ascii="宋体" w:hAnsi="宋体" w:cs="宋体" w:eastAsia="宋体" w:hint="default"/>
                <w:sz w:val="18"/>
                <w:szCs w:val="18"/>
              </w:rPr>
            </w:pPr>
            <w:r>
              <w:rPr>
                <w:rFonts w:ascii="宋体" w:hAnsi="宋体" w:cs="宋体" w:eastAsia="宋体" w:hint="default"/>
                <w:spacing w:val="-2"/>
                <w:sz w:val="18"/>
                <w:szCs w:val="18"/>
              </w:rPr>
              <w:t>现金管理，用于购买安全性高、流动性好、有保本约定的理财产品，使用期限不超过</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个月，在上</w:t>
            </w:r>
            <w:r>
              <w:rPr>
                <w:rFonts w:ascii="宋体" w:hAnsi="宋体" w:cs="宋体" w:eastAsia="宋体" w:hint="default"/>
                <w:sz w:val="18"/>
                <w:szCs w:val="18"/>
              </w:rPr>
              <w:t> 述额度及决议有效期内，可循环滚动使用。闲置募集资金现金管理到期后将及时归还至募集资金专 户。</w:t>
            </w:r>
          </w:p>
          <w:p>
            <w:pPr>
              <w:pStyle w:val="TableParagraph"/>
              <w:spacing w:line="309" w:lineRule="auto" w:before="65"/>
              <w:ind w:left="24"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日，经公司第三届董事会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年第五次会议和第三届监事会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年第五次会议审议 </w:t>
            </w:r>
            <w:r>
              <w:rPr>
                <w:rFonts w:ascii="宋体" w:hAnsi="宋体" w:cs="宋体" w:eastAsia="宋体" w:hint="default"/>
                <w:spacing w:val="-5"/>
                <w:sz w:val="18"/>
                <w:szCs w:val="18"/>
              </w:rPr>
              <w:t>通过了《关于调整使用闲置募集资金进行现金管理额度的议案》，并经独立董事发表独立意见，同意</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公司将使用闲置募集资金进行现金管理的额度调整至不超过人民币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9" w:lineRule="auto" w:before="43"/>
              <w:ind w:left="24"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日，经公司第三届董事会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年第五次会议和第三届监事会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年第四次会议审 </w:t>
            </w:r>
            <w:r>
              <w:rPr>
                <w:rFonts w:ascii="宋体" w:hAnsi="宋体" w:cs="宋体" w:eastAsia="宋体" w:hint="default"/>
                <w:spacing w:val="-4"/>
                <w:sz w:val="18"/>
                <w:szCs w:val="18"/>
              </w:rPr>
              <w:t>议通过了《关于继续使用闲置募集资金进行现金管理的议案》，并经独立董事发表独立意见，同意公</w:t>
            </w:r>
            <w:r>
              <w:rPr>
                <w:rFonts w:ascii="宋体" w:hAnsi="宋体" w:cs="宋体" w:eastAsia="宋体" w:hint="default"/>
                <w:sz w:val="18"/>
                <w:szCs w:val="18"/>
              </w:rPr>
              <w:t> 司在保证募投项目资金需求和资金安全的前提下，继续使用不超过人民币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万元的闲置募集</w:t>
            </w:r>
          </w:p>
          <w:p>
            <w:pPr>
              <w:pStyle w:val="TableParagraph"/>
              <w:spacing w:line="319" w:lineRule="auto" w:before="5"/>
              <w:ind w:left="24" w:right="23"/>
              <w:jc w:val="left"/>
              <w:rPr>
                <w:rFonts w:ascii="宋体" w:hAnsi="宋体" w:cs="宋体" w:eastAsia="宋体" w:hint="default"/>
                <w:sz w:val="18"/>
                <w:szCs w:val="18"/>
              </w:rPr>
            </w:pPr>
            <w:r>
              <w:rPr>
                <w:rFonts w:ascii="宋体" w:hAnsi="宋体" w:cs="宋体" w:eastAsia="宋体" w:hint="default"/>
                <w:sz w:val="18"/>
                <w:szCs w:val="18"/>
              </w:rPr>
              <w:t>资金进行现金管理，用于购买安全性高、流动性好、有保本约定的理财产品，使用期限不超过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个月，在上述额度及决议有效期内，可循环滚动使用。闲置募集资金现金管理到期后将及时归还至 募集资金专户。截止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日公司实际进行现金管理余额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99,262.48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 </w:t>
            </w:r>
            <w:r>
              <w:rPr>
                <w:rFonts w:ascii="Times New Roman" w:hAnsi="Times New Roman" w:cs="Times New Roman" w:eastAsia="Times New Roman" w:hint="default"/>
                <w:sz w:val="18"/>
                <w:szCs w:val="18"/>
              </w:rPr>
              <w:t>4</w:t>
            </w:r>
            <w:r>
              <w:rPr>
                <w:rFonts w:ascii="宋体" w:hAnsi="宋体" w:cs="宋体" w:eastAsia="宋体" w:hint="default"/>
                <w:sz w:val="18"/>
                <w:szCs w:val="18"/>
              </w:rPr>
              <w:t>、其余尚未使用募集资金的存放于专用账户中。</w:t>
            </w:r>
          </w:p>
        </w:tc>
      </w:tr>
      <w:tr>
        <w:trPr>
          <w:trHeight w:val="102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公司募集资金的使用合理、规范，信息披露及时、准确、完整。</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单位：万元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8"/>
        <w:gridCol w:w="958"/>
        <w:gridCol w:w="958"/>
        <w:gridCol w:w="956"/>
        <w:gridCol w:w="958"/>
        <w:gridCol w:w="955"/>
        <w:gridCol w:w="958"/>
        <w:gridCol w:w="958"/>
      </w:tblGrid>
      <w:tr>
        <w:trPr>
          <w:trHeight w:val="1338"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383"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22"/>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3"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38" w:lineRule="auto"/>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04" w:right="22" w:hanging="181"/>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025"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22"/>
              <w:jc w:val="both"/>
              <w:rPr>
                <w:rFonts w:ascii="宋体" w:hAnsi="宋体" w:cs="宋体" w:eastAsia="宋体" w:hint="default"/>
                <w:sz w:val="18"/>
                <w:szCs w:val="18"/>
              </w:rPr>
            </w:pPr>
            <w:r>
              <w:rPr>
                <w:rFonts w:ascii="宋体" w:hAnsi="宋体" w:cs="宋体" w:eastAsia="宋体" w:hint="default"/>
                <w:sz w:val="18"/>
                <w:szCs w:val="18"/>
              </w:rPr>
              <w:t>上海明月光 学有限公司 股权收购</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z w:val="18"/>
                <w:szCs w:val="18"/>
              </w:rPr>
              <w:t>宽带接入服 务拓展</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9,038.84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9,146.58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101.19%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1,039.21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82"/>
              <w:jc w:val="righ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9,038.84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9,146.58</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4"/>
              <w:ind w:right="7"/>
              <w:jc w:val="right"/>
              <w:rPr>
                <w:rFonts w:ascii="Times New Roman" w:hAnsi="Times New Roman" w:cs="Times New Roman" w:eastAsia="Times New Roman" w:hint="default"/>
                <w:sz w:val="18"/>
                <w:szCs w:val="18"/>
              </w:rPr>
            </w:pPr>
            <w:r>
              <w:rPr>
                <w:rFonts w:ascii="Times New Roman"/>
                <w:w w:val="95"/>
                <w:sz w:val="18"/>
              </w:rPr>
              <w:t>1,039.21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413"/>
              <w:jc w:val="righ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r>
        <w:trPr>
          <w:trHeight w:val="2273"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 w:right="24"/>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20"/>
              <w:jc w:val="both"/>
              <w:rPr>
                <w:rFonts w:ascii="宋体" w:hAnsi="宋体" w:cs="宋体" w:eastAsia="宋体" w:hint="default"/>
                <w:sz w:val="18"/>
                <w:szCs w:val="18"/>
              </w:rPr>
            </w:pPr>
            <w:r>
              <w:rPr>
                <w:rFonts w:ascii="宋体" w:hAnsi="宋体" w:cs="宋体" w:eastAsia="宋体" w:hint="default"/>
                <w:sz w:val="18"/>
                <w:szCs w:val="18"/>
              </w:rPr>
              <w:t>为顺应</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迅速发展的市场行情，抓住云计算、大数据的发展契机，落实公司战略发 展布局，经公司第二届董事会</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年第八次董事会和</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年第二次临时股东大会审 议通过，同意公司终止</w:t>
            </w:r>
            <w:r>
              <w:rPr>
                <w:rFonts w:ascii="Times New Roman" w:hAnsi="Times New Roman" w:cs="Times New Roman" w:eastAsia="Times New Roman" w:hint="default"/>
                <w:sz w:val="18"/>
                <w:szCs w:val="18"/>
              </w:rPr>
              <w:t>"</w:t>
            </w:r>
            <w:r>
              <w:rPr>
                <w:rFonts w:ascii="宋体" w:hAnsi="宋体" w:cs="宋体" w:eastAsia="宋体" w:hint="default"/>
                <w:sz w:val="18"/>
                <w:szCs w:val="18"/>
              </w:rPr>
              <w:t>宽带接入服务拓展项目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，变更该项目募集资金投向收购上海 明月光学有限公司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股权。股权转让完成后，上海明月光学有限公司成为公司的 </w:t>
            </w:r>
            <w:r>
              <w:rPr>
                <w:rFonts w:ascii="宋体" w:hAnsi="宋体" w:cs="宋体" w:eastAsia="宋体" w:hint="default"/>
                <w:spacing w:val="-1"/>
                <w:sz w:val="18"/>
                <w:szCs w:val="18"/>
              </w:rPr>
              <w:t>全资子公司，负责实施上海嘉定绿色云计算基地项目。报告期内上海嘉定绿色云计算</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基地项目已有部分模块投入使用，该项目的实施符合公司立足北京，面向全国的发展</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布局，开拓了京外市场，进一步提升了公司的综合竞争力。</w:t>
            </w:r>
          </w:p>
        </w:tc>
      </w:tr>
      <w:tr>
        <w:trPr>
          <w:trHeight w:val="1299"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9" w:lineRule="auto"/>
              <w:ind w:left="22"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left"/>
              <w:rPr>
                <w:rFonts w:ascii="宋体" w:hAnsi="宋体" w:cs="宋体" w:eastAsia="宋体" w:hint="default"/>
                <w:sz w:val="18"/>
                <w:szCs w:val="18"/>
              </w:rPr>
            </w:pPr>
            <w:r>
              <w:rPr>
                <w:rFonts w:ascii="宋体" w:hAnsi="宋体" w:cs="宋体" w:eastAsia="宋体" w:hint="default"/>
                <w:spacing w:val="-1"/>
                <w:sz w:val="18"/>
                <w:szCs w:val="18"/>
              </w:rPr>
              <w:t>因宽带接入服务拓展项目的制定时间较早，近几年市场环境发生较大变化，经第二届</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董事会</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年第八次董事会和</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年第二次临时股东大会审议通过，变更该项目募 集资金投向收购光环新网（上海）信息服务有限公司（原上海明月光学有限公司）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股权，并已于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月完成了收购工作，光环新网（上海）信息服务有限公</w:t>
            </w:r>
          </w:p>
        </w:tc>
      </w:tr>
    </w:tbl>
    <w:p>
      <w:pPr>
        <w:spacing w:after="0" w:line="312"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73"/>
        <w:gridCol w:w="6699"/>
      </w:tblGrid>
      <w:tr>
        <w:trPr>
          <w:trHeight w:val="675"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0"/>
              <w:jc w:val="left"/>
              <w:rPr>
                <w:rFonts w:ascii="宋体" w:hAnsi="宋体" w:cs="宋体" w:eastAsia="宋体" w:hint="default"/>
                <w:sz w:val="18"/>
                <w:szCs w:val="18"/>
              </w:rPr>
            </w:pPr>
            <w:r>
              <w:rPr>
                <w:rFonts w:ascii="宋体" w:hAnsi="宋体" w:cs="宋体" w:eastAsia="宋体" w:hint="default"/>
                <w:spacing w:val="-1"/>
                <w:sz w:val="18"/>
                <w:szCs w:val="18"/>
              </w:rPr>
              <w:t>司是上海嘉定绿色云计算基地项目的实施主体，报告期内上海嘉定绿色云计算基地项</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目已有部分模块投入使用。</w:t>
            </w:r>
          </w:p>
        </w:tc>
      </w:tr>
      <w:tr>
        <w:trPr>
          <w:trHeight w:val="713"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sz w:val="18"/>
          <w:szCs w:val="18"/>
        </w:rPr>
      </w:pPr>
    </w:p>
    <w:p>
      <w:pPr>
        <w:pStyle w:val="Heading2"/>
        <w:spacing w:line="240" w:lineRule="auto" w:before="26"/>
        <w:ind w:right="2839"/>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2839"/>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7"/>
        <w:rPr>
          <w:rFonts w:ascii="宋体" w:hAnsi="宋体" w:cs="宋体" w:eastAsia="宋体" w:hint="default"/>
          <w:sz w:val="21"/>
          <w:szCs w:val="21"/>
        </w:rPr>
      </w:pPr>
    </w:p>
    <w:p>
      <w:pPr>
        <w:pStyle w:val="Heading3"/>
        <w:spacing w:line="240" w:lineRule="auto"/>
        <w:ind w:right="2839"/>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2839"/>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79" w:top="1060" w:bottom="1160" w:left="980" w:right="98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4851" w:space="4069"/>
            <w:col w:w="103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403"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8"/>
              <w:jc w:val="left"/>
              <w:rPr>
                <w:rFonts w:ascii="宋体" w:hAnsi="宋体" w:cs="宋体" w:eastAsia="宋体" w:hint="default"/>
                <w:sz w:val="18"/>
                <w:szCs w:val="18"/>
              </w:rPr>
            </w:pPr>
            <w:r>
              <w:rPr>
                <w:rFonts w:ascii="宋体" w:hAnsi="宋体" w:cs="宋体" w:eastAsia="宋体" w:hint="default"/>
                <w:sz w:val="18"/>
                <w:szCs w:val="18"/>
              </w:rPr>
              <w:t>北京无双科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both"/>
              <w:rPr>
                <w:rFonts w:ascii="宋体" w:hAnsi="宋体" w:cs="宋体" w:eastAsia="宋体" w:hint="default"/>
                <w:sz w:val="18"/>
                <w:szCs w:val="18"/>
              </w:rPr>
            </w:pPr>
            <w:r>
              <w:rPr>
                <w:rFonts w:ascii="宋体" w:hAnsi="宋体" w:cs="宋体" w:eastAsia="宋体" w:hint="default"/>
                <w:sz w:val="18"/>
                <w:szCs w:val="18"/>
              </w:rPr>
              <w:t>代理、发布 广告，技术 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7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604,383,590.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154,698,609.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1,339,870,87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2.31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93,716,858.7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84,444,390.9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w:t>
            </w:r>
          </w:p>
        </w:tc>
      </w:tr>
      <w:tr>
        <w:trPr>
          <w:trHeight w:val="133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北京中金云 网科技有限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both"/>
              <w:rPr>
                <w:rFonts w:ascii="宋体" w:hAnsi="宋体" w:cs="宋体" w:eastAsia="宋体" w:hint="default"/>
                <w:sz w:val="18"/>
                <w:szCs w:val="18"/>
              </w:rPr>
            </w:pPr>
            <w:r>
              <w:rPr>
                <w:rFonts w:ascii="宋体" w:hAnsi="宋体" w:cs="宋体" w:eastAsia="宋体" w:hint="default"/>
                <w:sz w:val="18"/>
                <w:szCs w:val="18"/>
              </w:rPr>
              <w:t>技术服务； 计算机系统 服务、数据 处理</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8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2,065,298,30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0.33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752,956,059.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633,807,104.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257,943,096.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218,860,801.</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71</w:t>
            </w:r>
          </w:p>
        </w:tc>
      </w:tr>
    </w:tbl>
    <w:p>
      <w:pPr>
        <w:pStyle w:val="BodyText"/>
        <w:spacing w:line="307" w:lineRule="auto" w:before="49"/>
        <w:ind w:right="153" w:firstLine="360"/>
        <w:jc w:val="both"/>
      </w:pPr>
      <w:r>
        <w:rPr>
          <w:rFonts w:ascii="Times New Roman" w:hAnsi="Times New Roman" w:cs="Times New Roman" w:eastAsia="Times New Roman" w:hint="default"/>
        </w:rPr>
        <w:t>1</w:t>
      </w:r>
      <w:r>
        <w:rPr/>
        <w:t>、无双科技的主营业务为搜索引擎营销及相关服务，通过对广告主投放广告效果的追踪、分析，进行投放策略调整， </w:t>
      </w:r>
      <w:r>
        <w:rPr>
          <w:spacing w:val="-2"/>
        </w:rPr>
        <w:t>使客户的广告效果达到最优化，依托精细的大数据挖掘技术提炼大量高品质的媒体用户行为数据，为客户提供优质完整的搜</w:t>
      </w:r>
      <w:r>
        <w:rPr>
          <w:spacing w:val="-64"/>
        </w:rPr>
        <w:t> </w:t>
      </w:r>
      <w:r>
        <w:rPr>
          <w:spacing w:val="-64"/>
        </w:rPr>
      </w:r>
      <w:r>
        <w:rPr/>
        <w:t>索引擎营销解决方案。无双科技具体服务内容包括广告数据监测、投放管理、数据分析与优化、营销托管等。</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年取得 营业收入</w:t>
      </w:r>
      <w:r>
        <w:rPr>
          <w:spacing w:val="-48"/>
        </w:rPr>
        <w:t> </w:t>
      </w:r>
      <w:r>
        <w:rPr>
          <w:rFonts w:ascii="Times New Roman" w:hAnsi="Times New Roman" w:cs="Times New Roman" w:eastAsia="Times New Roman" w:hint="default"/>
        </w:rPr>
        <w:t>133,987.09</w:t>
      </w:r>
      <w:r>
        <w:rPr>
          <w:rFonts w:ascii="Times New Roman" w:hAnsi="Times New Roman" w:cs="Times New Roman" w:eastAsia="Times New Roman" w:hint="default"/>
          <w:spacing w:val="-2"/>
        </w:rPr>
        <w:t> </w:t>
      </w:r>
      <w:r>
        <w:rPr/>
        <w:t>万元，实现净利润</w:t>
      </w:r>
      <w:r>
        <w:rPr>
          <w:spacing w:val="-48"/>
        </w:rPr>
        <w:t> </w:t>
      </w:r>
      <w:r>
        <w:rPr>
          <w:rFonts w:ascii="Times New Roman" w:hAnsi="Times New Roman" w:cs="Times New Roman" w:eastAsia="Times New Roman" w:hint="default"/>
        </w:rPr>
        <w:t>8,444.44</w:t>
      </w:r>
      <w:r>
        <w:rPr>
          <w:rFonts w:ascii="Times New Roman" w:hAnsi="Times New Roman" w:cs="Times New Roman" w:eastAsia="Times New Roman" w:hint="default"/>
          <w:spacing w:val="-2"/>
        </w:rPr>
        <w:t> </w:t>
      </w:r>
      <w:r>
        <w:rPr/>
        <w:t>万元，完成重大资产重组业绩承诺。</w:t>
      </w:r>
    </w:p>
    <w:p>
      <w:pPr>
        <w:pStyle w:val="BodyText"/>
        <w:spacing w:line="300" w:lineRule="auto" w:before="45"/>
        <w:ind w:right="151" w:firstLine="360"/>
        <w:jc w:val="both"/>
      </w:pPr>
      <w:r>
        <w:rPr>
          <w:rFonts w:ascii="Times New Roman" w:hAnsi="Times New Roman" w:cs="Times New Roman" w:eastAsia="Times New Roman" w:hint="default"/>
          <w:spacing w:val="-1"/>
        </w:rPr>
        <w:t>2</w:t>
      </w:r>
      <w:r>
        <w:rPr>
          <w:spacing w:val="-1"/>
        </w:rPr>
        <w:t>、公司全资子公司中金云网主要从事云计算服务，高等级数据中心基础设施外包服务、</w:t>
      </w:r>
      <w:r>
        <w:rPr>
          <w:rFonts w:ascii="宋体" w:hAnsi="宋体" w:cs="宋体" w:eastAsia="宋体" w:hint="default"/>
          <w:spacing w:val="-1"/>
        </w:rPr>
        <w:t>IT</w:t>
      </w:r>
      <w:r>
        <w:rPr>
          <w:rFonts w:ascii="宋体" w:hAnsi="宋体" w:cs="宋体" w:eastAsia="宋体" w:hint="default"/>
          <w:spacing w:val="-35"/>
        </w:rPr>
        <w:t> </w:t>
      </w:r>
      <w:r>
        <w:rPr>
          <w:spacing w:val="-1"/>
        </w:rPr>
        <w:t>外包服务，主要面向金融行</w:t>
      </w:r>
      <w:r>
        <w:rPr/>
        <w:t> 业客户提供云主机、云存储、云桌面等基础的云服务产品和增值服务，在金融客户细分领域处于国内领先的地位。</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 取得营业收入</w:t>
      </w:r>
      <w:r>
        <w:rPr>
          <w:spacing w:val="-46"/>
        </w:rPr>
        <w:t> </w:t>
      </w:r>
      <w:r>
        <w:rPr>
          <w:rFonts w:ascii="Times New Roman" w:hAnsi="Times New Roman" w:cs="Times New Roman" w:eastAsia="Times New Roman" w:hint="default"/>
        </w:rPr>
        <w:t>63,380.71</w:t>
      </w:r>
      <w:r>
        <w:rPr>
          <w:rFonts w:ascii="Times New Roman" w:hAnsi="Times New Roman" w:cs="Times New Roman" w:eastAsia="Times New Roman" w:hint="default"/>
          <w:spacing w:val="-1"/>
        </w:rPr>
        <w:t> </w:t>
      </w:r>
      <w:r>
        <w:rPr/>
        <w:t>万元，实现净利润</w:t>
      </w:r>
      <w:r>
        <w:rPr>
          <w:spacing w:val="-46"/>
        </w:rPr>
        <w:t> </w:t>
      </w:r>
      <w:r>
        <w:rPr>
          <w:rFonts w:ascii="Times New Roman" w:hAnsi="Times New Roman" w:cs="Times New Roman" w:eastAsia="Times New Roman" w:hint="default"/>
        </w:rPr>
        <w:t>21,886.08</w:t>
      </w:r>
      <w:r>
        <w:rPr>
          <w:rFonts w:ascii="Times New Roman" w:hAnsi="Times New Roman" w:cs="Times New Roman" w:eastAsia="Times New Roman" w:hint="default"/>
          <w:spacing w:val="-1"/>
        </w:rPr>
        <w:t> </w:t>
      </w:r>
      <w:r>
        <w:rPr/>
        <w:t>万元，完成重大资产重组业绩承诺。</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BodyText"/>
        <w:spacing w:line="240" w:lineRule="auto"/>
        <w:ind w:right="2839"/>
        <w:jc w:val="left"/>
      </w:pPr>
      <w:r>
        <w:rPr/>
        <w:t>报告期内取得和处置子公司的情况</w:t>
      </w:r>
    </w:p>
    <w:p>
      <w:pPr>
        <w:pStyle w:val="BodyText"/>
        <w:spacing w:line="240" w:lineRule="auto" w:before="115"/>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北京光环凯旋管理咨询有限公司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日，公司与北京无双科技</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before="44"/>
        <w:ind w:left="0" w:right="196"/>
        <w:jc w:val="right"/>
      </w:pPr>
      <w:r>
        <w:rPr/>
        <w:pict>
          <v:shape style="position:absolute;margin-left:56.400002pt;margin-top:-123.50827pt;width:479.3pt;height:303.9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8"/>
                    <w:gridCol w:w="3192"/>
                    <w:gridCol w:w="3190"/>
                  </w:tblGrid>
                  <w:tr>
                    <w:trPr>
                      <w:trHeight w:val="3795"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有限公司、西藏瀚博投资管理合伙企业 共同投资设立北京光环凯旋管理咨询有 限公司，注册资本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万元，公司持股 比例为</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，北京无双科技有限公司持 股比例为</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。本次投资将围绕公司发 展战略，深化各参与方的合作及优势资 源共享整合，通过合作方的专业投资经 验，对拓展与公司主营业务相关的产业 链、整合投资、并购等提供支持和帮助 有利于提高公司的产业整合能力，将对 促进公司业务的长远发展产生积极作 用。</w:t>
                        </w:r>
                      </w:p>
                    </w:tc>
                  </w:tr>
                  <w:tr>
                    <w:trPr>
                      <w:trHeight w:val="227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光环有云（香港）网络科技有限公司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日，光环有云（北京）网</w:t>
                        </w:r>
                        <w:r>
                          <w:rPr>
                            <w:rFonts w:ascii="宋体" w:hAnsi="宋体" w:cs="宋体" w:eastAsia="宋体" w:hint="default"/>
                            <w:sz w:val="18"/>
                            <w:szCs w:val="18"/>
                          </w:rPr>
                          <w:t> 络服务有限公司在香港投资设立了光环 有云（香港）网络科技有限公司，主要 业务为广大企业客户打造领先的基于 </w:t>
                        </w:r>
                        <w:r>
                          <w:rPr>
                            <w:rFonts w:ascii="Times New Roman" w:hAnsi="Times New Roman" w:cs="Times New Roman" w:eastAsia="Times New Roman" w:hint="default"/>
                            <w:spacing w:val="-6"/>
                            <w:sz w:val="18"/>
                            <w:szCs w:val="18"/>
                          </w:rPr>
                          <w:t>AWS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技术的云服务产品和混合云资源， 加速客户向云端迁移，实现企业的数字 化转型。</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88"/>
        <w:ind w:right="183"/>
        <w:jc w:val="left"/>
        <w:rPr>
          <w:b w:val="0"/>
          <w:bCs w:val="0"/>
        </w:rPr>
      </w:pP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83"/>
        <w:jc w:val="left"/>
        <w:rPr>
          <w:b w:val="0"/>
          <w:bCs w:val="0"/>
        </w:rPr>
      </w:pP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13" w:right="253"/>
        <w:jc w:val="left"/>
      </w:pPr>
      <w:r>
        <w:rPr>
          <w:rFonts w:ascii="宋体" w:hAnsi="宋体" w:cs="宋体" w:eastAsia="宋体" w:hint="default"/>
          <w:b/>
          <w:bCs/>
        </w:rPr>
        <w:t>（一）行业格局和趋势</w:t>
      </w:r>
      <w:r>
        <w:rPr>
          <w:rFonts w:ascii="宋体" w:hAnsi="宋体" w:cs="宋体" w:eastAsia="宋体" w:hint="default"/>
          <w:b/>
          <w:bCs/>
          <w:w w:val="99"/>
        </w:rPr>
        <w:t> </w:t>
      </w:r>
      <w:r>
        <w:rPr/>
        <w:t>公司所从事的云计算业务及互联网数据中心服务（</w:t>
      </w:r>
      <w:r>
        <w:rPr>
          <w:rFonts w:ascii="宋体" w:hAnsi="宋体" w:cs="宋体" w:eastAsia="宋体" w:hint="default"/>
        </w:rPr>
        <w:t>IDC</w:t>
      </w:r>
      <w:r>
        <w:rPr/>
        <w:t>及其增值服务）与互联网行业发展息息相关。 中国互联网络信息中心（</w:t>
      </w:r>
      <w:r>
        <w:rPr>
          <w:rFonts w:ascii="Times New Roman" w:hAnsi="Times New Roman" w:cs="Times New Roman" w:eastAsia="Times New Roman" w:hint="default"/>
        </w:rPr>
        <w:t>CNNIC</w:t>
      </w:r>
      <w:r>
        <w:rPr/>
        <w:t>）发布的第</w:t>
      </w:r>
      <w:r>
        <w:rPr>
          <w:rFonts w:ascii="Times New Roman" w:hAnsi="Times New Roman" w:cs="Times New Roman" w:eastAsia="Times New Roman" w:hint="default"/>
        </w:rPr>
        <w:t>41</w:t>
      </w:r>
      <w:r>
        <w:rPr/>
        <w:t>次《中国互联网络发展状况统计报告》显示，截至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月，我国网</w:t>
      </w:r>
    </w:p>
    <w:p>
      <w:pPr>
        <w:pStyle w:val="BodyText"/>
        <w:spacing w:line="312" w:lineRule="auto"/>
        <w:ind w:right="94"/>
        <w:jc w:val="left"/>
      </w:pPr>
      <w:r>
        <w:rPr/>
        <w:t>民规模达</w:t>
      </w:r>
      <w:r>
        <w:rPr>
          <w:rFonts w:ascii="Times New Roman" w:hAnsi="Times New Roman" w:cs="Times New Roman" w:eastAsia="Times New Roman" w:hint="default"/>
        </w:rPr>
        <w:t>7.72</w:t>
      </w:r>
      <w:r>
        <w:rPr/>
        <w:t>亿，普及率达到</w:t>
      </w:r>
      <w:r>
        <w:rPr>
          <w:rFonts w:ascii="Times New Roman" w:hAnsi="Times New Roman" w:cs="Times New Roman" w:eastAsia="Times New Roman" w:hint="default"/>
        </w:rPr>
        <w:t>55.8%</w:t>
      </w:r>
      <w:r>
        <w:rPr/>
        <w:t>，超过全球平均水平（</w:t>
      </w:r>
      <w:r>
        <w:rPr>
          <w:rFonts w:ascii="Times New Roman" w:hAnsi="Times New Roman" w:cs="Times New Roman" w:eastAsia="Times New Roman" w:hint="default"/>
        </w:rPr>
        <w:t>51.7%</w:t>
      </w:r>
      <w:r>
        <w:rPr/>
        <w:t>）</w:t>
      </w:r>
      <w:r>
        <w:rPr>
          <w:rFonts w:ascii="Times New Roman" w:hAnsi="Times New Roman" w:cs="Times New Roman" w:eastAsia="Times New Roman" w:hint="default"/>
        </w:rPr>
        <w:t>4.1</w:t>
      </w:r>
      <w:r>
        <w:rPr/>
        <w:t>个百分点，超过亚洲平均水平（</w:t>
      </w:r>
      <w:r>
        <w:rPr>
          <w:rFonts w:ascii="Times New Roman" w:hAnsi="Times New Roman" w:cs="Times New Roman" w:eastAsia="Times New Roman" w:hint="default"/>
        </w:rPr>
        <w:t>46.7%</w:t>
      </w:r>
      <w:r>
        <w:rPr/>
        <w:t>）</w:t>
      </w:r>
      <w:r>
        <w:rPr>
          <w:rFonts w:ascii="Times New Roman" w:hAnsi="Times New Roman" w:cs="Times New Roman" w:eastAsia="Times New Roman" w:hint="default"/>
        </w:rPr>
        <w:t>9.1</w:t>
      </w:r>
      <w:r>
        <w:rPr/>
        <w:t>个百分点。 </w:t>
      </w:r>
      <w:r>
        <w:rPr>
          <w:spacing w:val="-2"/>
        </w:rPr>
        <w:t>我国网民规模继续保持平稳增长，互联网模式不断创新、线上线下服务融合加速以及公共服务线上化步伐加快，成为网民规</w:t>
      </w:r>
      <w:r>
        <w:rPr>
          <w:spacing w:val="-66"/>
        </w:rPr>
        <w:t> </w:t>
      </w:r>
      <w:r>
        <w:rPr>
          <w:spacing w:val="-66"/>
        </w:rPr>
      </w:r>
      <w:r>
        <w:rPr>
          <w:spacing w:val="-2"/>
        </w:rPr>
        <w:t>模增长推动力。互联网的蓬勃发展，进一步促进了云计算技术的发展及市场推广，贝恩咨询公司预测，未来几年全球云计算</w:t>
      </w:r>
      <w:r>
        <w:rPr>
          <w:spacing w:val="-65"/>
        </w:rPr>
        <w:t> </w:t>
      </w:r>
      <w:r>
        <w:rPr>
          <w:spacing w:val="-65"/>
        </w:rPr>
      </w:r>
      <w:r>
        <w:rPr/>
        <w:t>市场仍将高速发展，到</w:t>
      </w:r>
      <w:r>
        <w:rPr>
          <w:rFonts w:ascii="Times New Roman" w:hAnsi="Times New Roman" w:cs="Times New Roman" w:eastAsia="Times New Roman" w:hint="default"/>
        </w:rPr>
        <w:t>2020</w:t>
      </w:r>
      <w:r>
        <w:rPr/>
        <w:t>年，全球云计算市场收入将达到</w:t>
      </w:r>
      <w:r>
        <w:rPr>
          <w:rFonts w:ascii="Times New Roman" w:hAnsi="Times New Roman" w:cs="Times New Roman" w:eastAsia="Times New Roman" w:hint="default"/>
        </w:rPr>
        <w:t>3900</w:t>
      </w:r>
      <w:r>
        <w:rPr/>
        <w:t>亿美元。</w:t>
      </w:r>
    </w:p>
    <w:p>
      <w:pPr>
        <w:pStyle w:val="BodyText"/>
        <w:spacing w:line="316" w:lineRule="auto" w:before="3"/>
        <w:ind w:right="183" w:firstLine="360"/>
        <w:jc w:val="left"/>
      </w:pPr>
      <w:r>
        <w:rPr>
          <w:spacing w:val="-2"/>
        </w:rPr>
        <w:t>随着云计算、物联网、人工智能等技术的发展和广泛应用，数据中心作为数据计算和存储的基础设施，在我国信息化发</w:t>
      </w:r>
      <w:r>
        <w:rPr/>
        <w:t> 展过程中扮演了重要角色，市场规模逐年递增。</w:t>
      </w:r>
    </w:p>
    <w:p>
      <w:pPr>
        <w:pStyle w:val="BodyText"/>
        <w:spacing w:line="316" w:lineRule="auto" w:before="19"/>
        <w:ind w:left="513" w:right="243"/>
        <w:jc w:val="left"/>
      </w:pPr>
      <w:r>
        <w:rPr>
          <w:rFonts w:ascii="宋体" w:hAnsi="宋体" w:cs="宋体" w:eastAsia="宋体" w:hint="default"/>
          <w:b/>
          <w:bCs/>
        </w:rPr>
        <w:t>（二）公司发展战略</w:t>
      </w:r>
      <w:r>
        <w:rPr>
          <w:rFonts w:ascii="宋体" w:hAnsi="宋体" w:cs="宋体" w:eastAsia="宋体" w:hint="default"/>
          <w:b/>
          <w:bCs/>
          <w:w w:val="99"/>
        </w:rPr>
        <w:t> </w:t>
      </w:r>
      <w:r>
        <w:rPr/>
        <w:t>公司上市前主营业务为</w:t>
      </w:r>
      <w:r>
        <w:rPr>
          <w:rFonts w:ascii="Times New Roman" w:hAnsi="Times New Roman" w:cs="Times New Roman" w:eastAsia="Times New Roman" w:hint="default"/>
        </w:rPr>
        <w:t>ISP</w:t>
      </w:r>
      <w:r>
        <w:rPr/>
        <w:t>、</w:t>
      </w:r>
      <w:r>
        <w:rPr>
          <w:rFonts w:ascii="Times New Roman" w:hAnsi="Times New Roman" w:cs="Times New Roman" w:eastAsia="Times New Roman" w:hint="default"/>
        </w:rPr>
        <w:t>IDC</w:t>
      </w:r>
      <w:r>
        <w:rPr/>
        <w:t>及其增值服务，上市以来，公司根据行业的发展趋势与市场需求，一方面积极筹划数</w:t>
      </w:r>
    </w:p>
    <w:p>
      <w:pPr>
        <w:pStyle w:val="BodyText"/>
        <w:spacing w:line="314" w:lineRule="auto"/>
        <w:ind w:right="190"/>
        <w:jc w:val="both"/>
      </w:pPr>
      <w:r>
        <w:rPr>
          <w:spacing w:val="-2"/>
        </w:rPr>
        <w:t>据中心全国战略布局，在加快数据中心建设进度的同时，进一步提升数据中心服务品质，目前已成为国内一流的数据中心服</w:t>
      </w:r>
      <w:r>
        <w:rPr>
          <w:spacing w:val="-63"/>
        </w:rPr>
        <w:t> </w:t>
      </w:r>
      <w:r>
        <w:rPr>
          <w:spacing w:val="-63"/>
        </w:rPr>
      </w:r>
      <w:r>
        <w:rPr>
          <w:spacing w:val="-2"/>
        </w:rPr>
        <w:t>务提供商；另一方面公司紧跟互联网科技发展潮流，大力发展并推广云计算服务，报告期内，云计算及服务收入已超过公司</w:t>
      </w:r>
      <w:r>
        <w:rPr>
          <w:spacing w:val="-65"/>
        </w:rPr>
        <w:t> </w:t>
      </w:r>
      <w:r>
        <w:rPr>
          <w:spacing w:val="-65"/>
        </w:rPr>
      </w:r>
      <w:r>
        <w:rPr>
          <w:spacing w:val="-2"/>
        </w:rPr>
        <w:t>总收入的</w:t>
      </w:r>
      <w:r>
        <w:rPr>
          <w:rFonts w:ascii="Times New Roman" w:hAnsi="Times New Roman" w:cs="Times New Roman" w:eastAsia="Times New Roman" w:hint="default"/>
          <w:spacing w:val="-2"/>
        </w:rPr>
        <w:t>70%</w:t>
      </w:r>
      <w:r>
        <w:rPr>
          <w:spacing w:val="-2"/>
        </w:rPr>
        <w:t>。未来，公司将继续秉承客户第一、服务至上的经营理念，以市场需求为导向，以互联网技术发展为基础，不</w:t>
      </w:r>
      <w:r>
        <w:rPr>
          <w:spacing w:val="-38"/>
        </w:rPr>
        <w:t> </w:t>
      </w:r>
      <w:r>
        <w:rPr>
          <w:spacing w:val="-38"/>
        </w:rPr>
      </w:r>
      <w:r>
        <w:rPr>
          <w:spacing w:val="-2"/>
        </w:rPr>
        <w:t>断强化自身核心竞争力，把企业建设成为具有高技术水平、高增长速度、高利润率、高客户满意度的国内一流的云计算及互</w:t>
      </w:r>
      <w:r>
        <w:rPr>
          <w:spacing w:val="-64"/>
        </w:rPr>
        <w:t> </w:t>
      </w:r>
      <w:r>
        <w:rPr>
          <w:spacing w:val="-64"/>
        </w:rPr>
      </w:r>
      <w:r>
        <w:rPr/>
        <w:t>联网业务综合服务提供商。</w:t>
      </w:r>
    </w:p>
    <w:p>
      <w:pPr>
        <w:pStyle w:val="Heading5"/>
        <w:spacing w:line="240" w:lineRule="auto" w:before="21"/>
        <w:ind w:right="183"/>
        <w:jc w:val="left"/>
        <w:rPr>
          <w:b w:val="0"/>
          <w:bCs w:val="0"/>
        </w:rPr>
      </w:pPr>
      <w:r>
        <w:rPr/>
        <w:t>（三）</w:t>
      </w:r>
      <w:r>
        <w:rPr>
          <w:rFonts w:ascii="Times New Roman" w:hAnsi="Times New Roman" w:cs="Times New Roman" w:eastAsia="Times New Roman" w:hint="default"/>
        </w:rPr>
        <w:t>2018</w:t>
      </w:r>
      <w:r>
        <w:rPr/>
        <w:t>年经营计划</w:t>
      </w:r>
      <w:r>
        <w:rPr>
          <w:b w:val="0"/>
          <w:bCs w:val="0"/>
        </w:rPr>
      </w:r>
    </w:p>
    <w:p>
      <w:pPr>
        <w:pStyle w:val="BodyText"/>
        <w:spacing w:line="240" w:lineRule="auto" w:before="63"/>
        <w:ind w:left="513" w:right="0"/>
        <w:jc w:val="left"/>
      </w:pPr>
      <w:r>
        <w:rPr>
          <w:rFonts w:ascii="Times New Roman" w:hAnsi="Times New Roman" w:cs="Times New Roman" w:eastAsia="Times New Roman" w:hint="default"/>
        </w:rPr>
        <w:t>2018</w:t>
      </w:r>
      <w:r>
        <w:rPr/>
        <w:t>年度，公司将紧紧围绕企业发展战略，继续加快募投项目建设进度，不断提升云计算业务规模及服务能力，为公司</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spacing w:line="316" w:lineRule="auto" w:before="44"/>
        <w:ind w:left="513" w:right="260" w:hanging="361"/>
        <w:jc w:val="left"/>
        <w:rPr>
          <w:rFonts w:ascii="宋体" w:hAnsi="宋体" w:cs="宋体" w:eastAsia="宋体" w:hint="default"/>
          <w:sz w:val="18"/>
          <w:szCs w:val="18"/>
        </w:rPr>
      </w:pPr>
      <w:r>
        <w:rPr>
          <w:rFonts w:ascii="宋体" w:hAnsi="宋体" w:cs="宋体" w:eastAsia="宋体" w:hint="default"/>
          <w:sz w:val="18"/>
          <w:szCs w:val="18"/>
        </w:rPr>
        <w:t>长期稳定发展奠定坚实基础。 </w:t>
      </w:r>
      <w:r>
        <w:rPr>
          <w:rFonts w:ascii="宋体" w:hAnsi="宋体" w:cs="宋体" w:eastAsia="宋体" w:hint="default"/>
          <w:b/>
          <w:bCs/>
          <w:sz w:val="18"/>
          <w:szCs w:val="18"/>
        </w:rPr>
        <w:t>有序推动项目建设进度，提高服务品质。</w:t>
      </w:r>
      <w:r>
        <w:rPr>
          <w:rFonts w:ascii="宋体" w:hAnsi="宋体" w:cs="宋体" w:eastAsia="宋体" w:hint="default"/>
          <w:sz w:val="18"/>
          <w:szCs w:val="18"/>
        </w:rPr>
        <w:t>公司将根据市场及业务发展需要，有序推动各在建项目的建设进度，分步分</w:t>
      </w:r>
    </w:p>
    <w:p>
      <w:pPr>
        <w:pStyle w:val="BodyText"/>
        <w:spacing w:line="316" w:lineRule="auto" w:before="19"/>
        <w:ind w:right="192"/>
        <w:jc w:val="both"/>
      </w:pPr>
      <w:r>
        <w:rPr>
          <w:spacing w:val="-2"/>
        </w:rPr>
        <w:t>模块推动项目的有序运营，进一步提高公司的服务能力及服务品质。面向各类具有高等级数据中心业务和云计算业务需求的</w:t>
      </w:r>
      <w:r>
        <w:rPr>
          <w:spacing w:val="-64"/>
        </w:rPr>
        <w:t> </w:t>
      </w:r>
      <w:r>
        <w:rPr>
          <w:spacing w:val="-64"/>
        </w:rPr>
      </w:r>
      <w:r>
        <w:rPr>
          <w:spacing w:val="-2"/>
        </w:rPr>
        <w:t>客户，提供高可用性、高安全性、高便捷性的专业服务。在不断提升公司盈利能力的同时，公司将按照国际一流的标准，完</w:t>
      </w:r>
      <w:r>
        <w:rPr>
          <w:spacing w:val="-68"/>
        </w:rPr>
        <w:t> </w:t>
      </w:r>
      <w:r>
        <w:rPr>
          <w:spacing w:val="-68"/>
        </w:rPr>
      </w:r>
      <w:r>
        <w:rPr>
          <w:spacing w:val="-2"/>
        </w:rPr>
        <w:t>善数据中心运营管理体系，确保为客户提供专业、规范、优质、满意的服务；公司将继续加大力度，对数据中心进行绿色节</w:t>
      </w:r>
      <w:r>
        <w:rPr>
          <w:spacing w:val="-68"/>
        </w:rPr>
        <w:t> </w:t>
      </w:r>
      <w:r>
        <w:rPr>
          <w:spacing w:val="-68"/>
        </w:rPr>
      </w:r>
      <w:r>
        <w:rPr/>
        <w:t>能改造，努力降低运营成本，致力于打造高效、安全、稳定的绿色数据中心。</w:t>
      </w:r>
    </w:p>
    <w:p>
      <w:pPr>
        <w:pStyle w:val="BodyText"/>
        <w:spacing w:line="304" w:lineRule="auto" w:before="19"/>
        <w:ind w:right="192" w:firstLine="360"/>
        <w:jc w:val="both"/>
      </w:pPr>
      <w:r>
        <w:rPr>
          <w:rFonts w:ascii="宋体" w:hAnsi="宋体" w:cs="宋体" w:eastAsia="宋体" w:hint="default"/>
          <w:b/>
          <w:bCs/>
        </w:rPr>
        <w:t>拓展云计算业务，助推云服务发展。</w:t>
      </w:r>
      <w:r>
        <w:rPr/>
        <w:t>公司紧跟互联网发展趋势，大力加强云计算投入及云计算应用，报告期内，云计 算及服务收入已超过公司总收入的</w:t>
      </w:r>
      <w:r>
        <w:rPr>
          <w:rFonts w:ascii="Times New Roman" w:hAnsi="Times New Roman" w:cs="Times New Roman" w:eastAsia="Times New Roman" w:hint="default"/>
        </w:rPr>
        <w:t>70%</w:t>
      </w:r>
      <w:r>
        <w:rPr/>
        <w:t>。未来，公司将继续加大力度消化吸收运营</w:t>
      </w:r>
      <w:r>
        <w:rPr>
          <w:rFonts w:ascii="Times New Roman" w:hAnsi="Times New Roman" w:cs="Times New Roman" w:eastAsia="Times New Roman" w:hint="default"/>
        </w:rPr>
        <w:t>AWS</w:t>
      </w:r>
      <w:r>
        <w:rPr/>
        <w:t>的先进云计算技术，大规模拓展基 于</w:t>
      </w:r>
      <w:r>
        <w:rPr>
          <w:rFonts w:ascii="Times New Roman" w:hAnsi="Times New Roman" w:cs="Times New Roman" w:eastAsia="Times New Roman" w:hint="default"/>
        </w:rPr>
        <w:t>AWS</w:t>
      </w:r>
      <w:r>
        <w:rPr/>
        <w:t>云计算技术业务的发展及光环云的服务范围。同时，公司将基于现有</w:t>
      </w:r>
      <w:r>
        <w:rPr>
          <w:rFonts w:ascii="Times New Roman" w:hAnsi="Times New Roman" w:cs="Times New Roman" w:eastAsia="Times New Roman" w:hint="default"/>
        </w:rPr>
        <w:t>SaaS</w:t>
      </w:r>
      <w:r>
        <w:rPr/>
        <w:t>业务发展情况，广泛吸纳国内外</w:t>
      </w:r>
      <w:r>
        <w:rPr>
          <w:rFonts w:ascii="Times New Roman" w:hAnsi="Times New Roman" w:cs="Times New Roman" w:eastAsia="Times New Roman" w:hint="default"/>
        </w:rPr>
        <w:t>SaaS</w:t>
      </w:r>
      <w:r>
        <w:rPr/>
        <w:t>云计 </w:t>
      </w:r>
      <w:r>
        <w:rPr>
          <w:spacing w:val="-2"/>
        </w:rPr>
        <w:t>算领域新技术，大力开拓</w:t>
      </w:r>
      <w:r>
        <w:rPr>
          <w:rFonts w:ascii="Times New Roman" w:hAnsi="Times New Roman" w:cs="Times New Roman" w:eastAsia="Times New Roman" w:hint="default"/>
          <w:spacing w:val="-2"/>
        </w:rPr>
        <w:t>SaaS</w:t>
      </w:r>
      <w:r>
        <w:rPr>
          <w:spacing w:val="-2"/>
        </w:rPr>
        <w:t>业务的市场应用及市场份额，为公司成为国内一流的云计算及互联网业务综合服务提供商奠定</w:t>
      </w:r>
      <w:r>
        <w:rPr>
          <w:spacing w:val="-63"/>
        </w:rPr>
        <w:t> </w:t>
      </w:r>
      <w:r>
        <w:rPr>
          <w:spacing w:val="-63"/>
        </w:rPr>
      </w:r>
      <w:r>
        <w:rPr/>
        <w:t>基础。</w:t>
      </w:r>
    </w:p>
    <w:p>
      <w:pPr>
        <w:pStyle w:val="BodyText"/>
        <w:spacing w:line="312" w:lineRule="auto" w:before="28"/>
        <w:ind w:right="183" w:firstLine="360"/>
        <w:jc w:val="left"/>
      </w:pPr>
      <w:r>
        <w:rPr>
          <w:rFonts w:ascii="宋体" w:hAnsi="宋体" w:cs="宋体" w:eastAsia="宋体" w:hint="default"/>
          <w:b/>
          <w:bCs/>
        </w:rPr>
        <w:t>继续加大研发投入，增强核心竞争力。</w:t>
      </w:r>
      <w:r>
        <w:rPr/>
        <w:t>公司将继续在云计算应用领域加大研发投入，持续提升云计算平台的性能，进 行多种混合云应用领域的研发，为客户提供多样化的应用方案。公司在攻击防护、数据安全等领域进行持续研发，确保</w:t>
      </w:r>
      <w:r>
        <w:rPr>
          <w:rFonts w:ascii="Times New Roman" w:hAnsi="Times New Roman" w:cs="Times New Roman" w:eastAsia="Times New Roman" w:hint="default"/>
        </w:rPr>
        <w:t>IT </w:t>
      </w:r>
      <w:r>
        <w:rPr>
          <w:spacing w:val="-2"/>
        </w:rPr>
        <w:t>系统信息安全。公司将继续在数据中心自动化运维领域进行持续研发，提高数据中心运维效率，进一步提升数据中心运维能</w:t>
      </w:r>
      <w:r>
        <w:rPr>
          <w:spacing w:val="-63"/>
        </w:rPr>
        <w:t> </w:t>
      </w:r>
      <w:r>
        <w:rPr>
          <w:spacing w:val="-63"/>
        </w:rPr>
      </w:r>
      <w:r>
        <w:rPr/>
        <w:t>力及服务能力。</w:t>
      </w:r>
    </w:p>
    <w:p>
      <w:pPr>
        <w:pStyle w:val="BodyText"/>
        <w:spacing w:line="300" w:lineRule="auto" w:before="22"/>
        <w:ind w:right="176" w:firstLine="360"/>
        <w:jc w:val="left"/>
      </w:pPr>
      <w:r>
        <w:rPr>
          <w:rFonts w:ascii="宋体" w:hAnsi="宋体" w:cs="宋体" w:eastAsia="宋体" w:hint="default"/>
          <w:b/>
          <w:bCs/>
        </w:rPr>
        <w:t>推动并购重组进度，拓展业务范围。</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w:t>
      </w:r>
      <w:r>
        <w:rPr/>
        <w:t>日，公司发布了《发行股份及支付现金购买资产并募集配套资金暨关 联交易预案》，拟以发行股份和支付现金相结合的方式购买科信盛彩 </w:t>
      </w:r>
      <w:r>
        <w:rPr>
          <w:rFonts w:ascii="Times New Roman" w:hAnsi="Times New Roman" w:cs="Times New Roman" w:eastAsia="Times New Roman" w:hint="default"/>
        </w:rPr>
        <w:t>85%</w:t>
      </w:r>
      <w:r>
        <w:rPr>
          <w:rFonts w:ascii="Times New Roman" w:hAnsi="Times New Roman" w:cs="Times New Roman" w:eastAsia="Times New Roman" w:hint="default"/>
          <w:spacing w:val="-7"/>
        </w:rPr>
        <w:t> </w:t>
      </w:r>
      <w:r>
        <w:rPr/>
        <w:t>的股权，本次交易完成后，公司将持有科信盛彩 </w:t>
      </w:r>
      <w:r>
        <w:rPr>
          <w:rFonts w:ascii="Times New Roman" w:hAnsi="Times New Roman" w:cs="Times New Roman" w:eastAsia="Times New Roman" w:hint="default"/>
        </w:rPr>
        <w:t>100%</w:t>
      </w:r>
      <w:r>
        <w:rPr/>
        <w:t>的股权。公司将根据监管要求，完善相关资料，推动本次交易的顺利进行，从而不断拓展公司业务范围，提升公司的 整体实力和市场竞争力。</w:t>
      </w:r>
    </w:p>
    <w:p>
      <w:pPr>
        <w:pStyle w:val="Heading5"/>
        <w:spacing w:line="240" w:lineRule="auto" w:before="31"/>
        <w:ind w:right="183"/>
        <w:jc w:val="left"/>
        <w:rPr>
          <w:b w:val="0"/>
          <w:bCs w:val="0"/>
        </w:rPr>
      </w:pPr>
      <w:r>
        <w:rPr/>
        <w:t>（四）可能面对的风险</w:t>
      </w:r>
      <w:r>
        <w:rPr>
          <w:b w:val="0"/>
          <w:bCs w:val="0"/>
        </w:rPr>
      </w:r>
    </w:p>
    <w:p>
      <w:pPr>
        <w:spacing w:line="300" w:lineRule="auto" w:before="76"/>
        <w:ind w:left="513" w:right="18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、发行股份购买资产事项的审批风险</w:t>
      </w:r>
      <w:r>
        <w:rPr>
          <w:rFonts w:ascii="宋体" w:hAnsi="宋体" w:cs="宋体" w:eastAsia="宋体" w:hint="default"/>
          <w:b/>
          <w:bCs/>
          <w:w w:val="99"/>
          <w:sz w:val="18"/>
          <w:szCs w:val="18"/>
        </w:rPr>
        <w:t> </w:t>
      </w:r>
      <w:r>
        <w:rPr>
          <w:rFonts w:ascii="宋体" w:hAnsi="宋体" w:cs="宋体" w:eastAsia="宋体" w:hint="default"/>
          <w:sz w:val="18"/>
          <w:szCs w:val="18"/>
        </w:rPr>
        <w:t>公司拟以发行股份及支付现金的方式购买北京科信盛彩云计算有限公司</w:t>
      </w:r>
      <w:r>
        <w:rPr>
          <w:rFonts w:ascii="宋体" w:hAnsi="宋体" w:cs="宋体" w:eastAsia="宋体" w:hint="default"/>
          <w:sz w:val="18"/>
          <w:szCs w:val="18"/>
        </w:rPr>
        <w:t>85%</w:t>
      </w:r>
      <w:r>
        <w:rPr>
          <w:rFonts w:ascii="宋体" w:hAnsi="宋体" w:cs="宋体" w:eastAsia="宋体" w:hint="default"/>
          <w:sz w:val="18"/>
          <w:szCs w:val="18"/>
        </w:rPr>
        <w:t>的股权，于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日披露了《北京光环</w:t>
      </w:r>
    </w:p>
    <w:p>
      <w:pPr>
        <w:pStyle w:val="BodyText"/>
        <w:spacing w:line="316" w:lineRule="auto" w:before="13"/>
        <w:ind w:right="191"/>
        <w:jc w:val="both"/>
      </w:pPr>
      <w:r>
        <w:rPr>
          <w:spacing w:val="-2"/>
        </w:rPr>
        <w:t>新网科技股份有限公司发行股份及支付现金购买资产并募集配套资金暨关联交易预案》及相关文件，本次交易的正式方案尚</w:t>
      </w:r>
      <w:r>
        <w:rPr>
          <w:spacing w:val="-62"/>
        </w:rPr>
        <w:t> </w:t>
      </w:r>
      <w:r>
        <w:rPr>
          <w:spacing w:val="-62"/>
        </w:rPr>
      </w:r>
      <w:r>
        <w:rPr>
          <w:spacing w:val="-2"/>
        </w:rPr>
        <w:t>需再次取得公司董事会审议通过、公司股东大会批准及中国证监会核准，本次交易能否取得上述核准以及最终取得核准的时</w:t>
      </w:r>
      <w:r>
        <w:rPr>
          <w:spacing w:val="-64"/>
        </w:rPr>
        <w:t> </w:t>
      </w:r>
      <w:r>
        <w:rPr>
          <w:spacing w:val="-64"/>
        </w:rPr>
      </w:r>
      <w:r>
        <w:rPr/>
        <w:t>间均存在不确定性，公司郑重提示投资者注意投资风险。</w:t>
      </w:r>
    </w:p>
    <w:p>
      <w:pPr>
        <w:spacing w:line="300" w:lineRule="auto" w:before="19"/>
        <w:ind w:left="513" w:right="18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、业绩承诺无法实现的风险</w:t>
      </w:r>
      <w:r>
        <w:rPr>
          <w:rFonts w:ascii="宋体" w:hAnsi="宋体" w:cs="宋体" w:eastAsia="宋体" w:hint="default"/>
          <w:b/>
          <w:bCs/>
          <w:w w:val="99"/>
          <w:sz w:val="18"/>
          <w:szCs w:val="18"/>
        </w:rPr>
        <w:t> </w:t>
      </w:r>
      <w:r>
        <w:rPr>
          <w:rFonts w:ascii="宋体" w:hAnsi="宋体" w:cs="宋体" w:eastAsia="宋体" w:hint="default"/>
          <w:spacing w:val="-2"/>
          <w:sz w:val="18"/>
          <w:szCs w:val="18"/>
        </w:rPr>
        <w:t>公司收购中金云网和无双科技时，本次交易的交易对方对标的公司的业绩做出了承诺。截至本报告期末，中金云网已连</w:t>
      </w:r>
    </w:p>
    <w:p>
      <w:pPr>
        <w:pStyle w:val="BodyText"/>
        <w:spacing w:line="312" w:lineRule="auto" w:before="31"/>
        <w:ind w:right="188"/>
        <w:jc w:val="both"/>
      </w:pPr>
      <w:r>
        <w:rPr>
          <w:spacing w:val="-1"/>
        </w:rPr>
        <w:t>续两年（</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-2017</w:t>
      </w:r>
      <w:r>
        <w:rPr>
          <w:spacing w:val="-1"/>
        </w:rPr>
        <w:t>年）完成业绩承诺，无双科技已连续三年（</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-2017</w:t>
      </w:r>
      <w:r>
        <w:rPr>
          <w:spacing w:val="-1"/>
        </w:rPr>
        <w:t>年）完成业绩承诺。</w:t>
      </w:r>
      <w:r>
        <w:rPr>
          <w:rFonts w:ascii="Times New Roman" w:hAnsi="Times New Roman" w:cs="Times New Roman" w:eastAsia="Times New Roman" w:hint="default"/>
          <w:spacing w:val="-1"/>
        </w:rPr>
        <w:t>2018</w:t>
      </w:r>
      <w:r>
        <w:rPr>
          <w:spacing w:val="-1"/>
        </w:rPr>
        <w:t>年如中金云网经营情</w:t>
      </w:r>
      <w:r>
        <w:rPr>
          <w:spacing w:val="-54"/>
        </w:rPr>
        <w:t> </w:t>
      </w:r>
      <w:r>
        <w:rPr>
          <w:spacing w:val="-54"/>
        </w:rPr>
      </w:r>
      <w:r>
        <w:rPr>
          <w:spacing w:val="-2"/>
        </w:rPr>
        <w:t>况未达预期，可能导致业绩承诺无法实现，进而影响公司的整体经营业绩和盈利水平。若未实现业绩承诺，中金云网相关承</w:t>
      </w:r>
      <w:r>
        <w:rPr>
          <w:spacing w:val="-65"/>
        </w:rPr>
        <w:t> </w:t>
      </w:r>
      <w:r>
        <w:rPr>
          <w:spacing w:val="-65"/>
        </w:rPr>
      </w:r>
      <w:r>
        <w:rPr>
          <w:spacing w:val="-2"/>
        </w:rPr>
        <w:t>诺人将以现金或股份补偿上市公司，交易双方约定的业绩补偿方案能够在较大程度上保障公司及广大股东的利益，降低收购</w:t>
      </w:r>
      <w:r>
        <w:rPr>
          <w:spacing w:val="-64"/>
        </w:rPr>
        <w:t> </w:t>
      </w:r>
      <w:r>
        <w:rPr>
          <w:spacing w:val="-64"/>
        </w:rPr>
      </w:r>
      <w:r>
        <w:rPr/>
        <w:t>风险。</w:t>
      </w:r>
    </w:p>
    <w:p>
      <w:pPr>
        <w:spacing w:line="300" w:lineRule="auto" w:before="22"/>
        <w:ind w:left="513" w:right="18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、子公司无双科技完成业绩承诺后业绩下滑的风险</w:t>
      </w:r>
      <w:r>
        <w:rPr>
          <w:rFonts w:ascii="宋体" w:hAnsi="宋体" w:cs="宋体" w:eastAsia="宋体" w:hint="default"/>
          <w:b/>
          <w:bCs/>
          <w:w w:val="99"/>
          <w:sz w:val="18"/>
          <w:szCs w:val="18"/>
        </w:rPr>
        <w:t> </w:t>
      </w:r>
      <w:r>
        <w:rPr>
          <w:rFonts w:ascii="宋体" w:hAnsi="宋体" w:cs="宋体" w:eastAsia="宋体" w:hint="default"/>
          <w:spacing w:val="-2"/>
          <w:sz w:val="18"/>
          <w:szCs w:val="18"/>
        </w:rPr>
        <w:t>截至本报告期末，无双科技已完成重组业绩承诺。无双科技</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年度、</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年度和</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年度经审计的扣除非经常性损益</w:t>
      </w:r>
    </w:p>
    <w:p>
      <w:pPr>
        <w:pStyle w:val="BodyText"/>
        <w:spacing w:line="309" w:lineRule="auto" w:before="13"/>
        <w:ind w:right="190"/>
        <w:jc w:val="both"/>
      </w:pPr>
      <w:r>
        <w:rPr/>
        <w:t>后的归属于母公司所有者的净利润分别为</w:t>
      </w:r>
      <w:r>
        <w:rPr>
          <w:rFonts w:ascii="Times New Roman" w:hAnsi="Times New Roman" w:cs="Times New Roman" w:eastAsia="Times New Roman" w:hint="default"/>
        </w:rPr>
        <w:t>3,607.91</w:t>
      </w:r>
      <w:r>
        <w:rPr/>
        <w:t>万元、</w:t>
      </w:r>
      <w:r>
        <w:rPr>
          <w:rFonts w:ascii="Times New Roman" w:hAnsi="Times New Roman" w:cs="Times New Roman" w:eastAsia="Times New Roman" w:hint="default"/>
        </w:rPr>
        <w:t>4,840.47</w:t>
      </w:r>
      <w:r>
        <w:rPr/>
        <w:t>万元和</w:t>
      </w:r>
      <w:r>
        <w:rPr>
          <w:rFonts w:ascii="Times New Roman" w:hAnsi="Times New Roman" w:cs="Times New Roman" w:eastAsia="Times New Roman" w:hint="default"/>
        </w:rPr>
        <w:t>8,445.68</w:t>
      </w:r>
      <w:r>
        <w:rPr/>
        <w:t>万元，均高于业绩承诺利润金额，呈现良好 </w:t>
      </w:r>
      <w:r>
        <w:rPr>
          <w:spacing w:val="-2"/>
        </w:rPr>
        <w:t>的增长趋势。但由于经济活动影响因素较多，无双科技将面临来自宏观经济、行业发展、市场竞争及自身经营等方面的不确</w:t>
      </w:r>
      <w:r>
        <w:rPr>
          <w:spacing w:val="-63"/>
        </w:rPr>
        <w:t> </w:t>
      </w:r>
      <w:r>
        <w:rPr>
          <w:spacing w:val="-63"/>
        </w:rPr>
      </w:r>
      <w:r>
        <w:rPr/>
        <w:t>定性影响，从而导致无双科技经营业绩出现波动，不排除无双科技可能在业绩承诺期后出现营业利润下滑的风险。</w:t>
      </w:r>
    </w:p>
    <w:p>
      <w:pPr>
        <w:pStyle w:val="BodyText"/>
        <w:spacing w:line="316" w:lineRule="auto" w:before="24"/>
        <w:ind w:right="94" w:firstLine="360"/>
        <w:jc w:val="left"/>
      </w:pPr>
      <w:r>
        <w:rPr>
          <w:spacing w:val="-2"/>
        </w:rPr>
        <w:t>公司将从战略、人事、制度、财务、文化等方面持续进行并购后的整合过程，充分发挥并购协同效应，以保证无双科技</w:t>
      </w:r>
      <w:r>
        <w:rPr/>
        <w:t> </w:t>
      </w:r>
      <w:r>
        <w:rPr>
          <w:spacing w:val="-2"/>
        </w:rPr>
        <w:t>的业绩不出现重大下滑。公司将从长远发展战略出发，不断提升无双科技在</w:t>
      </w:r>
      <w:r>
        <w:rPr>
          <w:rFonts w:ascii="宋体" w:hAnsi="宋体" w:cs="宋体" w:eastAsia="宋体" w:hint="default"/>
          <w:spacing w:val="-2"/>
        </w:rPr>
        <w:t>SaaS</w:t>
      </w:r>
      <w:r>
        <w:rPr>
          <w:spacing w:val="-2"/>
        </w:rPr>
        <w:t>领域的核心竞争力、强化竞争优势。采用多</w:t>
      </w:r>
      <w:r>
        <w:rPr>
          <w:spacing w:val="-61"/>
        </w:rPr>
        <w:t> </w:t>
      </w:r>
      <w:r>
        <w:rPr>
          <w:spacing w:val="-61"/>
        </w:rPr>
      </w:r>
      <w:r>
        <w:rPr>
          <w:spacing w:val="-2"/>
        </w:rPr>
        <w:t>种激励措施和管理方法，留住重要的技术和销售人才，有针对性地开展人力资源培训，确保未来的人力资源既具有相对连续</w:t>
      </w:r>
      <w:r>
        <w:rPr>
          <w:spacing w:val="-63"/>
        </w:rPr>
        <w:t> </w:t>
      </w:r>
      <w:r>
        <w:rPr>
          <w:spacing w:val="-63"/>
        </w:rPr>
      </w:r>
      <w:r>
        <w:rPr/>
        <w:t>性和稳定性。保持人事、财务、营销和开发等职能制度的优势互补过程，建立健全高效的财务制度体系，实现一体化管理，</w:t>
      </w:r>
      <w:r>
        <w:rPr>
          <w:spacing w:val="-83"/>
        </w:rPr>
        <w:t> </w:t>
      </w:r>
      <w:r>
        <w:rPr>
          <w:spacing w:val="-83"/>
        </w:rPr>
      </w:r>
      <w:r>
        <w:rPr/>
        <w:t>最大限度的共享和高效利用财务资源。</w:t>
      </w:r>
    </w:p>
    <w:p>
      <w:pPr>
        <w:pStyle w:val="BodyText"/>
        <w:spacing w:line="300" w:lineRule="auto" w:before="19"/>
        <w:ind w:left="513" w:right="183"/>
        <w:jc w:val="left"/>
      </w:pPr>
      <w:r>
        <w:rPr>
          <w:rFonts w:ascii="Times New Roman" w:hAnsi="Times New Roman" w:cs="Times New Roman" w:eastAsia="Times New Roman" w:hint="default"/>
          <w:b/>
          <w:bCs/>
        </w:rPr>
        <w:t>4</w:t>
      </w:r>
      <w:r>
        <w:rPr>
          <w:rFonts w:ascii="宋体" w:hAnsi="宋体" w:cs="宋体" w:eastAsia="宋体" w:hint="default"/>
          <w:b/>
          <w:bCs/>
        </w:rPr>
        <w:t>、应收账款回收风险</w:t>
      </w:r>
      <w:r>
        <w:rPr>
          <w:rFonts w:ascii="宋体" w:hAnsi="宋体" w:cs="宋体" w:eastAsia="宋体" w:hint="default"/>
          <w:b/>
          <w:bCs/>
          <w:w w:val="99"/>
        </w:rPr>
        <w:t> </w:t>
      </w:r>
      <w:r>
        <w:rPr/>
        <w:t>随着公司业务规模的快速扩大，应收账款增速较快，截至报告期末，公司应收账款面值为</w:t>
      </w:r>
      <w:r>
        <w:rPr>
          <w:rFonts w:ascii="宋体" w:hAnsi="宋体" w:cs="宋体" w:eastAsia="宋体" w:hint="default"/>
        </w:rPr>
        <w:t>98,672.49</w:t>
      </w:r>
      <w:r>
        <w:rPr/>
        <w:t>万元，若客户因审</w:t>
      </w:r>
    </w:p>
    <w:p>
      <w:pPr>
        <w:pStyle w:val="BodyText"/>
        <w:spacing w:line="240" w:lineRule="auto" w:before="31"/>
        <w:ind w:right="0"/>
        <w:jc w:val="both"/>
      </w:pPr>
      <w:r>
        <w:rPr/>
        <w:t>批流程长或经营状况出现恶化等原因拖延付款</w:t>
      </w:r>
      <w:r>
        <w:rPr>
          <w:spacing w:val="-87"/>
        </w:rPr>
        <w:t>，</w:t>
      </w:r>
      <w:r>
        <w:rPr/>
        <w:t>存在应收账款逐年增加且不能回收的风险</w:t>
      </w:r>
      <w:r>
        <w:rPr>
          <w:spacing w:val="-85"/>
        </w:rPr>
        <w:t>。</w:t>
      </w:r>
      <w:r>
        <w:rPr/>
        <w:t>公司的客户广泛分布于通信行业、</w:t>
      </w:r>
    </w:p>
    <w:p>
      <w:pPr>
        <w:spacing w:after="0" w:line="240" w:lineRule="auto"/>
        <w:jc w:val="both"/>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190"/>
        <w:jc w:val="both"/>
      </w:pPr>
      <w:r>
        <w:rPr>
          <w:spacing w:val="-2"/>
        </w:rPr>
        <w:t>电子商务、金融、保险、传媒、教育、医疗、制造等各行各业，其中不乏国内大型互联网企业、国际知名品牌、媒体、商业</w:t>
      </w:r>
      <w:r>
        <w:rPr>
          <w:spacing w:val="-70"/>
        </w:rPr>
        <w:t> </w:t>
      </w:r>
      <w:r>
        <w:rPr>
          <w:spacing w:val="-70"/>
        </w:rPr>
      </w:r>
      <w:r>
        <w:rPr/>
        <w:t>银行、保险机构以及政府部门，该等客户资信情况良好，具有较强的支付能力。</w:t>
      </w:r>
    </w:p>
    <w:p>
      <w:pPr>
        <w:pStyle w:val="BodyText"/>
        <w:spacing w:line="309" w:lineRule="auto" w:before="19"/>
        <w:ind w:left="513" w:right="181"/>
        <w:jc w:val="left"/>
      </w:pPr>
      <w:r>
        <w:rPr/>
        <w:t>报告期内，公司进一步加强风控力度，完善回款机制，确保客户在合同约定期限内按时支付服务费用。 </w:t>
      </w:r>
      <w:r>
        <w:rPr>
          <w:rFonts w:ascii="Times New Roman" w:hAnsi="Times New Roman" w:cs="Times New Roman" w:eastAsia="Times New Roman" w:hint="default"/>
          <w:b/>
          <w:bCs/>
        </w:rPr>
        <w:t>5</w:t>
      </w:r>
      <w:r>
        <w:rPr>
          <w:rFonts w:ascii="宋体" w:hAnsi="宋体" w:cs="宋体" w:eastAsia="宋体" w:hint="default"/>
          <w:b/>
          <w:bCs/>
        </w:rPr>
        <w:t>、资产负债率较高及流动性风险</w:t>
      </w:r>
      <w:r>
        <w:rPr>
          <w:rFonts w:ascii="宋体" w:hAnsi="宋体" w:cs="宋体" w:eastAsia="宋体" w:hint="default"/>
          <w:b/>
          <w:bCs/>
          <w:w w:val="99"/>
        </w:rPr>
        <w:t> </w:t>
      </w:r>
      <w:r>
        <w:rPr>
          <w:spacing w:val="-1"/>
        </w:rPr>
        <w:t>截至本报告期末，公司全资子公司中金云网的资产负债率</w:t>
      </w:r>
      <w:r>
        <w:rPr>
          <w:rFonts w:ascii="Times New Roman" w:hAnsi="Times New Roman" w:cs="Times New Roman" w:eastAsia="Times New Roman" w:hint="default"/>
          <w:spacing w:val="-1"/>
        </w:rPr>
        <w:t>63.54</w:t>
      </w:r>
      <w:r>
        <w:rPr>
          <w:rFonts w:ascii="宋体" w:hAnsi="宋体" w:cs="宋体" w:eastAsia="宋体" w:hint="default"/>
          <w:spacing w:val="-1"/>
        </w:rPr>
        <w:t>%</w:t>
      </w:r>
      <w:r>
        <w:rPr>
          <w:spacing w:val="-1"/>
        </w:rPr>
        <w:t>，子公司科信盛彩的资产负债率为</w:t>
      </w:r>
      <w:r>
        <w:rPr>
          <w:rFonts w:ascii="Times New Roman" w:hAnsi="Times New Roman" w:cs="Times New Roman" w:eastAsia="Times New Roman" w:hint="default"/>
          <w:spacing w:val="-1"/>
        </w:rPr>
        <w:t>67.42%</w:t>
      </w:r>
      <w:r>
        <w:rPr>
          <w:spacing w:val="-1"/>
        </w:rPr>
        <w:t>。子公司数据</w:t>
      </w:r>
    </w:p>
    <w:p>
      <w:pPr>
        <w:pStyle w:val="BodyText"/>
        <w:spacing w:line="316" w:lineRule="auto" w:before="5"/>
        <w:ind w:right="102"/>
        <w:jc w:val="both"/>
      </w:pPr>
      <w:r>
        <w:rPr/>
        <w:t>中心业务及运营对资金需求量较大，在既定的运营效率下，业务扩张主要依靠运营资金规模的扩大。在重资产运营模式下，</w:t>
      </w:r>
      <w:r>
        <w:rPr>
          <w:spacing w:val="-83"/>
        </w:rPr>
        <w:t> </w:t>
      </w:r>
      <w:r>
        <w:rPr>
          <w:spacing w:val="-83"/>
        </w:rPr>
      </w:r>
      <w:r>
        <w:rPr/>
        <w:t>进行数据中心前期建设需投入大量资金，项目投资回收期较长，导致公司可能存在流动性不足风险。</w:t>
      </w:r>
    </w:p>
    <w:p>
      <w:pPr>
        <w:pStyle w:val="BodyText"/>
        <w:spacing w:line="240" w:lineRule="auto" w:before="19"/>
        <w:ind w:left="513" w:right="183"/>
        <w:jc w:val="left"/>
      </w:pPr>
      <w:r>
        <w:rPr/>
        <w:t>未来，随着公司各项目的竣工投产，收入将不断增加，现金流充裕，资产负债率将逐渐降低。</w:t>
      </w:r>
    </w:p>
    <w:p>
      <w:pPr>
        <w:pStyle w:val="BodyText"/>
        <w:spacing w:line="300" w:lineRule="auto" w:before="76"/>
        <w:ind w:left="513" w:right="183"/>
        <w:jc w:val="left"/>
      </w:pPr>
      <w:r>
        <w:rPr>
          <w:rFonts w:ascii="Times New Roman" w:hAnsi="Times New Roman" w:cs="Times New Roman" w:eastAsia="Times New Roman" w:hint="default"/>
          <w:b/>
          <w:bCs/>
        </w:rPr>
        <w:t>6</w:t>
      </w:r>
      <w:r>
        <w:rPr>
          <w:rFonts w:ascii="宋体" w:hAnsi="宋体" w:cs="宋体" w:eastAsia="宋体" w:hint="default"/>
          <w:b/>
          <w:bCs/>
        </w:rPr>
        <w:t>、市场竞争加剧的风险</w:t>
      </w:r>
      <w:r>
        <w:rPr>
          <w:rFonts w:ascii="宋体" w:hAnsi="宋体" w:cs="宋体" w:eastAsia="宋体" w:hint="default"/>
          <w:b/>
          <w:bCs/>
          <w:w w:val="99"/>
        </w:rPr>
        <w:t> </w:t>
      </w:r>
      <w:r>
        <w:rPr/>
        <w:t>随着互联网在行业应用上的普及，市场对</w:t>
      </w:r>
      <w:r>
        <w:rPr>
          <w:rFonts w:ascii="Times New Roman" w:hAnsi="Times New Roman" w:cs="Times New Roman" w:eastAsia="Times New Roman" w:hint="default"/>
        </w:rPr>
        <w:t>IDC</w:t>
      </w:r>
      <w:r>
        <w:rPr/>
        <w:t>及其增值服务的需求不断提升，</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月国务院发布《国务院关于取消</w:t>
      </w:r>
    </w:p>
    <w:p>
      <w:pPr>
        <w:pStyle w:val="BodyText"/>
        <w:spacing w:line="312" w:lineRule="auto" w:before="13"/>
        <w:ind w:right="190"/>
        <w:jc w:val="both"/>
      </w:pPr>
      <w:r>
        <w:rPr>
          <w:spacing w:val="-1"/>
        </w:rPr>
        <w:t>和下放一批行政审批项目的决定》（国发</w:t>
      </w:r>
      <w:r>
        <w:rPr>
          <w:rFonts w:ascii="Times New Roman" w:hAnsi="Times New Roman" w:cs="Times New Roman" w:eastAsia="Times New Roman" w:hint="default"/>
          <w:spacing w:val="-1"/>
        </w:rPr>
        <w:t>[2014]5</w:t>
      </w:r>
      <w:r>
        <w:rPr>
          <w:spacing w:val="-1"/>
        </w:rPr>
        <w:t>号文），</w:t>
      </w:r>
      <w:r>
        <w:rPr>
          <w:rFonts w:ascii="Times New Roman" w:hAnsi="Times New Roman" w:cs="Times New Roman" w:eastAsia="Times New Roman" w:hint="default"/>
          <w:spacing w:val="-1"/>
        </w:rPr>
        <w:t>“</w:t>
      </w:r>
      <w:r>
        <w:rPr>
          <w:spacing w:val="-1"/>
        </w:rPr>
        <w:t>取消基础电信和跨地区增值电信业务经营许可证备案核准</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IDC</w:t>
      </w:r>
      <w:r>
        <w:rPr>
          <w:rFonts w:ascii="Times New Roman" w:hAnsi="Times New Roman" w:cs="Times New Roman" w:eastAsia="Times New Roman" w:hint="default"/>
          <w:spacing w:val="-34"/>
        </w:rPr>
        <w:t> </w:t>
      </w:r>
      <w:r>
        <w:rPr>
          <w:spacing w:val="-2"/>
        </w:rPr>
        <w:t>企业跨地区经营的成本更低，吸引更多企业进入，同时有越来越多的企业开始涉足云计算产业，在这种市场环境下，未来公</w:t>
      </w:r>
      <w:r>
        <w:rPr>
          <w:spacing w:val="-64"/>
        </w:rPr>
        <w:t> </w:t>
      </w:r>
      <w:r>
        <w:rPr>
          <w:spacing w:val="-64"/>
        </w:rPr>
      </w:r>
      <w:r>
        <w:rPr>
          <w:spacing w:val="-2"/>
        </w:rPr>
        <w:t>司面临的竞争可能加剧。一方面，竞争加剧使公司面临市场份额被竞争对手抢夺的风险，原有的市场份额可能减小。另一方</w:t>
      </w:r>
      <w:r>
        <w:rPr>
          <w:spacing w:val="-65"/>
        </w:rPr>
        <w:t> </w:t>
      </w:r>
      <w:r>
        <w:rPr>
          <w:spacing w:val="-65"/>
        </w:rPr>
      </w:r>
      <w:r>
        <w:rPr/>
        <w:t>面，竞争加剧还可能导致行业整体利润率下降。</w:t>
      </w:r>
    </w:p>
    <w:p>
      <w:pPr>
        <w:pStyle w:val="BodyText"/>
        <w:spacing w:line="316" w:lineRule="auto" w:before="22"/>
        <w:ind w:right="102" w:firstLine="360"/>
        <w:jc w:val="left"/>
      </w:pPr>
      <w:r>
        <w:rPr>
          <w:spacing w:val="-2"/>
        </w:rPr>
        <w:t>报告期内，公司继续推进各在建项目的建设进度，确保各募投项目按照既定计划顺利实施。截至报告期末，上海绿色云</w:t>
      </w:r>
      <w:r>
        <w:rPr/>
        <w:t> </w:t>
      </w:r>
      <w:r>
        <w:rPr>
          <w:spacing w:val="-4"/>
        </w:rPr>
        <w:t>计算基地项目、科信盛彩亦庄绿色云计算基地项目、燕郊光环云谷二期项目已有部分模块完成验收工作并进入正式运营状态。</w:t>
      </w:r>
      <w:r>
        <w:rPr>
          <w:spacing w:val="-44"/>
        </w:rPr>
        <w:t> </w:t>
      </w:r>
      <w:r>
        <w:rPr>
          <w:spacing w:val="-44"/>
        </w:rPr>
      </w:r>
      <w:r>
        <w:rPr>
          <w:spacing w:val="-2"/>
        </w:rPr>
        <w:t>房山绿色云计算基地一期项目已完成工程主体建筑建设工作，报告期内机房建设工作正按照项目规划进度有序进行。公司各</w:t>
      </w:r>
      <w:r>
        <w:rPr>
          <w:spacing w:val="-64"/>
        </w:rPr>
        <w:t> </w:t>
      </w:r>
      <w:r>
        <w:rPr>
          <w:spacing w:val="-64"/>
        </w:rPr>
      </w:r>
      <w:r>
        <w:rPr/>
        <w:t>在建云计算基地项目投入使用后，将大大增加公司的市场占有率，从而进一步提高综合竞争能力。</w:t>
      </w:r>
    </w:p>
    <w:p>
      <w:pPr>
        <w:pStyle w:val="BodyText"/>
        <w:spacing w:line="300" w:lineRule="auto" w:before="19"/>
        <w:ind w:right="96" w:firstLine="360"/>
        <w:jc w:val="left"/>
      </w:pPr>
      <w:r>
        <w:rPr>
          <w:spacing w:val="-4"/>
          <w:w w:val="99"/>
        </w:rPr>
        <w:t>报告期内，上海嘉定数据中心获得</w:t>
      </w:r>
      <w:r>
        <w:rPr>
          <w:rFonts w:ascii="Times New Roman" w:hAnsi="Times New Roman" w:cs="Times New Roman" w:eastAsia="Times New Roman" w:hint="default"/>
          <w:spacing w:val="-4"/>
          <w:w w:val="99"/>
        </w:rPr>
        <w:t>Uptime</w:t>
      </w:r>
      <w:r>
        <w:rPr>
          <w:rFonts w:ascii="Times New Roman" w:hAnsi="Times New Roman" w:cs="Times New Roman" w:eastAsia="Times New Roman" w:hint="default"/>
          <w:w w:val="99"/>
        </w:rPr>
        <w:t> </w:t>
      </w:r>
      <w:r>
        <w:rPr>
          <w:rFonts w:ascii="Times New Roman" w:hAnsi="Times New Roman" w:cs="Times New Roman" w:eastAsia="Times New Roman" w:hint="default"/>
          <w:w w:val="99"/>
        </w:rPr>
        <w:t>Institute</w:t>
      </w:r>
      <w:r>
        <w:rPr>
          <w:rFonts w:ascii="Times New Roman" w:hAnsi="Times New Roman" w:cs="Times New Roman" w:eastAsia="Times New Roman" w:hint="default"/>
          <w:spacing w:val="1"/>
          <w:w w:val="99"/>
        </w:rPr>
        <w:t> </w:t>
      </w:r>
      <w:r>
        <w:rPr>
          <w:rFonts w:ascii="Times New Roman" w:hAnsi="Times New Roman" w:cs="Times New Roman" w:eastAsia="Times New Roman" w:hint="default"/>
          <w:spacing w:val="-3"/>
        </w:rPr>
        <w:t>T4</w:t>
      </w:r>
      <w:r>
        <w:rPr>
          <w:spacing w:val="-3"/>
        </w:rPr>
        <w:t>标准认证，成为上海地区唯一一家获得</w:t>
      </w:r>
      <w:r>
        <w:rPr>
          <w:rFonts w:ascii="Times New Roman" w:hAnsi="Times New Roman" w:cs="Times New Roman" w:eastAsia="Times New Roman" w:hint="default"/>
          <w:spacing w:val="-3"/>
        </w:rPr>
        <w:t>T4</w:t>
      </w:r>
      <w:r>
        <w:rPr>
          <w:spacing w:val="-3"/>
        </w:rPr>
        <w:t>标准认证的商用数据中心，</w:t>
      </w:r>
      <w:r>
        <w:rPr/>
        <w:t> 将为用户提供更有优质、更满意的数据中心服务；由中金云网主导研发的云计算平台运维系统</w:t>
      </w:r>
      <w:r>
        <w:rPr>
          <w:rFonts w:ascii="Times New Roman" w:hAnsi="Times New Roman" w:cs="Times New Roman" w:eastAsia="Times New Roman" w:hint="default"/>
        </w:rPr>
        <w:t>2.0</w:t>
      </w:r>
      <w:r>
        <w:rPr/>
        <w:t>版本、互联网流量矩阵项</w:t>
      </w:r>
      <w:r>
        <w:rPr>
          <w:spacing w:val="-40"/>
        </w:rPr>
        <w:t> </w:t>
      </w:r>
      <w:r>
        <w:rPr>
          <w:spacing w:val="-40"/>
        </w:rPr>
      </w:r>
      <w:r>
        <w:rPr>
          <w:spacing w:val="-4"/>
          <w:w w:val="99"/>
        </w:rPr>
        <w:t>目</w:t>
      </w:r>
      <w:r>
        <w:rPr>
          <w:rFonts w:ascii="Times New Roman" w:hAnsi="Times New Roman" w:cs="Times New Roman" w:eastAsia="Times New Roman" w:hint="default"/>
          <w:spacing w:val="-4"/>
          <w:w w:val="99"/>
        </w:rPr>
        <w:t>2.0</w:t>
      </w:r>
      <w:r>
        <w:rPr>
          <w:spacing w:val="-4"/>
          <w:w w:val="99"/>
        </w:rPr>
        <w:t>已完成研发工作并投入，进一步提升了数据中心运营效率，增强公司竞争实力；无双科技完成了</w:t>
      </w:r>
      <w:r>
        <w:rPr>
          <w:rFonts w:ascii="Times New Roman" w:hAnsi="Times New Roman" w:cs="Times New Roman" w:eastAsia="Times New Roman" w:hint="default"/>
          <w:spacing w:val="-4"/>
          <w:w w:val="99"/>
        </w:rPr>
        <w:t>AG</w:t>
      </w:r>
      <w:r>
        <w:rPr>
          <w:spacing w:val="-4"/>
          <w:w w:val="99"/>
        </w:rPr>
        <w:t>动态创意模板系统、</w:t>
      </w:r>
      <w:r>
        <w:rPr>
          <w:spacing w:val="-71"/>
          <w:w w:val="99"/>
        </w:rPr>
        <w:t> </w:t>
      </w:r>
      <w:r>
        <w:rPr>
          <w:spacing w:val="-71"/>
          <w:w w:val="99"/>
        </w:rPr>
      </w:r>
      <w:r>
        <w:rPr>
          <w:rFonts w:ascii="Times New Roman" w:hAnsi="Times New Roman" w:cs="Times New Roman" w:eastAsia="Times New Roman" w:hint="default"/>
        </w:rPr>
        <w:t>AG</w:t>
      </w:r>
      <w:r>
        <w:rPr/>
        <w:t>人群库广告产品推荐系统、多媒体营销助手软件、广告数据诊断工具（数据医生）软件、</w:t>
      </w:r>
      <w:r>
        <w:rPr>
          <w:rFonts w:ascii="Times New Roman" w:hAnsi="Times New Roman" w:cs="Times New Roman" w:eastAsia="Times New Roman" w:hint="default"/>
        </w:rPr>
        <w:t>AG</w:t>
      </w:r>
      <w:r>
        <w:rPr/>
        <w:t>第三方监测数据对接分析系 统、</w:t>
      </w:r>
      <w:r>
        <w:rPr>
          <w:rFonts w:ascii="Times New Roman" w:hAnsi="Times New Roman" w:cs="Times New Roman" w:eastAsia="Times New Roman" w:hint="default"/>
        </w:rPr>
        <w:t>AG</w:t>
      </w:r>
      <w:r>
        <w:rPr/>
        <w:t>网站影响力排名分析平台、</w:t>
      </w:r>
      <w:r>
        <w:rPr>
          <w:rFonts w:ascii="Times New Roman" w:hAnsi="Times New Roman" w:cs="Times New Roman" w:eastAsia="Times New Roman" w:hint="default"/>
        </w:rPr>
        <w:t>AG</w:t>
      </w:r>
      <w:r>
        <w:rPr/>
        <w:t>应用统计分析平台、</w:t>
      </w:r>
      <w:r>
        <w:rPr>
          <w:rFonts w:ascii="Times New Roman" w:hAnsi="Times New Roman" w:cs="Times New Roman" w:eastAsia="Times New Roman" w:hint="default"/>
        </w:rPr>
        <w:t>AG</w:t>
      </w:r>
      <w:r>
        <w:rPr/>
        <w:t>网站推广关键词自动推荐系统、基于网页</w:t>
      </w:r>
      <w:r>
        <w:rPr>
          <w:rFonts w:ascii="Times New Roman" w:hAnsi="Times New Roman" w:cs="Times New Roman" w:eastAsia="Times New Roman" w:hint="default"/>
        </w:rPr>
        <w:t>Context</w:t>
      </w:r>
      <w:r>
        <w:rPr/>
        <w:t>语境分析的 </w:t>
      </w:r>
      <w:r>
        <w:rPr>
          <w:rFonts w:ascii="Times New Roman" w:hAnsi="Times New Roman" w:cs="Times New Roman" w:eastAsia="Times New Roman" w:hint="default"/>
        </w:rPr>
        <w:t>AG</w:t>
      </w:r>
      <w:r>
        <w:rPr/>
        <w:t>人群库系统、</w:t>
      </w:r>
      <w:r>
        <w:rPr>
          <w:rFonts w:ascii="Times New Roman" w:hAnsi="Times New Roman" w:cs="Times New Roman" w:eastAsia="Times New Roman" w:hint="default"/>
        </w:rPr>
        <w:t>AG</w:t>
      </w:r>
      <w:r>
        <w:rPr/>
        <w:t>客户网站流量分析、创意点击优化系统、广告主私有定制化人群库系统、多层模型广告点击率预测系统 等多个项目的研发和建立，有效提升了运营效率及客户体验度。</w:t>
      </w:r>
    </w:p>
    <w:p>
      <w:pPr>
        <w:pStyle w:val="BodyText"/>
        <w:spacing w:line="300" w:lineRule="auto" w:before="31"/>
        <w:ind w:right="187" w:firstLine="360"/>
        <w:jc w:val="both"/>
      </w:pPr>
      <w:r>
        <w:rPr/>
        <w:t>报告期内，公司与亚马逊在云计算业务方面进一步加深合作，基于</w:t>
      </w:r>
      <w:r>
        <w:rPr>
          <w:rFonts w:ascii="Times New Roman" w:hAnsi="Times New Roman" w:cs="Times New Roman" w:eastAsia="Times New Roman" w:hint="default"/>
        </w:rPr>
        <w:t>AWS</w:t>
      </w:r>
      <w:r>
        <w:rPr/>
        <w:t>平台合作推出</w:t>
      </w:r>
      <w:r>
        <w:rPr>
          <w:rFonts w:ascii="Times New Roman" w:hAnsi="Times New Roman" w:cs="Times New Roman" w:eastAsia="Times New Roman" w:hint="default"/>
        </w:rPr>
        <w:t>AWS-DX</w:t>
      </w:r>
      <w:r>
        <w:rPr/>
        <w:t>产品，并为广大客户提 供云计算架构及方案咨询服务、混合云系统集成服务、云平台运维服务等。通过光环云和</w:t>
      </w:r>
      <w:r>
        <w:rPr>
          <w:rFonts w:ascii="Times New Roman" w:hAnsi="Times New Roman" w:cs="Times New Roman" w:eastAsia="Times New Roman" w:hint="default"/>
        </w:rPr>
        <w:t>AWS</w:t>
      </w:r>
      <w:r>
        <w:rPr/>
        <w:t>两大平台，公司可满足不同</w:t>
      </w:r>
      <w:r>
        <w:rPr>
          <w:spacing w:val="-40"/>
        </w:rPr>
        <w:t> </w:t>
      </w:r>
      <w:r>
        <w:rPr>
          <w:spacing w:val="-40"/>
        </w:rPr>
      </w:r>
      <w:r>
        <w:rPr/>
        <w:t>层次客户需求的云计算产品组合和配套服务。</w:t>
      </w:r>
    </w:p>
    <w:p>
      <w:pPr>
        <w:pStyle w:val="BodyText"/>
        <w:spacing w:line="300" w:lineRule="auto" w:before="31"/>
        <w:ind w:right="191" w:firstLine="360"/>
        <w:jc w:val="both"/>
      </w:pPr>
      <w:r>
        <w:rPr>
          <w:spacing w:val="-1"/>
        </w:rPr>
        <w:t>报告期内，公司积极筹划并推进以发行股份和支付现金相结合的方式购买科信盛彩</w:t>
      </w:r>
      <w:r>
        <w:rPr>
          <w:rFonts w:ascii="Times New Roman" w:hAnsi="Times New Roman" w:cs="Times New Roman" w:eastAsia="Times New Roman" w:hint="default"/>
          <w:spacing w:val="-1"/>
        </w:rPr>
        <w:t>85%</w:t>
      </w:r>
      <w:r>
        <w:rPr>
          <w:spacing w:val="-1"/>
        </w:rPr>
        <w:t>的股权的相关事项。公司第三届</w:t>
      </w:r>
      <w:r>
        <w:rPr/>
        <w:t> 董事会</w:t>
      </w:r>
      <w:r>
        <w:rPr>
          <w:rFonts w:ascii="Times New Roman" w:hAnsi="Times New Roman" w:cs="Times New Roman" w:eastAsia="Times New Roman" w:hint="default"/>
        </w:rPr>
        <w:t>2018</w:t>
      </w:r>
      <w:r>
        <w:rPr/>
        <w:t>年第二次会议已审议通过了《</w:t>
      </w:r>
      <w:r>
        <w:rPr>
          <w:rFonts w:ascii="Times New Roman" w:hAnsi="Times New Roman" w:cs="Times New Roman" w:eastAsia="Times New Roman" w:hint="default"/>
        </w:rPr>
        <w:t>&lt;</w:t>
      </w:r>
      <w:r>
        <w:rPr/>
        <w:t>北京光环新网科技股份有限公司发行股份及支付现金购买资产并募集配套资金暨 关联交易预案</w:t>
      </w:r>
      <w:r>
        <w:rPr>
          <w:rFonts w:ascii="Times New Roman" w:hAnsi="Times New Roman" w:cs="Times New Roman" w:eastAsia="Times New Roman" w:hint="default"/>
        </w:rPr>
        <w:t>&gt;</w:t>
      </w:r>
      <w:r>
        <w:rPr/>
        <w:t>及其摘要的议案》等相关议案，如本次交易的正式方案经公司董事会审议通过、公司股东大会批准及中国证 监会核准，并顺利实施后，将对公司未来三年业绩增长产生积极影响。</w:t>
      </w:r>
    </w:p>
    <w:p>
      <w:pPr>
        <w:spacing w:line="316" w:lineRule="auto" w:before="32"/>
        <w:ind w:left="513" w:right="183" w:firstLine="0"/>
        <w:jc w:val="left"/>
        <w:rPr>
          <w:rFonts w:ascii="宋体" w:hAnsi="宋体" w:cs="宋体" w:eastAsia="宋体" w:hint="default"/>
          <w:sz w:val="18"/>
          <w:szCs w:val="18"/>
        </w:rPr>
      </w:pPr>
      <w:r>
        <w:rPr>
          <w:rFonts w:ascii="宋体" w:hAnsi="宋体" w:cs="宋体" w:eastAsia="宋体" w:hint="default"/>
          <w:b/>
          <w:bCs/>
          <w:sz w:val="18"/>
          <w:szCs w:val="18"/>
        </w:rPr>
        <w:t>7</w:t>
      </w:r>
      <w:r>
        <w:rPr>
          <w:rFonts w:ascii="宋体" w:hAnsi="宋体" w:cs="宋体" w:eastAsia="宋体" w:hint="default"/>
          <w:b/>
          <w:bCs/>
          <w:sz w:val="18"/>
          <w:szCs w:val="18"/>
        </w:rPr>
        <w:t>、运营成本增加带来的风险</w:t>
      </w:r>
      <w:r>
        <w:rPr>
          <w:rFonts w:ascii="宋体" w:hAnsi="宋体" w:cs="宋体" w:eastAsia="宋体" w:hint="default"/>
          <w:b/>
          <w:bCs/>
          <w:w w:val="99"/>
          <w:sz w:val="18"/>
          <w:szCs w:val="18"/>
        </w:rPr>
        <w:t> </w:t>
      </w:r>
      <w:r>
        <w:rPr>
          <w:rFonts w:ascii="宋体" w:hAnsi="宋体" w:cs="宋体" w:eastAsia="宋体" w:hint="default"/>
          <w:spacing w:val="-2"/>
          <w:sz w:val="18"/>
          <w:szCs w:val="18"/>
        </w:rPr>
        <w:t>公司经营规模和资产规模的扩大，子公司数量增加，技术研发、销售方面员工人数的增长，产能的扩大将会带来相应的</w:t>
      </w:r>
    </w:p>
    <w:p>
      <w:pPr>
        <w:pStyle w:val="BodyText"/>
        <w:spacing w:line="316" w:lineRule="auto" w:before="19"/>
        <w:ind w:right="190"/>
        <w:jc w:val="both"/>
      </w:pPr>
      <w:r>
        <w:rPr>
          <w:spacing w:val="-2"/>
        </w:rPr>
        <w:t>各项成本费用增加，从而导致公司毛利率降低，对公司经营业绩产生一定影响。报告期内，公司通过进一步强化管理、控制</w:t>
      </w:r>
      <w:r>
        <w:rPr>
          <w:spacing w:val="-67"/>
        </w:rPr>
        <w:t> </w:t>
      </w:r>
      <w:r>
        <w:rPr>
          <w:spacing w:val="-67"/>
        </w:rPr>
      </w:r>
      <w:r>
        <w:rPr>
          <w:spacing w:val="-2"/>
        </w:rPr>
        <w:t>费用等举措，尽可能减轻成本上升压力。同时，公司在保证募投项目资金使用的前提下，使用暂时闲置的募集资金进行现金</w:t>
      </w:r>
      <w:r>
        <w:rPr>
          <w:spacing w:val="-63"/>
        </w:rPr>
        <w:t> </w:t>
      </w:r>
      <w:r>
        <w:rPr>
          <w:spacing w:val="-63"/>
        </w:rPr>
      </w:r>
      <w:r>
        <w:rPr/>
        <w:t>管理，提高资金使用效率，增加公司收益。</w:t>
      </w:r>
    </w:p>
    <w:p>
      <w:pPr>
        <w:spacing w:line="300" w:lineRule="auto" w:before="19"/>
        <w:ind w:left="513" w:right="18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8</w:t>
      </w:r>
      <w:r>
        <w:rPr>
          <w:rFonts w:ascii="宋体" w:hAnsi="宋体" w:cs="宋体" w:eastAsia="宋体" w:hint="default"/>
          <w:b/>
          <w:bCs/>
          <w:sz w:val="18"/>
          <w:szCs w:val="18"/>
        </w:rPr>
        <w:t>、公司规模扩张带来的管理风险</w:t>
      </w:r>
      <w:r>
        <w:rPr>
          <w:rFonts w:ascii="宋体" w:hAnsi="宋体" w:cs="宋体" w:eastAsia="宋体" w:hint="default"/>
          <w:b/>
          <w:bCs/>
          <w:w w:val="99"/>
          <w:sz w:val="18"/>
          <w:szCs w:val="18"/>
        </w:rPr>
        <w:t> </w:t>
      </w:r>
      <w:r>
        <w:rPr>
          <w:rFonts w:ascii="宋体" w:hAnsi="宋体" w:cs="宋体" w:eastAsia="宋体" w:hint="default"/>
          <w:spacing w:val="-2"/>
          <w:sz w:val="18"/>
          <w:szCs w:val="18"/>
        </w:rPr>
        <w:t>随着公司经营规模扩大，投资项目的增加，新业务的拓展以及募投项目的实施，公司的资产规模还会不断扩张，管理的</w:t>
      </w:r>
    </w:p>
    <w:p>
      <w:pPr>
        <w:pStyle w:val="BodyText"/>
        <w:spacing w:line="316" w:lineRule="auto" w:before="31"/>
        <w:ind w:right="193"/>
        <w:jc w:val="both"/>
      </w:pPr>
      <w:r>
        <w:rPr>
          <w:spacing w:val="-2"/>
        </w:rPr>
        <w:t>深度和广度都会扩大，人员规模也将随之增大，需要公司在资源整合、市场开拓、研发和质量管理、内控制度、组织机构等</w:t>
      </w:r>
      <w:r>
        <w:rPr>
          <w:spacing w:val="-68"/>
        </w:rPr>
        <w:t> </w:t>
      </w:r>
      <w:r>
        <w:rPr>
          <w:spacing w:val="-68"/>
        </w:rPr>
      </w:r>
      <w:r>
        <w:rPr>
          <w:spacing w:val="-2"/>
        </w:rPr>
        <w:t>方面做相应的改进和调整，对经营管理层提出了更高的要求。同时，公司对子公司业务体系、组织机构、管理制度、企业文</w:t>
      </w:r>
      <w:r>
        <w:rPr>
          <w:spacing w:val="-68"/>
        </w:rPr>
        <w:t> </w:t>
      </w:r>
      <w:r>
        <w:rPr>
          <w:spacing w:val="-68"/>
        </w:rPr>
      </w:r>
      <w:r>
        <w:rPr/>
        <w:t>化等方面的整合面临较大的风险。</w:t>
      </w:r>
    </w:p>
    <w:p>
      <w:pPr>
        <w:pStyle w:val="BodyText"/>
        <w:spacing w:line="316" w:lineRule="auto" w:before="19"/>
        <w:ind w:right="94" w:firstLine="360"/>
        <w:jc w:val="left"/>
      </w:pPr>
      <w:r>
        <w:rPr>
          <w:spacing w:val="-2"/>
        </w:rPr>
        <w:t>公司将通过持续完善法人治理结构及内控制度、规范公司运作体系、提高核心管理团队的管理素质和决策能力、以满足</w:t>
      </w:r>
      <w:r>
        <w:rPr/>
        <w:t> 公司业务快速发展的需要。但公司管理层如果不能及时结合公司实际情况提高管理水平，建立起更加科学有效的管理体制，</w:t>
      </w:r>
    </w:p>
    <w:p>
      <w:pPr>
        <w:spacing w:after="0" w:line="316"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left="513" w:right="2574" w:hanging="361"/>
        <w:jc w:val="left"/>
        <w:rPr>
          <w:rFonts w:ascii="宋体" w:hAnsi="宋体" w:cs="宋体" w:eastAsia="宋体" w:hint="default"/>
        </w:rPr>
      </w:pPr>
      <w:r>
        <w:rPr/>
        <w:t>将可能削弱公司的市场竞争力，影响公司的长远发展，存在公司规模扩张带来的管理风险。 </w:t>
      </w:r>
      <w:r>
        <w:rPr>
          <w:rFonts w:ascii="宋体" w:hAnsi="宋体" w:cs="宋体" w:eastAsia="宋体" w:hint="default"/>
          <w:b/>
          <w:bCs/>
        </w:rPr>
        <w:t>9</w:t>
      </w:r>
      <w:r>
        <w:rPr>
          <w:rFonts w:ascii="宋体" w:hAnsi="宋体" w:cs="宋体" w:eastAsia="宋体" w:hint="default"/>
          <w:b/>
          <w:bCs/>
        </w:rPr>
        <w:t>、抵押、质押风险</w:t>
      </w:r>
      <w:r>
        <w:rPr>
          <w:rFonts w:ascii="宋体" w:hAnsi="宋体" w:cs="宋体" w:eastAsia="宋体" w:hint="default"/>
        </w:rPr>
      </w:r>
    </w:p>
    <w:p>
      <w:pPr>
        <w:pStyle w:val="BodyText"/>
        <w:spacing w:line="300" w:lineRule="auto" w:before="19"/>
        <w:ind w:right="146" w:firstLine="360"/>
        <w:jc w:val="both"/>
      </w:pPr>
      <w:r>
        <w:rPr/>
        <w:t>公司全资子公司中金云网拥有的位于北京经济技术开发区博兴八路</w:t>
      </w:r>
      <w:r>
        <w:rPr>
          <w:rFonts w:ascii="Times New Roman" w:hAnsi="Times New Roman" w:cs="Times New Roman" w:eastAsia="Times New Roman" w:hint="default"/>
        </w:rPr>
        <w:t>1</w:t>
      </w:r>
      <w:r>
        <w:rPr/>
        <w:t>号</w:t>
      </w:r>
      <w:r>
        <w:rPr>
          <w:rFonts w:ascii="Times New Roman" w:hAnsi="Times New Roman" w:cs="Times New Roman" w:eastAsia="Times New Roman" w:hint="default"/>
        </w:rPr>
        <w:t>2</w:t>
      </w:r>
      <w:r>
        <w:rPr/>
        <w:t>幢和</w:t>
      </w:r>
      <w:r>
        <w:rPr>
          <w:rFonts w:ascii="Times New Roman" w:hAnsi="Times New Roman" w:cs="Times New Roman" w:eastAsia="Times New Roman" w:hint="default"/>
        </w:rPr>
        <w:t>3</w:t>
      </w:r>
      <w:r>
        <w:rPr/>
        <w:t>幢房产（不动产权证号：京【</w:t>
      </w:r>
      <w:r>
        <w:rPr>
          <w:rFonts w:ascii="Times New Roman" w:hAnsi="Times New Roman" w:cs="Times New Roman" w:eastAsia="Times New Roman" w:hint="default"/>
        </w:rPr>
        <w:t>2016</w:t>
      </w:r>
      <w:r>
        <w:rPr/>
        <w:t>】开发 </w:t>
      </w:r>
      <w:r>
        <w:rPr>
          <w:spacing w:val="-9"/>
        </w:rPr>
        <w:t>区不动产权第</w:t>
      </w:r>
      <w:r>
        <w:rPr>
          <w:rFonts w:ascii="Times New Roman" w:hAnsi="Times New Roman" w:cs="Times New Roman" w:eastAsia="Times New Roman" w:hint="default"/>
          <w:spacing w:val="-9"/>
        </w:rPr>
        <w:t>0011007</w:t>
      </w:r>
      <w:r>
        <w:rPr>
          <w:spacing w:val="-9"/>
        </w:rPr>
        <w:t>号）、位于北京经济技术开发区博兴八路</w:t>
      </w:r>
      <w:r>
        <w:rPr>
          <w:rFonts w:ascii="Times New Roman" w:hAnsi="Times New Roman" w:cs="Times New Roman" w:eastAsia="Times New Roman" w:hint="default"/>
          <w:spacing w:val="-9"/>
        </w:rPr>
        <w:t>1</w:t>
      </w:r>
      <w:r>
        <w:rPr>
          <w:spacing w:val="-9"/>
        </w:rPr>
        <w:t>号的土地（不动产权证号：京【</w:t>
      </w:r>
      <w:r>
        <w:rPr>
          <w:rFonts w:ascii="Times New Roman" w:hAnsi="Times New Roman" w:cs="Times New Roman" w:eastAsia="Times New Roman" w:hint="default"/>
          <w:spacing w:val="-9"/>
        </w:rPr>
        <w:t>2016</w:t>
      </w:r>
      <w:r>
        <w:rPr>
          <w:spacing w:val="-9"/>
        </w:rPr>
        <w:t>】开发区不动产权第</w:t>
      </w:r>
      <w:r>
        <w:rPr>
          <w:rFonts w:ascii="Times New Roman" w:hAnsi="Times New Roman" w:cs="Times New Roman" w:eastAsia="Times New Roman" w:hint="default"/>
          <w:spacing w:val="-9"/>
        </w:rPr>
        <w:t>0011007</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spacing w:val="-2"/>
        </w:rPr>
        <w:t>号）及土地上在建工程（</w:t>
      </w:r>
      <w:r>
        <w:rPr>
          <w:rFonts w:ascii="Times New Roman" w:hAnsi="Times New Roman" w:cs="Times New Roman" w:eastAsia="Times New Roman" w:hint="default"/>
          <w:spacing w:val="-2"/>
        </w:rPr>
        <w:t>2016</w:t>
      </w:r>
      <w:r>
        <w:rPr>
          <w:spacing w:val="-2"/>
        </w:rPr>
        <w:t>年度转固）已全部抵押给相关银行用于融资；同时由中金云网北京数据中心一期、二期在融资</w:t>
      </w:r>
      <w:r>
        <w:rPr>
          <w:spacing w:val="-64"/>
        </w:rPr>
        <w:t> </w:t>
      </w:r>
      <w:r>
        <w:rPr>
          <w:spacing w:val="-64"/>
        </w:rPr>
      </w:r>
      <w:r>
        <w:rPr/>
        <w:t>期内产生的全部经营收入及该合同项下应收账款已质押给相关银行用于融资。</w:t>
      </w:r>
    </w:p>
    <w:p>
      <w:pPr>
        <w:pStyle w:val="BodyText"/>
        <w:spacing w:line="300" w:lineRule="auto" w:before="31"/>
        <w:ind w:right="150" w:firstLine="360"/>
        <w:jc w:val="both"/>
      </w:pPr>
      <w:r>
        <w:rPr/>
        <w:t>公司子公司科信盛彩拥有的位于北京经济技术开发区瑞合西二路</w:t>
      </w:r>
      <w:r>
        <w:rPr>
          <w:rFonts w:ascii="Times New Roman" w:hAnsi="Times New Roman" w:cs="Times New Roman" w:eastAsia="Times New Roman" w:hint="default"/>
        </w:rPr>
        <w:t>6</w:t>
      </w:r>
      <w:r>
        <w:rPr/>
        <w:t>号院</w:t>
      </w:r>
      <w:r>
        <w:rPr>
          <w:rFonts w:ascii="Times New Roman" w:hAnsi="Times New Roman" w:cs="Times New Roman" w:eastAsia="Times New Roman" w:hint="default"/>
        </w:rPr>
        <w:t>7</w:t>
      </w:r>
      <w:r>
        <w:rPr/>
        <w:t>号楼</w:t>
      </w:r>
      <w:r>
        <w:rPr>
          <w:rFonts w:ascii="Times New Roman" w:hAnsi="Times New Roman" w:cs="Times New Roman" w:eastAsia="Times New Roman" w:hint="default"/>
        </w:rPr>
        <w:t>1</w:t>
      </w:r>
      <w:r>
        <w:rPr/>
        <w:t>至</w:t>
      </w:r>
      <w:r>
        <w:rPr>
          <w:rFonts w:ascii="Times New Roman" w:hAnsi="Times New Roman" w:cs="Times New Roman" w:eastAsia="Times New Roman" w:hint="default"/>
        </w:rPr>
        <w:t>4</w:t>
      </w:r>
      <w:r>
        <w:rPr/>
        <w:t>层等</w:t>
      </w:r>
      <w:r>
        <w:rPr>
          <w:rFonts w:ascii="Times New Roman" w:hAnsi="Times New Roman" w:cs="Times New Roman" w:eastAsia="Times New Roman" w:hint="default"/>
        </w:rPr>
        <w:t>3</w:t>
      </w:r>
      <w:r>
        <w:rPr/>
        <w:t>套房屋所有权及对应国有土地使 </w:t>
      </w:r>
      <w:r>
        <w:rPr>
          <w:spacing w:val="-2"/>
        </w:rPr>
        <w:t>用权（不动产权证书编号：京（</w:t>
      </w:r>
      <w:r>
        <w:rPr>
          <w:rFonts w:ascii="Times New Roman" w:hAnsi="Times New Roman" w:cs="Times New Roman" w:eastAsia="Times New Roman" w:hint="default"/>
          <w:spacing w:val="-2"/>
        </w:rPr>
        <w:t>2016</w:t>
      </w:r>
      <w:r>
        <w:rPr>
          <w:spacing w:val="-2"/>
        </w:rPr>
        <w:t>）开发区不动产权第</w:t>
      </w:r>
      <w:r>
        <w:rPr>
          <w:rFonts w:ascii="Times New Roman" w:hAnsi="Times New Roman" w:cs="Times New Roman" w:eastAsia="Times New Roman" w:hint="default"/>
          <w:spacing w:val="-2"/>
        </w:rPr>
        <w:t>0019466</w:t>
      </w:r>
      <w:r>
        <w:rPr>
          <w:spacing w:val="-2"/>
        </w:rPr>
        <w:t>号）、位于北京经济技术开发区瑞合西二路</w:t>
      </w:r>
      <w:r>
        <w:rPr>
          <w:rFonts w:ascii="Times New Roman" w:hAnsi="Times New Roman" w:cs="Times New Roman" w:eastAsia="Times New Roman" w:hint="default"/>
          <w:spacing w:val="-2"/>
        </w:rPr>
        <w:t>6</w:t>
      </w:r>
      <w:r>
        <w:rPr>
          <w:spacing w:val="-2"/>
        </w:rPr>
        <w:t>号院</w:t>
      </w:r>
      <w:r>
        <w:rPr>
          <w:rFonts w:ascii="Times New Roman" w:hAnsi="Times New Roman" w:cs="Times New Roman" w:eastAsia="Times New Roman" w:hint="default"/>
          <w:spacing w:val="-2"/>
        </w:rPr>
        <w:t>1</w:t>
      </w:r>
      <w:r>
        <w:rPr>
          <w:spacing w:val="-2"/>
        </w:rPr>
        <w:t>号楼等</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2"/>
        </w:rPr>
        <w:t> </w:t>
      </w:r>
      <w:r>
        <w:rPr/>
        <w:t>幢楼的房屋所有权及对应国有土地使用权（不动产权证书编号：京（</w:t>
      </w:r>
      <w:r>
        <w:rPr>
          <w:rFonts w:ascii="Times New Roman" w:hAnsi="Times New Roman" w:cs="Times New Roman" w:eastAsia="Times New Roman" w:hint="default"/>
        </w:rPr>
        <w:t>2016</w:t>
      </w:r>
      <w:r>
        <w:rPr/>
        <w:t>）开发区不动产权第</w:t>
      </w:r>
      <w:r>
        <w:rPr>
          <w:rFonts w:ascii="Times New Roman" w:hAnsi="Times New Roman" w:cs="Times New Roman" w:eastAsia="Times New Roman" w:hint="default"/>
        </w:rPr>
        <w:t>0019668</w:t>
      </w:r>
      <w:r>
        <w:rPr/>
        <w:t>号）以及融资期限内</w:t>
      </w:r>
      <w:r>
        <w:rPr>
          <w:spacing w:val="-85"/>
        </w:rPr>
        <w:t> </w:t>
      </w:r>
      <w:r>
        <w:rPr>
          <w:spacing w:val="-85"/>
        </w:rPr>
      </w:r>
      <w:r>
        <w:rPr/>
        <w:t>亦庄云计算基地产生的全部经营收入已全部抵、质押给相关银行用于融资。</w:t>
      </w:r>
    </w:p>
    <w:p>
      <w:pPr>
        <w:pStyle w:val="BodyText"/>
        <w:spacing w:line="319" w:lineRule="auto" w:before="31"/>
        <w:ind w:right="153" w:firstLine="360"/>
        <w:jc w:val="both"/>
      </w:pPr>
      <w:r>
        <w:rPr>
          <w:spacing w:val="-2"/>
        </w:rPr>
        <w:t>截至本报告期末，上述房产及土地尚未解除抵押，如中金云网、科信盛彩未能按期偿还银行贷款，相关房产及土地将存</w:t>
      </w:r>
      <w:r>
        <w:rPr/>
        <w:t> 在被银行强行过户的风险。</w:t>
      </w:r>
    </w:p>
    <w:p>
      <w:pPr>
        <w:pStyle w:val="BodyText"/>
        <w:spacing w:line="316" w:lineRule="auto" w:before="17"/>
        <w:ind w:left="513" w:right="0"/>
        <w:jc w:val="left"/>
      </w:pPr>
      <w:r>
        <w:rPr/>
        <w:t>报告期内，中金云网、科信盛彩运营情况良好，具备还款能力，公司将持续关注上述子公司的财务状况。 </w:t>
      </w:r>
      <w:r>
        <w:rPr>
          <w:rFonts w:ascii="宋体" w:hAnsi="宋体" w:cs="宋体" w:eastAsia="宋体" w:hint="default"/>
          <w:b/>
          <w:bCs/>
        </w:rPr>
        <w:t>10</w:t>
      </w:r>
      <w:r>
        <w:rPr>
          <w:rFonts w:ascii="宋体" w:hAnsi="宋体" w:cs="宋体" w:eastAsia="宋体" w:hint="default"/>
          <w:b/>
          <w:bCs/>
        </w:rPr>
        <w:t>、人才流失带来的风险</w:t>
      </w:r>
      <w:r>
        <w:rPr>
          <w:rFonts w:ascii="宋体" w:hAnsi="宋体" w:cs="宋体" w:eastAsia="宋体" w:hint="default"/>
          <w:b/>
          <w:bCs/>
          <w:w w:val="99"/>
        </w:rPr>
        <w:t> </w:t>
      </w:r>
      <w:r>
        <w:rPr>
          <w:spacing w:val="-2"/>
        </w:rPr>
        <w:t>互联网及其相关行业的高速发展，对公司紧跟行业发展趋势，不断提高技术创新能力提出了更高的要求，公司的核心技</w:t>
      </w:r>
    </w:p>
    <w:p>
      <w:pPr>
        <w:pStyle w:val="BodyText"/>
        <w:spacing w:line="316" w:lineRule="auto" w:before="19"/>
        <w:ind w:right="0"/>
        <w:jc w:val="left"/>
      </w:pPr>
      <w:r>
        <w:rPr>
          <w:spacing w:val="-2"/>
        </w:rPr>
        <w:t>术研发不可避免地依赖专业人才，特别是核心技术人员，如果公司的核心技术人员流失，将导致以专有技术为主的核心技术</w:t>
      </w:r>
      <w:r>
        <w:rPr>
          <w:spacing w:val="-65"/>
        </w:rPr>
        <w:t> </w:t>
      </w:r>
      <w:r>
        <w:rPr>
          <w:spacing w:val="-65"/>
        </w:rPr>
      </w:r>
      <w:r>
        <w:rPr/>
        <w:t>流失或泄密，将可能会给公司的生产经营造成重大影响。</w:t>
      </w:r>
    </w:p>
    <w:p>
      <w:pPr>
        <w:pStyle w:val="BodyText"/>
        <w:spacing w:line="316" w:lineRule="auto" w:before="19"/>
        <w:ind w:right="153" w:firstLine="360"/>
        <w:jc w:val="both"/>
      </w:pPr>
      <w:r>
        <w:rPr>
          <w:spacing w:val="-2"/>
        </w:rPr>
        <w:t>报告期内，公司通过实施首期股票期权激励计划，进一步完善公司治理结构、健全激励机制，增加了公司管理团队和技</w:t>
      </w:r>
      <w:r>
        <w:rPr/>
        <w:t> </w:t>
      </w:r>
      <w:r>
        <w:rPr>
          <w:spacing w:val="-2"/>
        </w:rPr>
        <w:t>术、业务骨干对实现公司持续健康发展的责任感、使命感，增强了核心人员的凝聚力，促进公司长期稳定发展。同时公司还</w:t>
      </w:r>
      <w:r>
        <w:rPr>
          <w:spacing w:val="-67"/>
        </w:rPr>
        <w:t> </w:t>
      </w:r>
      <w:r>
        <w:rPr>
          <w:spacing w:val="-67"/>
        </w:rPr>
      </w:r>
      <w:r>
        <w:rPr/>
        <w:t>将通过吸收合并专业的技术团队，进一步增强公司的核心技术能力，以此应对技术不断更新带来的风险。</w:t>
      </w:r>
    </w:p>
    <w:p>
      <w:pPr>
        <w:spacing w:line="240" w:lineRule="auto" w:before="11"/>
        <w:rPr>
          <w:rFonts w:ascii="宋体" w:hAnsi="宋体" w:cs="宋体" w:eastAsia="宋体" w:hint="default"/>
          <w:sz w:val="20"/>
          <w:szCs w:val="20"/>
        </w:rPr>
      </w:pPr>
    </w:p>
    <w:p>
      <w:pPr>
        <w:pStyle w:val="Heading2"/>
        <w:spacing w:line="240" w:lineRule="auto"/>
        <w:ind w:right="2839"/>
        <w:jc w:val="left"/>
        <w:rPr>
          <w:b w:val="0"/>
          <w:bCs w:val="0"/>
        </w:rPr>
      </w:pP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2839"/>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 w:right="0"/>
        <w:jc w:val="center"/>
        <w:rPr>
          <w:b w:val="0"/>
          <w:bCs w:val="0"/>
        </w:rPr>
      </w:pPr>
      <w:bookmarkStart w:name="_bookmark4" w:id="5"/>
      <w:bookmarkEnd w:id="5"/>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2839"/>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839"/>
        <w:jc w:val="left"/>
      </w:pPr>
      <w:r>
        <w:rPr/>
        <w:t>报告期内普通股利润分配政策，特别是现金分红政策的制定、执行或调整情况</w:t>
      </w:r>
    </w:p>
    <w:p>
      <w:pPr>
        <w:pStyle w:val="BodyText"/>
        <w:spacing w:line="240" w:lineRule="auto" w:before="117"/>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3"/>
        <w:rPr>
          <w:rFonts w:ascii="宋体" w:hAnsi="宋体" w:cs="宋体" w:eastAsia="宋体" w:hint="default"/>
          <w:sz w:val="13"/>
          <w:szCs w:val="13"/>
        </w:rPr>
      </w:pPr>
    </w:p>
    <w:p>
      <w:pPr>
        <w:pStyle w:val="BodyText"/>
        <w:spacing w:line="319" w:lineRule="auto"/>
        <w:ind w:right="151" w:firstLine="360"/>
        <w:jc w:val="both"/>
      </w:pPr>
      <w:r>
        <w:rPr>
          <w:spacing w:val="-2"/>
        </w:rPr>
        <w:t>报告期内，公司严格按照相关利润分配政策和审议程序实施利润分配方案，分红标准和分红比例明确、清晰，相关的决</w:t>
      </w:r>
      <w:r>
        <w:rPr/>
        <w:t> </w:t>
      </w:r>
      <w:r>
        <w:rPr>
          <w:spacing w:val="-2"/>
        </w:rPr>
        <w:t>策程序和机制完备；相关议案经由公司董事会、监事会审议后提交股东大会审议，公司独立董事发表了独立意见；并在分配</w:t>
      </w:r>
      <w:r>
        <w:rPr>
          <w:spacing w:val="-65"/>
        </w:rPr>
        <w:t> </w:t>
      </w:r>
      <w:r>
        <w:rPr>
          <w:spacing w:val="-65"/>
        </w:rPr>
      </w:r>
      <w:r>
        <w:rPr/>
        <w:t>方案审议通过后的</w:t>
      </w:r>
      <w:r>
        <w:rPr>
          <w:rFonts w:ascii="Times New Roman" w:hAnsi="Times New Roman" w:cs="Times New Roman" w:eastAsia="Times New Roman" w:hint="default"/>
        </w:rPr>
        <w:t>2</w:t>
      </w:r>
      <w:r>
        <w:rPr/>
        <w:t>个月内进行了权益分派，保证了全体股东的利益。</w:t>
      </w:r>
    </w:p>
    <w:p>
      <w:pPr>
        <w:pStyle w:val="BodyText"/>
        <w:spacing w:line="240" w:lineRule="auto" w:before="117"/>
        <w:ind w:left="513" w:right="2839"/>
        <w:jc w:val="left"/>
      </w:pPr>
      <w:r>
        <w:rPr/>
        <w:t>报告期内，公司利润分配政策的执行情况如下：</w:t>
      </w:r>
    </w:p>
    <w:p>
      <w:pPr>
        <w:spacing w:line="240" w:lineRule="auto" w:before="0"/>
        <w:rPr>
          <w:rFonts w:ascii="宋体" w:hAnsi="宋体" w:cs="宋体" w:eastAsia="宋体" w:hint="default"/>
          <w:sz w:val="15"/>
          <w:szCs w:val="15"/>
        </w:rPr>
      </w:pPr>
    </w:p>
    <w:p>
      <w:pPr>
        <w:pStyle w:val="BodyText"/>
        <w:spacing w:line="316" w:lineRule="auto"/>
        <w:ind w:right="234" w:firstLine="360"/>
        <w:jc w:val="left"/>
      </w:pPr>
      <w:r>
        <w:rPr/>
        <w:t>根据公司</w:t>
      </w:r>
      <w:r>
        <w:rPr>
          <w:rFonts w:ascii="宋体" w:hAnsi="宋体" w:cs="宋体" w:eastAsia="宋体" w:hint="default"/>
        </w:rPr>
        <w:t>2016</w:t>
      </w:r>
      <w:r>
        <w:rPr/>
        <w:t>年度股东大会审议通过的《关于公司</w:t>
      </w:r>
      <w:r>
        <w:rPr>
          <w:rFonts w:ascii="宋体" w:hAnsi="宋体" w:cs="宋体" w:eastAsia="宋体" w:hint="default"/>
        </w:rPr>
        <w:t>2016</w:t>
      </w:r>
      <w:r>
        <w:rPr/>
        <w:t>年度利润分配及资本公积转增股本方案的议案》，以截至</w:t>
      </w:r>
      <w:r>
        <w:rPr>
          <w:rFonts w:ascii="宋体" w:hAnsi="宋体" w:cs="宋体" w:eastAsia="宋体" w:hint="default"/>
        </w:rPr>
        <w:t>2016 </w:t>
      </w:r>
      <w:r>
        <w:rPr/>
        <w:t>年</w:t>
      </w:r>
      <w:r>
        <w:rPr>
          <w:rFonts w:ascii="宋体" w:hAnsi="宋体" w:cs="宋体" w:eastAsia="宋体" w:hint="default"/>
        </w:rPr>
        <w:t>12</w:t>
      </w:r>
      <w:r>
        <w:rPr/>
        <w:t>月</w:t>
      </w:r>
      <w:r>
        <w:rPr>
          <w:rFonts w:ascii="宋体" w:hAnsi="宋体" w:cs="宋体" w:eastAsia="宋体" w:hint="default"/>
        </w:rPr>
        <w:t>31</w:t>
      </w:r>
      <w:r>
        <w:rPr/>
        <w:t>日公司总股本</w:t>
      </w:r>
      <w:r>
        <w:rPr>
          <w:rFonts w:ascii="宋体" w:hAnsi="宋体" w:cs="宋体" w:eastAsia="宋体" w:hint="default"/>
        </w:rPr>
        <w:t>723,175,694</w:t>
      </w:r>
      <w:r>
        <w:rPr/>
        <w:t>股为基数，向全体股东每</w:t>
      </w:r>
      <w:r>
        <w:rPr>
          <w:rFonts w:ascii="宋体" w:hAnsi="宋体" w:cs="宋体" w:eastAsia="宋体" w:hint="default"/>
        </w:rPr>
        <w:t>10</w:t>
      </w:r>
      <w:r>
        <w:rPr/>
        <w:t>股派发现金红利</w:t>
      </w:r>
      <w:r>
        <w:rPr>
          <w:rFonts w:ascii="宋体" w:hAnsi="宋体" w:cs="宋体" w:eastAsia="宋体" w:hint="default"/>
        </w:rPr>
        <w:t>1.00</w:t>
      </w:r>
      <w:r>
        <w:rPr/>
        <w:t>元人民币</w:t>
      </w:r>
      <w:r>
        <w:rPr>
          <w:rFonts w:ascii="宋体" w:hAnsi="宋体" w:cs="宋体" w:eastAsia="宋体" w:hint="default"/>
        </w:rPr>
        <w:t>(</w:t>
      </w:r>
      <w:r>
        <w:rPr/>
        <w:t>含税</w:t>
      </w:r>
      <w:r>
        <w:rPr>
          <w:rFonts w:ascii="宋体" w:hAnsi="宋体" w:cs="宋体" w:eastAsia="宋体" w:hint="default"/>
        </w:rPr>
        <w:t>),</w:t>
      </w:r>
      <w:r>
        <w:rPr>
          <w:rFonts w:ascii="宋体" w:hAnsi="宋体" w:cs="宋体" w:eastAsia="宋体" w:hint="default"/>
          <w:spacing w:val="-2"/>
        </w:rPr>
        <w:t> </w:t>
      </w:r>
      <w:r>
        <w:rPr/>
        <w:t>合计派发现金股利 </w:t>
      </w:r>
      <w:r>
        <w:rPr>
          <w:rFonts w:ascii="宋体" w:hAnsi="宋体" w:cs="宋体" w:eastAsia="宋体" w:hint="default"/>
        </w:rPr>
        <w:t>72,317,569.40</w:t>
      </w:r>
      <w:r>
        <w:rPr/>
        <w:t>元（含税）；同时进行资本公积转增股本，以公司总股本</w:t>
      </w:r>
      <w:r>
        <w:rPr>
          <w:rFonts w:ascii="宋体" w:hAnsi="宋体" w:cs="宋体" w:eastAsia="宋体" w:hint="default"/>
        </w:rPr>
        <w:t>723,175,694</w:t>
      </w:r>
      <w:r>
        <w:rPr/>
        <w:t>股为基数，向全体股东每</w:t>
      </w:r>
      <w:r>
        <w:rPr>
          <w:rFonts w:ascii="宋体" w:hAnsi="宋体" w:cs="宋体" w:eastAsia="宋体" w:hint="default"/>
        </w:rPr>
        <w:t>10</w:t>
      </w:r>
      <w:r>
        <w:rPr/>
        <w:t>股转增</w:t>
      </w:r>
      <w:r>
        <w:rPr>
          <w:rFonts w:ascii="宋体" w:hAnsi="宋体" w:cs="宋体" w:eastAsia="宋体" w:hint="default"/>
        </w:rPr>
        <w:t>10</w:t>
      </w:r>
      <w:r>
        <w:rPr>
          <w:rFonts w:ascii="宋体" w:hAnsi="宋体" w:cs="宋体" w:eastAsia="宋体" w:hint="default"/>
          <w:spacing w:val="-2"/>
        </w:rPr>
        <w:t> </w:t>
      </w:r>
      <w:r>
        <w:rPr/>
        <w:t>股，转增后公司总股本增加至</w:t>
      </w:r>
      <w:r>
        <w:rPr>
          <w:rFonts w:ascii="宋体" w:hAnsi="宋体" w:cs="宋体" w:eastAsia="宋体" w:hint="default"/>
        </w:rPr>
        <w:t>1,446,351,388</w:t>
      </w:r>
      <w:r>
        <w:rPr/>
        <w:t>股。上述利润分配及资本公积转增股本方案已于</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28</w:t>
      </w:r>
      <w:r>
        <w:rPr/>
        <w:t>日实施完毕。</w:t>
      </w: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8"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现金分红政策未进行调整或变更。</w:t>
            </w:r>
          </w:p>
        </w:tc>
      </w:tr>
    </w:tbl>
    <w:p>
      <w:pPr>
        <w:pStyle w:val="BodyText"/>
        <w:spacing w:line="240" w:lineRule="auto" w:before="59"/>
        <w:ind w:right="0"/>
        <w:jc w:val="left"/>
      </w:pPr>
      <w:r>
        <w:rPr/>
        <w:t>公司报告期利润分配预案及资本公积金转增股本预案与公司章程和分红管理办法等的相关规定一致</w:t>
      </w:r>
    </w:p>
    <w:p>
      <w:pPr>
        <w:pStyle w:val="BodyText"/>
        <w:spacing w:line="348" w:lineRule="auto" w:before="117"/>
        <w:ind w:right="32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本年度利润分配及资本公积金转增股本预案</w:t>
      </w:r>
    </w:p>
    <w:p>
      <w:pPr>
        <w:spacing w:line="240" w:lineRule="auto" w:before="2"/>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3696"/>
        <w:gridCol w:w="5863"/>
      </w:tblGrid>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0.20</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1,446,351,388</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28,927,027.76</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247,445,320.89</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4"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571"/>
      </w:tblGrid>
      <w:tr>
        <w:trPr>
          <w:trHeight w:val="402" w:hRule="exact"/>
        </w:trPr>
        <w:tc>
          <w:tcPr>
            <w:tcW w:w="9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2" w:hRule="exact"/>
        </w:trPr>
        <w:tc>
          <w:tcPr>
            <w:tcW w:w="9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5" w:hRule="exact"/>
        </w:trPr>
        <w:tc>
          <w:tcPr>
            <w:tcW w:w="9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日公司总股本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1,446,351,388 </w:t>
            </w:r>
            <w:r>
              <w:rPr>
                <w:rFonts w:ascii="宋体" w:hAnsi="宋体" w:cs="宋体" w:eastAsia="宋体" w:hint="default"/>
                <w:sz w:val="18"/>
                <w:szCs w:val="18"/>
              </w:rPr>
              <w:t>股为基数，向全体股东每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股派发现金红利</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元人民币</w:t>
            </w:r>
            <w:r>
              <w:rPr>
                <w:rFonts w:ascii="Times New Roman" w:hAnsi="Times New Roman" w:cs="Times New Roman" w:eastAsia="Times New Roman" w:hint="default"/>
                <w:sz w:val="18"/>
                <w:szCs w:val="18"/>
              </w:rPr>
              <w:t>(</w:t>
            </w:r>
            <w:r>
              <w:rPr>
                <w:rFonts w:ascii="宋体" w:hAnsi="宋体" w:cs="宋体" w:eastAsia="宋体" w:hint="default"/>
                <w:sz w:val="18"/>
                <w:szCs w:val="18"/>
              </w:rPr>
              <w:t>含税</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合</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计派发现金股利</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6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w:t>
            </w:r>
          </w:p>
        </w:tc>
      </w:tr>
    </w:tbl>
    <w:p>
      <w:pPr>
        <w:pStyle w:val="BodyText"/>
        <w:spacing w:line="240" w:lineRule="auto" w:before="49"/>
        <w:ind w:right="183"/>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spacing w:line="240" w:lineRule="auto" w:before="13"/>
        <w:rPr>
          <w:rFonts w:ascii="宋体" w:hAnsi="宋体" w:cs="宋体" w:eastAsia="宋体" w:hint="default"/>
          <w:sz w:val="13"/>
          <w:szCs w:val="13"/>
        </w:rPr>
      </w:pPr>
    </w:p>
    <w:p>
      <w:pPr>
        <w:pStyle w:val="BodyText"/>
        <w:spacing w:line="300" w:lineRule="auto"/>
        <w:ind w:right="191" w:firstLine="360"/>
        <w:jc w:val="both"/>
      </w:pPr>
      <w:r>
        <w:rPr>
          <w:rFonts w:ascii="Times New Roman" w:hAnsi="Times New Roman" w:cs="Times New Roman" w:eastAsia="Times New Roman" w:hint="default"/>
          <w:spacing w:val="-1"/>
        </w:rPr>
        <w:t>1</w:t>
      </w:r>
      <w:r>
        <w:rPr>
          <w:spacing w:val="-1"/>
        </w:rPr>
        <w:t>、公司</w:t>
      </w:r>
      <w:r>
        <w:rPr>
          <w:rFonts w:ascii="Times New Roman" w:hAnsi="Times New Roman" w:cs="Times New Roman" w:eastAsia="Times New Roman" w:hint="default"/>
          <w:spacing w:val="-1"/>
        </w:rPr>
        <w:t>2015</w:t>
      </w:r>
      <w:r>
        <w:rPr>
          <w:spacing w:val="-1"/>
        </w:rPr>
        <w:t>年半年度利润分配方案为：以截至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30</w:t>
      </w:r>
      <w:r>
        <w:rPr>
          <w:spacing w:val="-1"/>
        </w:rPr>
        <w:t>日公司总股本</w:t>
      </w:r>
      <w:r>
        <w:rPr>
          <w:rFonts w:ascii="Times New Roman" w:hAnsi="Times New Roman" w:cs="Times New Roman" w:eastAsia="Times New Roman" w:hint="default"/>
          <w:spacing w:val="-1"/>
        </w:rPr>
        <w:t>27,290</w:t>
      </w:r>
      <w:r>
        <w:rPr>
          <w:spacing w:val="-1"/>
        </w:rPr>
        <w:t>万股为基数，向全体股东每</w:t>
      </w:r>
      <w:r>
        <w:rPr>
          <w:rFonts w:ascii="Times New Roman" w:hAnsi="Times New Roman" w:cs="Times New Roman" w:eastAsia="Times New Roman" w:hint="default"/>
          <w:spacing w:val="-1"/>
        </w:rPr>
        <w:t>10</w:t>
      </w:r>
      <w:r>
        <w:rPr>
          <w:spacing w:val="-1"/>
        </w:rPr>
        <w:t>股派发现</w:t>
      </w:r>
      <w:r>
        <w:rPr/>
        <w:t> 金股利</w:t>
      </w:r>
      <w:r>
        <w:rPr>
          <w:rFonts w:ascii="Times New Roman" w:hAnsi="Times New Roman" w:cs="Times New Roman" w:eastAsia="Times New Roman" w:hint="default"/>
        </w:rPr>
        <w:t>0.6</w:t>
      </w:r>
      <w:r>
        <w:rPr/>
        <w:t>元人民币（含税），同时向全体股东每</w:t>
      </w:r>
      <w:r>
        <w:rPr>
          <w:rFonts w:ascii="Times New Roman" w:hAnsi="Times New Roman" w:cs="Times New Roman" w:eastAsia="Times New Roman" w:hint="default"/>
        </w:rPr>
        <w:t>10</w:t>
      </w:r>
      <w:r>
        <w:rPr/>
        <w:t>股送红股</w:t>
      </w:r>
      <w:r>
        <w:rPr>
          <w:rFonts w:ascii="Times New Roman" w:hAnsi="Times New Roman" w:cs="Times New Roman" w:eastAsia="Times New Roman" w:hint="default"/>
        </w:rPr>
        <w:t>5</w:t>
      </w:r>
      <w:r>
        <w:rPr/>
        <w:t>股（含税）；并以资本公积金每</w:t>
      </w:r>
      <w:r>
        <w:rPr>
          <w:rFonts w:ascii="Times New Roman" w:hAnsi="Times New Roman" w:cs="Times New Roman" w:eastAsia="Times New Roman" w:hint="default"/>
        </w:rPr>
        <w:t>10</w:t>
      </w:r>
      <w:r>
        <w:rPr/>
        <w:t>股向全体股东转增</w:t>
      </w:r>
      <w:r>
        <w:rPr>
          <w:rFonts w:ascii="Times New Roman" w:hAnsi="Times New Roman" w:cs="Times New Roman" w:eastAsia="Times New Roman" w:hint="default"/>
        </w:rPr>
        <w:t>5</w:t>
      </w:r>
      <w:r>
        <w:rPr/>
        <w:t>股，送 增后公司总股本将增加至</w:t>
      </w:r>
      <w:r>
        <w:rPr>
          <w:rFonts w:ascii="Times New Roman" w:hAnsi="Times New Roman" w:cs="Times New Roman" w:eastAsia="Times New Roman" w:hint="default"/>
        </w:rPr>
        <w:t>54,580</w:t>
      </w:r>
      <w:r>
        <w:rPr/>
        <w:t>万股。</w:t>
      </w:r>
    </w:p>
    <w:p>
      <w:pPr>
        <w:pStyle w:val="BodyText"/>
        <w:spacing w:line="300" w:lineRule="auto" w:before="133"/>
        <w:ind w:right="229" w:firstLine="360"/>
        <w:jc w:val="left"/>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2015</w:t>
      </w:r>
      <w:r>
        <w:rPr/>
        <w:t>年度利润分配方案为：以截至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54,580</w:t>
      </w:r>
      <w:r>
        <w:rPr/>
        <w:t>万股为基数，向全体股东每</w:t>
      </w:r>
      <w:r>
        <w:rPr>
          <w:rFonts w:ascii="Times New Roman" w:hAnsi="Times New Roman" w:cs="Times New Roman" w:eastAsia="Times New Roman" w:hint="default"/>
        </w:rPr>
        <w:t>10</w:t>
      </w:r>
      <w:r>
        <w:rPr/>
        <w:t>股派发现金 红利</w:t>
      </w:r>
      <w:r>
        <w:rPr>
          <w:rFonts w:ascii="Times New Roman" w:hAnsi="Times New Roman" w:cs="Times New Roman" w:eastAsia="Times New Roman" w:hint="default"/>
        </w:rPr>
        <w:t>0.2</w:t>
      </w:r>
      <w:r>
        <w:rPr/>
        <w:t>元人民币</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，合计派发现金股利</w:t>
      </w:r>
      <w:r>
        <w:rPr>
          <w:rFonts w:ascii="Times New Roman" w:hAnsi="Times New Roman" w:cs="Times New Roman" w:eastAsia="Times New Roman" w:hint="default"/>
        </w:rPr>
        <w:t>10,916,000</w:t>
      </w:r>
      <w:r>
        <w:rPr/>
        <w:t>元（含税）。</w:t>
      </w:r>
    </w:p>
    <w:p>
      <w:pPr>
        <w:pStyle w:val="BodyText"/>
        <w:spacing w:line="300" w:lineRule="auto" w:before="133"/>
        <w:ind w:right="102" w:firstLine="360"/>
        <w:jc w:val="left"/>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2016</w:t>
      </w:r>
      <w:r>
        <w:rPr/>
        <w:t>年度利润分配及资本公积转增股本方案为：以截至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723,175,694</w:t>
      </w:r>
      <w:r>
        <w:rPr/>
        <w:t>股为基数，向全 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1.00</w:t>
      </w:r>
      <w:r>
        <w:rPr/>
        <w:t>元人民币</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 </w:t>
      </w:r>
      <w:r>
        <w:rPr/>
        <w:t>合计派发现金股利</w:t>
      </w:r>
      <w:r>
        <w:rPr>
          <w:rFonts w:ascii="Times New Roman" w:hAnsi="Times New Roman" w:cs="Times New Roman" w:eastAsia="Times New Roman" w:hint="default"/>
        </w:rPr>
        <w:t>72,317,569.40</w:t>
      </w:r>
      <w:r>
        <w:rPr/>
        <w:t>元（含税）；同时进行资本公积转增股本，</w:t>
      </w:r>
      <w:r>
        <w:rPr>
          <w:spacing w:val="-86"/>
        </w:rPr>
        <w:t> </w:t>
      </w:r>
      <w:r>
        <w:rPr>
          <w:spacing w:val="-86"/>
        </w:rPr>
      </w:r>
      <w:r>
        <w:rPr/>
        <w:t>以公司总股本</w:t>
      </w:r>
      <w:r>
        <w:rPr>
          <w:rFonts w:ascii="Times New Roman" w:hAnsi="Times New Roman" w:cs="Times New Roman" w:eastAsia="Times New Roman" w:hint="default"/>
        </w:rPr>
        <w:t>723,175,694</w:t>
      </w:r>
      <w:r>
        <w:rPr/>
        <w:t>股为基数，向全体股东每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股，转增后公司总股本增加至</w:t>
      </w:r>
      <w:r>
        <w:rPr>
          <w:rFonts w:ascii="Times New Roman" w:hAnsi="Times New Roman" w:cs="Times New Roman" w:eastAsia="Times New Roman" w:hint="default"/>
        </w:rPr>
        <w:t>1,446,351,388</w:t>
      </w:r>
      <w:r>
        <w:rPr/>
        <w:t>股。</w:t>
      </w:r>
    </w:p>
    <w:p>
      <w:pPr>
        <w:pStyle w:val="BodyText"/>
        <w:spacing w:line="300" w:lineRule="auto" w:before="133"/>
        <w:ind w:right="183" w:firstLine="360"/>
        <w:jc w:val="left"/>
      </w:pPr>
      <w:r>
        <w:rPr>
          <w:rFonts w:ascii="Times New Roman" w:hAnsi="Times New Roman" w:cs="Times New Roman" w:eastAsia="Times New Roman" w:hint="default"/>
          <w:spacing w:val="-2"/>
        </w:rPr>
        <w:t>4</w:t>
      </w:r>
      <w:r>
        <w:rPr>
          <w:spacing w:val="-2"/>
        </w:rPr>
        <w:t>、公司</w:t>
      </w:r>
      <w:r>
        <w:rPr>
          <w:rFonts w:ascii="Times New Roman" w:hAnsi="Times New Roman" w:cs="Times New Roman" w:eastAsia="Times New Roman" w:hint="default"/>
          <w:spacing w:val="-2"/>
        </w:rPr>
        <w:t>2017</w:t>
      </w:r>
      <w:r>
        <w:rPr>
          <w:spacing w:val="-2"/>
        </w:rPr>
        <w:t>年度利润分配预案为：以截至</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日公司总股本</w:t>
      </w:r>
      <w:r>
        <w:rPr>
          <w:rFonts w:ascii="宋体" w:hAnsi="宋体" w:cs="宋体" w:eastAsia="宋体" w:hint="default"/>
          <w:spacing w:val="-2"/>
        </w:rPr>
        <w:t>1,446,351,388</w:t>
      </w:r>
      <w:r>
        <w:rPr>
          <w:spacing w:val="-2"/>
        </w:rPr>
        <w:t>股为基数，向全体股东每</w:t>
      </w:r>
      <w:r>
        <w:rPr>
          <w:rFonts w:ascii="宋体" w:hAnsi="宋体" w:cs="宋体" w:eastAsia="宋体" w:hint="default"/>
          <w:spacing w:val="-2"/>
        </w:rPr>
        <w:t>10</w:t>
      </w:r>
      <w:r>
        <w:rPr>
          <w:spacing w:val="-2"/>
        </w:rPr>
        <w:t>股派发</w:t>
      </w:r>
      <w:r>
        <w:rPr/>
        <w:t> 现金红利</w:t>
      </w:r>
      <w:r>
        <w:rPr>
          <w:rFonts w:ascii="宋体" w:hAnsi="宋体" w:cs="宋体" w:eastAsia="宋体" w:hint="default"/>
        </w:rPr>
        <w:t>0.20</w:t>
      </w:r>
      <w:r>
        <w:rPr/>
        <w:t>元人民币</w:t>
      </w:r>
      <w:r>
        <w:rPr>
          <w:rFonts w:ascii="宋体" w:hAnsi="宋体" w:cs="宋体" w:eastAsia="宋体" w:hint="default"/>
        </w:rPr>
        <w:t>(</w:t>
      </w:r>
      <w:r>
        <w:rPr/>
        <w:t>含税</w:t>
      </w:r>
      <w:r>
        <w:rPr>
          <w:rFonts w:ascii="宋体" w:hAnsi="宋体" w:cs="宋体" w:eastAsia="宋体" w:hint="default"/>
        </w:rPr>
        <w:t>),</w:t>
      </w:r>
      <w:r>
        <w:rPr>
          <w:rFonts w:ascii="宋体" w:hAnsi="宋体" w:cs="宋体" w:eastAsia="宋体" w:hint="default"/>
          <w:spacing w:val="-1"/>
        </w:rPr>
        <w:t> </w:t>
      </w:r>
      <w:r>
        <w:rPr/>
        <w:t>合计派发现金股利</w:t>
      </w:r>
      <w:r>
        <w:rPr>
          <w:rFonts w:ascii="宋体" w:hAnsi="宋体" w:cs="宋体" w:eastAsia="宋体" w:hint="default"/>
        </w:rPr>
        <w:t>28,927,027.76</w:t>
      </w:r>
      <w:r>
        <w:rPr/>
        <w:t>元（含税）。</w:t>
      </w:r>
    </w:p>
    <w:p>
      <w:pPr>
        <w:spacing w:line="240" w:lineRule="auto" w:before="13"/>
        <w:rPr>
          <w:rFonts w:ascii="宋体" w:hAnsi="宋体" w:cs="宋体" w:eastAsia="宋体" w:hint="default"/>
          <w:sz w:val="25"/>
          <w:szCs w:val="25"/>
        </w:rPr>
      </w:pPr>
    </w:p>
    <w:p>
      <w:pPr>
        <w:pStyle w:val="BodyText"/>
        <w:spacing w:line="240" w:lineRule="auto" w:before="44"/>
        <w:ind w:right="183"/>
        <w:jc w:val="left"/>
      </w:pPr>
      <w:r>
        <w:rPr/>
        <w:t>公司近三年（包括本报告期）普通股现金分红情况表</w:t>
      </w:r>
    </w:p>
    <w:p>
      <w:pPr>
        <w:pStyle w:val="BodyText"/>
        <w:spacing w:line="240" w:lineRule="auto" w:before="117"/>
        <w:ind w:left="0" w:right="19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1"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1"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431"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432"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28,927,027.76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435,862,060.15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72,317,569.40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335,159,778.67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27,290,000.00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113,588,409.62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24.03%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83"/>
        <w:jc w:val="left"/>
      </w:pPr>
      <w:r>
        <w:rPr/>
        <w:t>公司报告期内盈利且母公司可供普通股股东分配利润为正但未提出普通股现金红利分配预案</w:t>
      </w:r>
    </w:p>
    <w:p>
      <w:pPr>
        <w:pStyle w:val="BodyText"/>
        <w:spacing w:line="240" w:lineRule="auto" w:before="117"/>
        <w:ind w:right="1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183"/>
        <w:jc w:val="left"/>
        <w:rPr>
          <w:b w:val="0"/>
          <w:bCs w:val="0"/>
        </w:rPr>
      </w:pP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9" w:lineRule="auto"/>
        <w:ind w:right="183"/>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814"/>
        <w:gridCol w:w="1135"/>
        <w:gridCol w:w="1128"/>
        <w:gridCol w:w="1126"/>
        <w:gridCol w:w="1126"/>
        <w:gridCol w:w="1121"/>
        <w:gridCol w:w="1106"/>
      </w:tblGrid>
      <w:tr>
        <w:trPr>
          <w:trHeight w:val="403" w:hRule="exact"/>
        </w:trPr>
        <w:tc>
          <w:tcPr>
            <w:tcW w:w="2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3" w:hRule="exact"/>
        </w:trPr>
        <w:tc>
          <w:tcPr>
            <w:tcW w:w="2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35"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5" w:type="dxa"/>
            <w:vMerge w:val="restart"/>
            <w:tcBorders>
              <w:top w:val="single" w:sz="4" w:space="0" w:color="000000"/>
              <w:left w:val="single" w:sz="10"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百汇达</w:t>
            </w:r>
          </w:p>
        </w:tc>
        <w:tc>
          <w:tcPr>
            <w:tcW w:w="1128" w:type="dxa"/>
            <w:vMerge w:val="restart"/>
            <w:tcBorders>
              <w:top w:val="single" w:sz="4" w:space="0" w:color="000000"/>
              <w:left w:val="single" w:sz="4" w:space="0" w:color="000000"/>
              <w:right w:val="single" w:sz="4" w:space="0" w:color="000000"/>
            </w:tcBorders>
          </w:tcPr>
          <w:p>
            <w:pPr>
              <w:pStyle w:val="TableParagraph"/>
              <w:spacing w:line="314" w:lineRule="auto" w:before="71"/>
              <w:ind w:left="26" w:right="191"/>
              <w:jc w:val="left"/>
              <w:rPr>
                <w:rFonts w:ascii="宋体" w:hAnsi="宋体" w:cs="宋体" w:eastAsia="宋体" w:hint="default"/>
                <w:sz w:val="18"/>
                <w:szCs w:val="18"/>
              </w:rPr>
            </w:pPr>
            <w:r>
              <w:rPr>
                <w:rFonts w:ascii="宋体" w:hAnsi="宋体" w:cs="宋体" w:eastAsia="宋体" w:hint="default"/>
                <w:sz w:val="18"/>
                <w:szCs w:val="18"/>
              </w:rPr>
              <w:t>关于避免同 业竞争的承</w:t>
            </w:r>
          </w:p>
        </w:tc>
        <w:tc>
          <w:tcPr>
            <w:tcW w:w="1126" w:type="dxa"/>
            <w:vMerge w:val="restart"/>
            <w:tcBorders>
              <w:top w:val="single" w:sz="4" w:space="0" w:color="000000"/>
              <w:left w:val="single" w:sz="4" w:space="0" w:color="000000"/>
              <w:right w:val="single" w:sz="4" w:space="0" w:color="000000"/>
            </w:tcBorders>
          </w:tcPr>
          <w:p>
            <w:pPr>
              <w:pStyle w:val="TableParagraph"/>
              <w:spacing w:line="314" w:lineRule="auto" w:before="71"/>
              <w:ind w:left="23" w:right="190"/>
              <w:jc w:val="left"/>
              <w:rPr>
                <w:rFonts w:ascii="宋体" w:hAnsi="宋体" w:cs="宋体" w:eastAsia="宋体" w:hint="default"/>
                <w:sz w:val="18"/>
                <w:szCs w:val="18"/>
              </w:rPr>
            </w:pPr>
            <w:r>
              <w:rPr>
                <w:rFonts w:ascii="宋体" w:hAnsi="宋体" w:cs="宋体" w:eastAsia="宋体" w:hint="default"/>
                <w:sz w:val="18"/>
                <w:szCs w:val="18"/>
              </w:rPr>
              <w:t>关于避免同 业竞争的承</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314" w:lineRule="auto" w:before="71"/>
              <w:ind w:left="23" w:right="185"/>
              <w:jc w:val="left"/>
              <w:rPr>
                <w:rFonts w:ascii="宋体" w:hAnsi="宋体" w:cs="宋体" w:eastAsia="宋体" w:hint="default"/>
                <w:sz w:val="18"/>
                <w:szCs w:val="18"/>
              </w:rPr>
            </w:pPr>
            <w:r>
              <w:rPr>
                <w:rFonts w:ascii="宋体" w:hAnsi="宋体" w:cs="宋体" w:eastAsia="宋体" w:hint="default"/>
                <w:sz w:val="18"/>
                <w:szCs w:val="18"/>
              </w:rPr>
              <w:t>作出承诺开 始至承诺履</w:t>
            </w:r>
          </w:p>
        </w:tc>
        <w:tc>
          <w:tcPr>
            <w:tcW w:w="1106" w:type="dxa"/>
            <w:vMerge w:val="restart"/>
            <w:tcBorders>
              <w:top w:val="single" w:sz="4" w:space="0" w:color="000000"/>
              <w:left w:val="single" w:sz="4" w:space="0" w:color="000000"/>
              <w:right w:val="single" w:sz="4" w:space="0" w:color="000000"/>
            </w:tcBorders>
          </w:tcPr>
          <w:p>
            <w:pPr>
              <w:pStyle w:val="TableParagraph"/>
              <w:spacing w:line="314" w:lineRule="auto" w:before="71"/>
              <w:ind w:left="23" w:right="170"/>
              <w:jc w:val="left"/>
              <w:rPr>
                <w:rFonts w:ascii="宋体" w:hAnsi="宋体" w:cs="宋体" w:eastAsia="宋体" w:hint="default"/>
                <w:sz w:val="18"/>
                <w:szCs w:val="18"/>
              </w:rPr>
            </w:pPr>
            <w:r>
              <w:rPr>
                <w:rFonts w:ascii="宋体" w:hAnsi="宋体" w:cs="宋体" w:eastAsia="宋体" w:hint="default"/>
                <w:sz w:val="18"/>
                <w:szCs w:val="18"/>
              </w:rPr>
              <w:t>报告期内承 诺人遵守了</w:t>
            </w:r>
          </w:p>
        </w:tc>
      </w:tr>
      <w:tr>
        <w:trPr>
          <w:trHeight w:val="394" w:hRule="exact"/>
        </w:trPr>
        <w:tc>
          <w:tcPr>
            <w:tcW w:w="28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35" w:type="dxa"/>
            <w:vMerge/>
            <w:tcBorders>
              <w:left w:val="single" w:sz="10" w:space="0" w:color="D2D2D2"/>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161" w:hRule="exact"/>
        </w:trPr>
        <w:tc>
          <w:tcPr>
            <w:tcW w:w="2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5" w:type="dxa"/>
            <w:vMerge/>
            <w:tcBorders>
              <w:left w:val="single" w:sz="10" w:space="0" w:color="D2D2D2"/>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13740"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9"/>
              <w:jc w:val="left"/>
              <w:rPr>
                <w:rFonts w:ascii="宋体" w:hAnsi="宋体" w:cs="宋体" w:eastAsia="宋体" w:hint="default"/>
                <w:sz w:val="18"/>
                <w:szCs w:val="18"/>
              </w:rPr>
            </w:pPr>
            <w:r>
              <w:rPr>
                <w:rFonts w:ascii="宋体" w:hAnsi="宋体" w:cs="宋体" w:eastAsia="宋体" w:hint="default"/>
                <w:spacing w:val="-2"/>
                <w:sz w:val="18"/>
                <w:szCs w:val="18"/>
              </w:rPr>
              <w:t>诺、关于规范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关联交易的 </w:t>
            </w:r>
            <w:r>
              <w:rPr>
                <w:rFonts w:ascii="宋体" w:hAnsi="宋体" w:cs="宋体" w:eastAsia="宋体" w:hint="default"/>
                <w:spacing w:val="-2"/>
                <w:sz w:val="18"/>
                <w:szCs w:val="18"/>
              </w:rPr>
              <w:t>承诺、关于保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持上市公司 独立性的承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诺：</w:t>
            </w:r>
            <w:r>
              <w:rPr>
                <w:rFonts w:ascii="Times New Roman" w:hAnsi="Times New Roman" w:cs="Times New Roman" w:eastAsia="Times New Roman" w:hint="default"/>
                <w:sz w:val="18"/>
                <w:szCs w:val="18"/>
              </w:rPr>
              <w:t>1</w:t>
            </w:r>
            <w:r>
              <w:rPr>
                <w:rFonts w:ascii="宋体" w:hAnsi="宋体" w:cs="宋体" w:eastAsia="宋体" w:hint="default"/>
                <w:sz w:val="18"/>
                <w:szCs w:val="18"/>
              </w:rPr>
              <w:t>、本公 司以及本公 司之全资、控 股子企业目 前不拥有及 经营任何在 商业上与光 环新网正在 经营的业务 有直接竞争 的业务。</w:t>
            </w:r>
            <w:r>
              <w:rPr>
                <w:rFonts w:ascii="Times New Roman" w:hAnsi="Times New Roman" w:cs="Times New Roman" w:eastAsia="Times New Roman" w:hint="default"/>
                <w:sz w:val="18"/>
                <w:szCs w:val="18"/>
              </w:rPr>
              <w:t>2</w:t>
            </w:r>
            <w:r>
              <w:rPr>
                <w:rFonts w:ascii="宋体" w:hAnsi="宋体" w:cs="宋体" w:eastAsia="宋体" w:hint="default"/>
                <w:sz w:val="18"/>
                <w:szCs w:val="18"/>
              </w:rPr>
              <w:t>、 本公司承诺 本公司本身、 并且本公司 必将通过法 律程序使本 公司之全资、 控股子企业 将来均不从 事任何在商 业上与光环 新网正在经 营的业务有 直接竞争的 业务。</w:t>
            </w:r>
            <w:r>
              <w:rPr>
                <w:rFonts w:ascii="Times New Roman" w:hAnsi="Times New Roman" w:cs="Times New Roman" w:eastAsia="Times New Roman" w:hint="default"/>
                <w:sz w:val="18"/>
                <w:szCs w:val="18"/>
              </w:rPr>
              <w:t>3</w:t>
            </w:r>
            <w:r>
              <w:rPr>
                <w:rFonts w:ascii="宋体" w:hAnsi="宋体" w:cs="宋体" w:eastAsia="宋体" w:hint="default"/>
                <w:sz w:val="18"/>
                <w:szCs w:val="18"/>
              </w:rPr>
              <w:t>、如 本公司（包括 受本公司控 制的子企业 或其他关联 企业）将来经 营的产品或 服务与光环 新网的主营 产品或服务 有可能形成 竞争，本公司 同意光环新 网有权优先 收购本公司 与该等产品 或服务有关 的资产或本 公司在子企 业中的全部</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行完毕。</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所做承诺。</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998pt;width:61.8pt;height:686.55pt;mso-position-horizontal-relative:page;mso-position-vertical-relative:page;z-index:-18156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9"/>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20"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74"/>
              <w:jc w:val="center"/>
              <w:rPr>
                <w:rFonts w:ascii="宋体" w:hAnsi="宋体" w:cs="宋体" w:eastAsia="宋体" w:hint="default"/>
                <w:sz w:val="18"/>
                <w:szCs w:val="18"/>
              </w:rPr>
            </w:pPr>
            <w:r>
              <w:rPr>
                <w:rFonts w:ascii="宋体" w:hAnsi="宋体" w:cs="宋体" w:eastAsia="宋体" w:hint="default"/>
                <w:sz w:val="18"/>
                <w:szCs w:val="18"/>
              </w:rPr>
              <w:t>股权。</w:t>
            </w:r>
            <w:r>
              <w:rPr>
                <w:rFonts w:ascii="Times New Roman" w:hAnsi="Times New Roman" w:cs="Times New Roman" w:eastAsia="Times New Roman" w:hint="default"/>
                <w:sz w:val="18"/>
                <w:szCs w:val="18"/>
              </w:rPr>
              <w:t>4</w:t>
            </w:r>
            <w:r>
              <w:rPr>
                <w:rFonts w:ascii="宋体" w:hAnsi="宋体" w:cs="宋体" w:eastAsia="宋体" w:hint="default"/>
                <w:sz w:val="18"/>
                <w:szCs w:val="18"/>
              </w:rPr>
              <w:t>、如</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5pt;mso-position-horizontal-relative:char;mso-position-vertical-relative:line" coordorigin="0,0" coordsize="1116,13731">
                  <v:group style="position:absolute;left:0;top:0;width:1116;height:13731" coordorigin="0,0" coordsize="1116,13731">
                    <v:shape style="position:absolute;left:0;top:0;width:1116;height:13731" coordorigin="0,0" coordsize="1116,13731"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因本公司未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履行在本承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诺函中所作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的承诺给光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环新网造成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损失的，本公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司将赔偿光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环新网的实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际损失。关于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规范关联交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易的承诺：</w:t>
            </w:r>
            <w:r>
              <w:rPr>
                <w:rFonts w:ascii="Times New Roman" w:hAnsi="Times New Roman" w:cs="Times New Roman" w:eastAsia="Times New Roman" w:hint="default"/>
                <w:sz w:val="18"/>
                <w:szCs w:val="18"/>
              </w:rPr>
              <w:t>1</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尽量避免或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减少与上市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公司及其下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属子公司之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间的关联交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易；</w:t>
            </w:r>
            <w:r>
              <w:rPr>
                <w:rFonts w:ascii="Times New Roman" w:hAnsi="Times New Roman" w:cs="Times New Roman" w:eastAsia="Times New Roman" w:hint="default"/>
                <w:sz w:val="18"/>
                <w:szCs w:val="18"/>
              </w:rPr>
              <w:t>2</w:t>
            </w:r>
            <w:r>
              <w:rPr>
                <w:rFonts w:ascii="宋体" w:hAnsi="宋体" w:cs="宋体" w:eastAsia="宋体" w:hint="default"/>
                <w:sz w:val="18"/>
                <w:szCs w:val="18"/>
              </w:rPr>
              <w:t>、对于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无法避免或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有合理理由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存在的关联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交易，将与上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市公司依法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签订规范的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关联交易协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议，并按照有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关法律、法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规、规章、其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他规范性文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件和公司章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程的规定履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行批准程序；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关联交易价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格按照市场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原则确定，保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证关联交易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价格具有公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允性；保证按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照有关法律、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法规、规章、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其他规范性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文件和公司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章程的规定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履行关联交</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6"/>
              <w:jc w:val="center"/>
              <w:rPr>
                <w:rFonts w:ascii="宋体" w:hAnsi="宋体" w:cs="宋体" w:eastAsia="宋体" w:hint="default"/>
                <w:sz w:val="18"/>
                <w:szCs w:val="18"/>
              </w:rPr>
            </w:pPr>
            <w:r>
              <w:rPr>
                <w:rFonts w:ascii="宋体" w:hAnsi="宋体" w:cs="宋体" w:eastAsia="宋体" w:hint="default"/>
                <w:sz w:val="18"/>
                <w:szCs w:val="18"/>
              </w:rPr>
              <w:t>易的信息披</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露义务；</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保证不利用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关联交易非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法移转上市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公司的资金、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利润，不利用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关联交易损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害上市公司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及非关联股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东的利益。关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于保持上市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公司独立性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的承诺：</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保证上市公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司人员独立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）保证上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市公司的生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产经营与行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政管理（包括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劳动、人事及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薪酬管理等）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完全独立于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本公司及本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其他企业。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）保证上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市公司的董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事、监事和高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严格按照《中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华人民共和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国公司法》和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《公司章程》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的有关规定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产生，保证上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市公司的总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经理、副总经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理、财务负责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人、董事会秘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书等高级管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理人员均在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上市公司专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职工作，不在</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998pt;width:61.8pt;height:686.55pt;mso-position-horizontal-relative:page;mso-position-vertical-relative:page;z-index:-18156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0"/>
                      <w:szCs w:val="20"/>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6"/>
              <w:jc w:val="center"/>
              <w:rPr>
                <w:rFonts w:ascii="宋体" w:hAnsi="宋体" w:cs="宋体" w:eastAsia="宋体" w:hint="default"/>
                <w:sz w:val="18"/>
                <w:szCs w:val="18"/>
              </w:rPr>
            </w:pPr>
            <w:r>
              <w:rPr>
                <w:rFonts w:ascii="宋体" w:hAnsi="宋体" w:cs="宋体" w:eastAsia="宋体" w:hint="default"/>
                <w:sz w:val="18"/>
                <w:szCs w:val="18"/>
              </w:rPr>
              <w:t>本公司及本</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5pt;mso-position-horizontal-relative:char;mso-position-vertical-relative:line" coordorigin="0,0" coordsize="1116,13731">
                  <v:group style="position:absolute;left:0;top:0;width:1116;height:13731" coordorigin="0,0" coordsize="1116,13731">
                    <v:shape style="position:absolute;left:0;top:0;width:1116;height:13731" coordorigin="0,0" coordsize="1116,13731"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其他企业担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任除董事、监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事以外的职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务</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5"/>
                <w:sz w:val="18"/>
                <w:szCs w:val="18"/>
              </w:rPr>
              <w:t>）</w:t>
            </w:r>
            <w:r>
              <w:rPr>
                <w:rFonts w:ascii="宋体" w:hAnsi="宋体" w:cs="宋体" w:eastAsia="宋体" w:hint="default"/>
                <w:sz w:val="18"/>
                <w:szCs w:val="18"/>
              </w:rPr>
              <w:t>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司不干预上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市公司董事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会和股东大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会行使职权、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作出决定。</w:t>
            </w:r>
            <w:r>
              <w:rPr>
                <w:rFonts w:ascii="Times New Roman" w:hAnsi="Times New Roman" w:cs="Times New Roman" w:eastAsia="Times New Roman" w:hint="default"/>
                <w:sz w:val="18"/>
                <w:szCs w:val="18"/>
              </w:rPr>
              <w:t>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保证上市公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司资产独立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）保证上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市公司具有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与经营有关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的业务体系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和相关的独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立完整的资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5"/>
                <w:sz w:val="18"/>
                <w:szCs w:val="18"/>
              </w:rPr>
              <w:t>）</w:t>
            </w:r>
            <w:r>
              <w:rPr>
                <w:rFonts w:ascii="宋体" w:hAnsi="宋体" w:cs="宋体" w:eastAsia="宋体" w:hint="default"/>
                <w:sz w:val="18"/>
                <w:szCs w:val="18"/>
              </w:rPr>
              <w:t>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本公司及本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其他企业不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以任何方式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违法违规占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用上市公司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的资金、资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5"/>
                <w:sz w:val="18"/>
                <w:szCs w:val="18"/>
              </w:rPr>
              <w:t>）</w:t>
            </w:r>
            <w:r>
              <w:rPr>
                <w:rFonts w:ascii="宋体" w:hAnsi="宋体" w:cs="宋体" w:eastAsia="宋体" w:hint="default"/>
                <w:sz w:val="18"/>
                <w:szCs w:val="18"/>
              </w:rPr>
              <w:t>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不以上市公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司的资产为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本公司及本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其他企业的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债务违规提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供担保</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保证上市公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司的住所独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立于本公司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及本公司控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制的其他企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业。</w:t>
            </w:r>
            <w:r>
              <w:rPr>
                <w:rFonts w:ascii="Times New Roman" w:hAnsi="Times New Roman" w:cs="Times New Roman" w:eastAsia="Times New Roman" w:hint="default"/>
                <w:sz w:val="18"/>
                <w:szCs w:val="18"/>
              </w:rPr>
              <w:t>3</w:t>
            </w:r>
            <w:r>
              <w:rPr>
                <w:rFonts w:ascii="宋体" w:hAnsi="宋体" w:cs="宋体" w:eastAsia="宋体" w:hint="default"/>
                <w:sz w:val="18"/>
                <w:szCs w:val="18"/>
              </w:rPr>
              <w:t>、保证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上市公司财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务独立（</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保证上市公</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6"/>
              <w:jc w:val="center"/>
              <w:rPr>
                <w:rFonts w:ascii="宋体" w:hAnsi="宋体" w:cs="宋体" w:eastAsia="宋体" w:hint="default"/>
                <w:sz w:val="18"/>
                <w:szCs w:val="18"/>
              </w:rPr>
            </w:pPr>
            <w:r>
              <w:rPr>
                <w:rFonts w:ascii="宋体" w:hAnsi="宋体" w:cs="宋体" w:eastAsia="宋体" w:hint="default"/>
                <w:sz w:val="18"/>
                <w:szCs w:val="18"/>
              </w:rPr>
              <w:t>司建立独立</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的财务部门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和独立的财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务核算体系，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具有规范、独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立的财务核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算制度</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保证上市公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司独立在银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行开户，不和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本公司及本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其他企业共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用银行账户。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）保证上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市公司的财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务人员不在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本公司及本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其他企业兼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职</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5"/>
                <w:sz w:val="18"/>
                <w:szCs w:val="18"/>
              </w:rPr>
              <w:t>）</w:t>
            </w:r>
            <w:r>
              <w:rPr>
                <w:rFonts w:ascii="宋体" w:hAnsi="宋体" w:cs="宋体" w:eastAsia="宋体" w:hint="default"/>
                <w:sz w:val="18"/>
                <w:szCs w:val="18"/>
              </w:rPr>
              <w:t>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上市公司依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法独立纳税。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）保障上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市公司能够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独立作出财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务决策，本公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司不干预上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市公司的资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金使用。</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保证上市公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司机构独立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）保证上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市公司依法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建立健全股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份公司法人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治理结构，拥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有独立、完整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的组织机构，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与本公司及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本公司控制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的其他企业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间不存在机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构混同的情</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20"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形</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5"/>
                <w:sz w:val="18"/>
                <w:szCs w:val="18"/>
              </w:rPr>
              <w:t>）</w:t>
            </w:r>
            <w:r>
              <w:rPr>
                <w:rFonts w:ascii="宋体" w:hAnsi="宋体" w:cs="宋体" w:eastAsia="宋体" w:hint="default"/>
                <w:sz w:val="18"/>
                <w:szCs w:val="18"/>
              </w:rPr>
              <w:t>保证</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上市公司的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股东大会、董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事会、独立董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事、监事、总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经理等依照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法律、法规和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公司章程独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立行使职权。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、保证上市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公司业务独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立（</w:t>
            </w:r>
            <w:r>
              <w:rPr>
                <w:rFonts w:ascii="Times New Roman" w:hAnsi="Times New Roman" w:cs="Times New Roman" w:eastAsia="Times New Roman" w:hint="default"/>
                <w:sz w:val="18"/>
                <w:szCs w:val="18"/>
              </w:rPr>
              <w:t>1</w:t>
            </w:r>
            <w:r>
              <w:rPr>
                <w:rFonts w:ascii="宋体" w:hAnsi="宋体" w:cs="宋体" w:eastAsia="宋体" w:hint="default"/>
                <w:sz w:val="18"/>
                <w:szCs w:val="18"/>
              </w:rPr>
              <w:t>）保证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上市公司拥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有独立开展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经营活动的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资产、人员、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资质和能力，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具有面向市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场独立自主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持续经营的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能力</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5"/>
                <w:sz w:val="18"/>
                <w:szCs w:val="18"/>
              </w:rPr>
              <w:t>）保</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证本公司除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通过下属子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公司行使股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东权利之外，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不对上市公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司的业务活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动进行干预。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）保证本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公司及本公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司控制的其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他企业避免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从事与上市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公司具有实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质性竞争的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业务</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5"/>
                <w:sz w:val="18"/>
                <w:szCs w:val="18"/>
              </w:rPr>
              <w:t>）保</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证尽量减少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本公司及本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其他企业与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关联交易；在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进行确有必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要且无法避</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410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免的关联交 </w:t>
            </w:r>
            <w:r>
              <w:rPr>
                <w:rFonts w:ascii="宋体" w:hAnsi="宋体" w:cs="宋体" w:eastAsia="宋体" w:hint="default"/>
                <w:spacing w:val="-2"/>
                <w:sz w:val="18"/>
                <w:szCs w:val="18"/>
              </w:rPr>
              <w:t>易时，保证按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照市场化原 则和公允价 格进行公平 </w:t>
            </w:r>
            <w:r>
              <w:rPr>
                <w:rFonts w:ascii="宋体" w:hAnsi="宋体" w:cs="宋体" w:eastAsia="宋体" w:hint="default"/>
                <w:spacing w:val="-2"/>
                <w:sz w:val="18"/>
                <w:szCs w:val="18"/>
              </w:rPr>
              <w:t>操作，并按相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关法律法规 和规范性文 件的规定履 行关联交易 决策程序及 信息披露义 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972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关于避免同 业竞争的承 </w:t>
            </w:r>
            <w:r>
              <w:rPr>
                <w:rFonts w:ascii="宋体" w:hAnsi="宋体" w:cs="宋体" w:eastAsia="宋体" w:hint="default"/>
                <w:spacing w:val="-2"/>
                <w:sz w:val="18"/>
                <w:szCs w:val="18"/>
              </w:rPr>
              <w:t>诺、关于规范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关联交易的 </w:t>
            </w:r>
            <w:r>
              <w:rPr>
                <w:rFonts w:ascii="宋体" w:hAnsi="宋体" w:cs="宋体" w:eastAsia="宋体" w:hint="default"/>
                <w:spacing w:val="-2"/>
                <w:sz w:val="18"/>
                <w:szCs w:val="18"/>
              </w:rPr>
              <w:t>承诺、关于保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持上市公司 独立性的承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关于避免同 业竞争的承 诺：</w:t>
            </w:r>
            <w:r>
              <w:rPr>
                <w:rFonts w:ascii="Times New Roman" w:hAnsi="Times New Roman" w:cs="Times New Roman" w:eastAsia="Times New Roman" w:hint="default"/>
                <w:sz w:val="18"/>
                <w:szCs w:val="18"/>
              </w:rPr>
              <w:t>1</w:t>
            </w:r>
            <w:r>
              <w:rPr>
                <w:rFonts w:ascii="宋体" w:hAnsi="宋体" w:cs="宋体" w:eastAsia="宋体" w:hint="default"/>
                <w:sz w:val="18"/>
                <w:szCs w:val="18"/>
              </w:rPr>
              <w:t>、本人 以及本人之 </w:t>
            </w:r>
            <w:r>
              <w:rPr>
                <w:rFonts w:ascii="宋体" w:hAnsi="宋体" w:cs="宋体" w:eastAsia="宋体" w:hint="default"/>
                <w:spacing w:val="-2"/>
                <w:sz w:val="18"/>
                <w:szCs w:val="18"/>
              </w:rPr>
              <w:t>全资、控股子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企业目前不 拥有及经营 任何在商业 上与光环新 网正在经营 的业务有直 接竞争的业 务。</w:t>
            </w:r>
            <w:r>
              <w:rPr>
                <w:rFonts w:ascii="Times New Roman" w:hAnsi="Times New Roman" w:cs="Times New Roman" w:eastAsia="Times New Roman" w:hint="default"/>
                <w:sz w:val="18"/>
                <w:szCs w:val="18"/>
              </w:rPr>
              <w:t>2</w:t>
            </w:r>
            <w:r>
              <w:rPr>
                <w:rFonts w:ascii="宋体" w:hAnsi="宋体" w:cs="宋体" w:eastAsia="宋体" w:hint="default"/>
                <w:sz w:val="18"/>
                <w:szCs w:val="18"/>
              </w:rPr>
              <w:t>、本人 承诺本人本 </w:t>
            </w:r>
            <w:r>
              <w:rPr>
                <w:rFonts w:ascii="宋体" w:hAnsi="宋体" w:cs="宋体" w:eastAsia="宋体" w:hint="default"/>
                <w:spacing w:val="-2"/>
                <w:sz w:val="18"/>
                <w:szCs w:val="18"/>
              </w:rPr>
              <w:t>身、并且本人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必将通过法 律程序使本 </w:t>
            </w:r>
            <w:r>
              <w:rPr>
                <w:rFonts w:ascii="宋体" w:hAnsi="宋体" w:cs="宋体" w:eastAsia="宋体" w:hint="default"/>
                <w:spacing w:val="-2"/>
                <w:sz w:val="18"/>
                <w:szCs w:val="18"/>
              </w:rPr>
              <w:t>人之全资、控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股子企业将 来均不从事 任何在商业 上与光环新 网正在经营 的业务有直 接竞争的业 务。</w:t>
            </w:r>
            <w:r>
              <w:rPr>
                <w:rFonts w:ascii="Times New Roman" w:hAnsi="Times New Roman" w:cs="Times New Roman" w:eastAsia="Times New Roman" w:hint="default"/>
                <w:sz w:val="18"/>
                <w:szCs w:val="18"/>
              </w:rPr>
              <w:t>3</w:t>
            </w:r>
            <w:r>
              <w:rPr>
                <w:rFonts w:ascii="宋体" w:hAnsi="宋体" w:cs="宋体" w:eastAsia="宋体" w:hint="default"/>
                <w:sz w:val="18"/>
                <w:szCs w:val="18"/>
              </w:rPr>
              <w:t>、如本 </w:t>
            </w:r>
            <w:r>
              <w:rPr>
                <w:rFonts w:ascii="宋体" w:hAnsi="宋体" w:cs="宋体" w:eastAsia="宋体" w:hint="default"/>
                <w:spacing w:val="-2"/>
                <w:sz w:val="18"/>
                <w:szCs w:val="18"/>
              </w:rPr>
              <w:t>人（包括受本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人控制的子 企业或其他 </w:t>
            </w:r>
            <w:r>
              <w:rPr>
                <w:rFonts w:ascii="宋体" w:hAnsi="宋体" w:cs="宋体" w:eastAsia="宋体" w:hint="default"/>
                <w:spacing w:val="-2"/>
                <w:sz w:val="18"/>
                <w:szCs w:val="18"/>
              </w:rPr>
              <w:t>关联企业）将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来经营的产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85"/>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73"/>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6"/>
              <w:jc w:val="center"/>
              <w:rPr>
                <w:rFonts w:ascii="宋体" w:hAnsi="宋体" w:cs="宋体" w:eastAsia="宋体" w:hint="default"/>
                <w:sz w:val="18"/>
                <w:szCs w:val="18"/>
              </w:rPr>
            </w:pPr>
            <w:r>
              <w:rPr>
                <w:rFonts w:ascii="宋体" w:hAnsi="宋体" w:cs="宋体" w:eastAsia="宋体" w:hint="default"/>
                <w:sz w:val="18"/>
                <w:szCs w:val="18"/>
              </w:rPr>
              <w:t>品或服务与</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光环新网的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主营产品或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服务有可能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形成竞争，本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人同意光环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新网有权优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先收购本人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与该等产品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或服务有关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的资产或本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人在子企业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中的全部股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权。</w:t>
            </w:r>
            <w:r>
              <w:rPr>
                <w:rFonts w:ascii="Times New Roman" w:hAnsi="Times New Roman" w:cs="Times New Roman" w:eastAsia="Times New Roman" w:hint="default"/>
                <w:sz w:val="18"/>
                <w:szCs w:val="18"/>
              </w:rPr>
              <w:t>4</w:t>
            </w:r>
            <w:r>
              <w:rPr>
                <w:rFonts w:ascii="宋体" w:hAnsi="宋体" w:cs="宋体" w:eastAsia="宋体" w:hint="default"/>
                <w:sz w:val="18"/>
                <w:szCs w:val="18"/>
              </w:rPr>
              <w:t>、如因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本人未履行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在本承诺函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中所作的承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诺给光环新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网造成损失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的，本人将赔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偿光环新网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的实际损失。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关于规范关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联交易的承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诺：</w:t>
            </w:r>
            <w:r>
              <w:rPr>
                <w:rFonts w:ascii="Times New Roman" w:hAnsi="Times New Roman" w:cs="Times New Roman" w:eastAsia="Times New Roman" w:hint="default"/>
                <w:sz w:val="18"/>
                <w:szCs w:val="18"/>
              </w:rPr>
              <w:t>1</w:t>
            </w:r>
            <w:r>
              <w:rPr>
                <w:rFonts w:ascii="宋体" w:hAnsi="宋体" w:cs="宋体" w:eastAsia="宋体" w:hint="default"/>
                <w:sz w:val="18"/>
                <w:szCs w:val="18"/>
              </w:rPr>
              <w:t>、尽量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避免或减少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与上市公司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及其下属子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公司之间的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、对于无法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避免或有合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理理由存在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的关联交易，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将与上市公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司依法签订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规范的关联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交易协议，并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按照有关法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律、法规、规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章、其他规范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性文件和公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司章程的规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定履行批准</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程序；关联交</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易价格按照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市场原则确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定，保证关联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交易价格具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有公允性；保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证按照有关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法律、法规、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规章、其他规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范性文件和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公司章程的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规定履行关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联交易的信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息披露义务；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、保证不利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用关联交易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非法移转上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市公司的资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金、利润，不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利用关联交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易损害上市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公司及非关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联股东的利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益。关于保持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上市公司独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立性的承诺：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、保证上市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公司人员独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立（</w:t>
            </w:r>
            <w:r>
              <w:rPr>
                <w:rFonts w:ascii="Times New Roman" w:hAnsi="Times New Roman" w:cs="Times New Roman" w:eastAsia="Times New Roman" w:hint="default"/>
                <w:sz w:val="18"/>
                <w:szCs w:val="18"/>
              </w:rPr>
              <w:t>1</w:t>
            </w:r>
            <w:r>
              <w:rPr>
                <w:rFonts w:ascii="宋体" w:hAnsi="宋体" w:cs="宋体" w:eastAsia="宋体" w:hint="default"/>
                <w:sz w:val="18"/>
                <w:szCs w:val="18"/>
              </w:rPr>
              <w:t>）保证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上市公司的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生产经营与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行政管理（包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括劳动、人事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及薪酬管理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等）完全独立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于本人控制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的其他企业。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）保证上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市公司的董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事、监事和高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严格按照《中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华人民共和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国公司法》和</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的有关规定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产生，保证上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市公司的总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经理、副总经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理、财务负责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人、董事会秘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书等高级管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理人员均在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上市公司专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职工作，不在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其他企业担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任除董事、监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事以外的职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w:t>
            </w:r>
            <w:r>
              <w:rPr>
                <w:rFonts w:ascii="Times New Roman" w:hAnsi="Times New Roman" w:cs="Times New Roman" w:eastAsia="Times New Roman" w:hint="default"/>
                <w:sz w:val="18"/>
                <w:szCs w:val="18"/>
              </w:rPr>
              <w:t>2</w:t>
            </w:r>
            <w:r>
              <w:rPr>
                <w:rFonts w:ascii="宋体" w:hAnsi="宋体" w:cs="宋体" w:eastAsia="宋体" w:hint="default"/>
                <w:sz w:val="18"/>
                <w:szCs w:val="18"/>
              </w:rPr>
              <w:t>、保证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上市公司资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产独立（</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保证上市公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司具有与经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营有关的业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务体系和相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关的独立完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整的资产。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）保证本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人控制的其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他企业不以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任何方式违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法违规占用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资金、资产。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）保证不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以上市公司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的资产为本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人控制的其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他企业的债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务违规提供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5"/>
                <w:sz w:val="18"/>
                <w:szCs w:val="18"/>
              </w:rPr>
              <w:t>）保</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证上市公司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的住所独立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于本人控制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的其他企业。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、保证上市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公司财务独</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20"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74"/>
              <w:jc w:val="center"/>
              <w:rPr>
                <w:rFonts w:ascii="宋体" w:hAnsi="宋体" w:cs="宋体" w:eastAsia="宋体" w:hint="default"/>
                <w:sz w:val="18"/>
                <w:szCs w:val="18"/>
              </w:rPr>
            </w:pPr>
            <w:r>
              <w:rPr>
                <w:rFonts w:ascii="宋体" w:hAnsi="宋体" w:cs="宋体" w:eastAsia="宋体" w:hint="default"/>
                <w:sz w:val="18"/>
                <w:szCs w:val="18"/>
              </w:rPr>
              <w:t>立（</w:t>
            </w:r>
            <w:r>
              <w:rPr>
                <w:rFonts w:ascii="Times New Roman" w:hAnsi="Times New Roman" w:cs="Times New Roman" w:eastAsia="Times New Roman" w:hint="default"/>
                <w:sz w:val="18"/>
                <w:szCs w:val="18"/>
              </w:rPr>
              <w:t>1</w:t>
            </w:r>
            <w:r>
              <w:rPr>
                <w:rFonts w:ascii="宋体" w:hAnsi="宋体" w:cs="宋体" w:eastAsia="宋体" w:hint="default"/>
                <w:sz w:val="18"/>
                <w:szCs w:val="18"/>
              </w:rPr>
              <w:t>）保证</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上市公司建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立独立的财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务部门和独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立的财务核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算体系，具有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规范、独立的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财务核算制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度</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5"/>
                <w:sz w:val="18"/>
                <w:szCs w:val="18"/>
              </w:rPr>
              <w:t>）</w:t>
            </w:r>
            <w:r>
              <w:rPr>
                <w:rFonts w:ascii="宋体" w:hAnsi="宋体" w:cs="宋体" w:eastAsia="宋体" w:hint="default"/>
                <w:sz w:val="18"/>
                <w:szCs w:val="18"/>
              </w:rPr>
              <w:t>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上市公司独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立在银行开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户，不和本人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控制的其他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企业共用银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行账户</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保证上市公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司的财务人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员不在本人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控制的其他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企业兼职。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）保证上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市公司依法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独立纳税。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）保障上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市公司能够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独立作出财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务决策，本公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司不干预上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市公司的资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金使用。</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保证上市公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司机构独立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）保证上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市公司依法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建立健全股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份公司法人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治理结构，拥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有独立、完整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的组织机构，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与本人控制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的其他企业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间不存在机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构混同的情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形</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5"/>
                <w:sz w:val="18"/>
                <w:szCs w:val="18"/>
              </w:rPr>
              <w:t>）</w:t>
            </w:r>
            <w:r>
              <w:rPr>
                <w:rFonts w:ascii="宋体" w:hAnsi="宋体" w:cs="宋体" w:eastAsia="宋体" w:hint="default"/>
                <w:sz w:val="18"/>
                <w:szCs w:val="18"/>
              </w:rPr>
              <w:t>保证</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上市公司的</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股东大会、董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事会、独立董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事、监事、总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经理等依照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法律、法规和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公司章程独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立行使职权。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、保证上市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公司业务独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立（</w:t>
            </w:r>
            <w:r>
              <w:rPr>
                <w:rFonts w:ascii="Times New Roman" w:hAnsi="Times New Roman" w:cs="Times New Roman" w:eastAsia="Times New Roman" w:hint="default"/>
                <w:sz w:val="18"/>
                <w:szCs w:val="18"/>
              </w:rPr>
              <w:t>1</w:t>
            </w:r>
            <w:r>
              <w:rPr>
                <w:rFonts w:ascii="宋体" w:hAnsi="宋体" w:cs="宋体" w:eastAsia="宋体" w:hint="default"/>
                <w:sz w:val="18"/>
                <w:szCs w:val="18"/>
              </w:rPr>
              <w:t>）保证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上市公司拥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有独立开展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经营活动的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资产、人员、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资质和能力，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具有面向市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场独立自主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持续经营的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能力</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5"/>
                <w:sz w:val="18"/>
                <w:szCs w:val="18"/>
              </w:rPr>
              <w:t>）保</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证本公司除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通过下属子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公司行使股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东权利之外，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不对上市公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司的业务活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动进行干预。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）保证本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人控制的其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他企业避免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从事与上市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公司具有实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质性竞争的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业务</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5"/>
                <w:sz w:val="18"/>
                <w:szCs w:val="18"/>
              </w:rPr>
              <w:t>）保</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证尽量减少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其他企业与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关联交易；在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进行确有必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要且无法避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免的关联交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易时，保证按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照市场化原</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3171"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则和公允价 格进行公平 </w:t>
            </w:r>
            <w:r>
              <w:rPr>
                <w:rFonts w:ascii="宋体" w:hAnsi="宋体" w:cs="宋体" w:eastAsia="宋体" w:hint="default"/>
                <w:spacing w:val="-2"/>
                <w:sz w:val="18"/>
                <w:szCs w:val="18"/>
              </w:rPr>
              <w:t>操作，并按相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关法律法规 和规范性文 件的规定履 行关联交易 决策程序及 信息披露义 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0660"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6" w:lineRule="auto"/>
              <w:ind w:left="23" w:right="7"/>
              <w:jc w:val="left"/>
              <w:rPr>
                <w:rFonts w:ascii="宋体" w:hAnsi="宋体" w:cs="宋体" w:eastAsia="宋体" w:hint="default"/>
                <w:sz w:val="18"/>
                <w:szCs w:val="18"/>
              </w:rPr>
            </w:pPr>
            <w:r>
              <w:rPr>
                <w:rFonts w:ascii="宋体" w:hAnsi="宋体" w:cs="宋体" w:eastAsia="宋体" w:hint="default"/>
                <w:sz w:val="18"/>
                <w:szCs w:val="18"/>
              </w:rPr>
              <w:t>第二届董事 会董事侯焰、 袁丁、曹毅、 韩旭、税军、 </w:t>
            </w:r>
            <w:r>
              <w:rPr>
                <w:rFonts w:ascii="宋体" w:hAnsi="宋体" w:cs="宋体" w:eastAsia="宋体" w:hint="default"/>
                <w:spacing w:val="-3"/>
                <w:sz w:val="18"/>
                <w:szCs w:val="18"/>
              </w:rPr>
              <w:t>王淑芳；第二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届监事会监 </w:t>
            </w:r>
            <w:r>
              <w:rPr>
                <w:rFonts w:ascii="宋体" w:hAnsi="宋体" w:cs="宋体" w:eastAsia="宋体" w:hint="default"/>
                <w:spacing w:val="-3"/>
                <w:sz w:val="18"/>
                <w:szCs w:val="18"/>
              </w:rPr>
              <w:t>事庞宝光、李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超、汝书伟； 高级管理人 </w:t>
            </w:r>
            <w:r>
              <w:rPr>
                <w:rFonts w:ascii="宋体" w:hAnsi="宋体" w:cs="宋体" w:eastAsia="宋体" w:hint="default"/>
                <w:spacing w:val="-3"/>
                <w:sz w:val="18"/>
                <w:szCs w:val="18"/>
              </w:rPr>
              <w:t>员杨宇航、高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宏、陈浩、张</w:t>
            </w:r>
            <w:r>
              <w:rPr>
                <w:rFonts w:ascii="宋体" w:hAnsi="宋体" w:cs="宋体" w:eastAsia="宋体" w:hint="default"/>
                <w:sz w:val="18"/>
                <w:szCs w:val="18"/>
              </w:rPr>
              <w:t> 利军、齐顺 杰、耿岩</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关于因信息 披露不实被 立案调查后 股份锁定的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如本人就本 次交易所提 供或披露的 信息涉嫌虚 假记载、误导 性陈述或者 重大遗漏</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宋体" w:hAnsi="宋体" w:cs="宋体" w:eastAsia="宋体" w:hint="default"/>
                <w:sz w:val="18"/>
                <w:szCs w:val="18"/>
              </w:rPr>
              <w:t> 被司法机关 立案侦查或 者被中国证 监会立案调 查的，在形成 调查结论以 前，本人将不 转让在光环 新网拥有权 益的股份，并 于收到立案 稽查通知的 两个交易日 内将暂停转 让的书面申 请和股票账 户提交光环 新网董事会， 由董事会代 本人向证券 交易所和登 记结算公司 申请锁定；如 未在两个交 易日内提交 锁定申请的， 本人授权董</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85"/>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73"/>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632996pt;margin-top:480.679993pt;width:61.8pt;height:123.9pt;mso-position-horizontal-relative:page;mso-position-vertical-relative:page;z-index:-1815616" type="#_x0000_t202" filled="false" stroked="false">
            <v:textbox inset="0,0,0,0">
              <w:txbxContent>
                <w:p>
                  <w:pPr>
                    <w:pStyle w:val="BodyText"/>
                    <w:spacing w:line="240" w:lineRule="auto" w:before="48"/>
                    <w:ind w:left="0" w:right="0"/>
                    <w:jc w:val="left"/>
                  </w:pPr>
                  <w:r>
                    <w:rPr/>
                    <w:t>：</w:t>
                  </w:r>
                </w:p>
              </w:txbxContent>
            </v:textbox>
            <w10:wrap type="none"/>
          </v:shape>
        </w:pict>
      </w:r>
      <w:r>
        <w:rPr/>
        <w:pict>
          <v:shape style="position:absolute;margin-left:361.630005pt;margin-top:639.700012pt;width:61.8pt;height:123.9pt;mso-position-horizontal-relative:page;mso-position-vertical-relative:page;z-index:-18155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6"/>
                      <w:szCs w:val="26"/>
                    </w:rPr>
                  </w:pPr>
                </w:p>
                <w:p>
                  <w:pPr>
                    <w:pStyle w:val="BodyText"/>
                    <w:spacing w:line="240" w:lineRule="auto"/>
                    <w:ind w:left="0" w:right="0"/>
                    <w:jc w:val="left"/>
                  </w:pPr>
                  <w:r>
                    <w:rPr/>
                    <w:t>、</w:t>
                  </w:r>
                </w:p>
              </w:txbxContent>
            </v:textbox>
            <w10:wrap type="none"/>
          </v:shape>
        </w:pict>
      </w:r>
      <w:r>
        <w:rPr/>
        <w:pict>
          <v:group style="position:absolute;margin-left:367.630005pt;margin-top:480.679993pt;width:55.8pt;height:123.9pt;mso-position-horizontal-relative:page;mso-position-vertical-relative:page;z-index:-1815568" coordorigin="7353,9614" coordsize="1116,2478">
            <v:shape style="position:absolute;left:7353;top:9614;width:1116;height:2478" coordorigin="7353,9614" coordsize="1116,2478" path="m7353,12091l8469,12091,8469,9614,7353,9614,7353,12091xe" filled="true" fillcolor="#ffffff" stroked="false">
              <v:path arrowok="t"/>
              <v:fill type="solid"/>
            </v:shape>
            <w10:wrap type="none"/>
          </v:group>
        </w:pict>
      </w:r>
      <w:r>
        <w:rPr/>
        <w:pict>
          <v:group style="position:absolute;margin-left:367.630005pt;margin-top:639.700012pt;width:55.8pt;height:123.9pt;mso-position-horizontal-relative:page;mso-position-vertical-relative:page;z-index:-1815544" coordorigin="7353,12794" coordsize="1116,2478">
            <v:shape style="position:absolute;left:7353;top:12794;width:1116;height:2478" coordorigin="7353,12794" coordsize="1116,2478" path="m7353,15271l8469,15271,8469,12794,7353,12794,7353,1527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事会核实后</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直接向证券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交易所和登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记结算公司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报送本人身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份信息和账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户信息并申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请锁定；如董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事会未向证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券交易所和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登记结算公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司报送本人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身份信息和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账户信息的，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本人授权证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券交易所和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登记结算公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司直接锁定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相关股份。如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调查结论发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现存在违法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违规情节，本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人承诺锁定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股份自愿用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于相关投资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60"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者赔偿安排。</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360"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、业绩承诺</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中金云网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6"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中金盛世、利</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净利润数分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源顶盛、宇扬</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别不低于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3" w:right="7"/>
              <w:jc w:val="left"/>
              <w:rPr>
                <w:rFonts w:ascii="宋体" w:hAnsi="宋体" w:cs="宋体" w:eastAsia="宋体" w:hint="default"/>
                <w:sz w:val="18"/>
                <w:szCs w:val="18"/>
              </w:rPr>
            </w:pPr>
            <w:r>
              <w:rPr>
                <w:rFonts w:ascii="宋体" w:hAnsi="宋体" w:cs="宋体" w:eastAsia="宋体" w:hint="default"/>
                <w:sz w:val="18"/>
                <w:szCs w:val="18"/>
              </w:rPr>
              <w:t>锦达、卓程 达、利扬盛 达、杨雨、陈 静、郑善伟、</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316" w:lineRule="auto" w:before="158"/>
              <w:ind w:left="26" w:right="191"/>
              <w:jc w:val="both"/>
              <w:rPr>
                <w:rFonts w:ascii="宋体" w:hAnsi="宋体" w:cs="宋体" w:eastAsia="宋体" w:hint="default"/>
                <w:sz w:val="18"/>
                <w:szCs w:val="18"/>
              </w:rPr>
            </w:pPr>
            <w:r>
              <w:rPr>
                <w:rFonts w:ascii="宋体" w:hAnsi="宋体" w:cs="宋体" w:eastAsia="宋体" w:hint="default"/>
                <w:sz w:val="18"/>
                <w:szCs w:val="18"/>
              </w:rPr>
              <w:t>业绩承诺及 利润补偿安 排</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0" w:lineRule="auto" w:before="63"/>
              <w:ind w:left="23" w:right="7"/>
              <w:jc w:val="left"/>
              <w:rPr>
                <w:rFonts w:ascii="宋体" w:hAnsi="宋体" w:cs="宋体" w:eastAsia="宋体" w:hint="default"/>
                <w:sz w:val="18"/>
                <w:szCs w:val="18"/>
              </w:rPr>
            </w:pPr>
            <w:r>
              <w:rPr>
                <w:rFonts w:ascii="Times New Roman" w:hAnsi="Times New Roman" w:cs="Times New Roman" w:eastAsia="Times New Roman" w:hint="default"/>
                <w:sz w:val="18"/>
                <w:szCs w:val="18"/>
              </w:rPr>
              <w:t>29,000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业绩承诺期</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316" w:lineRule="auto" w:before="158"/>
              <w:ind w:left="23" w:right="170"/>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唐征卫、申海</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不因本次交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23"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山、许小平</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易的完成时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间而改变。</w:t>
            </w:r>
            <w:r>
              <w:rPr>
                <w:rFonts w:ascii="Times New Roman" w:hAnsi="Times New Roman" w:cs="Times New Roman" w:eastAsia="Times New Roman" w:hint="default"/>
                <w:sz w:val="18"/>
                <w:szCs w:val="18"/>
              </w:rPr>
              <w:t>2</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补偿方式：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）中金云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网利润补偿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方确认，本次</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51001pt;margin-top:72.47998pt;width:61.95pt;height:686.55pt;mso-position-horizontal-relative:page;mso-position-vertical-relative:page;z-index:-18154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4"/>
                      <w:szCs w:val="14"/>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6"/>
              <w:jc w:val="center"/>
              <w:rPr>
                <w:rFonts w:ascii="宋体" w:hAnsi="宋体" w:cs="宋体" w:eastAsia="宋体" w:hint="default"/>
                <w:sz w:val="18"/>
                <w:szCs w:val="18"/>
              </w:rPr>
            </w:pPr>
            <w:r>
              <w:rPr>
                <w:rFonts w:ascii="宋体" w:hAnsi="宋体" w:cs="宋体" w:eastAsia="宋体" w:hint="default"/>
                <w:sz w:val="18"/>
                <w:szCs w:val="18"/>
              </w:rPr>
              <w:t>交易实施完</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5pt;mso-position-horizontal-relative:char;mso-position-vertical-relative:line" coordorigin="0,0" coordsize="1116,13731">
                  <v:group style="position:absolute;left:0;top:0;width:1116;height:13731" coordorigin="0,0" coordsize="1116,13731">
                    <v:shape style="position:absolute;left:0;top:0;width:1116;height:13731" coordorigin="0,0" coordsize="1116,13731"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毕后，如标的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资产于利润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补偿期间内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任一年度实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际实现的净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利润数低于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中金云网承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诺的同期净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利润数，中金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云网利润补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偿方应按照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协议的约定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自行选择以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股份方式或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以现金方式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向光环新网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进行补偿，如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中金云网利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润补偿方选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择先行以取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得的股份对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价为限进行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补偿，股份不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足补偿的须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现金继续进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行补偿。全部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补偿金额不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超过本次交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易标的资产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交易总对价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2"/>
              <w:jc w:val="center"/>
              <w:rPr>
                <w:rFonts w:ascii="Times New Roman" w:hAnsi="Times New Roman" w:cs="Times New Roman" w:eastAsia="Times New Roman" w:hint="default"/>
                <w:sz w:val="18"/>
                <w:szCs w:val="18"/>
              </w:rPr>
            </w:pP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本次交易价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4"/>
              <w:jc w:val="center"/>
              <w:rPr>
                <w:rFonts w:ascii="Times New Roman" w:hAnsi="Times New Roman" w:cs="Times New Roman" w:eastAsia="Times New Roman" w:hint="default"/>
                <w:sz w:val="18"/>
                <w:szCs w:val="18"/>
              </w:rPr>
            </w:pPr>
            <w:r>
              <w:rPr>
                <w:rFonts w:ascii="宋体" w:hAnsi="宋体" w:cs="宋体" w:eastAsia="宋体" w:hint="default"/>
                <w:spacing w:val="-3"/>
                <w:sz w:val="18"/>
                <w:szCs w:val="18"/>
              </w:rPr>
              <w:t>格</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74"/>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）利润补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偿期内中金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云网利润补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偿方应补偿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金额及应补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偿股份数量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的计算公式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如下：①以现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金方式补偿：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当期应补偿</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20"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现金金额</w:t>
            </w:r>
            <w:r>
              <w:rPr>
                <w:rFonts w:ascii="Times New Roman" w:hAnsi="Times New Roman" w:cs="Times New Roman" w:eastAsia="Times New Roman" w:hint="default"/>
                <w:sz w:val="18"/>
                <w:szCs w:val="18"/>
              </w:rPr>
              <w:t>=</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（截至当期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期末累计承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诺净利润数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－截至当期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期末累计实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现净利润数）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三年累计承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诺净利润数</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本次交易价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格</w:t>
            </w:r>
            <w:r>
              <w:rPr>
                <w:rFonts w:ascii="Times New Roman" w:hAnsi="Times New Roman" w:cs="Times New Roman" w:eastAsia="Times New Roman" w:hint="default"/>
                <w:sz w:val="18"/>
                <w:szCs w:val="18"/>
              </w:rPr>
              <w:t>×60%</w:t>
            </w:r>
            <w:r>
              <w:rPr>
                <w:rFonts w:ascii="宋体" w:hAnsi="宋体" w:cs="宋体" w:eastAsia="宋体" w:hint="default"/>
                <w:sz w:val="18"/>
                <w:szCs w:val="18"/>
              </w:rPr>
              <w:t>－已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补偿的股份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发行价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格－已补偿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现金金额。②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以股份方式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补偿：当期应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补偿的股份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（截至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当期期末累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计承诺净利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润数－截至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当期期末累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计实现净利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润数）</w:t>
            </w:r>
            <w:r>
              <w:rPr>
                <w:rFonts w:ascii="Times New Roman" w:hAnsi="Times New Roman" w:cs="Times New Roman" w:eastAsia="Times New Roman" w:hint="default"/>
                <w:sz w:val="18"/>
                <w:szCs w:val="18"/>
              </w:rPr>
              <w:t>÷</w:t>
            </w:r>
            <w:r>
              <w:rPr>
                <w:rFonts w:ascii="宋体" w:hAnsi="宋体" w:cs="宋体" w:eastAsia="宋体" w:hint="default"/>
                <w:sz w:val="18"/>
                <w:szCs w:val="18"/>
              </w:rPr>
              <w:t>三年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累计承诺净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利润数</w:t>
            </w:r>
            <w:r>
              <w:rPr>
                <w:rFonts w:ascii="Times New Roman" w:hAnsi="Times New Roman" w:cs="Times New Roman" w:eastAsia="Times New Roman" w:hint="default"/>
                <w:sz w:val="18"/>
                <w:szCs w:val="18"/>
              </w:rPr>
              <w:t>×</w:t>
            </w:r>
            <w:r>
              <w:rPr>
                <w:rFonts w:ascii="宋体" w:hAnsi="宋体" w:cs="宋体" w:eastAsia="宋体" w:hint="default"/>
                <w:sz w:val="18"/>
                <w:szCs w:val="18"/>
              </w:rPr>
              <w:t>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交易价格</w:t>
            </w:r>
            <w:r>
              <w:rPr>
                <w:rFonts w:ascii="Times New Roman" w:hAnsi="Times New Roman" w:cs="Times New Roman" w:eastAsia="Times New Roman" w:hint="default"/>
                <w:sz w:val="18"/>
                <w:szCs w:val="18"/>
              </w:rPr>
              <w:t>÷</w:t>
            </w:r>
            <w:r>
              <w:rPr>
                <w:rFonts w:ascii="宋体" w:hAnsi="宋体" w:cs="宋体" w:eastAsia="宋体" w:hint="default"/>
                <w:sz w:val="18"/>
                <w:szCs w:val="18"/>
              </w:rPr>
              <w:t>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行价格</w:t>
            </w:r>
            <w:r>
              <w:rPr>
                <w:rFonts w:ascii="Times New Roman" w:hAnsi="Times New Roman" w:cs="Times New Roman" w:eastAsia="Times New Roman" w:hint="default"/>
                <w:sz w:val="18"/>
                <w:szCs w:val="18"/>
              </w:rPr>
              <w:t>×60%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－已补偿现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金金额</w:t>
            </w:r>
            <w:r>
              <w:rPr>
                <w:rFonts w:ascii="Times New Roman" w:hAnsi="Times New Roman" w:cs="Times New Roman" w:eastAsia="Times New Roman" w:hint="default"/>
                <w:sz w:val="18"/>
                <w:szCs w:val="18"/>
              </w:rPr>
              <w:t>÷</w:t>
            </w:r>
            <w:r>
              <w:rPr>
                <w:rFonts w:ascii="宋体" w:hAnsi="宋体" w:cs="宋体" w:eastAsia="宋体" w:hint="default"/>
                <w:sz w:val="18"/>
                <w:szCs w:val="18"/>
              </w:rPr>
              <w:t>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价格－已补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偿的股份数。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本次交易价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格</w:t>
            </w:r>
            <w:r>
              <w:rPr>
                <w:rFonts w:ascii="Times New Roman" w:hAnsi="Times New Roman" w:cs="Times New Roman" w:eastAsia="Times New Roman" w:hint="default"/>
                <w:sz w:val="18"/>
                <w:szCs w:val="18"/>
              </w:rPr>
              <w:t>/</w:t>
            </w:r>
            <w:r>
              <w:rPr>
                <w:rFonts w:ascii="宋体" w:hAnsi="宋体" w:cs="宋体" w:eastAsia="宋体" w:hint="default"/>
                <w:sz w:val="18"/>
                <w:szCs w:val="18"/>
              </w:rPr>
              <w:t>发行价格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之值剔除小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数后取整数，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精确到个位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数。假如光环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新网在业绩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承诺期内实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施转增或送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股分配的，则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发行价格、已</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补偿股份数</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量进行相应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调整。中金云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网利润补偿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方按照本次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交易各自转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让标的公司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股权的对价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占各自合计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总对价的比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例各自承担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相应的补偿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责任。中金云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网利润补偿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方在利润补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偿期间应逐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年对光环新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网进行补偿，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各年计算的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当期应补偿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金额小于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时，当期实现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净利润数与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当期承诺净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利润数的差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额应计入标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的公司下期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实现利润数，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但中金云网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利润补偿方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已经支付的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补偿金额不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以下期实现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净利润数冲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回。光环新网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可以通过以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总价人民币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元的价格回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购中金云网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利润补偿方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应补偿股份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并注销</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中金云网利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润补偿方如</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632996pt;margin-top:277.849976pt;width:61.8pt;height:225.3pt;mso-position-horizontal-relative:page;mso-position-vertical-relative:page;z-index:-1815424" type="#_x0000_t202" filled="false" stroked="false">
            <v:textbox inset="0,0,0,0">
              <w:txbxContent>
                <w:p>
                  <w:pPr>
                    <w:pStyle w:val="BodyText"/>
                    <w:spacing w:line="240" w:lineRule="auto" w:before="49"/>
                    <w:ind w:left="0" w:right="0"/>
                    <w:jc w:val="left"/>
                  </w:pPr>
                  <w:r>
                    <w:rPr/>
                    <w:t>：</w:t>
                  </w:r>
                </w:p>
              </w:txbxContent>
            </v:textbox>
            <w10:wrap type="none"/>
          </v:shape>
        </w:pict>
      </w:r>
      <w:r>
        <w:rPr/>
        <w:pict>
          <v:shape style="position:absolute;margin-left:361.627014pt;margin-top:538.269958pt;width:61.85pt;height:225.3pt;mso-position-horizontal-relative:page;mso-position-vertical-relative:page;z-index:-18154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2"/>
                      <w:szCs w:val="22"/>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410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1"/>
              <w:jc w:val="left"/>
              <w:rPr>
                <w:rFonts w:ascii="宋体" w:hAnsi="宋体" w:cs="宋体" w:eastAsia="宋体" w:hint="default"/>
                <w:sz w:val="18"/>
                <w:szCs w:val="18"/>
              </w:rPr>
            </w:pPr>
            <w:r>
              <w:rPr>
                <w:rFonts w:ascii="宋体" w:hAnsi="宋体" w:cs="宋体" w:eastAsia="宋体" w:hint="default"/>
                <w:sz w:val="18"/>
                <w:szCs w:val="18"/>
              </w:rPr>
              <w:t>采用股份补 偿，中金云网 利润补偿方 应向光环新 网返还该部 分股份的利 </w:t>
            </w:r>
            <w:r>
              <w:rPr>
                <w:rFonts w:ascii="宋体" w:hAnsi="宋体" w:cs="宋体" w:eastAsia="宋体" w:hint="default"/>
                <w:spacing w:val="-13"/>
                <w:sz w:val="18"/>
                <w:szCs w:val="18"/>
              </w:rPr>
              <w:t>润分红。（</w:t>
            </w:r>
            <w:r>
              <w:rPr>
                <w:rFonts w:ascii="Times New Roman" w:hAnsi="Times New Roman" w:cs="Times New Roman" w:eastAsia="Times New Roman" w:hint="default"/>
                <w:spacing w:val="-13"/>
                <w:sz w:val="18"/>
                <w:szCs w:val="18"/>
              </w:rPr>
              <w:t>4</w:t>
            </w:r>
            <w:r>
              <w:rPr>
                <w:rFonts w:ascii="宋体" w:hAnsi="宋体" w:cs="宋体" w:eastAsia="宋体" w:hint="default"/>
                <w:spacing w:val="-13"/>
                <w:sz w:val="18"/>
                <w:szCs w:val="18"/>
              </w:rPr>
              <w:t>）</w:t>
            </w:r>
            <w:r>
              <w:rPr>
                <w:rFonts w:ascii="宋体" w:hAnsi="宋体" w:cs="宋体" w:eastAsia="宋体" w:hint="default"/>
                <w:sz w:val="18"/>
                <w:szCs w:val="18"/>
              </w:rPr>
              <w:t> 中金云网利 润补偿方承 担的业绩补 偿责任以本 次交易价格</w:t>
            </w:r>
          </w:p>
          <w:p>
            <w:pPr>
              <w:pStyle w:val="TableParagraph"/>
              <w:spacing w:line="240" w:lineRule="auto" w:before="19"/>
              <w:ind w:left="23" w:right="-5"/>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为限。</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972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pacing w:val="-3"/>
                <w:sz w:val="18"/>
                <w:szCs w:val="18"/>
              </w:rPr>
              <w:t>施侃、冯天放</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业绩承诺及 利润补偿安 排</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、业绩承诺 无双科技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pStyle w:val="TableParagraph"/>
              <w:spacing w:line="312" w:lineRule="auto" w:before="63"/>
              <w:ind w:left="23"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年度的 净利润数分 别不低于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5,915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312"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度的净利润 数是指剔除 </w:t>
            </w:r>
            <w:r>
              <w:rPr>
                <w:rFonts w:ascii="Times New Roman" w:hAnsi="Times New Roman" w:cs="Times New Roman" w:eastAsia="Times New Roman" w:hint="default"/>
                <w:sz w:val="18"/>
                <w:szCs w:val="18"/>
              </w:rPr>
              <w:t>DSP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业务后 的模拟净利 润数。业绩承 诺期不因本 次交易的完 成时间而改 变。</w:t>
            </w:r>
            <w:r>
              <w:rPr>
                <w:rFonts w:ascii="Times New Roman" w:hAnsi="Times New Roman" w:cs="Times New Roman" w:eastAsia="Times New Roman" w:hint="default"/>
                <w:sz w:val="18"/>
                <w:szCs w:val="18"/>
              </w:rPr>
              <w:t>2</w:t>
            </w:r>
            <w:r>
              <w:rPr>
                <w:rFonts w:ascii="宋体" w:hAnsi="宋体" w:cs="宋体" w:eastAsia="宋体" w:hint="default"/>
                <w:sz w:val="18"/>
                <w:szCs w:val="18"/>
              </w:rPr>
              <w:t>、补充 </w:t>
            </w:r>
            <w:r>
              <w:rPr>
                <w:rFonts w:ascii="宋体" w:hAnsi="宋体" w:cs="宋体" w:eastAsia="宋体" w:hint="default"/>
                <w:spacing w:val="-15"/>
                <w:sz w:val="18"/>
                <w:szCs w:val="18"/>
              </w:rPr>
              <w:t>方式：（</w:t>
            </w: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）在</w:t>
            </w:r>
            <w:r>
              <w:rPr>
                <w:rFonts w:ascii="宋体" w:hAnsi="宋体" w:cs="宋体" w:eastAsia="宋体" w:hint="default"/>
                <w:spacing w:val="-5"/>
                <w:sz w:val="18"/>
                <w:szCs w:val="18"/>
              </w:rPr>
              <w:t> </w:t>
            </w:r>
            <w:r>
              <w:rPr>
                <w:rFonts w:ascii="宋体" w:hAnsi="宋体" w:cs="宋体" w:eastAsia="宋体" w:hint="default"/>
                <w:sz w:val="18"/>
                <w:szCs w:val="18"/>
              </w:rPr>
              <w:t>利润补偿期</w:t>
            </w:r>
            <w:r>
              <w:rPr>
                <w:rFonts w:ascii="宋体" w:hAnsi="宋体" w:cs="宋体" w:eastAsia="宋体" w:hint="default"/>
                <w:sz w:val="18"/>
                <w:szCs w:val="18"/>
              </w:rPr>
              <w:t> 的第一年和 第二年（</w:t>
            </w:r>
            <w:r>
              <w:rPr>
                <w:rFonts w:ascii="Times New Roman" w:hAnsi="Times New Roman" w:cs="Times New Roman" w:eastAsia="Times New Roman" w:hint="default"/>
                <w:sz w:val="18"/>
                <w:szCs w:val="18"/>
              </w:rPr>
              <w:t>2015 </w:t>
            </w: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 若无双科技 当年实际实 现的净利润 数低于承诺 的净利润数 的</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90%</w:t>
            </w:r>
            <w:r>
              <w:rPr>
                <w:rFonts w:ascii="宋体" w:hAnsi="宋体" w:cs="宋体" w:eastAsia="宋体" w:hint="default"/>
                <w:spacing w:val="-4"/>
                <w:sz w:val="18"/>
                <w:szCs w:val="18"/>
              </w:rPr>
              <w:t>，则施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4505"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9"/>
                <w:sz w:val="20"/>
                <w:szCs w:val="20"/>
              </w:rPr>
              <w:pict>
                <v:group style="width:55.8pt;height:225.3pt;mso-position-horizontal-relative:char;mso-position-vertical-relative:line" coordorigin="0,0" coordsize="1116,4506">
                  <v:group style="position:absolute;left:0;top:0;width:1116;height:4506" coordorigin="0,0" coordsize="1116,4506">
                    <v:shape style="position:absolute;left:0;top:0;width:1116;height:4506" coordorigin="0,0" coordsize="1116,4506" path="m0,4505l1116,4505,1116,0,0,0,0,4505xe" filled="true" fillcolor="#ffffff" stroked="false">
                      <v:path arrowok="t"/>
                      <v:fill type="solid"/>
                    </v:shape>
                  </v:group>
                </v:group>
              </w:pict>
            </w:r>
            <w:r>
              <w:rPr>
                <w:rFonts w:ascii="Times New Roman" w:hAnsi="Times New Roman" w:cs="Times New Roman" w:eastAsia="Times New Roman" w:hint="default"/>
                <w:position w:val="-89"/>
                <w:sz w:val="20"/>
                <w:szCs w:val="20"/>
              </w:rPr>
            </w:r>
          </w:p>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4505"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9"/>
                <w:sz w:val="20"/>
                <w:szCs w:val="20"/>
              </w:rPr>
              <w:pict>
                <v:group style="width:55.8pt;height:225.3pt;mso-position-horizontal-relative:char;mso-position-vertical-relative:line" coordorigin="0,0" coordsize="1116,4506">
                  <v:group style="position:absolute;left:0;top:0;width:1116;height:4506" coordorigin="0,0" coordsize="1116,4506">
                    <v:shape style="position:absolute;left:0;top:0;width:1116;height:4506" coordorigin="0,0" coordsize="1116,4506" path="m0,4506l1116,4506,1116,0,0,0,0,4506xe" filled="true" fillcolor="#ffffff" stroked="false">
                      <v:path arrowok="t"/>
                      <v:fill type="solid"/>
                    </v:shape>
                  </v:group>
                </v:group>
              </w:pict>
            </w:r>
            <w:r>
              <w:rPr>
                <w:rFonts w:ascii="Times New Roman" w:hAnsi="Times New Roman" w:cs="Times New Roman" w:eastAsia="Times New Roman" w:hint="default"/>
                <w:position w:val="-89"/>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70"/>
              <w:jc w:val="both"/>
              <w:rPr>
                <w:rFonts w:ascii="宋体" w:hAnsi="宋体" w:cs="宋体" w:eastAsia="宋体" w:hint="default"/>
                <w:sz w:val="18"/>
                <w:szCs w:val="18"/>
              </w:rPr>
            </w:pPr>
            <w:r>
              <w:rPr>
                <w:rFonts w:ascii="宋体" w:hAnsi="宋体" w:cs="宋体" w:eastAsia="宋体" w:hint="default"/>
                <w:sz w:val="18"/>
                <w:szCs w:val="18"/>
              </w:rPr>
              <w:t>报告期内承 诺人承诺事 项已履行完 毕。</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6"/>
              <w:jc w:val="center"/>
              <w:rPr>
                <w:rFonts w:ascii="宋体" w:hAnsi="宋体" w:cs="宋体" w:eastAsia="宋体" w:hint="default"/>
                <w:sz w:val="18"/>
                <w:szCs w:val="18"/>
              </w:rPr>
            </w:pPr>
            <w:r>
              <w:rPr>
                <w:rFonts w:ascii="宋体" w:hAnsi="宋体" w:cs="宋体" w:eastAsia="宋体" w:hint="default"/>
                <w:sz w:val="18"/>
                <w:szCs w:val="18"/>
              </w:rPr>
              <w:t>侃和冯天放</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应按照协议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的约定自行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选择以股份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方式或以现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金方式向光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环新网进行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补偿；若标的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公司当年实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际实现的净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利润数低于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承诺净利润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数但是不低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于承诺净利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5"/>
              <w:jc w:val="center"/>
              <w:rPr>
                <w:rFonts w:ascii="宋体" w:hAnsi="宋体" w:cs="宋体" w:eastAsia="宋体" w:hint="default"/>
                <w:sz w:val="18"/>
                <w:szCs w:val="18"/>
              </w:rPr>
            </w:pPr>
            <w:r>
              <w:rPr>
                <w:rFonts w:ascii="宋体" w:hAnsi="宋体" w:cs="宋体" w:eastAsia="宋体" w:hint="default"/>
                <w:sz w:val="18"/>
                <w:szCs w:val="18"/>
              </w:rPr>
              <w:t>润数的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则施侃和冯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天放当年暂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不补偿；在利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润补偿期的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第三年（</w:t>
            </w:r>
            <w:r>
              <w:rPr>
                <w:rFonts w:ascii="Times New Roman" w:hAnsi="Times New Roman" w:cs="Times New Roman" w:eastAsia="Times New Roman" w:hint="default"/>
                <w:sz w:val="18"/>
                <w:szCs w:val="18"/>
              </w:rPr>
              <w:t>2017</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77"/>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92"/>
                <w:sz w:val="18"/>
                <w:szCs w:val="18"/>
              </w:rPr>
              <w:t>）</w:t>
            </w:r>
            <w:r>
              <w:rPr>
                <w:rFonts w:ascii="宋体" w:hAnsi="宋体" w:cs="宋体" w:eastAsia="宋体" w:hint="default"/>
                <w:sz w:val="18"/>
                <w:szCs w:val="18"/>
              </w:rPr>
              <w:t>，若标的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公司三年累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计实现净利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润数总和低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于三年累计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承诺净利润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数总和，则施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侃和冯天放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应按照协议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的约定自行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选择以股份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方式或以现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金方式向光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环新网进行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补偿，如施侃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和冯天放选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择先行以取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得的股份对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价为限进行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补偿，股份不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足补偿的应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以现金继续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进行补偿。施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侃和冯天放</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6"/>
              <w:jc w:val="center"/>
              <w:rPr>
                <w:rFonts w:ascii="宋体" w:hAnsi="宋体" w:cs="宋体" w:eastAsia="宋体" w:hint="default"/>
                <w:sz w:val="18"/>
                <w:szCs w:val="18"/>
              </w:rPr>
            </w:pPr>
            <w:r>
              <w:rPr>
                <w:rFonts w:ascii="宋体" w:hAnsi="宋体" w:cs="宋体" w:eastAsia="宋体" w:hint="default"/>
                <w:sz w:val="18"/>
                <w:szCs w:val="18"/>
              </w:rPr>
              <w:t>的全部补偿</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金额不超过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其本次交易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合计取得的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交易对价。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）利润补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偿期内施侃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和冯天放应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补偿金额及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应补偿股份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数量的计算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公式如下：①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以现金方式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补偿：当期应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补偿现金金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65"/>
              <w:jc w:val="center"/>
              <w:rPr>
                <w:rFonts w:ascii="宋体" w:hAnsi="宋体" w:cs="宋体" w:eastAsia="宋体"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w:t>
            </w:r>
            <w:r>
              <w:rPr>
                <w:rFonts w:ascii="宋体" w:hAnsi="宋体" w:cs="宋体" w:eastAsia="宋体" w:hint="default"/>
                <w:sz w:val="18"/>
                <w:szCs w:val="18"/>
              </w:rPr>
              <w:t>（截至当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期期末累计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承诺净利润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数－截至当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期期末累计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实现净利润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67"/>
              <w:jc w:val="center"/>
              <w:rPr>
                <w:rFonts w:ascii="宋体" w:hAnsi="宋体" w:cs="宋体" w:eastAsia="宋体" w:hint="default"/>
                <w:sz w:val="18"/>
                <w:szCs w:val="18"/>
              </w:rPr>
            </w:pPr>
            <w:r>
              <w:rPr>
                <w:rFonts w:ascii="宋体" w:hAnsi="宋体" w:cs="宋体" w:eastAsia="宋体" w:hint="default"/>
                <w:sz w:val="18"/>
                <w:szCs w:val="18"/>
              </w:rPr>
              <w:t>数）</w:t>
            </w:r>
            <w:r>
              <w:rPr>
                <w:rFonts w:ascii="Times New Roman" w:hAnsi="Times New Roman" w:cs="Times New Roman" w:eastAsia="Times New Roman" w:hint="default"/>
                <w:sz w:val="18"/>
                <w:szCs w:val="18"/>
              </w:rPr>
              <w:t>÷</w:t>
            </w:r>
            <w:r>
              <w:rPr>
                <w:rFonts w:ascii="宋体" w:hAnsi="宋体" w:cs="宋体" w:eastAsia="宋体" w:hint="default"/>
                <w:sz w:val="18"/>
                <w:szCs w:val="18"/>
              </w:rPr>
              <w:t>业绩补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偿期内累计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承诺净利润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65"/>
              <w:jc w:val="center"/>
              <w:rPr>
                <w:rFonts w:ascii="宋体" w:hAnsi="宋体" w:cs="宋体" w:eastAsia="宋体" w:hint="default"/>
                <w:sz w:val="18"/>
                <w:szCs w:val="18"/>
              </w:rPr>
            </w:pPr>
            <w:r>
              <w:rPr>
                <w:rFonts w:ascii="宋体" w:hAnsi="宋体" w:cs="宋体" w:eastAsia="宋体" w:hint="default"/>
                <w:sz w:val="18"/>
                <w:szCs w:val="18"/>
              </w:rPr>
              <w:t>数</w:t>
            </w:r>
            <w:r>
              <w:rPr>
                <w:rFonts w:ascii="Times New Roman" w:hAnsi="Times New Roman" w:cs="Times New Roman" w:eastAsia="Times New Roman" w:hint="default"/>
                <w:sz w:val="18"/>
                <w:szCs w:val="18"/>
              </w:rPr>
              <w:t>×</w:t>
            </w:r>
            <w:r>
              <w:rPr>
                <w:rFonts w:ascii="宋体" w:hAnsi="宋体" w:cs="宋体" w:eastAsia="宋体" w:hint="default"/>
                <w:sz w:val="18"/>
                <w:szCs w:val="18"/>
              </w:rPr>
              <w:t>本次交易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价格－已补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偿的股份数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65"/>
              <w:jc w:val="center"/>
              <w:rPr>
                <w:rFonts w:ascii="宋体" w:hAnsi="宋体" w:cs="宋体" w:eastAsia="宋体" w:hint="default"/>
                <w:sz w:val="18"/>
                <w:szCs w:val="18"/>
              </w:rPr>
            </w:pPr>
            <w:r>
              <w:rPr>
                <w:rFonts w:ascii="宋体" w:hAnsi="宋体" w:cs="宋体" w:eastAsia="宋体" w:hint="default"/>
                <w:sz w:val="18"/>
                <w:szCs w:val="18"/>
              </w:rPr>
              <w:t>量</w:t>
            </w:r>
            <w:r>
              <w:rPr>
                <w:rFonts w:ascii="Times New Roman" w:hAnsi="Times New Roman" w:cs="Times New Roman" w:eastAsia="Times New Roman" w:hint="default"/>
                <w:sz w:val="18"/>
                <w:szCs w:val="18"/>
              </w:rPr>
              <w:t>×</w:t>
            </w:r>
            <w:r>
              <w:rPr>
                <w:rFonts w:ascii="宋体" w:hAnsi="宋体" w:cs="宋体" w:eastAsia="宋体" w:hint="default"/>
                <w:sz w:val="18"/>
                <w:szCs w:val="18"/>
              </w:rPr>
              <w:t>发行价格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－已补偿现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金金额。②以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股份方式补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偿：当期应补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偿的股份数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65"/>
              <w:jc w:val="center"/>
              <w:rPr>
                <w:rFonts w:ascii="宋体" w:hAnsi="宋体" w:cs="宋体" w:eastAsia="宋体" w:hint="default"/>
                <w:sz w:val="18"/>
                <w:szCs w:val="18"/>
              </w:rPr>
            </w:pPr>
            <w:r>
              <w:rPr>
                <w:rFonts w:ascii="宋体" w:hAnsi="宋体" w:cs="宋体" w:eastAsia="宋体" w:hint="default"/>
                <w:sz w:val="18"/>
                <w:szCs w:val="18"/>
              </w:rPr>
              <w:t>量</w:t>
            </w:r>
            <w:r>
              <w:rPr>
                <w:rFonts w:ascii="Times New Roman" w:hAnsi="Times New Roman" w:cs="Times New Roman" w:eastAsia="Times New Roman" w:hint="default"/>
                <w:sz w:val="18"/>
                <w:szCs w:val="18"/>
              </w:rPr>
              <w:t>=</w:t>
            </w:r>
            <w:r>
              <w:rPr>
                <w:rFonts w:ascii="宋体" w:hAnsi="宋体" w:cs="宋体" w:eastAsia="宋体" w:hint="default"/>
                <w:sz w:val="18"/>
                <w:szCs w:val="18"/>
              </w:rPr>
              <w:t>（截至当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期期末累计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承诺净利润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数－截至当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期期末累计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实现净利润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67"/>
              <w:jc w:val="center"/>
              <w:rPr>
                <w:rFonts w:ascii="宋体" w:hAnsi="宋体" w:cs="宋体" w:eastAsia="宋体" w:hint="default"/>
                <w:sz w:val="18"/>
                <w:szCs w:val="18"/>
              </w:rPr>
            </w:pPr>
            <w:r>
              <w:rPr>
                <w:rFonts w:ascii="宋体" w:hAnsi="宋体" w:cs="宋体" w:eastAsia="宋体" w:hint="default"/>
                <w:sz w:val="18"/>
                <w:szCs w:val="18"/>
              </w:rPr>
              <w:t>数）</w:t>
            </w:r>
            <w:r>
              <w:rPr>
                <w:rFonts w:ascii="Times New Roman" w:hAnsi="Times New Roman" w:cs="Times New Roman" w:eastAsia="Times New Roman" w:hint="default"/>
                <w:sz w:val="18"/>
                <w:szCs w:val="18"/>
              </w:rPr>
              <w:t>÷</w:t>
            </w:r>
            <w:r>
              <w:rPr>
                <w:rFonts w:ascii="宋体" w:hAnsi="宋体" w:cs="宋体" w:eastAsia="宋体" w:hint="default"/>
                <w:sz w:val="18"/>
                <w:szCs w:val="18"/>
              </w:rPr>
              <w:t>业绩补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偿期内累计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承诺净利润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65"/>
              <w:jc w:val="center"/>
              <w:rPr>
                <w:rFonts w:ascii="宋体" w:hAnsi="宋体" w:cs="宋体" w:eastAsia="宋体" w:hint="default"/>
                <w:sz w:val="18"/>
                <w:szCs w:val="18"/>
              </w:rPr>
            </w:pPr>
            <w:r>
              <w:rPr>
                <w:rFonts w:ascii="宋体" w:hAnsi="宋体" w:cs="宋体" w:eastAsia="宋体" w:hint="default"/>
                <w:sz w:val="18"/>
                <w:szCs w:val="18"/>
              </w:rPr>
              <w:t>数</w:t>
            </w:r>
            <w:r>
              <w:rPr>
                <w:rFonts w:ascii="Times New Roman" w:hAnsi="Times New Roman" w:cs="Times New Roman" w:eastAsia="Times New Roman" w:hint="default"/>
                <w:sz w:val="18"/>
                <w:szCs w:val="18"/>
              </w:rPr>
              <w:t>×</w:t>
            </w:r>
            <w:r>
              <w:rPr>
                <w:rFonts w:ascii="宋体" w:hAnsi="宋体" w:cs="宋体" w:eastAsia="宋体" w:hint="default"/>
                <w:sz w:val="18"/>
                <w:szCs w:val="18"/>
              </w:rPr>
              <w:t>本次交易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67"/>
              <w:jc w:val="center"/>
              <w:rPr>
                <w:rFonts w:ascii="宋体" w:hAnsi="宋体" w:cs="宋体" w:eastAsia="宋体" w:hint="default"/>
                <w:sz w:val="18"/>
                <w:szCs w:val="18"/>
              </w:rPr>
            </w:pPr>
            <w:r>
              <w:rPr>
                <w:rFonts w:ascii="宋体" w:hAnsi="宋体" w:cs="宋体" w:eastAsia="宋体" w:hint="default"/>
                <w:sz w:val="18"/>
                <w:szCs w:val="18"/>
              </w:rPr>
              <w:t>价格</w:t>
            </w:r>
            <w:r>
              <w:rPr>
                <w:rFonts w:ascii="Times New Roman" w:hAnsi="Times New Roman" w:cs="Times New Roman" w:eastAsia="Times New Roman" w:hint="default"/>
                <w:sz w:val="18"/>
                <w:szCs w:val="18"/>
              </w:rPr>
              <w:t>÷</w:t>
            </w:r>
            <w:r>
              <w:rPr>
                <w:rFonts w:ascii="宋体" w:hAnsi="宋体" w:cs="宋体" w:eastAsia="宋体" w:hint="default"/>
                <w:sz w:val="18"/>
                <w:szCs w:val="18"/>
              </w:rPr>
              <w:t>发行价</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6"/>
              <w:jc w:val="center"/>
              <w:rPr>
                <w:rFonts w:ascii="宋体" w:hAnsi="宋体" w:cs="宋体" w:eastAsia="宋体" w:hint="default"/>
                <w:sz w:val="18"/>
                <w:szCs w:val="18"/>
              </w:rPr>
            </w:pPr>
            <w:r>
              <w:rPr>
                <w:rFonts w:ascii="宋体" w:hAnsi="宋体" w:cs="宋体" w:eastAsia="宋体" w:hint="default"/>
                <w:sz w:val="18"/>
                <w:szCs w:val="18"/>
              </w:rPr>
              <w:t>格－已补偿</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的股份数量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－已补偿现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67"/>
              <w:jc w:val="center"/>
              <w:rPr>
                <w:rFonts w:ascii="宋体" w:hAnsi="宋体" w:cs="宋体" w:eastAsia="宋体" w:hint="default"/>
                <w:sz w:val="18"/>
                <w:szCs w:val="18"/>
              </w:rPr>
            </w:pPr>
            <w:r>
              <w:rPr>
                <w:rFonts w:ascii="宋体" w:hAnsi="宋体" w:cs="宋体" w:eastAsia="宋体" w:hint="default"/>
                <w:sz w:val="18"/>
                <w:szCs w:val="18"/>
              </w:rPr>
              <w:t>金金额</w:t>
            </w:r>
            <w:r>
              <w:rPr>
                <w:rFonts w:ascii="Times New Roman" w:hAnsi="Times New Roman" w:cs="Times New Roman" w:eastAsia="Times New Roman" w:hint="default"/>
                <w:sz w:val="18"/>
                <w:szCs w:val="18"/>
              </w:rPr>
              <w:t>÷</w:t>
            </w:r>
            <w:r>
              <w:rPr>
                <w:rFonts w:ascii="宋体" w:hAnsi="宋体" w:cs="宋体" w:eastAsia="宋体" w:hint="default"/>
                <w:sz w:val="18"/>
                <w:szCs w:val="18"/>
              </w:rPr>
              <w:t>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价格。本次交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易价格</w:t>
            </w:r>
            <w:r>
              <w:rPr>
                <w:rFonts w:ascii="Times New Roman" w:hAnsi="Times New Roman" w:cs="Times New Roman" w:eastAsia="Times New Roman" w:hint="default"/>
                <w:sz w:val="18"/>
                <w:szCs w:val="18"/>
              </w:rPr>
              <w:t>/</w:t>
            </w:r>
            <w:r>
              <w:rPr>
                <w:rFonts w:ascii="宋体" w:hAnsi="宋体" w:cs="宋体" w:eastAsia="宋体" w:hint="default"/>
                <w:sz w:val="18"/>
                <w:szCs w:val="18"/>
              </w:rPr>
              <w:t>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价格之值剔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除小数位数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取整数，精确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到个位数。假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如光环新网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在业绩承诺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期内实施转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增或送股分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配的，则发行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价格、已补偿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股份数量进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行相应调整。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施侃和冯天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放按照本次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交易各自转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让标的公司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股权的对价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占各自合计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总对价的比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例各自承担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相应的补偿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责任。施侃和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冯天放在利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润补偿期间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应逐年对光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环新网进行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补偿，各年计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算的当期应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补偿金额小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于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pacing w:val="-14"/>
                <w:sz w:val="18"/>
                <w:szCs w:val="18"/>
              </w:rPr>
              <w:t>时，当期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实现净利润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数与当期承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诺净利润数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的差额应计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入标的公司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下期实现利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润数，但施侃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和冯天放已</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5979"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1"/>
              <w:jc w:val="left"/>
              <w:rPr>
                <w:rFonts w:ascii="宋体" w:hAnsi="宋体" w:cs="宋体" w:eastAsia="宋体" w:hint="default"/>
                <w:sz w:val="18"/>
                <w:szCs w:val="18"/>
              </w:rPr>
            </w:pPr>
            <w:r>
              <w:rPr>
                <w:rFonts w:ascii="宋体" w:hAnsi="宋体" w:cs="宋体" w:eastAsia="宋体" w:hint="default"/>
                <w:sz w:val="18"/>
                <w:szCs w:val="18"/>
              </w:rPr>
              <w:t>经支付的补 偿金额不以 下期实现净 利润数冲回。 光环新网可 以通过以总 价人民币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元的价格回 购无双科技 应补偿股份 </w:t>
            </w:r>
            <w:r>
              <w:rPr>
                <w:rFonts w:ascii="宋体" w:hAnsi="宋体" w:cs="宋体" w:eastAsia="宋体" w:hint="default"/>
                <w:spacing w:val="-13"/>
                <w:sz w:val="18"/>
                <w:szCs w:val="18"/>
              </w:rPr>
              <w:t>并注销。（</w:t>
            </w:r>
            <w:r>
              <w:rPr>
                <w:rFonts w:ascii="Times New Roman" w:hAnsi="Times New Roman" w:cs="Times New Roman" w:eastAsia="Times New Roman" w:hint="default"/>
                <w:spacing w:val="-13"/>
                <w:sz w:val="18"/>
                <w:szCs w:val="18"/>
              </w:rPr>
              <w:t>3</w:t>
            </w:r>
            <w:r>
              <w:rPr>
                <w:rFonts w:ascii="宋体" w:hAnsi="宋体" w:cs="宋体" w:eastAsia="宋体" w:hint="default"/>
                <w:spacing w:val="-13"/>
                <w:sz w:val="18"/>
                <w:szCs w:val="18"/>
              </w:rPr>
              <w:t>）</w:t>
            </w:r>
            <w:r>
              <w:rPr>
                <w:rFonts w:ascii="宋体" w:hAnsi="宋体" w:cs="宋体" w:eastAsia="宋体" w:hint="default"/>
                <w:sz w:val="18"/>
                <w:szCs w:val="18"/>
              </w:rPr>
              <w:t> 施侃和冯天 放如采用股 份补偿，施侃</w:t>
            </w:r>
            <w:r>
              <w:rPr>
                <w:rFonts w:ascii="宋体" w:hAnsi="宋体" w:cs="宋体" w:eastAsia="宋体" w:hint="default"/>
                <w:sz w:val="18"/>
                <w:szCs w:val="18"/>
              </w:rPr>
              <w:t> 和冯天放应 向光环新网 返还该部分 股份的利润 分红。</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146"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19"/>
              <w:jc w:val="both"/>
              <w:rPr>
                <w:rFonts w:ascii="宋体" w:hAnsi="宋体" w:cs="宋体" w:eastAsia="宋体" w:hint="default"/>
                <w:sz w:val="18"/>
                <w:szCs w:val="18"/>
              </w:rPr>
            </w:pPr>
            <w:r>
              <w:rPr>
                <w:rFonts w:ascii="宋体" w:hAnsi="宋体" w:cs="宋体" w:eastAsia="宋体" w:hint="default"/>
                <w:spacing w:val="-3"/>
                <w:sz w:val="18"/>
                <w:szCs w:val="18"/>
              </w:rPr>
              <w:t>天图投资、利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扬盛达、徐庆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良</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6" w:right="191"/>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因本次重大 资产重组取 得的上市公 司股份自上 市之日起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个月内将不 以任何方式 </w:t>
            </w:r>
            <w:r>
              <w:rPr>
                <w:rFonts w:ascii="宋体" w:hAnsi="宋体" w:cs="宋体" w:eastAsia="宋体" w:hint="default"/>
                <w:spacing w:val="-2"/>
                <w:sz w:val="18"/>
                <w:szCs w:val="18"/>
              </w:rPr>
              <w:t>转让，包括但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不限于通过 证券市场公 开转让或通 过协议方式 转让。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173"/>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r>
        <w:trPr>
          <w:trHeight w:val="3795"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3" w:right="7"/>
              <w:jc w:val="left"/>
              <w:rPr>
                <w:rFonts w:ascii="宋体" w:hAnsi="宋体" w:cs="宋体" w:eastAsia="宋体" w:hint="default"/>
                <w:sz w:val="18"/>
                <w:szCs w:val="18"/>
              </w:rPr>
            </w:pPr>
            <w:r>
              <w:rPr>
                <w:rFonts w:ascii="宋体" w:hAnsi="宋体" w:cs="宋体" w:eastAsia="宋体" w:hint="default"/>
                <w:spacing w:val="-3"/>
                <w:sz w:val="18"/>
                <w:szCs w:val="18"/>
              </w:rPr>
              <w:t>天图兴瑞、天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图兴盛、江苏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国投、何长 津、高淑杰、 </w:t>
            </w:r>
            <w:r>
              <w:rPr>
                <w:rFonts w:ascii="宋体" w:hAnsi="宋体" w:cs="宋体" w:eastAsia="宋体" w:hint="default"/>
                <w:spacing w:val="-3"/>
                <w:sz w:val="18"/>
                <w:szCs w:val="18"/>
              </w:rPr>
              <w:t>赵忠彬、王有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昌、杨俊杰、 </w:t>
            </w:r>
            <w:r>
              <w:rPr>
                <w:rFonts w:ascii="宋体" w:hAnsi="宋体" w:cs="宋体" w:eastAsia="宋体" w:hint="default"/>
                <w:spacing w:val="-3"/>
                <w:sz w:val="18"/>
                <w:szCs w:val="18"/>
              </w:rPr>
              <w:t>黄玉珍、徐厚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华、王德宁、 车志远</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1"/>
              <w:ind w:left="26" w:right="191"/>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因本次重大 资产重组取 得的上市公 司股份自上 市之日起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个月内将不 以任何方式 </w:t>
            </w:r>
            <w:r>
              <w:rPr>
                <w:rFonts w:ascii="宋体" w:hAnsi="宋体" w:cs="宋体" w:eastAsia="宋体" w:hint="default"/>
                <w:spacing w:val="-2"/>
                <w:sz w:val="18"/>
                <w:szCs w:val="18"/>
              </w:rPr>
              <w:t>转让，包括但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不限于通过 证券市场公 开转让或通 过协议方式</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6" w:lineRule="auto"/>
              <w:ind w:left="23" w:right="173"/>
              <w:jc w:val="both"/>
              <w:rPr>
                <w:rFonts w:ascii="宋体" w:hAnsi="宋体" w:cs="宋体" w:eastAsia="宋体" w:hint="default"/>
                <w:sz w:val="18"/>
                <w:szCs w:val="18"/>
              </w:rPr>
            </w:pPr>
            <w:r>
              <w:rPr>
                <w:rFonts w:ascii="宋体" w:hAnsi="宋体" w:cs="宋体" w:eastAsia="宋体" w:hint="default"/>
                <w:sz w:val="18"/>
                <w:szCs w:val="18"/>
              </w:rPr>
              <w:t>报告期内承 诺人承诺事 项已履行完 毕。</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363"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3468"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中金盛世</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因本次重大 资产重组取 得的股份自 上市之日起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个月内将 不以任何方 式转让，包括 但不限于通 过证券市场 公开转让或 通过协议方 式转让。在此 基础上，为增 强利润补偿 的可操作性 和可实现性， 中金盛世所 持股份按以 下节奏解除 </w:t>
            </w:r>
            <w:r>
              <w:rPr>
                <w:rFonts w:ascii="宋体" w:hAnsi="宋体" w:cs="宋体" w:eastAsia="宋体" w:hint="default"/>
                <w:spacing w:val="-15"/>
                <w:sz w:val="18"/>
                <w:szCs w:val="18"/>
              </w:rPr>
              <w:t>限售：（</w:t>
            </w: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）第</w:t>
            </w:r>
            <w:r>
              <w:rPr>
                <w:rFonts w:ascii="宋体" w:hAnsi="宋体" w:cs="宋体" w:eastAsia="宋体" w:hint="default"/>
                <w:spacing w:val="-5"/>
                <w:sz w:val="18"/>
                <w:szCs w:val="18"/>
              </w:rPr>
              <w:t> </w:t>
            </w:r>
            <w:r>
              <w:rPr>
                <w:rFonts w:ascii="宋体" w:hAnsi="宋体" w:cs="宋体" w:eastAsia="宋体" w:hint="default"/>
                <w:sz w:val="18"/>
                <w:szCs w:val="18"/>
              </w:rPr>
              <w:t>一期股份应</w:t>
            </w:r>
            <w:r>
              <w:rPr>
                <w:rFonts w:ascii="宋体" w:hAnsi="宋体" w:cs="宋体" w:eastAsia="宋体" w:hint="default"/>
                <w:sz w:val="18"/>
                <w:szCs w:val="18"/>
              </w:rPr>
              <w:t> 于本次发行 的股份上市</w:t>
            </w:r>
          </w:p>
          <w:p>
            <w:pPr>
              <w:pStyle w:val="TableParagraph"/>
              <w:spacing w:line="312" w:lineRule="auto" w:before="19"/>
              <w:ind w:left="23" w:right="19"/>
              <w:jc w:val="left"/>
              <w:rPr>
                <w:rFonts w:ascii="宋体" w:hAnsi="宋体" w:cs="宋体" w:eastAsia="宋体" w:hint="default"/>
                <w:sz w:val="18"/>
                <w:szCs w:val="18"/>
              </w:rPr>
            </w:pPr>
            <w:r>
              <w:rPr>
                <w:rFonts w:ascii="宋体" w:hAnsi="宋体" w:cs="宋体" w:eastAsia="宋体" w:hint="default"/>
                <w:sz w:val="18"/>
                <w:szCs w:val="18"/>
              </w:rPr>
              <w:t>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个月且 根据标的公 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盈利专项审 核报告确认 实现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度承诺净利 润或完成利 润补偿后解 </w:t>
            </w:r>
            <w:r>
              <w:rPr>
                <w:rFonts w:ascii="宋体" w:hAnsi="宋体" w:cs="宋体" w:eastAsia="宋体" w:hint="default"/>
                <w:spacing w:val="-2"/>
                <w:sz w:val="18"/>
                <w:szCs w:val="18"/>
              </w:rPr>
              <w:t>除限售，解除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限售的股份 数量</w:t>
            </w:r>
            <w:r>
              <w:rPr>
                <w:rFonts w:ascii="Times New Roman" w:hAnsi="Times New Roman" w:cs="Times New Roman" w:eastAsia="Times New Roman" w:hint="default"/>
                <w:sz w:val="18"/>
                <w:szCs w:val="18"/>
              </w:rPr>
              <w:t>=</w:t>
            </w:r>
            <w:r>
              <w:rPr>
                <w:rFonts w:ascii="宋体" w:hAnsi="宋体" w:cs="宋体" w:eastAsia="宋体" w:hint="default"/>
                <w:sz w:val="18"/>
                <w:szCs w:val="18"/>
              </w:rPr>
              <w:t>通过本 次发行获得 的股份总数</w:t>
            </w:r>
          </w:p>
          <w:p>
            <w:pPr>
              <w:pStyle w:val="TableParagraph"/>
              <w:spacing w:line="240" w:lineRule="auto" w:before="22"/>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p>
          <w:p>
            <w:pPr>
              <w:pStyle w:val="TableParagraph"/>
              <w:spacing w:line="314" w:lineRule="auto" w:before="63"/>
              <w:ind w:left="23" w:right="11"/>
              <w:jc w:val="left"/>
              <w:rPr>
                <w:rFonts w:ascii="宋体" w:hAnsi="宋体" w:cs="宋体" w:eastAsia="宋体" w:hint="default"/>
                <w:sz w:val="18"/>
                <w:szCs w:val="18"/>
              </w:rPr>
            </w:pPr>
            <w:r>
              <w:rPr>
                <w:rFonts w:ascii="宋体" w:hAnsi="宋体" w:cs="宋体" w:eastAsia="宋体" w:hint="default"/>
                <w:sz w:val="18"/>
                <w:szCs w:val="18"/>
              </w:rPr>
              <w:t>年度补偿股 </w:t>
            </w:r>
            <w:r>
              <w:rPr>
                <w:rFonts w:ascii="宋体" w:hAnsi="宋体" w:cs="宋体" w:eastAsia="宋体" w:hint="default"/>
                <w:spacing w:val="-13"/>
                <w:sz w:val="18"/>
                <w:szCs w:val="18"/>
              </w:rPr>
              <w:t>份数量；（</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w:t>
            </w:r>
            <w:r>
              <w:rPr>
                <w:rFonts w:ascii="宋体" w:hAnsi="宋体" w:cs="宋体" w:eastAsia="宋体" w:hint="default"/>
                <w:sz w:val="18"/>
                <w:szCs w:val="18"/>
              </w:rPr>
              <w:t> 第二期股份 应于本次发 行的股份上</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3" w:right="173"/>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20"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市满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且根据标的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度盈利专项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审核报告确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认实现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年度承诺净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利润数或完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成利润补偿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后解除限售，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解除限售的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过本次发行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获得的股份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总数</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偿股份数量；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）第三期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股份应于本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次发行的股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份上市满</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36</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个月且根据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标的公司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利专项审核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报告确认实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承诺净利润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数且标的公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司《减值测试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报告》确认没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有减值或完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成利润及减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值补偿后解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除限售，解除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限售的股份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通过本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次发行获得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的股份总数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×35%</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年度补偿股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份数量－减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值测试补偿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60"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股份数量。</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1378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卓程达</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因本次重大 资产重组取 得的股份自 上市之日起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个月内将 不以任何方 式转让，包括 但不限于通 过证券市场 公开转让或 通过协议方 式转让。在此 基础上，为增 强盈利预测 补偿的可操 作性和可实 现性，卓程达 所持股份按 以下节奏解 </w:t>
            </w:r>
            <w:r>
              <w:rPr>
                <w:rFonts w:ascii="宋体" w:hAnsi="宋体" w:cs="宋体" w:eastAsia="宋体" w:hint="default"/>
                <w:spacing w:val="-13"/>
                <w:sz w:val="18"/>
                <w:szCs w:val="18"/>
              </w:rPr>
              <w:t>除限售：（</w:t>
            </w: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w:t>
            </w:r>
            <w:r>
              <w:rPr>
                <w:rFonts w:ascii="宋体" w:hAnsi="宋体" w:cs="宋体" w:eastAsia="宋体" w:hint="default"/>
                <w:sz w:val="18"/>
                <w:szCs w:val="18"/>
              </w:rPr>
              <w:t> 第一期股份 应于本次发 行的股份上 市满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且根据标的 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度盈利专项 审核报告确 认实现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年度承诺净 利润数或完 成利润补偿 后解除限售， 解除限售的 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通 过本次发行 获得的股份 总数</w:t>
            </w:r>
            <w:r>
              <w:rPr>
                <w:rFonts w:ascii="Times New Roman" w:hAnsi="Times New Roman" w:cs="Times New Roman" w:eastAsia="Times New Roman" w:hint="default"/>
                <w:sz w:val="18"/>
                <w:szCs w:val="18"/>
              </w:rPr>
              <w:t>×50%</w:t>
            </w:r>
            <w:r>
              <w:rPr>
                <w:rFonts w:ascii="宋体" w:hAnsi="宋体" w:cs="宋体" w:eastAsia="宋体" w:hint="default"/>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年度补 偿股份数量；</w:t>
            </w:r>
          </w:p>
          <w:p>
            <w:pPr>
              <w:pStyle w:val="TableParagraph"/>
              <w:spacing w:line="312" w:lineRule="auto" w:before="20"/>
              <w:ind w:left="23" w:right="98"/>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）第二期 股份应于本 次发行的股 份上市满</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3" w:right="170"/>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个月且根据</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标的公司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利专项审核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报告确认标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的公司实现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诺净利润数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或完成利润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补偿后解除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限售，解除限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售的股份数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量</w:t>
            </w:r>
            <w:r>
              <w:rPr>
                <w:rFonts w:ascii="Times New Roman" w:hAnsi="Times New Roman" w:cs="Times New Roman" w:eastAsia="Times New Roman" w:hint="default"/>
                <w:sz w:val="18"/>
                <w:szCs w:val="18"/>
              </w:rPr>
              <w:t>=</w:t>
            </w:r>
            <w:r>
              <w:rPr>
                <w:rFonts w:ascii="宋体" w:hAnsi="宋体" w:cs="宋体" w:eastAsia="宋体" w:hint="default"/>
                <w:sz w:val="18"/>
                <w:szCs w:val="18"/>
              </w:rPr>
              <w:t>通过本次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发行获得的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年度补偿股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份数量</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第三期股份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应于本次发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行的股份上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且根据标的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度盈利专项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审核报告确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认标的公司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度承诺净利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润数且标的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公司《减值测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试报告》确认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没有减值或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完成利润及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减值补偿后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解除限售，解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除限售的股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通过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本次发行获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得的股份总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数</w:t>
            </w:r>
            <w:r>
              <w:rPr>
                <w:rFonts w:ascii="Times New Roman" w:hAnsi="Times New Roman" w:cs="Times New Roman" w:eastAsia="Times New Roman" w:hint="default"/>
                <w:sz w:val="18"/>
                <w:szCs w:val="18"/>
              </w:rPr>
              <w:t>×38%</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偿股份数量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－减值测试</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67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0"/>
              <w:jc w:val="left"/>
              <w:rPr>
                <w:rFonts w:ascii="宋体" w:hAnsi="宋体" w:cs="宋体" w:eastAsia="宋体" w:hint="default"/>
                <w:sz w:val="18"/>
                <w:szCs w:val="18"/>
              </w:rPr>
            </w:pPr>
            <w:r>
              <w:rPr>
                <w:rFonts w:ascii="宋体" w:hAnsi="宋体" w:cs="宋体" w:eastAsia="宋体" w:hint="default"/>
                <w:sz w:val="18"/>
                <w:szCs w:val="18"/>
              </w:rPr>
              <w:t>补偿股份数 量。</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3156"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23" w:right="7"/>
              <w:jc w:val="left"/>
              <w:rPr>
                <w:rFonts w:ascii="宋体" w:hAnsi="宋体" w:cs="宋体" w:eastAsia="宋体" w:hint="default"/>
                <w:sz w:val="18"/>
                <w:szCs w:val="18"/>
              </w:rPr>
            </w:pPr>
            <w:r>
              <w:rPr>
                <w:rFonts w:ascii="宋体" w:hAnsi="宋体" w:cs="宋体" w:eastAsia="宋体" w:hint="default"/>
                <w:spacing w:val="-3"/>
                <w:sz w:val="18"/>
                <w:szCs w:val="18"/>
              </w:rPr>
              <w:t>杨雨、利源顶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盛、宇扬锦 达、陈静、郑</w:t>
            </w:r>
            <w:r>
              <w:rPr>
                <w:rFonts w:ascii="宋体" w:hAnsi="宋体" w:cs="宋体" w:eastAsia="宋体" w:hint="default"/>
                <w:sz w:val="18"/>
                <w:szCs w:val="18"/>
              </w:rPr>
              <w:t> 善伟、唐征 卫、申海山、 许小平</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因本次重大 资产重组取 得的上市公 司股份自上 市之日起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个月内将不 以任何方式 转让，包括但 不限于通过 证券市场公 开转让或通 过协议方式 转让。在此基 础上，为增强 利润预测补 偿的可操作 性和可实现 性，上述各方 所持股份按 以下节奏解 </w:t>
            </w:r>
            <w:r>
              <w:rPr>
                <w:rFonts w:ascii="宋体" w:hAnsi="宋体" w:cs="宋体" w:eastAsia="宋体" w:hint="default"/>
                <w:spacing w:val="-13"/>
                <w:sz w:val="18"/>
                <w:szCs w:val="18"/>
              </w:rPr>
              <w:t>除限售：（</w:t>
            </w: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w:t>
            </w:r>
            <w:r>
              <w:rPr>
                <w:rFonts w:ascii="宋体" w:hAnsi="宋体" w:cs="宋体" w:eastAsia="宋体" w:hint="default"/>
                <w:sz w:val="18"/>
                <w:szCs w:val="18"/>
              </w:rPr>
              <w:t> 第一期股份 应于本次发 行的股份上 市满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且根据标的 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度盈利专项 审核报告确 认标的公司 实现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度承诺净利 润数或完成 利润补偿后 解除限售，解 除限售的股 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通过 本次发行获 得的股份总 数</w:t>
            </w:r>
            <w:r>
              <w:rPr>
                <w:rFonts w:ascii="Times New Roman" w:hAnsi="Times New Roman" w:cs="Times New Roman" w:eastAsia="Times New Roman" w:hint="default"/>
                <w:sz w:val="18"/>
                <w:szCs w:val="18"/>
              </w:rPr>
              <w:t>×50%</w:t>
            </w:r>
            <w:r>
              <w:rPr>
                <w:rFonts w:ascii="宋体" w:hAnsi="宋体" w:cs="宋体" w:eastAsia="宋体" w:hint="default"/>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年度补 偿股份数量；</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3" w:right="173"/>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20"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）第二期</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股份应于本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次发行的股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份上市满</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个月且根据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标的公司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利专项审核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报告确认标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的公司实现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诺净利润数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或完成利润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补偿后解除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限售，解除限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售的股份数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量</w:t>
            </w:r>
            <w:r>
              <w:rPr>
                <w:rFonts w:ascii="Times New Roman" w:hAnsi="Times New Roman" w:cs="Times New Roman" w:eastAsia="Times New Roman" w:hint="default"/>
                <w:sz w:val="18"/>
                <w:szCs w:val="18"/>
              </w:rPr>
              <w:t>=</w:t>
            </w:r>
            <w:r>
              <w:rPr>
                <w:rFonts w:ascii="宋体" w:hAnsi="宋体" w:cs="宋体" w:eastAsia="宋体" w:hint="default"/>
                <w:sz w:val="18"/>
                <w:szCs w:val="18"/>
              </w:rPr>
              <w:t>通过本次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发行获得的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年度补偿股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份数量</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第三期股份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应于本次发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行的股份上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且根据标的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度盈利专项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审核报告确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认标的公司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度承诺净利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润数且标的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公司《减值测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试报告》确认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没有减值或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完成利润及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减值补偿后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解除限售，解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除限售的股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通过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本次发行获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得的股份总</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1923"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143"/>
              <w:jc w:val="left"/>
              <w:rPr>
                <w:rFonts w:ascii="宋体" w:hAnsi="宋体" w:cs="宋体" w:eastAsia="宋体" w:hint="default"/>
                <w:sz w:val="18"/>
                <w:szCs w:val="18"/>
              </w:rPr>
            </w:pPr>
            <w:r>
              <w:rPr>
                <w:rFonts w:ascii="宋体" w:hAnsi="宋体" w:cs="宋体" w:eastAsia="宋体" w:hint="default"/>
                <w:sz w:val="18"/>
                <w:szCs w:val="18"/>
              </w:rPr>
              <w:t>数</w:t>
            </w:r>
            <w:r>
              <w:rPr>
                <w:rFonts w:ascii="Times New Roman" w:hAnsi="Times New Roman" w:cs="Times New Roman" w:eastAsia="Times New Roman" w:hint="default"/>
                <w:sz w:val="18"/>
                <w:szCs w:val="18"/>
              </w:rPr>
              <w:t>×20%</w:t>
            </w:r>
            <w:r>
              <w:rPr>
                <w:rFonts w:ascii="宋体" w:hAnsi="宋体" w:cs="宋体" w:eastAsia="宋体" w:hint="default"/>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年度补 偿股份数量</w:t>
            </w:r>
          </w:p>
          <w:p>
            <w:pPr>
              <w:pStyle w:val="TableParagraph"/>
              <w:spacing w:line="316" w:lineRule="auto" w:before="31"/>
              <w:ind w:left="23" w:right="190"/>
              <w:jc w:val="both"/>
              <w:rPr>
                <w:rFonts w:ascii="宋体" w:hAnsi="宋体" w:cs="宋体" w:eastAsia="宋体" w:hint="default"/>
                <w:sz w:val="18"/>
                <w:szCs w:val="18"/>
              </w:rPr>
            </w:pPr>
            <w:r>
              <w:rPr>
                <w:rFonts w:ascii="宋体" w:hAnsi="宋体" w:cs="宋体" w:eastAsia="宋体" w:hint="default"/>
                <w:sz w:val="18"/>
                <w:szCs w:val="18"/>
              </w:rPr>
              <w:t>－减值测试 补偿股份数 量。</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11908"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施侃、冯天放</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因本次重大 资产重组取 得的股份自 上市之日起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个月内将 不以任何方 式转让。在此 基础上，为增 强盈利预测 补偿的可操 作性和可实 现性，本次交 易完成后，施 侃、冯天放通 过本次交易 取得的上市 公司股份按 以下节奏解 </w:t>
            </w:r>
            <w:r>
              <w:rPr>
                <w:rFonts w:ascii="宋体" w:hAnsi="宋体" w:cs="宋体" w:eastAsia="宋体" w:hint="default"/>
                <w:spacing w:val="-13"/>
                <w:sz w:val="18"/>
                <w:szCs w:val="18"/>
              </w:rPr>
              <w:t>除限售：（</w:t>
            </w: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w:t>
            </w:r>
            <w:r>
              <w:rPr>
                <w:rFonts w:ascii="宋体" w:hAnsi="宋体" w:cs="宋体" w:eastAsia="宋体" w:hint="default"/>
                <w:sz w:val="18"/>
                <w:szCs w:val="18"/>
              </w:rPr>
              <w:t> 第一期股份 应于本次发 行的股份上 市满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且根据标的 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度盈利专项 审核报告确 认实现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年度承诺净 利润的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以上或完成 利润补偿后 解除限售，解 除限售的股 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通过 本次发行获 得的股份总 数</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3" w:right="170"/>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998pt;width:61.8pt;height:686.55pt;mso-position-horizontal-relative:page;mso-position-vertical-relative:page;z-index:-18153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4"/>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20"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年度补</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5pt;mso-position-horizontal-relative:char;mso-position-vertical-relative:line" coordorigin="0,0" coordsize="1116,13731">
                  <v:group style="position:absolute;left:0;top:0;width:1116;height:13731" coordorigin="0,0" coordsize="1116,13731">
                    <v:shape style="position:absolute;left:0;top:0;width:1116;height:13731" coordorigin="0,0" coordsize="1116,13731"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偿股份数量；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）第二期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股份应于本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次发行的股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份上市满</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个月且根据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标的公司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利专项审核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报告确认实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承诺净利润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以上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或完成利润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补偿后解除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限售，解除限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售的股份数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量</w:t>
            </w:r>
            <w:r>
              <w:rPr>
                <w:rFonts w:ascii="Times New Roman" w:hAnsi="Times New Roman" w:cs="Times New Roman" w:eastAsia="Times New Roman" w:hint="default"/>
                <w:sz w:val="18"/>
                <w:szCs w:val="18"/>
              </w:rPr>
              <w:t>=</w:t>
            </w:r>
            <w:r>
              <w:rPr>
                <w:rFonts w:ascii="宋体" w:hAnsi="宋体" w:cs="宋体" w:eastAsia="宋体" w:hint="default"/>
                <w:sz w:val="18"/>
                <w:szCs w:val="18"/>
              </w:rPr>
              <w:t>通过本次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发行获得的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年度补偿股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份数量</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第三期股份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应于盈利专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项审核报告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确认</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2017</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年累计实现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净利润数不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低于三年累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计承诺净利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润数且根据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标的公司《减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值测试报告》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确认没有减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值或完成利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润及减值补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偿后解除限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售，解除限售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的股份数量</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通过本次发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行获得的股</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923"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份总数</w:t>
            </w:r>
            <w:r>
              <w:rPr>
                <w:rFonts w:ascii="Times New Roman" w:hAnsi="Times New Roman" w:cs="Times New Roman" w:eastAsia="Times New Roman" w:hint="default"/>
                <w:sz w:val="18"/>
                <w:szCs w:val="18"/>
              </w:rPr>
              <w:t>×40%</w:t>
            </w:r>
          </w:p>
          <w:p>
            <w:pPr>
              <w:pStyle w:val="TableParagraph"/>
              <w:spacing w:line="314" w:lineRule="auto" w:before="63"/>
              <w:ind w:left="23" w:right="143"/>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补偿股份数 量－减值测 试补偿股份 数量。</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1908"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19"/>
              <w:jc w:val="left"/>
              <w:rPr>
                <w:rFonts w:ascii="宋体" w:hAnsi="宋体" w:cs="宋体" w:eastAsia="宋体" w:hint="default"/>
                <w:sz w:val="18"/>
                <w:szCs w:val="18"/>
              </w:rPr>
            </w:pPr>
            <w:r>
              <w:rPr>
                <w:rFonts w:ascii="宋体" w:hAnsi="宋体" w:cs="宋体" w:eastAsia="宋体" w:hint="default"/>
                <w:sz w:val="18"/>
                <w:szCs w:val="18"/>
              </w:rPr>
              <w:t>中金云网全 </w:t>
            </w:r>
            <w:r>
              <w:rPr>
                <w:rFonts w:ascii="宋体" w:hAnsi="宋体" w:cs="宋体" w:eastAsia="宋体" w:hint="default"/>
                <w:spacing w:val="-3"/>
                <w:sz w:val="18"/>
                <w:szCs w:val="18"/>
              </w:rPr>
              <w:t>体股东、无双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科技全体股 东</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关于提供资 </w:t>
            </w:r>
            <w:r>
              <w:rPr>
                <w:rFonts w:ascii="宋体" w:hAnsi="宋体" w:cs="宋体" w:eastAsia="宋体" w:hint="default"/>
                <w:spacing w:val="-2"/>
                <w:sz w:val="18"/>
                <w:szCs w:val="18"/>
              </w:rPr>
              <w:t>料真实、准确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和完整的承 </w:t>
            </w:r>
            <w:r>
              <w:rPr>
                <w:rFonts w:ascii="宋体" w:hAnsi="宋体" w:cs="宋体" w:eastAsia="宋体" w:hint="default"/>
                <w:spacing w:val="-2"/>
                <w:sz w:val="18"/>
                <w:szCs w:val="18"/>
              </w:rPr>
              <w:t>诺；关于目标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资产权属的 </w:t>
            </w:r>
            <w:r>
              <w:rPr>
                <w:rFonts w:ascii="宋体" w:hAnsi="宋体" w:cs="宋体" w:eastAsia="宋体" w:hint="default"/>
                <w:spacing w:val="-2"/>
                <w:sz w:val="18"/>
                <w:szCs w:val="18"/>
              </w:rPr>
              <w:t>承诺；关于最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近五年无违 法行为的承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、关于提供 资料真实、准 确和完整的 承诺：本人</w:t>
            </w:r>
            <w:r>
              <w:rPr>
                <w:rFonts w:ascii="Times New Roman" w:hAnsi="Times New Roman" w:cs="Times New Roman" w:eastAsia="Times New Roman" w:hint="default"/>
                <w:sz w:val="18"/>
                <w:szCs w:val="18"/>
              </w:rPr>
              <w:t>/ </w:t>
            </w:r>
            <w:r>
              <w:rPr>
                <w:rFonts w:ascii="宋体" w:hAnsi="宋体" w:cs="宋体" w:eastAsia="宋体" w:hint="default"/>
                <w:sz w:val="18"/>
                <w:szCs w:val="18"/>
              </w:rPr>
              <w:t>本企业保证 为北京光环 新网科技股 份有限公司 本次发行股 份及支付现 金购买资产 并募集配套 资金所提供 的有关文件、 资料等信息 真实、准确和 完整，不存在 虚假记载、误 导性陈述或 者重大遗漏， 并声明承担 个别和连带 的法律责任。 </w:t>
            </w:r>
            <w:r>
              <w:rPr>
                <w:rFonts w:ascii="Times New Roman" w:hAnsi="Times New Roman" w:cs="Times New Roman" w:eastAsia="Times New Roman" w:hint="default"/>
                <w:sz w:val="18"/>
                <w:szCs w:val="18"/>
              </w:rPr>
              <w:t>2</w:t>
            </w:r>
            <w:r>
              <w:rPr>
                <w:rFonts w:ascii="宋体" w:hAnsi="宋体" w:cs="宋体" w:eastAsia="宋体" w:hint="default"/>
                <w:sz w:val="18"/>
                <w:szCs w:val="18"/>
              </w:rPr>
              <w:t>、关于目标 资产权属的 承诺：本人</w:t>
            </w:r>
            <w:r>
              <w:rPr>
                <w:rFonts w:ascii="Times New Roman" w:hAnsi="Times New Roman" w:cs="Times New Roman" w:eastAsia="Times New Roman" w:hint="default"/>
                <w:sz w:val="18"/>
                <w:szCs w:val="18"/>
              </w:rPr>
              <w:t>/ </w:t>
            </w:r>
            <w:r>
              <w:rPr>
                <w:rFonts w:ascii="宋体" w:hAnsi="宋体" w:cs="宋体" w:eastAsia="宋体" w:hint="default"/>
                <w:sz w:val="18"/>
                <w:szCs w:val="18"/>
              </w:rPr>
              <w:t>本企业承诺 合法持有交 易标的的股 </w:t>
            </w:r>
            <w:r>
              <w:rPr>
                <w:rFonts w:ascii="宋体" w:hAnsi="宋体" w:cs="宋体" w:eastAsia="宋体" w:hint="default"/>
                <w:spacing w:val="-9"/>
                <w:sz w:val="18"/>
                <w:szCs w:val="18"/>
              </w:rPr>
              <w:t>权。本人</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本企</w:t>
            </w:r>
            <w:r>
              <w:rPr>
                <w:rFonts w:ascii="宋体" w:hAnsi="宋体" w:cs="宋体" w:eastAsia="宋体" w:hint="default"/>
                <w:spacing w:val="-87"/>
                <w:sz w:val="18"/>
                <w:szCs w:val="18"/>
              </w:rPr>
              <w:t> </w:t>
            </w:r>
            <w:r>
              <w:rPr>
                <w:rFonts w:ascii="宋体" w:hAnsi="宋体" w:cs="宋体" w:eastAsia="宋体" w:hint="default"/>
                <w:sz w:val="18"/>
                <w:szCs w:val="18"/>
              </w:rPr>
              <w:t>业所持股份 的资产权属 清晰，不存在</w:t>
            </w:r>
            <w:r>
              <w:rPr>
                <w:rFonts w:ascii="宋体" w:hAnsi="宋体" w:cs="宋体" w:eastAsia="宋体" w:hint="default"/>
                <w:sz w:val="18"/>
                <w:szCs w:val="18"/>
              </w:rPr>
              <w:t> 信托持股、委 托持股等任 何权属纠纷， 亦不存在其 他任何潜在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3" w:right="185"/>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3" w:right="173"/>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2844"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法律权属纠 纷；该等股份 不存在质押、 抵押、其他担 保或第三方 权益限制情 形，也不存在 法院或其他 有权机关冻 结、查封、拍 卖该等股份 之情形；承诺 人依法拥有 该等股份的 占有、使用、 收益及处分 权，该等股份 的股权过户 或者转移不 存在法律障 碍。</w:t>
            </w:r>
            <w:r>
              <w:rPr>
                <w:rFonts w:ascii="Times New Roman" w:hAnsi="Times New Roman" w:cs="Times New Roman" w:eastAsia="Times New Roman" w:hint="default"/>
                <w:sz w:val="18"/>
                <w:szCs w:val="18"/>
              </w:rPr>
              <w:t>3</w:t>
            </w:r>
            <w:r>
              <w:rPr>
                <w:rFonts w:ascii="宋体" w:hAnsi="宋体" w:cs="宋体" w:eastAsia="宋体" w:hint="default"/>
                <w:sz w:val="18"/>
                <w:szCs w:val="18"/>
              </w:rPr>
              <w:t>、关于 最近五年无 违法行为的 承诺：本人</w:t>
            </w:r>
            <w:r>
              <w:rPr>
                <w:rFonts w:ascii="Times New Roman" w:hAnsi="Times New Roman" w:cs="Times New Roman" w:eastAsia="Times New Roman" w:hint="default"/>
                <w:sz w:val="18"/>
                <w:szCs w:val="18"/>
              </w:rPr>
              <w:t>/ </w:t>
            </w:r>
            <w:r>
              <w:rPr>
                <w:rFonts w:ascii="宋体" w:hAnsi="宋体" w:cs="宋体" w:eastAsia="宋体" w:hint="default"/>
                <w:sz w:val="18"/>
                <w:szCs w:val="18"/>
              </w:rPr>
              <w:t>本企业承诺 在最近五年 未受过任何 刑事处罚、证 券市场相关 的行政处罚， 不存在与经 济纠纷有关 的重大民事 诉讼或仲裁 的情况，具有</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《公司法</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16" w:lineRule="auto" w:before="76"/>
              <w:ind w:left="23" w:right="10"/>
              <w:jc w:val="left"/>
              <w:rPr>
                <w:rFonts w:ascii="宋体" w:hAnsi="宋体" w:cs="宋体" w:eastAsia="宋体" w:hint="default"/>
                <w:sz w:val="18"/>
                <w:szCs w:val="18"/>
              </w:rPr>
            </w:pPr>
            <w:r>
              <w:rPr>
                <w:rFonts w:ascii="宋体" w:hAnsi="宋体" w:cs="宋体" w:eastAsia="宋体" w:hint="default"/>
                <w:sz w:val="18"/>
                <w:szCs w:val="18"/>
              </w:rPr>
              <w:t>《证券法》等 相关法律、法 规规定的担 任上市公司 股东的资格。</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both"/>
              <w:rPr>
                <w:rFonts w:ascii="宋体" w:hAnsi="宋体" w:cs="宋体" w:eastAsia="宋体" w:hint="default"/>
                <w:sz w:val="18"/>
                <w:szCs w:val="18"/>
              </w:rPr>
            </w:pPr>
            <w:r>
              <w:rPr>
                <w:rFonts w:ascii="宋体" w:hAnsi="宋体" w:cs="宋体" w:eastAsia="宋体" w:hint="default"/>
                <w:spacing w:val="-3"/>
                <w:sz w:val="18"/>
                <w:szCs w:val="18"/>
              </w:rPr>
              <w:t>中金盛世、利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源顶盛、卓程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达、利扬盛达</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8"/>
              <w:ind w:left="26" w:right="19"/>
              <w:jc w:val="left"/>
              <w:rPr>
                <w:rFonts w:ascii="宋体" w:hAnsi="宋体" w:cs="宋体" w:eastAsia="宋体" w:hint="default"/>
                <w:sz w:val="18"/>
                <w:szCs w:val="18"/>
              </w:rPr>
            </w:pPr>
            <w:r>
              <w:rPr>
                <w:rFonts w:ascii="宋体" w:hAnsi="宋体" w:cs="宋体" w:eastAsia="宋体" w:hint="default"/>
                <w:sz w:val="18"/>
                <w:szCs w:val="18"/>
              </w:rPr>
              <w:t>关于避免同 业竞争的承 </w:t>
            </w:r>
            <w:r>
              <w:rPr>
                <w:rFonts w:ascii="宋体" w:hAnsi="宋体" w:cs="宋体" w:eastAsia="宋体" w:hint="default"/>
                <w:spacing w:val="-2"/>
                <w:sz w:val="18"/>
                <w:szCs w:val="18"/>
              </w:rPr>
              <w:t>诺函；关于规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68"/>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、关于避免 同业竞争的 </w:t>
            </w:r>
            <w:r>
              <w:rPr>
                <w:rFonts w:ascii="宋体" w:hAnsi="宋体" w:cs="宋体" w:eastAsia="宋体" w:hint="default"/>
                <w:spacing w:val="-2"/>
                <w:sz w:val="18"/>
                <w:szCs w:val="18"/>
              </w:rPr>
              <w:t>承诺函：本企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8"/>
              <w:ind w:left="23" w:right="185"/>
              <w:jc w:val="both"/>
              <w:rPr>
                <w:rFonts w:ascii="宋体" w:hAnsi="宋体" w:cs="宋体" w:eastAsia="宋体" w:hint="default"/>
                <w:sz w:val="18"/>
                <w:szCs w:val="18"/>
              </w:rPr>
            </w:pPr>
            <w:r>
              <w:rPr>
                <w:rFonts w:ascii="宋体" w:hAnsi="宋体" w:cs="宋体" w:eastAsia="宋体" w:hint="default"/>
                <w:sz w:val="18"/>
                <w:szCs w:val="18"/>
              </w:rPr>
              <w:t>承诺人成为 光环新网股 东期间以及</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73"/>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bl>
    <w:p>
      <w:pPr>
        <w:spacing w:after="0" w:line="319"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13740"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91"/>
              <w:jc w:val="left"/>
              <w:rPr>
                <w:rFonts w:ascii="宋体" w:hAnsi="宋体" w:cs="宋体" w:eastAsia="宋体" w:hint="default"/>
                <w:sz w:val="18"/>
                <w:szCs w:val="18"/>
              </w:rPr>
            </w:pPr>
            <w:r>
              <w:rPr>
                <w:rFonts w:ascii="宋体" w:hAnsi="宋体" w:cs="宋体" w:eastAsia="宋体" w:hint="default"/>
                <w:sz w:val="18"/>
                <w:szCs w:val="18"/>
              </w:rPr>
              <w:t>范关联交易 的承诺函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业及本企业 的关联方与 中金云网业 务相关的资 产已全部转 让给光环新 网，本企业剩 余资产与业 务与中金云 网不存在同 业竞争；自本 企业持有光 环新网股份 期间以及转 让光环新网 全部股份后 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年内，未</w:t>
            </w:r>
            <w:r>
              <w:rPr>
                <w:rFonts w:ascii="宋体" w:hAnsi="宋体" w:cs="宋体" w:eastAsia="宋体" w:hint="default"/>
                <w:sz w:val="18"/>
                <w:szCs w:val="18"/>
              </w:rPr>
              <w:t> 经光环新网 同意，本企业 及本企业的 关联方将不 直接或间接 从事任何可 能与光环新 网或和中金 云网业务相 同、相似或相</w:t>
            </w:r>
          </w:p>
          <w:p>
            <w:pPr>
              <w:pStyle w:val="TableParagraph"/>
              <w:spacing w:line="316" w:lineRule="auto" w:before="19"/>
              <w:ind w:left="23" w:right="10"/>
              <w:jc w:val="left"/>
              <w:rPr>
                <w:rFonts w:ascii="宋体" w:hAnsi="宋体" w:cs="宋体" w:eastAsia="宋体" w:hint="default"/>
                <w:sz w:val="18"/>
                <w:szCs w:val="18"/>
              </w:rPr>
            </w:pPr>
            <w:r>
              <w:rPr>
                <w:rFonts w:ascii="宋体" w:hAnsi="宋体" w:cs="宋体" w:eastAsia="宋体" w:hint="default"/>
                <w:sz w:val="18"/>
                <w:szCs w:val="18"/>
              </w:rPr>
              <w:t>竞争的活动， 也不直接或 间接地在与 光环新网或 中金云网业 务相同、相似 或相竞争的 单位拥有权 益（包括但不 限于投资、合 作、承包、租 赁、委托经营 </w:t>
            </w:r>
            <w:r>
              <w:rPr>
                <w:rFonts w:ascii="宋体" w:hAnsi="宋体" w:cs="宋体" w:eastAsia="宋体" w:hint="default"/>
                <w:spacing w:val="-16"/>
                <w:sz w:val="18"/>
                <w:szCs w:val="18"/>
              </w:rPr>
              <w:t>等方式），如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获得的商业 机会将与光 环新网或和 中金云网的</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85"/>
              <w:jc w:val="both"/>
              <w:rPr>
                <w:rFonts w:ascii="宋体" w:hAnsi="宋体" w:cs="宋体" w:eastAsia="宋体" w:hint="default"/>
                <w:sz w:val="18"/>
                <w:szCs w:val="18"/>
              </w:rPr>
            </w:pPr>
            <w:r>
              <w:rPr>
                <w:rFonts w:ascii="宋体" w:hAnsi="宋体" w:cs="宋体" w:eastAsia="宋体" w:hint="default"/>
                <w:sz w:val="18"/>
                <w:szCs w:val="18"/>
              </w:rPr>
              <w:t>减持全部光 环新网股份 后两年内。</w:t>
            </w:r>
          </w:p>
        </w:tc>
        <w:tc>
          <w:tcPr>
            <w:tcW w:w="11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6"/>
              <w:jc w:val="center"/>
              <w:rPr>
                <w:rFonts w:ascii="宋体" w:hAnsi="宋体" w:cs="宋体" w:eastAsia="宋体" w:hint="default"/>
                <w:sz w:val="18"/>
                <w:szCs w:val="18"/>
              </w:rPr>
            </w:pPr>
            <w:r>
              <w:rPr>
                <w:rFonts w:ascii="宋体" w:hAnsi="宋体" w:cs="宋体" w:eastAsia="宋体" w:hint="default"/>
                <w:sz w:val="18"/>
                <w:szCs w:val="18"/>
              </w:rPr>
              <w:t>主营业务发</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生同业竞争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或可能发生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同业竞争的，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本企业将立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即通知光环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新网，并尽力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将该商业机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会给予光环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新网，以确保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光环新网利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益不受损害。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、关于规范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关联交易的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承诺函：本次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交易前本企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业不存在与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中金云网未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披露的、不公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允的、不合理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的关联交易；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本次交易后，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本企业将采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取有效措施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尽量避免与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光环新网、中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金云网之间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发生关联交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易，在进行确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有必要且无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法避免的关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联交易时，保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证按市场化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原则和公允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价格进行公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平操作，并按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相关法律法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规、规范性文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件及光环新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网公司章程、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中金云网公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司章程的规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定签署协议、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履行决策程</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363"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序等。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1322"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6" w:lineRule="auto"/>
              <w:ind w:left="23" w:right="7"/>
              <w:jc w:val="left"/>
              <w:rPr>
                <w:rFonts w:ascii="宋体" w:hAnsi="宋体" w:cs="宋体" w:eastAsia="宋体" w:hint="default"/>
                <w:sz w:val="18"/>
                <w:szCs w:val="18"/>
              </w:rPr>
            </w:pPr>
            <w:r>
              <w:rPr>
                <w:rFonts w:ascii="宋体" w:hAnsi="宋体" w:cs="宋体" w:eastAsia="宋体" w:hint="default"/>
                <w:sz w:val="18"/>
                <w:szCs w:val="18"/>
              </w:rPr>
              <w:t>杨雨、王薇 薇、王绪生、 余红军</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关于避免同 业竞争的承 诺函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本人在标的 公司任职期 间及离职后 两年内，不会 自己经营或 以他人名义 直接或间接 经营与标的 公司及光环 新网相同或 相类似的业 务，不会在同 标的公司及 光环新网存 在相同或者 相类似业务 的实体担任 任何职务或 为其提供任 何服务。如本 人违反前述 不竞争承诺， 本人同意将 因违反承诺 所获得经营 利润、工资、 报酬等全部 收益上缴光 环新网，前述 赔偿仍不能 弥补光环新 网因此遭受 的损失的，本 人将另行赔 偿光环新网 的损失。</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316" w:lineRule="auto"/>
              <w:ind w:left="23" w:right="185"/>
              <w:jc w:val="both"/>
              <w:rPr>
                <w:rFonts w:ascii="宋体" w:hAnsi="宋体" w:cs="宋体" w:eastAsia="宋体" w:hint="default"/>
                <w:sz w:val="18"/>
                <w:szCs w:val="18"/>
              </w:rPr>
            </w:pPr>
            <w:r>
              <w:rPr>
                <w:rFonts w:ascii="宋体" w:hAnsi="宋体" w:cs="宋体" w:eastAsia="宋体" w:hint="default"/>
                <w:sz w:val="18"/>
                <w:szCs w:val="18"/>
              </w:rPr>
              <w:t>承诺人在中 金云网任职 期间及离职 后两年内。</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6" w:lineRule="auto"/>
              <w:ind w:left="23" w:right="173"/>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r>
        <w:trPr>
          <w:trHeight w:val="2235"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宋体" w:hAnsi="宋体" w:cs="宋体" w:eastAsia="宋体" w:hint="default"/>
                <w:spacing w:val="-3"/>
                <w:sz w:val="18"/>
                <w:szCs w:val="18"/>
              </w:rPr>
              <w:t>施侃、冯天放</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4"/>
              <w:ind w:left="26" w:right="19"/>
              <w:jc w:val="left"/>
              <w:rPr>
                <w:rFonts w:ascii="宋体" w:hAnsi="宋体" w:cs="宋体" w:eastAsia="宋体" w:hint="default"/>
                <w:sz w:val="18"/>
                <w:szCs w:val="18"/>
              </w:rPr>
            </w:pPr>
            <w:r>
              <w:rPr>
                <w:rFonts w:ascii="宋体" w:hAnsi="宋体" w:cs="宋体" w:eastAsia="宋体" w:hint="default"/>
                <w:sz w:val="18"/>
                <w:szCs w:val="18"/>
              </w:rPr>
              <w:t>关于避免同 业竞争的承 </w:t>
            </w:r>
            <w:r>
              <w:rPr>
                <w:rFonts w:ascii="宋体" w:hAnsi="宋体" w:cs="宋体" w:eastAsia="宋体" w:hint="default"/>
                <w:spacing w:val="-2"/>
                <w:sz w:val="18"/>
                <w:szCs w:val="18"/>
              </w:rPr>
              <w:t>诺函；关于规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范关联交易 的承诺函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、关于避免 同业竞争的 </w:t>
            </w:r>
            <w:r>
              <w:rPr>
                <w:rFonts w:ascii="宋体" w:hAnsi="宋体" w:cs="宋体" w:eastAsia="宋体" w:hint="default"/>
                <w:spacing w:val="-2"/>
                <w:sz w:val="18"/>
                <w:szCs w:val="18"/>
              </w:rPr>
              <w:t>承诺函：本人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与无双科技 业务相关的 资产已全部 转让给光环</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9" w:lineRule="auto"/>
              <w:ind w:left="23" w:right="185"/>
              <w:jc w:val="both"/>
              <w:rPr>
                <w:rFonts w:ascii="宋体" w:hAnsi="宋体" w:cs="宋体" w:eastAsia="宋体" w:hint="default"/>
                <w:sz w:val="18"/>
                <w:szCs w:val="18"/>
              </w:rPr>
            </w:pPr>
            <w:r>
              <w:rPr>
                <w:rFonts w:ascii="宋体" w:hAnsi="宋体" w:cs="宋体" w:eastAsia="宋体" w:hint="default"/>
                <w:sz w:val="18"/>
                <w:szCs w:val="18"/>
              </w:rPr>
              <w:t>承诺人在无 双科技任职 期间及离职 后两年内。</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3" w:right="173"/>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新网，本人剩</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余资产与业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务与无双科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技不存在同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业竞争；自本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人在无双科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技任职期间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及离职后两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年内，不会自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己经营或以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他人名义直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接或间接经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营与无双科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技及光环新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网相同或相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类似的业务，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不会在同无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双科技及光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环新网存在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相同或者相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类似业务的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实体担任任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何职务或为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其提供任何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服务；如违反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前述不竞争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承诺的，应当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将其因违反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承诺所获得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经营利润、工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资、报酬等全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部收益上缴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光环新网，前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述赔偿仍不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能弥补光环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新网因此遭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受的损失的，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光环新网有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权要求违约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主体就其遭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受的损失承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担赔偿责任。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、关于规范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关联交易的</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9412"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承诺函：本次 交易前本人 不存在与无 双科技未披 露的、不公允 的、不合理的 关联交易；本 次交易后，本 人将采取有 效措施尽量 避免与光环 新网、无双科 技之间发生 关联交易，在 进行确有必 要且无法避 免的关联交 易时，保证按 市场化原则 和公允价格 进行公平操 作，并按相关 法律法规、规 范性文件及 光环新网公 司章程、无双 科技公司章 程的规定签 署协议、履行 决策程序等。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4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施侃</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关于南京安 与吉信息技 术有限公司 避免同业竞 争的承诺函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在本人成为 光环新网股 东期间以及 减持光环新 网全部股份 </w:t>
            </w:r>
            <w:r>
              <w:rPr>
                <w:rFonts w:ascii="宋体" w:hAnsi="宋体" w:cs="宋体" w:eastAsia="宋体" w:hint="default"/>
                <w:spacing w:val="-2"/>
                <w:sz w:val="18"/>
                <w:szCs w:val="18"/>
              </w:rPr>
              <w:t>后两年内：本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人将促使南 京安与吉避 免与无双科 技及光环新 网发生商业 上的直接竞 </w:t>
            </w:r>
            <w:r>
              <w:rPr>
                <w:rFonts w:ascii="宋体" w:hAnsi="宋体" w:cs="宋体" w:eastAsia="宋体" w:hint="default"/>
                <w:spacing w:val="-2"/>
                <w:sz w:val="18"/>
                <w:szCs w:val="18"/>
              </w:rPr>
              <w:t>争；在南京安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与吉盈利的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16" w:lineRule="auto"/>
              <w:ind w:left="23" w:right="185"/>
              <w:jc w:val="both"/>
              <w:rPr>
                <w:rFonts w:ascii="宋体" w:hAnsi="宋体" w:cs="宋体" w:eastAsia="宋体" w:hint="default"/>
                <w:sz w:val="18"/>
                <w:szCs w:val="18"/>
              </w:rPr>
            </w:pPr>
            <w:r>
              <w:rPr>
                <w:rFonts w:ascii="宋体" w:hAnsi="宋体" w:cs="宋体" w:eastAsia="宋体" w:hint="default"/>
                <w:sz w:val="18"/>
                <w:szCs w:val="18"/>
              </w:rPr>
              <w:t>承诺人成为 光环新网股 东期间以及 减持全部光 环新网股份 后两年内。</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23" w:right="173"/>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6916"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情况下，光环 新网有权要 求按照双方 认可的公允 价格收购本 人持有的南 京安与吉的 全部或部分 股权；如本人 对外转让所 持有的南京 安与吉的股 权，光环新网 在同等条件 下有优先购 买权；如本人 违反上述承 诺给光环新 网造成损失 的，本人将赔 偿光环新网 的全部损失。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6915"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316" w:lineRule="auto"/>
              <w:ind w:left="23" w:right="7"/>
              <w:jc w:val="left"/>
              <w:rPr>
                <w:rFonts w:ascii="宋体" w:hAnsi="宋体" w:cs="宋体" w:eastAsia="宋体" w:hint="default"/>
                <w:sz w:val="18"/>
                <w:szCs w:val="18"/>
              </w:rPr>
            </w:pPr>
            <w:r>
              <w:rPr>
                <w:rFonts w:ascii="宋体" w:hAnsi="宋体" w:cs="宋体" w:eastAsia="宋体" w:hint="default"/>
                <w:spacing w:val="-3"/>
                <w:sz w:val="18"/>
                <w:szCs w:val="18"/>
              </w:rPr>
              <w:t>中金数据、中</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金盛世及中 金盛世实际 控制人杨洁、 张利</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关于避免同 业竞争的承 诺函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在中金盛世 成为光环新 网股东期间 以及减持光 环新网全部 股份后两年 </w:t>
            </w:r>
            <w:r>
              <w:rPr>
                <w:rFonts w:ascii="宋体" w:hAnsi="宋体" w:cs="宋体" w:eastAsia="宋体" w:hint="default"/>
                <w:spacing w:val="-2"/>
                <w:sz w:val="18"/>
                <w:szCs w:val="18"/>
              </w:rPr>
              <w:t>内，除中金盛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世已投资的 中金数据系 统有限责任 公司控股的 烟台中金数 据系统有限 公司和中金 花桥数据系 统有限公司 </w:t>
            </w:r>
            <w:r>
              <w:rPr>
                <w:rFonts w:ascii="宋体" w:hAnsi="宋体" w:cs="宋体" w:eastAsia="宋体" w:hint="default"/>
                <w:spacing w:val="-9"/>
                <w:sz w:val="18"/>
                <w:szCs w:val="18"/>
              </w:rPr>
              <w:t>外，本人</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本公</w:t>
            </w:r>
            <w:r>
              <w:rPr>
                <w:rFonts w:ascii="宋体" w:hAnsi="宋体" w:cs="宋体" w:eastAsia="宋体" w:hint="default"/>
                <w:spacing w:val="-87"/>
                <w:sz w:val="18"/>
                <w:szCs w:val="18"/>
              </w:rPr>
              <w:t> </w:t>
            </w:r>
            <w:r>
              <w:rPr>
                <w:rFonts w:ascii="宋体" w:hAnsi="宋体" w:cs="宋体" w:eastAsia="宋体" w:hint="default"/>
                <w:sz w:val="18"/>
                <w:szCs w:val="18"/>
              </w:rPr>
              <w:t>司及其下属 </w:t>
            </w:r>
            <w:r>
              <w:rPr>
                <w:rFonts w:ascii="宋体" w:hAnsi="宋体" w:cs="宋体" w:eastAsia="宋体" w:hint="default"/>
                <w:spacing w:val="-2"/>
                <w:sz w:val="18"/>
                <w:szCs w:val="18"/>
              </w:rPr>
              <w:t>全资、控股子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企业将来均 不从事任何 与中金云网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z w:val="18"/>
                <w:szCs w:val="18"/>
              </w:rPr>
              <w:t>中金盛世成 为光环新网 股东期间以 及减持光环 新网全部股 份后两年内。</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16" w:lineRule="auto"/>
              <w:ind w:left="23" w:right="173"/>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6"/>
              <w:jc w:val="center"/>
              <w:rPr>
                <w:rFonts w:ascii="宋体" w:hAnsi="宋体" w:cs="宋体" w:eastAsia="宋体" w:hint="default"/>
                <w:sz w:val="18"/>
                <w:szCs w:val="18"/>
              </w:rPr>
            </w:pPr>
            <w:r>
              <w:rPr>
                <w:rFonts w:ascii="宋体" w:hAnsi="宋体" w:cs="宋体" w:eastAsia="宋体" w:hint="default"/>
                <w:sz w:val="18"/>
                <w:szCs w:val="18"/>
              </w:rPr>
              <w:t>及光环新网</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相同或类似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的业务；本人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6"/>
              <w:jc w:val="center"/>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本公司将促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使烟台中金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数据系统有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限公司和中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金花桥数据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系统有限公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司避免与中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金云网及光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环新网发生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商业上的直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接竞争；在烟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台中金数据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系统有限公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司、中金花桥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数据系统有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限公司盈利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的情况下，光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环新网有权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要求按照公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允价格收购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中金数据系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统有限责任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该等公司的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全部或部分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股权；如中金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数据系统有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限公司对外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转让其所持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有的烟台中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金数据系统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有限公司、中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金花桥数据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系统有限公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司的股权，光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环新网在同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等条件下有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优先购买权；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如本人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司违反上述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承诺给光环</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611"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新网造成损 失的，本人</w:t>
            </w:r>
            <w:r>
              <w:rPr>
                <w:rFonts w:ascii="Times New Roman" w:hAnsi="Times New Roman" w:cs="Times New Roman" w:eastAsia="Times New Roman" w:hint="default"/>
                <w:sz w:val="18"/>
                <w:szCs w:val="18"/>
              </w:rPr>
              <w:t>/ </w:t>
            </w:r>
            <w:r>
              <w:rPr>
                <w:rFonts w:ascii="宋体" w:hAnsi="宋体" w:cs="宋体" w:eastAsia="宋体" w:hint="default"/>
                <w:sz w:val="18"/>
                <w:szCs w:val="18"/>
              </w:rPr>
              <w:t>本公司将赔 偿光环新网 的全部损失。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1010"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316" w:lineRule="auto"/>
              <w:ind w:left="23" w:right="19"/>
              <w:jc w:val="both"/>
              <w:rPr>
                <w:rFonts w:ascii="宋体" w:hAnsi="宋体" w:cs="宋体" w:eastAsia="宋体" w:hint="default"/>
                <w:sz w:val="18"/>
                <w:szCs w:val="18"/>
              </w:rPr>
            </w:pPr>
            <w:r>
              <w:rPr>
                <w:rFonts w:ascii="宋体" w:hAnsi="宋体" w:cs="宋体" w:eastAsia="宋体" w:hint="default"/>
                <w:spacing w:val="-3"/>
                <w:sz w:val="18"/>
                <w:szCs w:val="18"/>
              </w:rPr>
              <w:t>利源顶盛、宇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扬锦达、卓程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达、利扬盛达</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5"/>
              <w:ind w:left="26" w:right="191"/>
              <w:jc w:val="both"/>
              <w:rPr>
                <w:rFonts w:ascii="宋体" w:hAnsi="宋体" w:cs="宋体" w:eastAsia="宋体" w:hint="default"/>
                <w:sz w:val="18"/>
                <w:szCs w:val="18"/>
              </w:rPr>
            </w:pPr>
            <w:r>
              <w:rPr>
                <w:rFonts w:ascii="宋体" w:hAnsi="宋体" w:cs="宋体" w:eastAsia="宋体" w:hint="default"/>
                <w:sz w:val="18"/>
                <w:szCs w:val="18"/>
              </w:rPr>
              <w:t>关于不存在 一致行动安 排的声明与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本企业与中 金盛世之间 目前不存在 口头或书面 的一致行动 协议或者其 他一致行动 安排以谋求 共同扩大上 市公司表决 权数量；本次 交易完成后 也不会互相 达成一致行 动的合意或 签署一致行 动协议或类 似安排的协 议；本企业与 中金盛世之 间不采取一 致行动，不通 过协议、其他 安排共同扩 大所能够支 配的上市公 司表决权数 量；本企业将 放弃所持上 市公司股份 的表决权。综 上，本企业与 中金盛世之 间不存在一 致行动安排。</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316" w:lineRule="auto"/>
              <w:ind w:left="23" w:right="185"/>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316" w:lineRule="auto"/>
              <w:ind w:left="23" w:right="173"/>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r>
        <w:trPr>
          <w:trHeight w:val="129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施侃</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6" w:right="191"/>
              <w:jc w:val="both"/>
              <w:rPr>
                <w:rFonts w:ascii="宋体" w:hAnsi="宋体" w:cs="宋体" w:eastAsia="宋体" w:hint="default"/>
                <w:sz w:val="18"/>
                <w:szCs w:val="18"/>
              </w:rPr>
            </w:pPr>
            <w:r>
              <w:rPr>
                <w:rFonts w:ascii="宋体" w:hAnsi="宋体" w:cs="宋体" w:eastAsia="宋体" w:hint="default"/>
                <w:sz w:val="18"/>
                <w:szCs w:val="18"/>
              </w:rPr>
              <w:t>关于不存在 一致行动安 排的声明与</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0"/>
              <w:jc w:val="both"/>
              <w:rPr>
                <w:rFonts w:ascii="宋体" w:hAnsi="宋体" w:cs="宋体" w:eastAsia="宋体" w:hint="default"/>
                <w:sz w:val="18"/>
                <w:szCs w:val="18"/>
              </w:rPr>
            </w:pPr>
            <w:r>
              <w:rPr>
                <w:rFonts w:ascii="宋体" w:hAnsi="宋体" w:cs="宋体" w:eastAsia="宋体" w:hint="default"/>
                <w:sz w:val="18"/>
                <w:szCs w:val="18"/>
              </w:rPr>
              <w:t>本人与天津 红杉不存在 共同投资其 他公司的情</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9" w:lineRule="auto"/>
              <w:ind w:left="23" w:right="185"/>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9" w:lineRule="auto"/>
              <w:ind w:left="23" w:right="173"/>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bl>
    <w:p>
      <w:pPr>
        <w:spacing w:after="0" w:line="319"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9724"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况；本人与天 津红杉之间 目前不存在 口头或书面 的一致行动 协议或者其 他一致行动 安排以谋求 共同扩大上 市公司表决 权数量；本次 交易完成后 也不会互相 达成一致行 动的合意或 签署一致行 动协议或类 似安排的协 议；本人与天 津红杉之间 不采取一致 行动，不通过 协议、其他安 排共同扩大 所能够支配 的上市公司 表决权数量。 综上，本人与 天津红杉之 间不存在一 致行动安排。</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107"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光环新网</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1"/>
              <w:ind w:left="26" w:right="19"/>
              <w:jc w:val="both"/>
              <w:rPr>
                <w:rFonts w:ascii="宋体" w:hAnsi="宋体" w:cs="宋体" w:eastAsia="宋体" w:hint="default"/>
                <w:sz w:val="18"/>
                <w:szCs w:val="18"/>
              </w:rPr>
            </w:pPr>
            <w:r>
              <w:rPr>
                <w:rFonts w:ascii="宋体" w:hAnsi="宋体" w:cs="宋体" w:eastAsia="宋体" w:hint="default"/>
                <w:spacing w:val="-2"/>
                <w:sz w:val="18"/>
                <w:szCs w:val="18"/>
              </w:rPr>
              <w:t>根据《新股发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行意见》作出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的相关承诺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、本次发行 的招股书若 有虚假记载、 误导性陈述 或者重大遗 漏，对判断公 司是否符合 法律规定的 发行条件构 成重大、实质 影响的，公司 及公司控股 股东百汇达</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1"/>
              <w:ind w:left="23" w:right="185"/>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1"/>
              <w:ind w:left="23" w:right="170"/>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将依法回购</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首次公开发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行的全部新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股。出现上述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情形，公司应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公告回购新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股的回购计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划，包括回购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股份数量、价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格区间、完成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时间等信息，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股份回购计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划还应经公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司股东大会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批准。在股份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回购义务触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发之日起</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月内（简称</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回购期</w:t>
            </w:r>
            <w:r>
              <w:rPr>
                <w:rFonts w:ascii="Times New Roman" w:hAnsi="Times New Roman" w:cs="Times New Roman" w:eastAsia="Times New Roman" w:hint="default"/>
                <w:spacing w:val="-2"/>
                <w:w w:val="99"/>
                <w:sz w:val="18"/>
                <w:szCs w:val="18"/>
              </w:rPr>
              <w:t>"</w:t>
            </w:r>
            <w:r>
              <w:rPr>
                <w:rFonts w:ascii="宋体" w:hAnsi="宋体" w:cs="宋体" w:eastAsia="宋体" w:hint="default"/>
                <w:spacing w:val="-85"/>
                <w:sz w:val="18"/>
                <w:szCs w:val="18"/>
              </w:rPr>
              <w:t>）</w:t>
            </w:r>
            <w:r>
              <w:rPr>
                <w:rFonts w:ascii="宋体" w:hAnsi="宋体" w:cs="宋体" w:eastAsia="宋体" w:hint="default"/>
                <w:sz w:val="18"/>
                <w:szCs w:val="18"/>
              </w:rPr>
              <w:t>以市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场价格完成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回购；期间公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司如有派息、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送股、资本公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积金转增股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本、配股等除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权除息事项，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回购底价相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应进行调整。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如公司未能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履行上述股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份回购义务，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则由公司控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股股东百汇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达履行上述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义务。</w:t>
            </w:r>
            <w:r>
              <w:rPr>
                <w:rFonts w:ascii="Times New Roman" w:hAnsi="Times New Roman" w:cs="Times New Roman" w:eastAsia="Times New Roman" w:hint="default"/>
                <w:sz w:val="18"/>
                <w:szCs w:val="18"/>
              </w:rPr>
              <w:t>2</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次发行的招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股书若有虚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假记载、误导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性陈述或者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重大遗漏，致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使投资者在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证券交易中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遭受损失的，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公司将依法</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0660"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赔偿投资者 损失。</w:t>
            </w:r>
            <w:r>
              <w:rPr>
                <w:rFonts w:ascii="Times New Roman" w:hAnsi="Times New Roman" w:cs="Times New Roman" w:eastAsia="Times New Roman" w:hint="default"/>
                <w:sz w:val="18"/>
                <w:szCs w:val="18"/>
              </w:rPr>
              <w:t>3</w:t>
            </w:r>
            <w:r>
              <w:rPr>
                <w:rFonts w:ascii="宋体" w:hAnsi="宋体" w:cs="宋体" w:eastAsia="宋体" w:hint="default"/>
                <w:sz w:val="18"/>
                <w:szCs w:val="18"/>
              </w:rPr>
              <w:t>、公 司将确保以 后新担任的 董事、监事和 高级管理人 员按照公司 和现有董事、 监事和高级 管理人员作 出的公开承 诺履行相关 义务。</w:t>
            </w:r>
            <w:r>
              <w:rPr>
                <w:rFonts w:ascii="Times New Roman" w:hAnsi="Times New Roman" w:cs="Times New Roman" w:eastAsia="Times New Roman" w:hint="default"/>
                <w:sz w:val="18"/>
                <w:szCs w:val="18"/>
              </w:rPr>
              <w:t>4</w:t>
            </w:r>
            <w:r>
              <w:rPr>
                <w:rFonts w:ascii="宋体" w:hAnsi="宋体" w:cs="宋体" w:eastAsia="宋体" w:hint="default"/>
                <w:sz w:val="18"/>
                <w:szCs w:val="18"/>
              </w:rPr>
              <w:t>、公 司若未能履 行上述承诺， 则公司将按 有关法律、法 规的规定及 监管部门的 要求承担相 应的责任；同 时，若致使投 资者在证券 交易中遭受 损失，公司将 自愿按相应 的赔偿金额 冻结自有资 金，以为公司 根据法律法 规和监管要 求赔偿投资 者损失提供 保障。</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3171"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百汇达</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
              <w:jc w:val="left"/>
              <w:rPr>
                <w:rFonts w:ascii="宋体" w:hAnsi="宋体" w:cs="宋体" w:eastAsia="宋体" w:hint="default"/>
                <w:sz w:val="18"/>
                <w:szCs w:val="18"/>
              </w:rPr>
            </w:pPr>
            <w:r>
              <w:rPr>
                <w:rFonts w:ascii="宋体" w:hAnsi="宋体" w:cs="宋体" w:eastAsia="宋体" w:hint="default"/>
                <w:sz w:val="18"/>
                <w:szCs w:val="18"/>
              </w:rPr>
              <w:t>独立性承诺、 不竞争承诺、 股份锁定承 诺、关于公平 关联交易的 承诺、关于承 担社会保险 和住房公积 金补缴义务 的承诺、根据</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、关于在人 </w:t>
            </w:r>
            <w:r>
              <w:rPr>
                <w:rFonts w:ascii="宋体" w:hAnsi="宋体" w:cs="宋体" w:eastAsia="宋体" w:hint="default"/>
                <w:spacing w:val="-2"/>
                <w:sz w:val="18"/>
                <w:szCs w:val="18"/>
              </w:rPr>
              <w:t>员、资产、财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务、机构和业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务方面独立 </w:t>
            </w:r>
            <w:r>
              <w:rPr>
                <w:rFonts w:ascii="宋体" w:hAnsi="宋体" w:cs="宋体" w:eastAsia="宋体" w:hint="default"/>
                <w:spacing w:val="-2"/>
                <w:sz w:val="18"/>
                <w:szCs w:val="18"/>
              </w:rPr>
              <w:t>的承诺函：发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行人控股股 东百汇达已 作出书面承 </w:t>
            </w:r>
            <w:r>
              <w:rPr>
                <w:rFonts w:ascii="宋体" w:hAnsi="宋体" w:cs="宋体" w:eastAsia="宋体" w:hint="default"/>
                <w:spacing w:val="-2"/>
                <w:sz w:val="18"/>
                <w:szCs w:val="18"/>
              </w:rPr>
              <w:t>诺：其将按照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法律、法规及</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3" w:right="185"/>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3" w:right="173"/>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13740"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9"/>
              <w:jc w:val="left"/>
              <w:rPr>
                <w:rFonts w:ascii="宋体" w:hAnsi="宋体" w:cs="宋体" w:eastAsia="宋体" w:hint="default"/>
                <w:sz w:val="18"/>
                <w:szCs w:val="18"/>
              </w:rPr>
            </w:pPr>
            <w:r>
              <w:rPr>
                <w:rFonts w:ascii="宋体" w:hAnsi="宋体" w:cs="宋体" w:eastAsia="宋体" w:hint="default"/>
                <w:sz w:val="18"/>
                <w:szCs w:val="18"/>
              </w:rPr>
              <w:t>《新股发行 </w:t>
            </w:r>
            <w:r>
              <w:rPr>
                <w:rFonts w:ascii="宋体" w:hAnsi="宋体" w:cs="宋体" w:eastAsia="宋体" w:hint="default"/>
                <w:spacing w:val="-2"/>
                <w:sz w:val="18"/>
                <w:szCs w:val="18"/>
              </w:rPr>
              <w:t>意见》作出的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相关承诺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公司章程依 法行使股东 </w:t>
            </w:r>
            <w:r>
              <w:rPr>
                <w:rFonts w:ascii="宋体" w:hAnsi="宋体" w:cs="宋体" w:eastAsia="宋体" w:hint="default"/>
                <w:spacing w:val="-2"/>
                <w:sz w:val="18"/>
                <w:szCs w:val="18"/>
              </w:rPr>
              <w:t>权利，不利用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股东身份影 响公司的独 </w:t>
            </w:r>
            <w:r>
              <w:rPr>
                <w:rFonts w:ascii="宋体" w:hAnsi="宋体" w:cs="宋体" w:eastAsia="宋体" w:hint="default"/>
                <w:spacing w:val="-2"/>
                <w:sz w:val="18"/>
                <w:szCs w:val="18"/>
              </w:rPr>
              <w:t>立性，保持公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司在资产、人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员、财务、业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务和机构等 方面的独立 性。</w:t>
            </w:r>
            <w:r>
              <w:rPr>
                <w:rFonts w:ascii="Times New Roman" w:hAnsi="Times New Roman" w:cs="Times New Roman" w:eastAsia="Times New Roman" w:hint="default"/>
                <w:sz w:val="18"/>
                <w:szCs w:val="18"/>
              </w:rPr>
              <w:t>2</w:t>
            </w:r>
            <w:r>
              <w:rPr>
                <w:rFonts w:ascii="宋体" w:hAnsi="宋体" w:cs="宋体" w:eastAsia="宋体" w:hint="default"/>
                <w:sz w:val="18"/>
                <w:szCs w:val="18"/>
              </w:rPr>
              <w:t>、不竞 </w:t>
            </w:r>
            <w:r>
              <w:rPr>
                <w:rFonts w:ascii="宋体" w:hAnsi="宋体" w:cs="宋体" w:eastAsia="宋体" w:hint="default"/>
                <w:spacing w:val="-2"/>
                <w:sz w:val="18"/>
                <w:szCs w:val="18"/>
              </w:rPr>
              <w:t>争承诺函：发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行人控股股 东百汇达已 作出书面承 </w:t>
            </w:r>
            <w:r>
              <w:rPr>
                <w:rFonts w:ascii="宋体" w:hAnsi="宋体" w:cs="宋体" w:eastAsia="宋体" w:hint="default"/>
                <w:spacing w:val="-2"/>
                <w:sz w:val="18"/>
                <w:szCs w:val="18"/>
              </w:rPr>
              <w:t>诺：其本身及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其投资的全 </w:t>
            </w:r>
            <w:r>
              <w:rPr>
                <w:rFonts w:ascii="宋体" w:hAnsi="宋体" w:cs="宋体" w:eastAsia="宋体" w:hint="default"/>
                <w:spacing w:val="-2"/>
                <w:sz w:val="18"/>
                <w:szCs w:val="18"/>
              </w:rPr>
              <w:t>资、控股子企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业（若有）目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前不拥有及 经营任何在 商业上与公 司正在经营 的业务有直 接竞争的业 </w:t>
            </w:r>
            <w:r>
              <w:rPr>
                <w:rFonts w:ascii="宋体" w:hAnsi="宋体" w:cs="宋体" w:eastAsia="宋体" w:hint="default"/>
                <w:spacing w:val="-2"/>
                <w:sz w:val="18"/>
                <w:szCs w:val="18"/>
              </w:rPr>
              <w:t>务；其本身并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且必将通过 法律程序使 </w:t>
            </w:r>
            <w:r>
              <w:rPr>
                <w:rFonts w:ascii="宋体" w:hAnsi="宋体" w:cs="宋体" w:eastAsia="宋体" w:hint="default"/>
                <w:spacing w:val="-2"/>
                <w:sz w:val="18"/>
                <w:szCs w:val="18"/>
              </w:rPr>
              <w:t>其全资、控股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子企业将来 均不从事任 何在商业上 与公司正在 经营的业务 有直接竞争 </w:t>
            </w:r>
            <w:r>
              <w:rPr>
                <w:rFonts w:ascii="宋体" w:hAnsi="宋体" w:cs="宋体" w:eastAsia="宋体" w:hint="default"/>
                <w:spacing w:val="-2"/>
                <w:sz w:val="18"/>
                <w:szCs w:val="18"/>
              </w:rPr>
              <w:t>的业务；如其</w:t>
            </w:r>
          </w:p>
          <w:p>
            <w:pPr>
              <w:pStyle w:val="TableParagraph"/>
              <w:spacing w:line="316" w:lineRule="auto" w:before="19"/>
              <w:ind w:left="23" w:right="19"/>
              <w:jc w:val="left"/>
              <w:rPr>
                <w:rFonts w:ascii="宋体" w:hAnsi="宋体" w:cs="宋体" w:eastAsia="宋体" w:hint="default"/>
                <w:sz w:val="18"/>
                <w:szCs w:val="18"/>
              </w:rPr>
            </w:pPr>
            <w:r>
              <w:rPr>
                <w:rFonts w:ascii="宋体" w:hAnsi="宋体" w:cs="宋体" w:eastAsia="宋体" w:hint="default"/>
                <w:sz w:val="18"/>
                <w:szCs w:val="18"/>
              </w:rPr>
              <w:t>（包括受其 控制的子企 业或其他关 </w:t>
            </w:r>
            <w:r>
              <w:rPr>
                <w:rFonts w:ascii="宋体" w:hAnsi="宋体" w:cs="宋体" w:eastAsia="宋体" w:hint="default"/>
                <w:spacing w:val="-2"/>
                <w:sz w:val="18"/>
                <w:szCs w:val="18"/>
              </w:rPr>
              <w:t>联企业）将来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经营的产品 或服务与公 司的主营产 品或服务有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可能形成竞</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争，其同意公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司有权优先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收购其与该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等产品或服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务有关的资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产或其在子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企业中的全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部股权；如因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其未履行在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承诺函中所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作的承诺给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公司造成损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失的，其将赔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偿公司的实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际损失。</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股份锁定承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诺函：发行人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控股股东百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汇达已作出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书面承诺：除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参与公开发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售的股份外，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上市前以及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自公司股票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7"/>
                <w:sz w:val="18"/>
                <w:szCs w:val="18"/>
              </w:rPr>
              <w:t> </w:t>
            </w:r>
            <w:r>
              <w:rPr>
                <w:rFonts w:ascii="宋体" w:hAnsi="宋体" w:cs="宋体" w:eastAsia="宋体" w:hint="default"/>
                <w:spacing w:val="-12"/>
                <w:sz w:val="18"/>
                <w:szCs w:val="18"/>
              </w:rPr>
              <w:t>个月内，不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转让或者委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托他人管理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其直接或间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接持有的公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司公开发行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股票前已发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行的股份</w:t>
            </w:r>
            <w:r>
              <w:rPr>
                <w:rFonts w:ascii="Times New Roman" w:hAnsi="Times New Roman" w:cs="Times New Roman" w:eastAsia="Times New Roman" w:hint="default"/>
                <w:sz w:val="18"/>
                <w:szCs w:val="18"/>
              </w:rPr>
              <w:t>,</w:t>
            </w:r>
            <w:r>
              <w:rPr>
                <w:rFonts w:ascii="宋体" w:hAnsi="宋体" w:cs="宋体" w:eastAsia="宋体" w:hint="default"/>
                <w:sz w:val="18"/>
                <w:szCs w:val="18"/>
              </w:rPr>
              <w:t>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由公司回购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该等股份。在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耿殿根任职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期间每年转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让的股份不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得超过其所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持有公司股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份总数的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；耿殿根</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998pt;width:61.8pt;height:686.55pt;mso-position-horizontal-relative:page;mso-position-vertical-relative:page;z-index:-18153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22"/>
                      <w:szCs w:val="22"/>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6"/>
              <w:jc w:val="center"/>
              <w:rPr>
                <w:rFonts w:ascii="宋体" w:hAnsi="宋体" w:cs="宋体" w:eastAsia="宋体" w:hint="default"/>
                <w:sz w:val="18"/>
                <w:szCs w:val="18"/>
              </w:rPr>
            </w:pPr>
            <w:r>
              <w:rPr>
                <w:rFonts w:ascii="宋体" w:hAnsi="宋体" w:cs="宋体" w:eastAsia="宋体" w:hint="default"/>
                <w:sz w:val="18"/>
                <w:szCs w:val="18"/>
              </w:rPr>
              <w:t>离职后六个</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5pt;mso-position-horizontal-relative:char;mso-position-vertical-relative:line" coordorigin="0,0" coordsize="1116,13731">
                  <v:group style="position:absolute;left:0;top:0;width:1116;height:13731" coordorigin="0,0" coordsize="1116,13731">
                    <v:shape style="position:absolute;left:0;top:0;width:1116;height:13731" coordorigin="0,0" coordsize="1116,13731"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月内，不得转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让其所持有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的公司股份。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若耿殿根在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公司股票上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市之日起六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个月内申报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离职，则自申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报离职之日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起十八个月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内不转让其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所持有的公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司股份；若耿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殿根在公司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股票上市之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日起第七个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月至第十二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个月之间申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报离职，则自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申报离职之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日起十二个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月内不转让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其所持有的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公司股份。</w:t>
            </w:r>
            <w:r>
              <w:rPr>
                <w:rFonts w:ascii="Times New Roman" w:hAnsi="Times New Roman" w:cs="Times New Roman" w:eastAsia="Times New Roman" w:hint="default"/>
                <w:sz w:val="18"/>
                <w:szCs w:val="18"/>
              </w:rPr>
              <w:t>4</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关于公平关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联交易的承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诺函：发行人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控股股东百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汇达已作出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书面承诺：在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不与法律、法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规相抵触的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前提下，在权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利所及范围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内，其将确保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其本身及其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全资、控股下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属企业在与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公司进行关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联交易时将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按公平、公开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的市场原则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进行，并履行</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998pt;width:61.8pt;height:686.55pt;mso-position-horizontal-relative:page;mso-position-vertical-relative:page;z-index:-18152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4"/>
                      <w:szCs w:val="14"/>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sz w:val="18"/>
                <w:szCs w:val="18"/>
              </w:rPr>
              <w:t>法律、法规、</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5pt;mso-position-horizontal-relative:char;mso-position-vertical-relative:line" coordorigin="0,0" coordsize="1116,13731">
                  <v:group style="position:absolute;left:0;top:0;width:1116;height:13731" coordorigin="0,0" coordsize="1116,13731">
                    <v:shape style="position:absolute;left:0;top:0;width:1116;height:13731" coordorigin="0,0" coordsize="1116,13731"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规范性文件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和公司章程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规定的程序。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其承诺并确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保其本身及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其全资、控股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下属企业不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通过与公司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之间的关联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交易谋求特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殊的利益，不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会进行有损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公司及其中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小股东利益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的关联交易。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、关于承担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社会保险和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住房公积金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补缴义务的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承诺函：发行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人控股股东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百汇达已作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出书面承诺：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若发行人历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史上需要补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缴任何社会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保险和住房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公积金，或因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历史上欠缴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社会保险和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住房公积金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受到任何处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罚，一切费用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和经济损失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由其承担。</w:t>
            </w:r>
            <w:r>
              <w:rPr>
                <w:rFonts w:ascii="Times New Roman" w:hAnsi="Times New Roman" w:cs="Times New Roman" w:eastAsia="Times New Roman" w:hint="default"/>
                <w:sz w:val="18"/>
                <w:szCs w:val="18"/>
              </w:rPr>
              <w:t>6</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其他承诺：根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据《意见》的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规定及发行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监管问答的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要求，发行人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控股股东百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9"/>
              <w:jc w:val="center"/>
              <w:rPr>
                <w:rFonts w:ascii="Times New Roman" w:hAnsi="Times New Roman" w:cs="Times New Roman" w:eastAsia="Times New Roman" w:hint="default"/>
                <w:sz w:val="18"/>
                <w:szCs w:val="18"/>
              </w:rPr>
            </w:pPr>
            <w:r>
              <w:rPr>
                <w:rFonts w:ascii="宋体" w:hAnsi="宋体" w:cs="宋体" w:eastAsia="宋体" w:hint="default"/>
                <w:sz w:val="18"/>
                <w:szCs w:val="18"/>
              </w:rPr>
              <w:t>汇达于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72"/>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月出具</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《承诺函</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承诺如下：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）对于光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环新网首次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票前本公司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所持的光环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新网股票，在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股票锁定期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满后的两年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内，本公司通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过证券交易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所减持已解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除限售的股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份的价格不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低于本次发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行价格。上述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减持计划应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在减持前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交易日予以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公告</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5"/>
                <w:sz w:val="18"/>
                <w:szCs w:val="18"/>
              </w:rPr>
              <w:t>）自</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光环新网上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市至本公司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减持期间，光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环新网如有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派息、送股、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资本公积金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转增股本、配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股等除权除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息事项，减持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底价下限将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相应进行调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整</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5"/>
                <w:sz w:val="18"/>
                <w:szCs w:val="18"/>
              </w:rPr>
              <w:t>）</w:t>
            </w:r>
            <w:r>
              <w:rPr>
                <w:rFonts w:ascii="宋体" w:hAnsi="宋体" w:cs="宋体" w:eastAsia="宋体" w:hint="default"/>
                <w:sz w:val="18"/>
                <w:szCs w:val="18"/>
              </w:rPr>
              <w:t>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司作为光环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新网的控股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股东，希望通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过光环新网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业绩的增长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获得股权增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值和分红回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报。截至本承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诺函出具之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日，本公司未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有减持所持</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光环新网股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份的计划或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安排</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5"/>
                <w:sz w:val="18"/>
                <w:szCs w:val="18"/>
              </w:rPr>
              <w:t>）本</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公司将严格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遵守我国法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律法规关于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控股股东持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股及股份变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动的有关规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定以及本公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司作出的股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份锁定承诺，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规范诚信履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的义务。如本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公司违反本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承诺进行减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持的，自愿将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减持所得收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益上缴光环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新网</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5</w:t>
            </w:r>
            <w:r>
              <w:rPr>
                <w:rFonts w:ascii="宋体" w:hAnsi="宋体" w:cs="宋体" w:eastAsia="宋体" w:hint="default"/>
                <w:spacing w:val="-5"/>
                <w:sz w:val="18"/>
                <w:szCs w:val="18"/>
              </w:rPr>
              <w:t>）光</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环新网本次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发行的招股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书若有虚假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记载、误导性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陈述或者重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大遗漏，对判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断光环新网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是否符合法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律规定的发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行条件构成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重大、实质影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响的，光环新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网及本公司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将依法回购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首次公开发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行的全部新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股，且本公司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将购回已转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让的原限售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股份。出现上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述情形，光环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新网将公告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回购新股的</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股份回购计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划，包括回购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股份数量、价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格区间、完成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时间等信息。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如光环新网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未能履行回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购新股的股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份回购义务，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则由本公司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履行上述义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务。本公司应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在前述违法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违规情形之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日起</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购回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期</w:t>
            </w:r>
            <w:r>
              <w:rPr>
                <w:rFonts w:ascii="Times New Roman" w:hAnsi="Times New Roman" w:cs="Times New Roman" w:eastAsia="Times New Roman" w:hint="default"/>
                <w:spacing w:val="-2"/>
                <w:w w:val="99"/>
                <w:sz w:val="18"/>
                <w:szCs w:val="18"/>
              </w:rPr>
              <w:t>"</w:t>
            </w:r>
            <w:r>
              <w:rPr>
                <w:rFonts w:ascii="宋体" w:hAnsi="宋体" w:cs="宋体" w:eastAsia="宋体" w:hint="default"/>
                <w:spacing w:val="-85"/>
                <w:sz w:val="18"/>
                <w:szCs w:val="18"/>
              </w:rPr>
              <w:t>）</w:t>
            </w:r>
            <w:r>
              <w:rPr>
                <w:rFonts w:ascii="宋体" w:hAnsi="宋体" w:cs="宋体" w:eastAsia="宋体" w:hint="default"/>
                <w:sz w:val="18"/>
                <w:szCs w:val="18"/>
              </w:rPr>
              <w:t>以市场价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格完成回购；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期间公司如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有派息、送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股、资本公积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金转增股本、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配股等除权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除息事项，购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回底价相应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进行调整。除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非交易对方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在购回期内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不接受要约，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否则本公司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将购回已转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让的全部限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售股份</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6</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本次发行的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招股书若有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虚假记载、误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导性陈述或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者重大遗漏，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致使投资者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在证券交易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中遭受损失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的，本公司将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依法赔偿投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资者损失。</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9724"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）本公司 若未能履行 上述承诺及 其他在光环 新网招股书 中披露的其 他公开承诺， 则本公司将 按有关法律、 法规的规定 及监管部门 的要求承担 相应的责任； 同时，若本公 司未履行相 关承诺致使 投资者在证 券交易中遭 受损失，本公 司将自愿按 相应的赔偿 金额申请冻 结所持有的 光环新网相 应市值的股 票，以为本公 司根据法律 法规和监管 要求赔偿投 资者损失提 供保障。</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107"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红杉资本</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8"/>
              <w:ind w:left="26" w:right="19"/>
              <w:jc w:val="left"/>
              <w:rPr>
                <w:rFonts w:ascii="宋体" w:hAnsi="宋体" w:cs="宋体" w:eastAsia="宋体" w:hint="default"/>
                <w:sz w:val="18"/>
                <w:szCs w:val="18"/>
              </w:rPr>
            </w:pPr>
            <w:r>
              <w:rPr>
                <w:rFonts w:ascii="宋体" w:hAnsi="宋体" w:cs="宋体" w:eastAsia="宋体" w:hint="default"/>
                <w:sz w:val="18"/>
                <w:szCs w:val="18"/>
              </w:rPr>
              <w:t>股份锁定承 </w:t>
            </w:r>
            <w:r>
              <w:rPr>
                <w:rFonts w:ascii="宋体" w:hAnsi="宋体" w:cs="宋体" w:eastAsia="宋体" w:hint="default"/>
                <w:spacing w:val="-2"/>
                <w:sz w:val="18"/>
                <w:szCs w:val="18"/>
              </w:rPr>
              <w:t>诺、关于公平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关联交易的 承诺、根据</w:t>
            </w:r>
          </w:p>
          <w:p>
            <w:pPr>
              <w:pStyle w:val="TableParagraph"/>
              <w:spacing w:line="316" w:lineRule="auto" w:before="19"/>
              <w:ind w:left="26" w:right="19"/>
              <w:jc w:val="left"/>
              <w:rPr>
                <w:rFonts w:ascii="宋体" w:hAnsi="宋体" w:cs="宋体" w:eastAsia="宋体" w:hint="default"/>
                <w:sz w:val="18"/>
                <w:szCs w:val="18"/>
              </w:rPr>
            </w:pPr>
            <w:r>
              <w:rPr>
                <w:rFonts w:ascii="宋体" w:hAnsi="宋体" w:cs="宋体" w:eastAsia="宋体" w:hint="default"/>
                <w:sz w:val="18"/>
                <w:szCs w:val="18"/>
              </w:rPr>
              <w:t>《新股发行 </w:t>
            </w:r>
            <w:r>
              <w:rPr>
                <w:rFonts w:ascii="宋体" w:hAnsi="宋体" w:cs="宋体" w:eastAsia="宋体" w:hint="default"/>
                <w:spacing w:val="-2"/>
                <w:sz w:val="18"/>
                <w:szCs w:val="18"/>
              </w:rPr>
              <w:t>意见》作出的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相关承诺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、股份锁定 承诺：除参与 公开发售的 股份外，对于 受让耿桂芳 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万股股 份，其自公司 股票上市之 日起三十六 个月内不转 让或者委托 他人管理所 持有的公司</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1"/>
              <w:ind w:left="23" w:right="185"/>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1"/>
              <w:ind w:left="23" w:right="173"/>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股份，不由公</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司回购该等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股份。对于通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过增资方式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取得的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480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股股份，其在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增资完成工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商变更登记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之日起三十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六个月内不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转让；自公司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股票上市之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日起十二个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月内不转让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或者委托他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人管理所持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有的公司股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份，不由公司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回购该等股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份；并且自公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司股票上市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之日起二十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四个月内，其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转让的上述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股份不超过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所持有该等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股份总额的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50%</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、公平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关联交易承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诺：在不与法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律、法规相抵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触的前提下，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在权利所及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范围内，其将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确保其本身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及其全资、控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股下属企业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在与公司进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时将按公平、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公开的市场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原则进行，并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履行法律、法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规、规范性文</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6"/>
              <w:jc w:val="center"/>
              <w:rPr>
                <w:rFonts w:ascii="宋体" w:hAnsi="宋体" w:cs="宋体" w:eastAsia="宋体" w:hint="default"/>
                <w:sz w:val="18"/>
                <w:szCs w:val="18"/>
              </w:rPr>
            </w:pPr>
            <w:r>
              <w:rPr>
                <w:rFonts w:ascii="宋体" w:hAnsi="宋体" w:cs="宋体" w:eastAsia="宋体" w:hint="default"/>
                <w:sz w:val="18"/>
                <w:szCs w:val="18"/>
              </w:rPr>
              <w:t>件和公司章</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程规定的程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序。其承诺并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确保其本本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身及其全资、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控股下属企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业不通过与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公司之间的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关联交易谋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求特殊的利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益，不会进行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有损公司及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其中小股东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利益的关联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交易。</w:t>
            </w:r>
            <w:r>
              <w:rPr>
                <w:rFonts w:ascii="Times New Roman" w:hAnsi="Times New Roman" w:cs="Times New Roman" w:eastAsia="Times New Roman" w:hint="default"/>
                <w:sz w:val="18"/>
                <w:szCs w:val="18"/>
              </w:rPr>
              <w:t>3</w:t>
            </w:r>
            <w:r>
              <w:rPr>
                <w:rFonts w:ascii="宋体" w:hAnsi="宋体" w:cs="宋体" w:eastAsia="宋体" w:hint="default"/>
                <w:sz w:val="18"/>
                <w:szCs w:val="18"/>
              </w:rPr>
              <w:t>、根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据发行监管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要求承诺如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下</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5"/>
                <w:sz w:val="18"/>
                <w:szCs w:val="18"/>
              </w:rPr>
              <w:t>）</w:t>
            </w:r>
            <w:r>
              <w:rPr>
                <w:rFonts w:ascii="宋体" w:hAnsi="宋体" w:cs="宋体" w:eastAsia="宋体" w:hint="default"/>
                <w:sz w:val="18"/>
                <w:szCs w:val="18"/>
              </w:rPr>
              <w:t>对于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公司首次公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开发行股票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前本企业所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持的公司股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票，除参与公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开发售的股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份外，在股票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锁定期满后，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本企业将通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过证券交易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所集中竞价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交易、大宗交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易等法律法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规允许的方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式按照届时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的市场价格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或大宗交易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确定的价格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进行减持。在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股票锁定期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2"/>
              <w:jc w:val="center"/>
              <w:rPr>
                <w:rFonts w:ascii="宋体" w:hAnsi="宋体" w:cs="宋体" w:eastAsia="宋体" w:hint="default"/>
                <w:sz w:val="18"/>
                <w:szCs w:val="18"/>
              </w:rPr>
            </w:pPr>
            <w:r>
              <w:rPr>
                <w:rFonts w:ascii="宋体" w:hAnsi="宋体" w:cs="宋体" w:eastAsia="宋体" w:hint="default"/>
                <w:sz w:val="18"/>
                <w:szCs w:val="18"/>
              </w:rPr>
              <w:t>满后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内，本企业计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划减持该解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除锁定部分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33%</w:t>
            </w:r>
            <w:r>
              <w:rPr>
                <w:rFonts w:ascii="宋体" w:hAnsi="宋体" w:cs="宋体" w:eastAsia="宋体" w:hint="default"/>
                <w:sz w:val="18"/>
                <w:szCs w:val="18"/>
              </w:rPr>
              <w:t>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1" w:right="0"/>
              <w:jc w:val="center"/>
              <w:rPr>
                <w:rFonts w:ascii="宋体" w:hAnsi="宋体" w:cs="宋体" w:eastAsia="宋体" w:hint="default"/>
                <w:sz w:val="18"/>
                <w:szCs w:val="18"/>
              </w:rPr>
            </w:pPr>
            <w:r>
              <w:rPr>
                <w:rFonts w:ascii="宋体" w:hAnsi="宋体" w:cs="宋体" w:eastAsia="宋体" w:hint="default"/>
                <w:sz w:val="18"/>
                <w:szCs w:val="18"/>
              </w:rPr>
              <w:t>的公司股票。</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6603"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上述减持计 划应在减持 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个交易日 予以公告。</w:t>
            </w:r>
          </w:p>
          <w:p>
            <w:pPr>
              <w:pStyle w:val="TableParagraph"/>
              <w:spacing w:line="316" w:lineRule="auto" w:before="22"/>
              <w:ind w:left="23"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）本企业 将严格遵守 我国法律法 规关于股东 持股及股份 变动的有关 规定以及本 企业作出的 股份锁定承 </w:t>
            </w:r>
            <w:r>
              <w:rPr>
                <w:rFonts w:ascii="宋体" w:hAnsi="宋体" w:cs="宋体" w:eastAsia="宋体" w:hint="default"/>
                <w:spacing w:val="-2"/>
                <w:sz w:val="18"/>
                <w:szCs w:val="18"/>
              </w:rPr>
              <w:t>诺，规范诚信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履行股东的 </w:t>
            </w:r>
            <w:r>
              <w:rPr>
                <w:rFonts w:ascii="宋体" w:hAnsi="宋体" w:cs="宋体" w:eastAsia="宋体" w:hint="default"/>
                <w:spacing w:val="-2"/>
                <w:sz w:val="18"/>
                <w:szCs w:val="18"/>
              </w:rPr>
              <w:t>义务。如本企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业违反本承 诺进行减持 </w:t>
            </w:r>
            <w:r>
              <w:rPr>
                <w:rFonts w:ascii="宋体" w:hAnsi="宋体" w:cs="宋体" w:eastAsia="宋体" w:hint="default"/>
                <w:spacing w:val="-2"/>
                <w:sz w:val="18"/>
                <w:szCs w:val="18"/>
              </w:rPr>
              <w:t>的，将承担相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应的法定责 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228"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3" w:right="0"/>
              <w:jc w:val="left"/>
              <w:rPr>
                <w:rFonts w:ascii="宋体" w:hAnsi="宋体" w:cs="宋体" w:eastAsia="宋体" w:hint="default"/>
                <w:sz w:val="18"/>
                <w:szCs w:val="18"/>
              </w:rPr>
            </w:pPr>
            <w:r>
              <w:rPr>
                <w:rFonts w:ascii="宋体" w:hAnsi="宋体" w:cs="宋体" w:eastAsia="宋体" w:hint="default"/>
                <w:sz w:val="18"/>
                <w:szCs w:val="18"/>
              </w:rPr>
              <w:t>耿桂芳</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股份锁定承 </w:t>
            </w:r>
            <w:r>
              <w:rPr>
                <w:rFonts w:ascii="宋体" w:hAnsi="宋体" w:cs="宋体" w:eastAsia="宋体" w:hint="default"/>
                <w:spacing w:val="-2"/>
                <w:sz w:val="18"/>
                <w:szCs w:val="18"/>
              </w:rPr>
              <w:t>诺、关于公平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关联交易的 </w:t>
            </w:r>
            <w:r>
              <w:rPr>
                <w:rFonts w:ascii="宋体" w:hAnsi="宋体" w:cs="宋体" w:eastAsia="宋体" w:hint="default"/>
                <w:spacing w:val="-2"/>
                <w:sz w:val="18"/>
                <w:szCs w:val="18"/>
              </w:rPr>
              <w:t>承诺、不竞争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承诺、根据</w:t>
            </w:r>
          </w:p>
          <w:p>
            <w:pPr>
              <w:pStyle w:val="TableParagraph"/>
              <w:spacing w:line="316" w:lineRule="auto" w:before="19"/>
              <w:ind w:left="26" w:right="19"/>
              <w:jc w:val="left"/>
              <w:rPr>
                <w:rFonts w:ascii="宋体" w:hAnsi="宋体" w:cs="宋体" w:eastAsia="宋体" w:hint="default"/>
                <w:sz w:val="18"/>
                <w:szCs w:val="18"/>
              </w:rPr>
            </w:pPr>
            <w:r>
              <w:rPr>
                <w:rFonts w:ascii="宋体" w:hAnsi="宋体" w:cs="宋体" w:eastAsia="宋体" w:hint="default"/>
                <w:sz w:val="18"/>
                <w:szCs w:val="18"/>
              </w:rPr>
              <w:t>《新股发现 </w:t>
            </w:r>
            <w:r>
              <w:rPr>
                <w:rFonts w:ascii="宋体" w:hAnsi="宋体" w:cs="宋体" w:eastAsia="宋体" w:hint="default"/>
                <w:spacing w:val="-2"/>
                <w:sz w:val="18"/>
                <w:szCs w:val="18"/>
              </w:rPr>
              <w:t>意见》作出的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、股份锁定 承诺：除参与 公开发售的 股份外，其在 公司股票上 市前以及自 公司股票上 市之日起三 十六个月内， 不转让或者 委托他人管 理其直接或 间接持有的 公司公开发 行股票前已 发行的股份， 也不由公司 回购该等股 份；在耿殿根 在公司任职 期间每年转 让的股份不 超过所持有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3" w:right="185"/>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3" w:right="173"/>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公司股份总</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数的</w:t>
            </w:r>
            <w:r>
              <w:rPr>
                <w:rFonts w:ascii="宋体" w:hAnsi="宋体" w:cs="宋体" w:eastAsia="宋体" w:hint="default"/>
                <w:spacing w:val="-42"/>
                <w:sz w:val="18"/>
                <w:szCs w:val="18"/>
              </w:rPr>
              <w:t> </w:t>
            </w:r>
            <w:r>
              <w:rPr>
                <w:rFonts w:ascii="Times New Roman" w:hAnsi="Times New Roman" w:cs="Times New Roman" w:eastAsia="Times New Roman" w:hint="default"/>
                <w:spacing w:val="-10"/>
                <w:sz w:val="18"/>
                <w:szCs w:val="18"/>
              </w:rPr>
              <w:t>25%</w:t>
            </w:r>
            <w:r>
              <w:rPr>
                <w:rFonts w:ascii="宋体" w:hAnsi="宋体" w:cs="宋体" w:eastAsia="宋体" w:hint="default"/>
                <w:spacing w:val="-10"/>
                <w:sz w:val="18"/>
                <w:szCs w:val="18"/>
              </w:rPr>
              <w:t>；在</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耿殿根离职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后六个月内，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不转让所持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有的公司股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份。若耿殿根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六个月内申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报离职，则其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自耿殿根申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报离职之日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起十八个月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内不转让所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持有的公司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股份；若耿殿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根在公司股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票上市之日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起第七个月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至第十二个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月之间申报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离职，则其自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耿殿根申报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离职之日起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十二个月内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不转让所持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有的公司股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w:t>
            </w:r>
            <w:r>
              <w:rPr>
                <w:rFonts w:ascii="Times New Roman" w:hAnsi="Times New Roman" w:cs="Times New Roman" w:eastAsia="Times New Roman" w:hint="default"/>
                <w:sz w:val="18"/>
                <w:szCs w:val="18"/>
              </w:rPr>
              <w:t>2</w:t>
            </w:r>
            <w:r>
              <w:rPr>
                <w:rFonts w:ascii="宋体" w:hAnsi="宋体" w:cs="宋体" w:eastAsia="宋体" w:hint="default"/>
                <w:sz w:val="18"/>
                <w:szCs w:val="18"/>
              </w:rPr>
              <w:t>、公平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关联交易承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诺：其均将促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使其本人所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控制的企业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（若有）与公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司之间的任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何交易按公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平的市场原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则和正常的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商业条件进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行，并履行必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经的法律程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序；其本人并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将促使其本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人所控制的</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998pt;width:61.8pt;height:686.55pt;mso-position-horizontal-relative:page;mso-position-vertical-relative:page;z-index:-18152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1"/>
                      <w:szCs w:val="21"/>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sz w:val="18"/>
                <w:szCs w:val="18"/>
              </w:rPr>
              <w:t>企业（若有）</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5pt;mso-position-horizontal-relative:char;mso-position-vertical-relative:line" coordorigin="0,0" coordsize="1116,13731">
                  <v:group style="position:absolute;left:0;top:0;width:1116;height:13731" coordorigin="0,0" coordsize="1116,13731">
                    <v:shape style="position:absolute;left:0;top:0;width:1116;height:13731" coordorigin="0,0" coordsize="1116,13731"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不要求或接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受公司给予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任何优于在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一项市场公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平交易中的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第三者所能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给予的条件，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不产生有损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公司及其股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东利益的交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易。其本人并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将促使其本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人所控制的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企业（若有）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在经营业务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中不利用其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在公司的地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位转移利润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或从事其他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行为来损害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公司及其股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东的利益。</w:t>
            </w:r>
            <w:r>
              <w:rPr>
                <w:rFonts w:ascii="Times New Roman" w:hAnsi="Times New Roman" w:cs="Times New Roman" w:eastAsia="Times New Roman" w:hint="default"/>
                <w:sz w:val="18"/>
                <w:szCs w:val="18"/>
              </w:rPr>
              <w:t>3</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1" w:right="0"/>
              <w:jc w:val="center"/>
              <w:rPr>
                <w:rFonts w:ascii="宋体" w:hAnsi="宋体" w:cs="宋体" w:eastAsia="宋体" w:hint="default"/>
                <w:sz w:val="18"/>
                <w:szCs w:val="18"/>
              </w:rPr>
            </w:pPr>
            <w:r>
              <w:rPr>
                <w:rFonts w:ascii="宋体" w:hAnsi="宋体" w:cs="宋体" w:eastAsia="宋体" w:hint="default"/>
                <w:sz w:val="18"/>
                <w:szCs w:val="18"/>
              </w:rPr>
              <w:t>不竞争承诺：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其本身及其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投资的全资、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控股子企业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（若有）目前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不拥有及经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营任何在商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业上与公司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正在经营的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业务有直接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竞争的业务；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其本身并且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必将通过法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律程序使其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全资、控股子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企业将来均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不从事任何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在商业上与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公司正在经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营的业务有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直接竞争的</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业务；如其本</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身（包括受其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控制的子企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业或其他关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联企业）将来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经营的产品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或服务与公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司的主营产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品或服务有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可能形成竞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争，其同意公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司有权优先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收购其与该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等产品或服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务有关的资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产或其在子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企业中的全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部股权；如因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其未履行在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承诺函中所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作的承诺给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公司造成损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失的，其将赔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偿公司的实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际损失。</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1" w:right="0"/>
              <w:jc w:val="center"/>
              <w:rPr>
                <w:rFonts w:ascii="宋体" w:hAnsi="宋体" w:cs="宋体" w:eastAsia="宋体" w:hint="default"/>
                <w:sz w:val="18"/>
                <w:szCs w:val="18"/>
              </w:rPr>
            </w:pPr>
            <w:r>
              <w:rPr>
                <w:rFonts w:ascii="宋体" w:hAnsi="宋体" w:cs="宋体" w:eastAsia="宋体" w:hint="default"/>
                <w:sz w:val="18"/>
                <w:szCs w:val="18"/>
              </w:rPr>
              <w:t>根据《意见》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和发行监管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要求提出承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诺</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5"/>
                <w:sz w:val="18"/>
                <w:szCs w:val="18"/>
              </w:rPr>
              <w:t>）</w:t>
            </w:r>
            <w:r>
              <w:rPr>
                <w:rFonts w:ascii="宋体" w:hAnsi="宋体" w:cs="宋体" w:eastAsia="宋体" w:hint="default"/>
                <w:sz w:val="18"/>
                <w:szCs w:val="18"/>
              </w:rPr>
              <w:t>对于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公司首次公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开发行股票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前本人所持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的公司股票，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在股票锁定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期满后的两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年内，本人通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过证券交易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所减持已解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除限售的股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份的价格不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低于本次发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行价格。上述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减持计划应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在减持前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2532"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交易日予以 </w:t>
            </w:r>
            <w:r>
              <w:rPr>
                <w:rFonts w:ascii="宋体" w:hAnsi="宋体" w:cs="宋体" w:eastAsia="宋体" w:hint="default"/>
                <w:spacing w:val="-15"/>
                <w:sz w:val="18"/>
                <w:szCs w:val="18"/>
              </w:rPr>
              <w:t>公告。（</w:t>
            </w: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）自</w:t>
            </w:r>
            <w:r>
              <w:rPr>
                <w:rFonts w:ascii="宋体" w:hAnsi="宋体" w:cs="宋体" w:eastAsia="宋体" w:hint="default"/>
                <w:spacing w:val="-5"/>
                <w:sz w:val="18"/>
                <w:szCs w:val="18"/>
              </w:rPr>
              <w:t> </w:t>
            </w:r>
            <w:r>
              <w:rPr>
                <w:rFonts w:ascii="宋体" w:hAnsi="宋体" w:cs="宋体" w:eastAsia="宋体" w:hint="default"/>
                <w:sz w:val="18"/>
                <w:szCs w:val="18"/>
              </w:rPr>
              <w:t>公司上市至</w:t>
            </w:r>
            <w:r>
              <w:rPr>
                <w:rFonts w:ascii="宋体" w:hAnsi="宋体" w:cs="宋体" w:eastAsia="宋体" w:hint="default"/>
                <w:sz w:val="18"/>
                <w:szCs w:val="18"/>
              </w:rPr>
              <w:t> 本人减持期 间，公司如有 派息、送股、 资本公积金 转增股本、配 股等除权除 息事项，减持 底价下限将 相应进行调 </w:t>
            </w:r>
            <w:r>
              <w:rPr>
                <w:rFonts w:ascii="宋体" w:hAnsi="宋体" w:cs="宋体" w:eastAsia="宋体" w:hint="default"/>
                <w:spacing w:val="-15"/>
                <w:sz w:val="18"/>
                <w:szCs w:val="18"/>
              </w:rPr>
              <w:t>整。（</w:t>
            </w:r>
            <w:r>
              <w:rPr>
                <w:rFonts w:ascii="Times New Roman" w:hAnsi="Times New Roman" w:cs="Times New Roman" w:eastAsia="Times New Roman" w:hint="default"/>
                <w:spacing w:val="-15"/>
                <w:sz w:val="18"/>
                <w:szCs w:val="18"/>
              </w:rPr>
              <w:t>3</w:t>
            </w:r>
            <w:r>
              <w:rPr>
                <w:rFonts w:ascii="宋体" w:hAnsi="宋体" w:cs="宋体" w:eastAsia="宋体" w:hint="default"/>
                <w:spacing w:val="-15"/>
                <w:sz w:val="18"/>
                <w:szCs w:val="18"/>
              </w:rPr>
              <w:t>）本人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希望通过公 司业绩的增 长获得股权 增值和分红 回报。截至本</w:t>
            </w:r>
            <w:r>
              <w:rPr>
                <w:rFonts w:ascii="宋体" w:hAnsi="宋体" w:cs="宋体" w:eastAsia="宋体" w:hint="default"/>
                <w:sz w:val="18"/>
                <w:szCs w:val="18"/>
              </w:rPr>
              <w:t> 说明函出具 之日，本人未 有减持所持 公司股份的 计划或安排。</w:t>
            </w:r>
          </w:p>
          <w:p>
            <w:pPr>
              <w:pStyle w:val="TableParagraph"/>
              <w:spacing w:line="316" w:lineRule="auto" w:before="19"/>
              <w:ind w:left="23" w:right="1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）本人将 严格遵守我 国法律法规 关于股东持 股及股份变 动的有关规 定以及本人 作出的股份 锁定承诺，规 范诚信履行 股东的义务。 如本人违反 本承诺进行 减持的，自愿 将减持所得 收益上缴公 司。</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29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3" w:right="187"/>
              <w:jc w:val="left"/>
              <w:rPr>
                <w:rFonts w:ascii="宋体" w:hAnsi="宋体" w:cs="宋体" w:eastAsia="宋体" w:hint="default"/>
                <w:sz w:val="18"/>
                <w:szCs w:val="18"/>
              </w:rPr>
            </w:pPr>
            <w:r>
              <w:rPr>
                <w:rFonts w:ascii="宋体" w:hAnsi="宋体" w:cs="宋体" w:eastAsia="宋体" w:hint="default"/>
                <w:sz w:val="18"/>
                <w:szCs w:val="18"/>
              </w:rPr>
              <w:t>耿岩、郭明 强、王路</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6" w:right="191"/>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0"/>
              <w:jc w:val="both"/>
              <w:rPr>
                <w:rFonts w:ascii="宋体" w:hAnsi="宋体" w:cs="宋体" w:eastAsia="宋体" w:hint="default"/>
                <w:sz w:val="18"/>
                <w:szCs w:val="18"/>
              </w:rPr>
            </w:pPr>
            <w:r>
              <w:rPr>
                <w:rFonts w:ascii="宋体" w:hAnsi="宋体" w:cs="宋体" w:eastAsia="宋体" w:hint="default"/>
                <w:sz w:val="18"/>
                <w:szCs w:val="18"/>
              </w:rPr>
              <w:t>其在公司股 票上市前以 及自公司股 票上市之日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3" w:right="185"/>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3" w:right="173"/>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bl>
    <w:p>
      <w:pPr>
        <w:spacing w:after="0" w:line="316" w:lineRule="auto"/>
        <w:jc w:val="both"/>
        <w:rPr>
          <w:rFonts w:ascii="宋体" w:hAnsi="宋体" w:cs="宋体" w:eastAsia="宋体" w:hint="default"/>
          <w:sz w:val="18"/>
          <w:szCs w:val="18"/>
        </w:rPr>
        <w:sectPr>
          <w:footerReference w:type="default" r:id="rId18"/>
          <w:pgSz w:w="11910" w:h="16840"/>
          <w:pgMar w:footer="979" w:header="745"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起三十六个</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月内，不转让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或者委托他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人管理其直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接或间接持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有的公司公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开发行股票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前已发行的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股份，也不由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公司回购该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等股份；在耿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殿根在公司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任职期间每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年转让的股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份不超过所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持有公司股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份总数的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；在耿殿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根离职后六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个月内，不转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让所持有的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公司股份。若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耿殿根在公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司股票上市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之日起六个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月内申报离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职，则其自耿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殿根申报离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职之日起十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八个月内不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转让所持有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的公司股份；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若耿殿根在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公司股票上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市之日起第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七个月至第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十二个月之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间申报离职，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则其自耿殿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根申报离职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之日起十二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个月内不转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让所持有的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60"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公司股份。</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footerReference w:type="default" r:id="rId19"/>
          <w:pgSz w:w="11910" w:h="16840"/>
          <w:pgMar w:footer="979" w:header="745" w:top="1060" w:bottom="1160" w:left="980" w:right="98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13468"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百汇达</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避免同业竞 争的承诺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本公司拟与 光环新网共 同投资科信 盛彩（以下简 称</w:t>
            </w:r>
            <w:r>
              <w:rPr>
                <w:rFonts w:ascii="Times New Roman" w:hAnsi="Times New Roman" w:cs="Times New Roman" w:eastAsia="Times New Roman" w:hint="default"/>
                <w:sz w:val="18"/>
                <w:szCs w:val="18"/>
              </w:rPr>
              <w:t>"</w:t>
            </w:r>
            <w:r>
              <w:rPr>
                <w:rFonts w:ascii="宋体" w:hAnsi="宋体" w:cs="宋体" w:eastAsia="宋体" w:hint="default"/>
                <w:sz w:val="18"/>
                <w:szCs w:val="18"/>
              </w:rPr>
              <w:t>标的公司 </w:t>
            </w:r>
            <w:r>
              <w:rPr>
                <w:rFonts w:ascii="Times New Roman" w:hAnsi="Times New Roman" w:cs="Times New Roman" w:eastAsia="Times New Roman" w:hint="default"/>
                <w:spacing w:val="-14"/>
                <w:w w:val="99"/>
                <w:sz w:val="18"/>
                <w:szCs w:val="18"/>
              </w:rPr>
              <w:t>"</w:t>
            </w:r>
            <w:r>
              <w:rPr>
                <w:rFonts w:ascii="宋体" w:hAnsi="宋体" w:cs="宋体" w:eastAsia="宋体" w:hint="default"/>
                <w:spacing w:val="-14"/>
                <w:w w:val="99"/>
                <w:sz w:val="18"/>
                <w:szCs w:val="18"/>
              </w:rPr>
              <w:t>），其中光环</w:t>
            </w:r>
            <w:r>
              <w:rPr>
                <w:rFonts w:ascii="宋体" w:hAnsi="宋体" w:cs="宋体" w:eastAsia="宋体" w:hint="default"/>
                <w:spacing w:val="-86"/>
                <w:w w:val="99"/>
                <w:sz w:val="18"/>
                <w:szCs w:val="18"/>
              </w:rPr>
              <w:t> </w:t>
            </w:r>
            <w:r>
              <w:rPr>
                <w:rFonts w:ascii="宋体" w:hAnsi="宋体" w:cs="宋体" w:eastAsia="宋体" w:hint="default"/>
                <w:spacing w:val="-86"/>
                <w:w w:val="99"/>
                <w:sz w:val="18"/>
                <w:szCs w:val="18"/>
              </w:rPr>
            </w:r>
            <w:r>
              <w:rPr>
                <w:rFonts w:ascii="宋体" w:hAnsi="宋体" w:cs="宋体" w:eastAsia="宋体" w:hint="default"/>
                <w:sz w:val="18"/>
                <w:szCs w:val="18"/>
              </w:rPr>
              <w:t>新网投资人 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6,870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元持有其 </w:t>
            </w:r>
            <w:r>
              <w:rPr>
                <w:rFonts w:ascii="Times New Roman" w:hAnsi="Times New Roman" w:cs="Times New Roman" w:eastAsia="Times New Roman" w:hint="default"/>
                <w:sz w:val="18"/>
                <w:szCs w:val="18"/>
              </w:rPr>
              <w:t>15%</w:t>
            </w:r>
            <w:r>
              <w:rPr>
                <w:rFonts w:ascii="宋体" w:hAnsi="宋体" w:cs="宋体" w:eastAsia="宋体" w:hint="default"/>
                <w:sz w:val="18"/>
                <w:szCs w:val="18"/>
              </w:rPr>
              <w:t>的股权， 本公司投资 人民币</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16,488 </w:t>
            </w:r>
            <w:r>
              <w:rPr>
                <w:rFonts w:ascii="宋体" w:hAnsi="宋体" w:cs="宋体" w:eastAsia="宋体" w:hint="default"/>
                <w:sz w:val="18"/>
                <w:szCs w:val="18"/>
              </w:rPr>
              <w:t>万元持有其 </w:t>
            </w:r>
            <w:r>
              <w:rPr>
                <w:rFonts w:ascii="Times New Roman" w:hAnsi="Times New Roman" w:cs="Times New Roman" w:eastAsia="Times New Roman" w:hint="default"/>
                <w:sz w:val="18"/>
                <w:szCs w:val="18"/>
              </w:rPr>
              <w:t>36%</w:t>
            </w:r>
            <w:r>
              <w:rPr>
                <w:rFonts w:ascii="宋体" w:hAnsi="宋体" w:cs="宋体" w:eastAsia="宋体" w:hint="default"/>
                <w:sz w:val="18"/>
                <w:szCs w:val="18"/>
              </w:rPr>
              <w:t>的股权。 本公司作为 光环新网的 控股股东，为 避免与光环 新网产生同 业竞争，本公 司承诺如下： </w:t>
            </w:r>
            <w:r>
              <w:rPr>
                <w:rFonts w:ascii="Times New Roman" w:hAnsi="Times New Roman" w:cs="Times New Roman" w:eastAsia="Times New Roman" w:hint="default"/>
                <w:sz w:val="18"/>
                <w:szCs w:val="18"/>
              </w:rPr>
              <w:t>1</w:t>
            </w:r>
            <w:r>
              <w:rPr>
                <w:rFonts w:ascii="宋体" w:hAnsi="宋体" w:cs="宋体" w:eastAsia="宋体" w:hint="default"/>
                <w:sz w:val="18"/>
                <w:szCs w:val="18"/>
              </w:rPr>
              <w:t>、在标的公 司投资建设 的亦庄绿色 云计算基地 项目建设完 成后（建设期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 内，本公司将 书面通知光 环新网按照 市场公允价 格转让本公 司持有的标 的公司全部 股权，光环新 网享有在同 等条件下的 优先购买权； 光环新网也 可根据实际 情况提前向 本公司提出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3" w:right="185"/>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3" w:right="170"/>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收购请求，如</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光环新网提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前提出收购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请求，则百汇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达将在公司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提出收购请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求后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启动转让程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序，按照市场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公允价格转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让给光环新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网；</w:t>
            </w:r>
            <w:r>
              <w:rPr>
                <w:rFonts w:ascii="Times New Roman" w:hAnsi="Times New Roman" w:cs="Times New Roman" w:eastAsia="Times New Roman" w:hint="default"/>
                <w:sz w:val="18"/>
                <w:szCs w:val="18"/>
              </w:rPr>
              <w:t>2</w:t>
            </w:r>
            <w:r>
              <w:rPr>
                <w:rFonts w:ascii="宋体" w:hAnsi="宋体" w:cs="宋体" w:eastAsia="宋体" w:hint="default"/>
                <w:sz w:val="18"/>
                <w:szCs w:val="18"/>
              </w:rPr>
              <w:t>、如果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相关方在同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等条件下根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据有关法律、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公司章程或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其他协议具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有并且将要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行使法定或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约定的优先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购买权，则本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公司将尽最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大努力促使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该等相关方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放弃行使其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法定或约定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的优先购买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w:t>
            </w:r>
            <w:r>
              <w:rPr>
                <w:rFonts w:ascii="Times New Roman" w:hAnsi="Times New Roman" w:cs="Times New Roman" w:eastAsia="Times New Roman" w:hint="default"/>
                <w:sz w:val="18"/>
                <w:szCs w:val="18"/>
              </w:rPr>
              <w:t>3</w:t>
            </w:r>
            <w:r>
              <w:rPr>
                <w:rFonts w:ascii="宋体" w:hAnsi="宋体" w:cs="宋体" w:eastAsia="宋体" w:hint="default"/>
                <w:sz w:val="18"/>
                <w:szCs w:val="18"/>
              </w:rPr>
              <w:t>、如公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司放弃优先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购买权，则本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公司在光环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新网放弃优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先购买权后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个月内将持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有的标的公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司股权转让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给第三方或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进行相应的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处置；</w:t>
            </w:r>
            <w:r>
              <w:rPr>
                <w:rFonts w:ascii="Times New Roman" w:hAnsi="Times New Roman" w:cs="Times New Roman" w:eastAsia="Times New Roman" w:hint="default"/>
                <w:sz w:val="18"/>
                <w:szCs w:val="18"/>
              </w:rPr>
              <w:t>4</w:t>
            </w:r>
            <w:r>
              <w:rPr>
                <w:rFonts w:ascii="宋体" w:hAnsi="宋体" w:cs="宋体" w:eastAsia="宋体" w:hint="default"/>
                <w:sz w:val="18"/>
                <w:szCs w:val="18"/>
              </w:rPr>
              <w:t>、如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本公司违反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上述承诺给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光环新网造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成任何损失，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本公司将承</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90.61998pt;width:61.8pt;height:318.9pt;mso-position-horizontal-relative:page;mso-position-vertical-relative:page;z-index:-18151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4"/>
                      <w:szCs w:val="24"/>
                    </w:rPr>
                  </w:pPr>
                </w:p>
                <w:p>
                  <w:pPr>
                    <w:pStyle w:val="BodyText"/>
                    <w:spacing w:line="240" w:lineRule="auto"/>
                    <w:ind w:left="0" w:right="0"/>
                    <w:jc w:val="left"/>
                  </w:pPr>
                  <w:r>
                    <w:rPr/>
                    <w:t>、</w:t>
                  </w:r>
                </w:p>
              </w:txbxContent>
            </v:textbox>
            <w10:wrap type="none"/>
          </v:shape>
        </w:pict>
      </w:r>
      <w:r>
        <w:rPr/>
        <w:pict>
          <v:group style="position:absolute;margin-left:367.630005pt;margin-top:90.61998pt;width:55.8pt;height:318.9pt;mso-position-horizontal-relative:page;mso-position-vertical-relative:page;z-index:-1815160" coordorigin="7353,1812" coordsize="1116,6378">
            <v:shape style="position:absolute;left:7353;top:1812;width:1116;height:6378" coordorigin="7353,1812" coordsize="1116,6378" path="m7353,8190l8469,8190,8469,1812,7353,1812,7353,819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63"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担赔偿责任。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本企业拟与</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关联方光环</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新网共同投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资科信盛彩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标的公司</w:t>
            </w:r>
            <w:r>
              <w:rPr>
                <w:rFonts w:ascii="Times New Roman" w:hAnsi="Times New Roman" w:cs="Times New Roman" w:eastAsia="Times New Roman" w:hint="default"/>
                <w:spacing w:val="-2"/>
                <w:w w:val="9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其中光环新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网投资人民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6,870 </w:t>
            </w:r>
            <w:r>
              <w:rPr>
                <w:rFonts w:ascii="宋体" w:hAnsi="宋体" w:cs="宋体" w:eastAsia="宋体" w:hint="default"/>
                <w:sz w:val="18"/>
                <w:szCs w:val="18"/>
              </w:rPr>
              <w:t>万元</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持有其</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15%</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的股权，本企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业投资人民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6,870 </w:t>
            </w:r>
            <w:r>
              <w:rPr>
                <w:rFonts w:ascii="宋体" w:hAnsi="宋体" w:cs="宋体" w:eastAsia="宋体" w:hint="default"/>
                <w:sz w:val="18"/>
                <w:szCs w:val="18"/>
              </w:rPr>
              <w:t>万元</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持有其</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15%</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的股权。为避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免与光环新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网产生同业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竞争，本公司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承诺如下：</w:t>
            </w:r>
            <w:r>
              <w:rPr>
                <w:rFonts w:ascii="Times New Roman" w:hAnsi="Times New Roman" w:cs="Times New Roman" w:eastAsia="Times New Roman" w:hint="default"/>
                <w:sz w:val="18"/>
                <w:szCs w:val="18"/>
              </w:rPr>
              <w:t>1</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1311"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316" w:lineRule="auto" w:before="142"/>
              <w:ind w:left="23" w:right="19"/>
              <w:jc w:val="left"/>
              <w:rPr>
                <w:rFonts w:ascii="宋体" w:hAnsi="宋体" w:cs="宋体" w:eastAsia="宋体" w:hint="default"/>
                <w:sz w:val="18"/>
                <w:szCs w:val="18"/>
              </w:rPr>
            </w:pPr>
            <w:r>
              <w:rPr>
                <w:rFonts w:ascii="宋体" w:hAnsi="宋体" w:cs="宋体" w:eastAsia="宋体" w:hint="default"/>
                <w:sz w:val="18"/>
                <w:szCs w:val="18"/>
              </w:rPr>
              <w:t>共青城云创 投资管理合 </w:t>
            </w:r>
            <w:r>
              <w:rPr>
                <w:rFonts w:ascii="宋体" w:hAnsi="宋体" w:cs="宋体" w:eastAsia="宋体" w:hint="default"/>
                <w:spacing w:val="-3"/>
                <w:sz w:val="18"/>
                <w:szCs w:val="18"/>
              </w:rPr>
              <w:t>伙企业（有限</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合伙）</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避免同业竞 争的承诺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9" w:lineRule="auto" w:before="5"/>
              <w:ind w:left="23" w:right="190"/>
              <w:jc w:val="both"/>
              <w:rPr>
                <w:rFonts w:ascii="宋体" w:hAnsi="宋体" w:cs="宋体" w:eastAsia="宋体" w:hint="default"/>
                <w:sz w:val="18"/>
                <w:szCs w:val="18"/>
              </w:rPr>
            </w:pPr>
            <w:r>
              <w:rPr>
                <w:rFonts w:ascii="宋体" w:hAnsi="宋体" w:cs="宋体" w:eastAsia="宋体" w:hint="default"/>
                <w:sz w:val="18"/>
                <w:szCs w:val="18"/>
              </w:rPr>
              <w:t>在标的公司 投资建设的 光环新网亦 庄绿色云计</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6" w:lineRule="auto"/>
              <w:ind w:left="23" w:right="185"/>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6" w:lineRule="auto"/>
              <w:ind w:left="23" w:right="170"/>
              <w:jc w:val="both"/>
              <w:rPr>
                <w:rFonts w:ascii="宋体" w:hAnsi="宋体" w:cs="宋体" w:eastAsia="宋体" w:hint="default"/>
                <w:sz w:val="18"/>
                <w:szCs w:val="18"/>
              </w:rPr>
            </w:pPr>
            <w:r>
              <w:rPr>
                <w:rFonts w:ascii="宋体" w:hAnsi="宋体" w:cs="宋体" w:eastAsia="宋体" w:hint="default"/>
                <w:sz w:val="18"/>
                <w:szCs w:val="18"/>
              </w:rPr>
              <w:t>报告期内承 诺人遵守了 所做承诺。</w:t>
            </w:r>
          </w:p>
        </w:tc>
      </w:tr>
      <w:tr>
        <w:trPr>
          <w:trHeight w:val="245"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算基地项目</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建设完成后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（建设期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6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内，本企业将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书面通知上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市公司将按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照市场公允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价格转让本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企业持有的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标的公司的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全部股权，上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市公司享有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在同等条件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下的优先购</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买权；上市公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司也可根据</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实际情况提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前向本企业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提出收购请</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求，如上市公</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司提前提出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收购请求，则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本企业将在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上市公司提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出收购请求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启动转让程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序，按照市场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公允价格转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让给上市公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2</w:t>
            </w:r>
            <w:r>
              <w:rPr>
                <w:rFonts w:ascii="宋体" w:hAnsi="宋体" w:cs="宋体" w:eastAsia="宋体" w:hint="default"/>
                <w:sz w:val="18"/>
                <w:szCs w:val="18"/>
              </w:rPr>
              <w:t>、如果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相关方在同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等条件下根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据有关法律、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标的公司公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司章程或其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他协议具有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并且将要行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使法定或约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定的优先购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买权，则本企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业将尽最大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努力促使该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等相关方放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弃行使其法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定或约定的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优先购买权；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、如上市公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司放弃优先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购买权，则本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企业在上市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公司放弃优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先购买权后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个月内将持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有的标的公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司的股权转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让给第三方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或进行相应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的处置；</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如本企业违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反上述承诺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给上市公司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造成任何损</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98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pacing w:val="-2"/>
                <w:sz w:val="18"/>
                <w:szCs w:val="18"/>
              </w:rPr>
              <w:t>失的，本企业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将承担赔偿 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2897"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9"/>
              <w:jc w:val="left"/>
              <w:rPr>
                <w:rFonts w:ascii="宋体" w:hAnsi="宋体" w:cs="宋体" w:eastAsia="宋体" w:hint="default"/>
                <w:sz w:val="18"/>
                <w:szCs w:val="18"/>
              </w:rPr>
            </w:pPr>
            <w:r>
              <w:rPr>
                <w:rFonts w:ascii="宋体" w:hAnsi="宋体" w:cs="宋体" w:eastAsia="宋体" w:hint="default"/>
                <w:spacing w:val="-3"/>
                <w:sz w:val="18"/>
                <w:szCs w:val="18"/>
              </w:rPr>
              <w:t>百汇达、郑善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伟</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6" w:right="191"/>
              <w:jc w:val="both"/>
              <w:rPr>
                <w:rFonts w:ascii="宋体" w:hAnsi="宋体" w:cs="宋体" w:eastAsia="宋体" w:hint="default"/>
                <w:sz w:val="18"/>
                <w:szCs w:val="18"/>
              </w:rPr>
            </w:pPr>
            <w:r>
              <w:rPr>
                <w:rFonts w:ascii="宋体" w:hAnsi="宋体" w:cs="宋体" w:eastAsia="宋体" w:hint="default"/>
                <w:sz w:val="18"/>
                <w:szCs w:val="18"/>
              </w:rPr>
              <w:t>六个月内不 减持公司股 份承诺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43"/>
              <w:jc w:val="both"/>
              <w:rPr>
                <w:rFonts w:ascii="Times New Roman" w:hAnsi="Times New Roman" w:cs="Times New Roman" w:eastAsia="Times New Roman" w:hint="default"/>
                <w:sz w:val="18"/>
                <w:szCs w:val="18"/>
              </w:rPr>
            </w:pPr>
            <w:r>
              <w:rPr>
                <w:rFonts w:ascii="宋体" w:hAnsi="宋体" w:cs="宋体" w:eastAsia="宋体" w:hint="default"/>
                <w:sz w:val="18"/>
                <w:szCs w:val="18"/>
              </w:rPr>
              <w:t>在公司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年度报告披 露后六个月 内（即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p>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p>
            <w:pPr>
              <w:pStyle w:val="TableParagraph"/>
              <w:spacing w:line="309" w:lineRule="auto" w:before="63"/>
              <w:ind w:left="23" w:right="96"/>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日）不 减持公司股 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70"/>
              <w:jc w:val="both"/>
              <w:rPr>
                <w:rFonts w:ascii="宋体" w:hAnsi="宋体" w:cs="宋体" w:eastAsia="宋体" w:hint="default"/>
                <w:sz w:val="18"/>
                <w:szCs w:val="18"/>
              </w:rPr>
            </w:pPr>
            <w:r>
              <w:rPr>
                <w:rFonts w:ascii="宋体" w:hAnsi="宋体" w:cs="宋体" w:eastAsia="宋体" w:hint="default"/>
                <w:sz w:val="18"/>
                <w:szCs w:val="18"/>
              </w:rPr>
              <w:t>报告期内承 诺人承诺事 项已履行完 毕。</w:t>
            </w:r>
          </w:p>
        </w:tc>
      </w:tr>
      <w:tr>
        <w:trPr>
          <w:trHeight w:val="6332"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7"/>
              <w:jc w:val="left"/>
              <w:rPr>
                <w:rFonts w:ascii="宋体" w:hAnsi="宋体" w:cs="宋体" w:eastAsia="宋体" w:hint="default"/>
                <w:sz w:val="18"/>
                <w:szCs w:val="18"/>
              </w:rPr>
            </w:pPr>
            <w:r>
              <w:rPr>
                <w:rFonts w:ascii="宋体" w:hAnsi="宋体" w:cs="宋体" w:eastAsia="宋体" w:hint="default"/>
                <w:spacing w:val="-3"/>
                <w:sz w:val="18"/>
                <w:szCs w:val="18"/>
              </w:rPr>
              <w:t>董事袁丁、监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事李超、庞宝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光及高级管 理人员高宏、 侯焰、陈浩、 </w:t>
            </w:r>
            <w:r>
              <w:rPr>
                <w:rFonts w:ascii="宋体" w:hAnsi="宋体" w:cs="宋体" w:eastAsia="宋体" w:hint="default"/>
                <w:spacing w:val="-3"/>
                <w:sz w:val="18"/>
                <w:szCs w:val="18"/>
              </w:rPr>
              <w:t>齐顺杰、耿岩</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9" w:lineRule="auto"/>
              <w:ind w:left="26" w:right="191"/>
              <w:jc w:val="both"/>
              <w:rPr>
                <w:rFonts w:ascii="宋体" w:hAnsi="宋体" w:cs="宋体" w:eastAsia="宋体" w:hint="default"/>
                <w:sz w:val="18"/>
                <w:szCs w:val="18"/>
              </w:rPr>
            </w:pPr>
            <w:r>
              <w:rPr>
                <w:rFonts w:ascii="宋体" w:hAnsi="宋体" w:cs="宋体" w:eastAsia="宋体" w:hint="default"/>
                <w:sz w:val="18"/>
                <w:szCs w:val="18"/>
              </w:rPr>
              <w:t>六个月内不 通过二级市 场减持公司 股份的承诺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43"/>
              <w:jc w:val="both"/>
              <w:rPr>
                <w:rFonts w:ascii="Times New Roman" w:hAnsi="Times New Roman" w:cs="Times New Roman" w:eastAsia="Times New Roman" w:hint="default"/>
                <w:sz w:val="18"/>
                <w:szCs w:val="18"/>
              </w:rPr>
            </w:pPr>
            <w:r>
              <w:rPr>
                <w:rFonts w:ascii="宋体" w:hAnsi="宋体" w:cs="宋体" w:eastAsia="宋体" w:hint="default"/>
                <w:sz w:val="18"/>
                <w:szCs w:val="18"/>
              </w:rPr>
              <w:t>在公司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年度报告披 露后六个月 内（即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p>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p>
            <w:pPr>
              <w:pStyle w:val="TableParagraph"/>
              <w:spacing w:line="316" w:lineRule="auto" w:before="63"/>
              <w:ind w:left="23" w:right="1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日）不 通过二级市 场减持公司 股份。同时， 为支持中关 村科技创新 中心的建设， 上述董事、监 事及高级管 理人员拟择 机使用公司 股票参与相 关指数基金 的募集。</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9" w:lineRule="auto"/>
              <w:ind w:left="23" w:right="170"/>
              <w:jc w:val="both"/>
              <w:rPr>
                <w:rFonts w:ascii="宋体" w:hAnsi="宋体" w:cs="宋体" w:eastAsia="宋体" w:hint="default"/>
                <w:sz w:val="18"/>
                <w:szCs w:val="18"/>
              </w:rPr>
            </w:pPr>
            <w:r>
              <w:rPr>
                <w:rFonts w:ascii="宋体" w:hAnsi="宋体" w:cs="宋体" w:eastAsia="宋体" w:hint="default"/>
                <w:sz w:val="18"/>
                <w:szCs w:val="18"/>
              </w:rPr>
              <w:t>报告期内承 诺人承诺事 项已履行完 毕。</w:t>
            </w: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23" w:type="dxa"/>
            <w:tcBorders>
              <w:top w:val="single" w:sz="4" w:space="0" w:color="000000"/>
              <w:left w:val="single" w:sz="13" w:space="0" w:color="D2D2D2"/>
              <w:bottom w:val="single" w:sz="4" w:space="0" w:color="000000"/>
              <w:right w:val="single" w:sz="14" w:space="0" w:color="D2D2D2"/>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7"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2"/>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1"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31"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6"/>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96"/>
        <w:gridCol w:w="1195"/>
        <w:gridCol w:w="1196"/>
        <w:gridCol w:w="1198"/>
        <w:gridCol w:w="1196"/>
        <w:gridCol w:w="1195"/>
        <w:gridCol w:w="1198"/>
        <w:gridCol w:w="1198"/>
      </w:tblGrid>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2" w:right="51"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4" w:right="51" w:hanging="449"/>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3" w:right="53" w:hanging="452"/>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北京无双科技 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5,875.08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8,444.44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3" w:right="64"/>
              <w:jc w:val="left"/>
              <w:rPr>
                <w:rFonts w:ascii="Times New Roman" w:hAnsi="Times New Roman" w:cs="Times New Roman" w:eastAsia="Times New Roman" w:hint="default"/>
                <w:sz w:val="18"/>
                <w:szCs w:val="18"/>
              </w:rPr>
            </w:pPr>
            <w:hyperlink r:id="rId20">
              <w:r>
                <w:rPr>
                  <w:rFonts w:ascii="Times New Roman"/>
                  <w:spacing w:val="-2"/>
                  <w:sz w:val="18"/>
                </w:rPr>
                <w:t>www.cninfo.co</w:t>
              </w:r>
            </w:hyperlink>
            <w:r>
              <w:rPr>
                <w:rFonts w:ascii="Times New Roman"/>
                <w:spacing w:val="-36"/>
                <w:sz w:val="18"/>
              </w:rPr>
              <w:t> </w:t>
            </w:r>
            <w:r>
              <w:rPr>
                <w:rFonts w:ascii="Times New Roman"/>
                <w:spacing w:val="-36"/>
                <w:sz w:val="18"/>
              </w:rPr>
            </w:r>
            <w:r>
              <w:rPr>
                <w:rFonts w:ascii="Times New Roman"/>
                <w:sz w:val="18"/>
              </w:rPr>
              <w:t>m.cn</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北京中金云网 科技有限公司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20,860.37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21,886.08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64"/>
              <w:jc w:val="left"/>
              <w:rPr>
                <w:rFonts w:ascii="Times New Roman" w:hAnsi="Times New Roman" w:cs="Times New Roman" w:eastAsia="Times New Roman" w:hint="default"/>
                <w:sz w:val="18"/>
                <w:szCs w:val="18"/>
              </w:rPr>
            </w:pPr>
            <w:hyperlink r:id="rId20">
              <w:r>
                <w:rPr>
                  <w:rFonts w:ascii="Times New Roman"/>
                  <w:spacing w:val="-2"/>
                  <w:sz w:val="18"/>
                </w:rPr>
                <w:t>www.cninfo.co</w:t>
              </w:r>
            </w:hyperlink>
            <w:r>
              <w:rPr>
                <w:rFonts w:ascii="Times New Roman"/>
                <w:spacing w:val="-36"/>
                <w:sz w:val="18"/>
              </w:rPr>
              <w:t> </w:t>
            </w:r>
            <w:r>
              <w:rPr>
                <w:rFonts w:ascii="Times New Roman"/>
                <w:spacing w:val="-36"/>
                <w:sz w:val="18"/>
              </w:rPr>
            </w:r>
            <w:r>
              <w:rPr>
                <w:rFonts w:ascii="Times New Roman"/>
                <w:sz w:val="18"/>
              </w:rPr>
              <w:t>m.cn</w:t>
            </w:r>
          </w:p>
        </w:tc>
      </w:tr>
    </w:tbl>
    <w:p>
      <w:pPr>
        <w:pStyle w:val="BodyText"/>
        <w:spacing w:line="240" w:lineRule="auto" w:before="49"/>
        <w:ind w:right="183"/>
        <w:jc w:val="left"/>
      </w:pPr>
      <w:r>
        <w:rPr/>
        <w:t>公司股东、交易对手方对公司或相关资产年度经营业绩作出的承诺情况</w:t>
      </w:r>
    </w:p>
    <w:p>
      <w:pPr>
        <w:pStyle w:val="BodyText"/>
        <w:spacing w:line="240" w:lineRule="auto" w:before="115"/>
        <w:ind w:right="1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94" w:firstLine="360"/>
        <w:jc w:val="left"/>
      </w:pPr>
      <w:r>
        <w:rPr>
          <w:rFonts w:ascii="Times New Roman" w:hAnsi="Times New Roman" w:cs="Times New Roman" w:eastAsia="Times New Roman" w:hint="default"/>
        </w:rPr>
        <w:t>1</w:t>
      </w:r>
      <w:r>
        <w:rPr/>
        <w:t>、中金云网原股东中金盛世、利源顶盛、宇扬锦达、卓程达、利扬盛达、杨雨、陈静、郑善伟、唐征卫、申海山、许 小平共同承诺，中金云网</w:t>
      </w:r>
      <w:r>
        <w:rPr>
          <w:rFonts w:ascii="Times New Roman" w:hAnsi="Times New Roman" w:cs="Times New Roman" w:eastAsia="Times New Roman" w:hint="default"/>
        </w:rPr>
        <w:t>2016</w:t>
      </w:r>
      <w:r>
        <w:rPr/>
        <w:t>年度、</w:t>
      </w:r>
      <w:r>
        <w:rPr>
          <w:rFonts w:ascii="Times New Roman" w:hAnsi="Times New Roman" w:cs="Times New Roman" w:eastAsia="Times New Roman" w:hint="default"/>
        </w:rPr>
        <w:t>2017</w:t>
      </w:r>
      <w:r>
        <w:rPr/>
        <w:t>年度及</w:t>
      </w:r>
      <w:r>
        <w:rPr>
          <w:rFonts w:ascii="Times New Roman" w:hAnsi="Times New Roman" w:cs="Times New Roman" w:eastAsia="Times New Roman" w:hint="default"/>
        </w:rPr>
        <w:t>2018</w:t>
      </w:r>
      <w:r>
        <w:rPr/>
        <w:t>年度扣除非经常性损益后归属于母公司的净利润分别为</w:t>
      </w:r>
      <w:r>
        <w:rPr>
          <w:rFonts w:ascii="Times New Roman" w:hAnsi="Times New Roman" w:cs="Times New Roman" w:eastAsia="Times New Roman" w:hint="default"/>
        </w:rPr>
        <w:t>13,000.00</w:t>
      </w:r>
      <w:r>
        <w:rPr/>
        <w:t>万元、 </w:t>
      </w:r>
      <w:r>
        <w:rPr>
          <w:rFonts w:ascii="Times New Roman" w:hAnsi="Times New Roman" w:cs="Times New Roman" w:eastAsia="Times New Roman" w:hint="default"/>
        </w:rPr>
        <w:t>21,000.00</w:t>
      </w:r>
      <w:r>
        <w:rPr/>
        <w:t>万元和</w:t>
      </w:r>
      <w:r>
        <w:rPr>
          <w:rFonts w:ascii="Times New Roman" w:hAnsi="Times New Roman" w:cs="Times New Roman" w:eastAsia="Times New Roman" w:hint="default"/>
        </w:rPr>
        <w:t>29,000.00</w:t>
      </w:r>
      <w:r>
        <w:rPr/>
        <w:t>万元。中金云网</w:t>
      </w:r>
      <w:r>
        <w:rPr>
          <w:rFonts w:ascii="Times New Roman" w:hAnsi="Times New Roman" w:cs="Times New Roman" w:eastAsia="Times New Roman" w:hint="default"/>
        </w:rPr>
        <w:t>2017</w:t>
      </w:r>
      <w:r>
        <w:rPr/>
        <w:t>年度实现扣除非经常性损益后的归属于母公司所有者的净利润</w:t>
      </w:r>
      <w:r>
        <w:rPr>
          <w:rFonts w:ascii="Times New Roman" w:hAnsi="Times New Roman" w:cs="Times New Roman" w:eastAsia="Times New Roman" w:hint="default"/>
        </w:rPr>
        <w:t>22,037.22</w:t>
      </w:r>
      <w:r>
        <w:rPr/>
        <w:t>万元， 完成业绩承诺，已经中兴华会计师事务所（特殊普通合伙审计）审计并出具中兴华核字（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010007</w:t>
      </w:r>
      <w:r>
        <w:rPr/>
        <w:t>号《审核报告》。</w:t>
      </w:r>
    </w:p>
    <w:p>
      <w:pPr>
        <w:pStyle w:val="BodyText"/>
        <w:spacing w:line="300" w:lineRule="auto" w:before="13"/>
        <w:ind w:right="102" w:firstLine="360"/>
        <w:jc w:val="left"/>
      </w:pPr>
      <w:r>
        <w:rPr>
          <w:rFonts w:ascii="Times New Roman" w:hAnsi="Times New Roman" w:cs="Times New Roman" w:eastAsia="Times New Roman" w:hint="default"/>
        </w:rPr>
        <w:t>2</w:t>
      </w:r>
      <w:r>
        <w:rPr/>
        <w:t>、无双科技原股东施侃、冯天放共同承诺无双科技</w:t>
      </w:r>
      <w:r>
        <w:rPr>
          <w:rFonts w:ascii="Times New Roman" w:hAnsi="Times New Roman" w:cs="Times New Roman" w:eastAsia="Times New Roman" w:hint="default"/>
        </w:rPr>
        <w:t>2015</w:t>
      </w:r>
      <w:r>
        <w:rPr/>
        <w:t>年度、</w:t>
      </w:r>
      <w:r>
        <w:rPr>
          <w:rFonts w:ascii="Times New Roman" w:hAnsi="Times New Roman" w:cs="Times New Roman" w:eastAsia="Times New Roman" w:hint="default"/>
        </w:rPr>
        <w:t>2016</w:t>
      </w:r>
      <w:r>
        <w:rPr/>
        <w:t>年度和</w:t>
      </w:r>
      <w:r>
        <w:rPr>
          <w:rFonts w:ascii="Times New Roman" w:hAnsi="Times New Roman" w:cs="Times New Roman" w:eastAsia="Times New Roman" w:hint="default"/>
        </w:rPr>
        <w:t>2017</w:t>
      </w:r>
      <w:r>
        <w:rPr/>
        <w:t>年度扣除非经常性损益后归属于母公司 的净利润分别不低于</w:t>
      </w:r>
      <w:r>
        <w:rPr>
          <w:rFonts w:ascii="Times New Roman" w:hAnsi="Times New Roman" w:cs="Times New Roman" w:eastAsia="Times New Roman" w:hint="default"/>
        </w:rPr>
        <w:t>3,500.00</w:t>
      </w:r>
      <w:r>
        <w:rPr/>
        <w:t>万元、</w:t>
      </w:r>
      <w:r>
        <w:rPr>
          <w:rFonts w:ascii="Times New Roman" w:hAnsi="Times New Roman" w:cs="Times New Roman" w:eastAsia="Times New Roman" w:hint="default"/>
        </w:rPr>
        <w:t>4,550.00</w:t>
      </w:r>
      <w:r>
        <w:rPr/>
        <w:t>万元和</w:t>
      </w:r>
      <w:r>
        <w:rPr>
          <w:rFonts w:ascii="Times New Roman" w:hAnsi="Times New Roman" w:cs="Times New Roman" w:eastAsia="Times New Roman" w:hint="default"/>
        </w:rPr>
        <w:t>5,915.00</w:t>
      </w:r>
      <w:r>
        <w:rPr/>
        <w:t>万元。无双科技</w:t>
      </w:r>
      <w:r>
        <w:rPr>
          <w:rFonts w:ascii="Times New Roman" w:hAnsi="Times New Roman" w:cs="Times New Roman" w:eastAsia="Times New Roman" w:hint="default"/>
        </w:rPr>
        <w:t>2017</w:t>
      </w:r>
      <w:r>
        <w:rPr/>
        <w:t>年度实现扣除非经常性损益后的归属于母公 </w:t>
      </w:r>
      <w:r>
        <w:rPr>
          <w:spacing w:val="-8"/>
        </w:rPr>
        <w:t>司所有者的净利润</w:t>
      </w:r>
      <w:r>
        <w:rPr>
          <w:rFonts w:ascii="Times New Roman" w:hAnsi="Times New Roman" w:cs="Times New Roman" w:eastAsia="Times New Roman" w:hint="default"/>
          <w:spacing w:val="-8"/>
        </w:rPr>
        <w:t>8,445.68</w:t>
      </w:r>
      <w:r>
        <w:rPr>
          <w:spacing w:val="-8"/>
        </w:rPr>
        <w:t>万元，完成业绩承诺，已经中兴华会计师事务所（特殊普通合伙审计）审计并出具中兴华核字（</w:t>
      </w:r>
      <w:r>
        <w:rPr>
          <w:rFonts w:ascii="Times New Roman" w:hAnsi="Times New Roman" w:cs="Times New Roman" w:eastAsia="Times New Roman" w:hint="default"/>
          <w:spacing w:val="-8"/>
        </w:rPr>
        <w:t>2018</w:t>
      </w:r>
      <w:r>
        <w:rPr>
          <w:spacing w:val="-8"/>
        </w:rPr>
        <w:t>）</w:t>
      </w:r>
      <w:r>
        <w:rPr>
          <w:spacing w:val="-31"/>
        </w:rPr>
        <w:t> </w:t>
      </w:r>
      <w:r>
        <w:rPr/>
        <w:t>第</w:t>
      </w:r>
      <w:r>
        <w:rPr>
          <w:rFonts w:ascii="Times New Roman" w:hAnsi="Times New Roman" w:cs="Times New Roman" w:eastAsia="Times New Roman" w:hint="default"/>
        </w:rPr>
        <w:t>010008</w:t>
      </w:r>
      <w:r>
        <w:rPr/>
        <w:t>号《审核报告》。</w:t>
      </w:r>
    </w:p>
    <w:p>
      <w:pPr>
        <w:spacing w:line="240" w:lineRule="auto" w:before="5"/>
        <w:rPr>
          <w:rFonts w:ascii="宋体" w:hAnsi="宋体" w:cs="宋体" w:eastAsia="宋体" w:hint="default"/>
          <w:sz w:val="20"/>
          <w:szCs w:val="20"/>
        </w:rPr>
      </w:pPr>
    </w:p>
    <w:p>
      <w:pPr>
        <w:pStyle w:val="Heading2"/>
        <w:spacing w:line="240" w:lineRule="auto"/>
        <w:ind w:right="183"/>
        <w:jc w:val="left"/>
        <w:rPr>
          <w:b w:val="0"/>
          <w:bCs w:val="0"/>
        </w:rPr>
      </w:pPr>
      <w:r>
        <w:rPr/>
        <w:t>三、控股股东及其关联方对上市公司的非经营性占用资金情况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0" w:right="19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6"/>
        <w:gridCol w:w="955"/>
        <w:gridCol w:w="956"/>
        <w:gridCol w:w="958"/>
        <w:gridCol w:w="958"/>
        <w:gridCol w:w="956"/>
        <w:gridCol w:w="958"/>
        <w:gridCol w:w="958"/>
        <w:gridCol w:w="958"/>
        <w:gridCol w:w="962"/>
      </w:tblGrid>
      <w:tr>
        <w:trPr>
          <w:trHeight w:val="713" w:hRule="exact"/>
        </w:trPr>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2" w:right="111"/>
              <w:jc w:val="left"/>
              <w:rPr>
                <w:rFonts w:ascii="宋体" w:hAnsi="宋体" w:cs="宋体" w:eastAsia="宋体" w:hint="default"/>
                <w:sz w:val="18"/>
                <w:szCs w:val="18"/>
              </w:rPr>
            </w:pPr>
            <w:r>
              <w:rPr>
                <w:rFonts w:ascii="宋体" w:hAnsi="宋体" w:cs="宋体" w:eastAsia="宋体" w:hint="default"/>
                <w:sz w:val="18"/>
                <w:szCs w:val="18"/>
              </w:rPr>
              <w:t>股东或关 联人名称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占用时间</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发生原因</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2" w:right="23" w:hanging="89"/>
              <w:jc w:val="left"/>
              <w:rPr>
                <w:rFonts w:ascii="宋体" w:hAnsi="宋体" w:cs="宋体" w:eastAsia="宋体" w:hint="default"/>
                <w:sz w:val="18"/>
                <w:szCs w:val="18"/>
              </w:rPr>
            </w:pPr>
            <w:r>
              <w:rPr>
                <w:rFonts w:ascii="宋体" w:hAnsi="宋体" w:cs="宋体" w:eastAsia="宋体" w:hint="default"/>
                <w:sz w:val="18"/>
                <w:szCs w:val="18"/>
              </w:rPr>
              <w:t>报告期新增 占用金额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03" w:right="21" w:hanging="180"/>
              <w:jc w:val="left"/>
              <w:rPr>
                <w:rFonts w:ascii="宋体" w:hAnsi="宋体" w:cs="宋体" w:eastAsia="宋体" w:hint="default"/>
                <w:sz w:val="18"/>
                <w:szCs w:val="18"/>
              </w:rPr>
            </w:pPr>
            <w:r>
              <w:rPr>
                <w:rFonts w:ascii="宋体" w:hAnsi="宋体" w:cs="宋体" w:eastAsia="宋体" w:hint="default"/>
                <w:sz w:val="18"/>
                <w:szCs w:val="18"/>
              </w:rPr>
              <w:t>报告期偿还 总金额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84" w:right="23" w:hanging="360"/>
              <w:jc w:val="left"/>
              <w:rPr>
                <w:rFonts w:ascii="宋体" w:hAnsi="宋体" w:cs="宋体" w:eastAsia="宋体" w:hint="default"/>
                <w:sz w:val="18"/>
                <w:szCs w:val="18"/>
              </w:rPr>
            </w:pPr>
            <w:r>
              <w:rPr>
                <w:rFonts w:ascii="宋体" w:hAnsi="宋体" w:cs="宋体" w:eastAsia="宋体" w:hint="default"/>
                <w:sz w:val="18"/>
                <w:szCs w:val="18"/>
              </w:rPr>
              <w:t>预计偿还方 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84" w:right="22" w:hanging="361"/>
              <w:jc w:val="left"/>
              <w:rPr>
                <w:rFonts w:ascii="宋体" w:hAnsi="宋体" w:cs="宋体" w:eastAsia="宋体" w:hint="default"/>
                <w:sz w:val="18"/>
                <w:szCs w:val="18"/>
              </w:rPr>
            </w:pPr>
            <w:r>
              <w:rPr>
                <w:rFonts w:ascii="宋体" w:hAnsi="宋体" w:cs="宋体" w:eastAsia="宋体" w:hint="default"/>
                <w:sz w:val="18"/>
                <w:szCs w:val="18"/>
              </w:rPr>
              <w:t>预计偿还金 额</w:t>
            </w:r>
          </w:p>
        </w:tc>
        <w:tc>
          <w:tcPr>
            <w:tcW w:w="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6" w:right="24"/>
              <w:jc w:val="left"/>
              <w:rPr>
                <w:rFonts w:ascii="宋体" w:hAnsi="宋体" w:cs="宋体" w:eastAsia="宋体" w:hint="default"/>
                <w:sz w:val="18"/>
                <w:szCs w:val="18"/>
              </w:rPr>
            </w:pPr>
            <w:r>
              <w:rPr>
                <w:rFonts w:ascii="宋体" w:hAnsi="宋体" w:cs="宋体" w:eastAsia="宋体" w:hint="default"/>
                <w:sz w:val="18"/>
                <w:szCs w:val="18"/>
              </w:rPr>
              <w:t>预计偿还时 间（月份）</w:t>
            </w:r>
          </w:p>
        </w:tc>
      </w:tr>
      <w:tr>
        <w:trPr>
          <w:trHeight w:val="1339"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1"/>
              <w:jc w:val="both"/>
              <w:rPr>
                <w:rFonts w:ascii="宋体" w:hAnsi="宋体" w:cs="宋体" w:eastAsia="宋体" w:hint="default"/>
                <w:sz w:val="18"/>
                <w:szCs w:val="18"/>
              </w:rPr>
            </w:pPr>
            <w:r>
              <w:rPr>
                <w:rFonts w:ascii="宋体" w:hAnsi="宋体" w:cs="宋体" w:eastAsia="宋体" w:hint="default"/>
                <w:sz w:val="18"/>
                <w:szCs w:val="18"/>
              </w:rPr>
              <w:t>南京安与 吉信息技 术有限公 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2016-2017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0"/>
              <w:jc w:val="left"/>
              <w:rPr>
                <w:rFonts w:ascii="宋体" w:hAnsi="宋体" w:cs="宋体" w:eastAsia="宋体" w:hint="default"/>
                <w:sz w:val="18"/>
                <w:szCs w:val="18"/>
              </w:rPr>
            </w:pPr>
            <w:r>
              <w:rPr>
                <w:rFonts w:ascii="宋体" w:hAnsi="宋体" w:cs="宋体" w:eastAsia="宋体" w:hint="default"/>
                <w:sz w:val="18"/>
                <w:szCs w:val="18"/>
              </w:rPr>
              <w:t>代垫付社保 费用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1.32</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现金清偿</w:t>
            </w:r>
          </w:p>
        </w:tc>
        <w:tc>
          <w:tcPr>
            <w:tcW w:w="958"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1"/>
              <w:jc w:val="both"/>
              <w:rPr>
                <w:rFonts w:ascii="宋体" w:hAnsi="宋体" w:cs="宋体" w:eastAsia="宋体" w:hint="default"/>
                <w:sz w:val="18"/>
                <w:szCs w:val="18"/>
              </w:rPr>
            </w:pPr>
            <w:r>
              <w:rPr>
                <w:rFonts w:ascii="宋体" w:hAnsi="宋体" w:cs="宋体" w:eastAsia="宋体" w:hint="default"/>
                <w:sz w:val="18"/>
                <w:szCs w:val="18"/>
              </w:rPr>
              <w:t>光环云谷 科技有限 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2013-2017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年</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20"/>
              <w:jc w:val="left"/>
              <w:rPr>
                <w:rFonts w:ascii="宋体" w:hAnsi="宋体" w:cs="宋体" w:eastAsia="宋体" w:hint="default"/>
                <w:sz w:val="18"/>
                <w:szCs w:val="18"/>
              </w:rPr>
            </w:pPr>
            <w:r>
              <w:rPr>
                <w:rFonts w:ascii="宋体" w:hAnsi="宋体" w:cs="宋体" w:eastAsia="宋体" w:hint="default"/>
                <w:sz w:val="18"/>
                <w:szCs w:val="18"/>
              </w:rPr>
              <w:t>费用垫付及 资金拆借</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10,527.04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5,753.25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10,280.53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5,999.76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现金清偿</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5,999.76</w:t>
            </w:r>
          </w:p>
        </w:tc>
        <w:tc>
          <w:tcPr>
            <w:tcW w:w="9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1"/>
              <w:jc w:val="both"/>
              <w:rPr>
                <w:rFonts w:ascii="宋体" w:hAnsi="宋体" w:cs="宋体" w:eastAsia="宋体" w:hint="default"/>
                <w:sz w:val="18"/>
                <w:szCs w:val="18"/>
              </w:rPr>
            </w:pPr>
            <w:r>
              <w:rPr>
                <w:rFonts w:ascii="宋体" w:hAnsi="宋体" w:cs="宋体" w:eastAsia="宋体" w:hint="default"/>
                <w:sz w:val="18"/>
                <w:szCs w:val="18"/>
              </w:rPr>
              <w:t>北京德信 致远科技 有限公司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2015-2017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费用垫付及 资金拆借</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2,975.34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320</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3,295.34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现金清偿</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3,295.34</w:t>
            </w:r>
          </w:p>
        </w:tc>
        <w:tc>
          <w:tcPr>
            <w:tcW w:w="962"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光环新网</w:t>
            </w:r>
          </w:p>
          <w:p>
            <w:pPr>
              <w:pStyle w:val="TableParagraph"/>
              <w:spacing w:line="316" w:lineRule="auto" w:before="74"/>
              <w:ind w:left="24" w:right="22"/>
              <w:jc w:val="left"/>
              <w:rPr>
                <w:rFonts w:ascii="宋体" w:hAnsi="宋体" w:cs="宋体" w:eastAsia="宋体" w:hint="default"/>
                <w:sz w:val="18"/>
                <w:szCs w:val="18"/>
              </w:rPr>
            </w:pPr>
            <w:r>
              <w:rPr>
                <w:rFonts w:ascii="宋体" w:hAnsi="宋体" w:cs="宋体" w:eastAsia="宋体" w:hint="default"/>
                <w:sz w:val="18"/>
                <w:szCs w:val="18"/>
              </w:rPr>
              <w:t>（上海）信 息服务有 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2014-2017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年</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3" w:right="20"/>
              <w:jc w:val="left"/>
              <w:rPr>
                <w:rFonts w:ascii="宋体" w:hAnsi="宋体" w:cs="宋体" w:eastAsia="宋体" w:hint="default"/>
                <w:sz w:val="18"/>
                <w:szCs w:val="18"/>
              </w:rPr>
            </w:pPr>
            <w:r>
              <w:rPr>
                <w:rFonts w:ascii="宋体" w:hAnsi="宋体" w:cs="宋体" w:eastAsia="宋体" w:hint="default"/>
                <w:sz w:val="18"/>
                <w:szCs w:val="18"/>
              </w:rPr>
              <w:t>费用垫付及 资金拆借</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4,884.63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1,425.8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703.97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5,606.46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现金清偿</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5,606.46</w:t>
            </w:r>
          </w:p>
        </w:tc>
        <w:tc>
          <w:tcPr>
            <w:tcW w:w="9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01"/>
              <w:jc w:val="both"/>
              <w:rPr>
                <w:rFonts w:ascii="宋体" w:hAnsi="宋体" w:cs="宋体" w:eastAsia="宋体" w:hint="default"/>
                <w:sz w:val="18"/>
                <w:szCs w:val="18"/>
              </w:rPr>
            </w:pPr>
            <w:r>
              <w:rPr>
                <w:rFonts w:ascii="宋体" w:hAnsi="宋体" w:cs="宋体" w:eastAsia="宋体" w:hint="default"/>
                <w:sz w:val="18"/>
                <w:szCs w:val="18"/>
              </w:rPr>
              <w:t>北京亚逊 新网科技 有限公司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2016-2017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费用垫付</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252.4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494.4</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现金清偿</w:t>
            </w:r>
          </w:p>
        </w:tc>
        <w:tc>
          <w:tcPr>
            <w:tcW w:w="958"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光环新网</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38"/>
              <w:jc w:val="right"/>
              <w:rPr>
                <w:rFonts w:ascii="Times New Roman" w:hAnsi="Times New Roman" w:cs="Times New Roman" w:eastAsia="Times New Roman" w:hint="default"/>
                <w:sz w:val="18"/>
                <w:szCs w:val="18"/>
              </w:rPr>
            </w:pPr>
            <w:r>
              <w:rPr>
                <w:rFonts w:ascii="Times New Roman"/>
                <w:spacing w:val="-1"/>
                <w:sz w:val="18"/>
              </w:rPr>
              <w:t>2016-2017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费用垫付</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0.46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0.67</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现金清偿</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1.13</w:t>
            </w:r>
          </w:p>
        </w:tc>
        <w:tc>
          <w:tcPr>
            <w:tcW w:w="9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956"/>
        <w:gridCol w:w="955"/>
        <w:gridCol w:w="956"/>
        <w:gridCol w:w="958"/>
        <w:gridCol w:w="958"/>
        <w:gridCol w:w="956"/>
        <w:gridCol w:w="958"/>
        <w:gridCol w:w="958"/>
        <w:gridCol w:w="958"/>
        <w:gridCol w:w="962"/>
      </w:tblGrid>
      <w:tr>
        <w:trPr>
          <w:trHeight w:val="675"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01"/>
              <w:jc w:val="left"/>
              <w:rPr>
                <w:rFonts w:ascii="宋体" w:hAnsi="宋体" w:cs="宋体" w:eastAsia="宋体" w:hint="default"/>
                <w:sz w:val="18"/>
                <w:szCs w:val="18"/>
              </w:rPr>
            </w:pPr>
            <w:r>
              <w:rPr>
                <w:rFonts w:ascii="宋体" w:hAnsi="宋体" w:cs="宋体" w:eastAsia="宋体" w:hint="default"/>
                <w:sz w:val="18"/>
                <w:szCs w:val="18"/>
              </w:rPr>
              <w:t>国际有限 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年</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1"/>
              <w:jc w:val="both"/>
              <w:rPr>
                <w:rFonts w:ascii="宋体" w:hAnsi="宋体" w:cs="宋体" w:eastAsia="宋体" w:hint="default"/>
                <w:sz w:val="18"/>
                <w:szCs w:val="18"/>
              </w:rPr>
            </w:pPr>
            <w:r>
              <w:rPr>
                <w:rFonts w:ascii="宋体" w:hAnsi="宋体" w:cs="宋体" w:eastAsia="宋体" w:hint="default"/>
                <w:sz w:val="18"/>
                <w:szCs w:val="18"/>
              </w:rPr>
              <w:t>北京瑞科 新网科技 有限公司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2016-2017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费用垫付</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101.09</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101.09</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现金清偿</w:t>
            </w:r>
          </w:p>
        </w:tc>
        <w:tc>
          <w:tcPr>
            <w:tcW w:w="958"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1"/>
              <w:jc w:val="both"/>
              <w:rPr>
                <w:rFonts w:ascii="宋体" w:hAnsi="宋体" w:cs="宋体" w:eastAsia="宋体" w:hint="default"/>
                <w:sz w:val="18"/>
                <w:szCs w:val="18"/>
              </w:rPr>
            </w:pPr>
            <w:r>
              <w:rPr>
                <w:rFonts w:ascii="宋体" w:hAnsi="宋体" w:cs="宋体" w:eastAsia="宋体" w:hint="default"/>
                <w:sz w:val="18"/>
                <w:szCs w:val="18"/>
              </w:rPr>
              <w:t>北京无双 科技有限 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费用垫付及 资金拆借</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现金清偿</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w:t>
            </w:r>
          </w:p>
        </w:tc>
        <w:tc>
          <w:tcPr>
            <w:tcW w:w="962"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光环有云</w:t>
            </w:r>
          </w:p>
          <w:p>
            <w:pPr>
              <w:pStyle w:val="TableParagraph"/>
              <w:spacing w:line="319" w:lineRule="auto" w:before="76"/>
              <w:ind w:left="24" w:right="22"/>
              <w:jc w:val="left"/>
              <w:rPr>
                <w:rFonts w:ascii="宋体" w:hAnsi="宋体" w:cs="宋体" w:eastAsia="宋体" w:hint="default"/>
                <w:sz w:val="18"/>
                <w:szCs w:val="18"/>
              </w:rPr>
            </w:pPr>
            <w:r>
              <w:rPr>
                <w:rFonts w:ascii="宋体" w:hAnsi="宋体" w:cs="宋体" w:eastAsia="宋体" w:hint="default"/>
                <w:sz w:val="18"/>
                <w:szCs w:val="18"/>
              </w:rPr>
              <w:t>（北京）网 络服务有 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2016-2017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费用垫付</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0.06</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0.06</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现金清偿</w:t>
            </w:r>
          </w:p>
        </w:tc>
        <w:tc>
          <w:tcPr>
            <w:tcW w:w="958"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1"/>
              <w:jc w:val="both"/>
              <w:rPr>
                <w:rFonts w:ascii="宋体" w:hAnsi="宋体" w:cs="宋体" w:eastAsia="宋体" w:hint="default"/>
                <w:sz w:val="18"/>
                <w:szCs w:val="18"/>
              </w:rPr>
            </w:pPr>
            <w:r>
              <w:rPr>
                <w:rFonts w:ascii="宋体" w:hAnsi="宋体" w:cs="宋体" w:eastAsia="宋体" w:hint="default"/>
                <w:sz w:val="18"/>
                <w:szCs w:val="18"/>
              </w:rPr>
              <w:t>北京科信 盛彩云计 算有限公 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20"/>
              <w:jc w:val="left"/>
              <w:rPr>
                <w:rFonts w:ascii="宋体" w:hAnsi="宋体" w:cs="宋体" w:eastAsia="宋体" w:hint="default"/>
                <w:sz w:val="18"/>
                <w:szCs w:val="18"/>
              </w:rPr>
            </w:pPr>
            <w:r>
              <w:rPr>
                <w:rFonts w:ascii="宋体" w:hAnsi="宋体" w:cs="宋体" w:eastAsia="宋体" w:hint="default"/>
                <w:sz w:val="18"/>
                <w:szCs w:val="18"/>
              </w:rPr>
              <w:t>费用垫付及 资金拆借</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737.85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577.55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160.3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160.3</w:t>
            </w:r>
          </w:p>
        </w:tc>
        <w:tc>
          <w:tcPr>
            <w:tcW w:w="962"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1"/>
              <w:jc w:val="both"/>
              <w:rPr>
                <w:rFonts w:ascii="宋体" w:hAnsi="宋体" w:cs="宋体" w:eastAsia="宋体" w:hint="default"/>
                <w:sz w:val="18"/>
                <w:szCs w:val="18"/>
              </w:rPr>
            </w:pPr>
            <w:r>
              <w:rPr>
                <w:rFonts w:ascii="宋体" w:hAnsi="宋体" w:cs="宋体" w:eastAsia="宋体" w:hint="default"/>
                <w:sz w:val="18"/>
                <w:szCs w:val="18"/>
              </w:rPr>
              <w:t>西安博凯 创达数字 科技有限 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费用垫付</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2</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现金清偿</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2</w:t>
            </w:r>
          </w:p>
        </w:tc>
        <w:tc>
          <w:tcPr>
            <w:tcW w:w="962"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光环新网</w:t>
            </w:r>
          </w:p>
          <w:p>
            <w:pPr>
              <w:pStyle w:val="TableParagraph"/>
              <w:spacing w:line="316" w:lineRule="auto" w:before="76"/>
              <w:ind w:left="24" w:right="22"/>
              <w:jc w:val="left"/>
              <w:rPr>
                <w:rFonts w:ascii="宋体" w:hAnsi="宋体" w:cs="宋体" w:eastAsia="宋体" w:hint="default"/>
                <w:sz w:val="18"/>
                <w:szCs w:val="18"/>
              </w:rPr>
            </w:pPr>
            <w:r>
              <w:rPr>
                <w:rFonts w:ascii="宋体" w:hAnsi="宋体" w:cs="宋体" w:eastAsia="宋体" w:hint="default"/>
                <w:sz w:val="18"/>
                <w:szCs w:val="18"/>
              </w:rPr>
              <w:t>（宁夏）云 服务有限 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2016-2017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费用垫付</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0.62</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0.62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现金清偿</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0.62</w:t>
            </w:r>
          </w:p>
        </w:tc>
        <w:tc>
          <w:tcPr>
            <w:tcW w:w="9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18,742.96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23,481.57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12,158.92</w:t>
            </w:r>
          </w:p>
        </w:tc>
        <w:tc>
          <w:tcPr>
            <w:tcW w:w="9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30,065.61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30,065.61</w:t>
            </w:r>
          </w:p>
        </w:tc>
        <w:tc>
          <w:tcPr>
            <w:tcW w:w="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28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32"/>
              <w:jc w:val="left"/>
              <w:rPr>
                <w:rFonts w:ascii="宋体" w:hAnsi="宋体" w:cs="宋体" w:eastAsia="宋体" w:hint="default"/>
                <w:sz w:val="18"/>
                <w:szCs w:val="18"/>
              </w:rPr>
            </w:pPr>
            <w:r>
              <w:rPr>
                <w:rFonts w:ascii="宋体" w:hAnsi="宋体" w:cs="宋体" w:eastAsia="宋体" w:hint="default"/>
                <w:sz w:val="18"/>
                <w:szCs w:val="18"/>
              </w:rPr>
              <w:t>期末合计值占最近一期经审计净资 产的比例</w:t>
            </w:r>
          </w:p>
        </w:tc>
        <w:tc>
          <w:tcPr>
            <w:tcW w:w="6707"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sz w:val="18"/>
              </w:rPr>
              <w:t>4.68%</w:t>
            </w:r>
          </w:p>
        </w:tc>
      </w:tr>
      <w:tr>
        <w:trPr>
          <w:trHeight w:val="401" w:hRule="exact"/>
        </w:trPr>
        <w:tc>
          <w:tcPr>
            <w:tcW w:w="28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相关决策程序</w:t>
            </w:r>
          </w:p>
        </w:tc>
        <w:tc>
          <w:tcPr>
            <w:tcW w:w="6707"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管理层审批</w:t>
            </w:r>
          </w:p>
        </w:tc>
      </w:tr>
      <w:tr>
        <w:trPr>
          <w:trHeight w:val="1340" w:hRule="exact"/>
        </w:trPr>
        <w:tc>
          <w:tcPr>
            <w:tcW w:w="28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当期新增大股东及其附属企业非经 </w:t>
            </w:r>
            <w:r>
              <w:rPr>
                <w:rFonts w:ascii="宋体" w:hAnsi="宋体" w:cs="宋体" w:eastAsia="宋体" w:hint="default"/>
                <w:spacing w:val="-5"/>
                <w:sz w:val="18"/>
                <w:szCs w:val="18"/>
              </w:rPr>
              <w:t>营性资金占用情况的原因、责任人追</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究及董事会拟定采取措施的情况说 明</w:t>
            </w:r>
          </w:p>
        </w:tc>
        <w:tc>
          <w:tcPr>
            <w:tcW w:w="6707"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5" w:hRule="exact"/>
        </w:trPr>
        <w:tc>
          <w:tcPr>
            <w:tcW w:w="28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未能按计划清偿非经营性资金占用 </w:t>
            </w:r>
            <w:r>
              <w:rPr>
                <w:rFonts w:ascii="宋体" w:hAnsi="宋体" w:cs="宋体" w:eastAsia="宋体" w:hint="default"/>
                <w:spacing w:val="-5"/>
                <w:sz w:val="18"/>
                <w:szCs w:val="18"/>
              </w:rPr>
              <w:t>的原因、责任追究情况及董事会拟定</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采取的措施说明</w:t>
            </w:r>
          </w:p>
        </w:tc>
        <w:tc>
          <w:tcPr>
            <w:tcW w:w="6707"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8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32"/>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意见的披露日期</w:t>
            </w:r>
          </w:p>
        </w:tc>
        <w:tc>
          <w:tcPr>
            <w:tcW w:w="6707"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r>
      <w:tr>
        <w:trPr>
          <w:trHeight w:val="713" w:hRule="exact"/>
        </w:trPr>
        <w:tc>
          <w:tcPr>
            <w:tcW w:w="28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32"/>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意见的披露索引</w:t>
            </w:r>
          </w:p>
        </w:tc>
        <w:tc>
          <w:tcPr>
            <w:tcW w:w="6707"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中兴华报字（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010008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宋体" w:hAnsi="宋体" w:cs="宋体" w:eastAsia="宋体" w:hint="default"/>
                <w:spacing w:val="-53"/>
                <w:sz w:val="18"/>
                <w:szCs w:val="18"/>
              </w:rPr>
              <w:t> </w:t>
            </w:r>
            <w:hyperlink r:id="rId11">
              <w:r>
                <w:rPr>
                  <w:rFonts w:ascii="Times New Roman" w:hAnsi="Times New Roman" w:cs="Times New Roman" w:eastAsia="Times New Roman" w:hint="default"/>
                  <w:sz w:val="18"/>
                  <w:szCs w:val="18"/>
                </w:rPr>
                <w:t>http://www.cninfo.com.cn/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Times New Roman" w:hAnsi="Times New Roman" w:cs="Times New Roman" w:eastAsia="Times New Roman" w:hint="default"/>
          <w:sz w:val="26"/>
          <w:szCs w:val="26"/>
        </w:rPr>
      </w:pPr>
    </w:p>
    <w:p>
      <w:pPr>
        <w:pStyle w:val="Heading2"/>
        <w:spacing w:line="240" w:lineRule="auto" w:before="26"/>
        <w:ind w:right="2839"/>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2"/>
        <w:ind w:left="513" w:right="0"/>
        <w:jc w:val="left"/>
      </w:pPr>
      <w:r>
        <w:rPr>
          <w:rFonts w:ascii="Times New Roman" w:hAnsi="Times New Roman" w:cs="Times New Roman" w:eastAsia="Times New Roman" w:hint="default"/>
          <w:spacing w:val="-4"/>
        </w:rPr>
        <w:t>1</w:t>
      </w:r>
      <w:r>
        <w:rPr>
          <w:spacing w:val="-4"/>
        </w:rPr>
        <w:t>、财政部于</w:t>
      </w:r>
      <w:r>
        <w:rPr>
          <w:rFonts w:ascii="Times New Roman" w:hAnsi="Times New Roman" w:cs="Times New Roman" w:eastAsia="Times New Roman" w:hint="default"/>
          <w:spacing w:val="-4"/>
        </w:rPr>
        <w:t>2017</w:t>
      </w:r>
      <w:r>
        <w:rPr>
          <w:spacing w:val="-4"/>
        </w:rPr>
        <w:t>年度发布了《企业会计准则第</w:t>
      </w:r>
      <w:r>
        <w:rPr>
          <w:rFonts w:ascii="Times New Roman" w:hAnsi="Times New Roman" w:cs="Times New Roman" w:eastAsia="Times New Roman" w:hint="default"/>
          <w:spacing w:val="-4"/>
        </w:rPr>
        <w:t>42</w:t>
      </w:r>
      <w:r>
        <w:rPr>
          <w:spacing w:val="-4"/>
        </w:rPr>
        <w:t>号</w:t>
      </w:r>
      <w:r>
        <w:rPr>
          <w:rFonts w:ascii="Times New Roman" w:hAnsi="Times New Roman" w:cs="Times New Roman" w:eastAsia="Times New Roman" w:hint="default"/>
          <w:spacing w:val="-4"/>
        </w:rPr>
        <w:t>——</w:t>
      </w:r>
      <w:r>
        <w:rPr>
          <w:spacing w:val="-4"/>
        </w:rPr>
        <w:t>持有待售的非流动资产、处置组和终止经营》，自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5</w:t>
      </w:r>
      <w:r>
        <w:rPr>
          <w:rFonts w:ascii="Times New Roman" w:hAnsi="Times New Roman" w:cs="Times New Roman" w:eastAsia="Times New Roman" w:hint="default"/>
          <w:spacing w:val="-19"/>
        </w:rPr>
        <w:t> </w:t>
      </w:r>
      <w:r>
        <w:rPr/>
        <w:t>月</w:t>
      </w:r>
    </w:p>
    <w:p>
      <w:pPr>
        <w:pStyle w:val="BodyText"/>
        <w:spacing w:line="240" w:lineRule="auto" w:before="63"/>
        <w:ind w:right="0"/>
        <w:jc w:val="left"/>
      </w:pPr>
      <w:r>
        <w:rPr>
          <w:rFonts w:ascii="Times New Roman" w:hAnsi="Times New Roman" w:cs="Times New Roman" w:eastAsia="Times New Roman" w:hint="default"/>
        </w:rPr>
        <w:t>28</w:t>
      </w:r>
      <w:r>
        <w:rPr>
          <w:rFonts w:ascii="Times New Roman" w:hAnsi="Times New Roman" w:cs="Times New Roman" w:eastAsia="Times New Roman" w:hint="default"/>
          <w:spacing w:val="26"/>
        </w:rPr>
        <w:t> </w:t>
      </w:r>
      <w:r>
        <w:rPr/>
        <w:t>日起施行，对于施行日存在的持有待售的非流动资产、处置组和终止经营，要求采用未来适用法处理。</w:t>
      </w:r>
    </w:p>
    <w:p>
      <w:pPr>
        <w:pStyle w:val="BodyText"/>
        <w:spacing w:line="240" w:lineRule="auto" w:before="63"/>
        <w:ind w:left="513" w:right="0"/>
        <w:jc w:val="left"/>
      </w:pPr>
      <w:r>
        <w:rPr>
          <w:rFonts w:ascii="Times New Roman" w:hAnsi="Times New Roman" w:cs="Times New Roman" w:eastAsia="Times New Roman" w:hint="default"/>
        </w:rPr>
        <w:t>2</w:t>
      </w:r>
      <w:r>
        <w:rPr/>
        <w:t>、 财政部于 </w:t>
      </w:r>
      <w:r>
        <w:rPr>
          <w:rFonts w:ascii="Times New Roman" w:hAnsi="Times New Roman" w:cs="Times New Roman" w:eastAsia="Times New Roman" w:hint="default"/>
        </w:rPr>
        <w:t>2017 </w:t>
      </w:r>
      <w:r>
        <w:rPr>
          <w:spacing w:val="-3"/>
        </w:rPr>
        <w:t>年度修订了《企业会计准则第 </w:t>
      </w:r>
      <w:r>
        <w:rPr>
          <w:rFonts w:ascii="Times New Roman" w:hAnsi="Times New Roman" w:cs="Times New Roman" w:eastAsia="Times New Roman" w:hint="default"/>
        </w:rPr>
        <w:t>16 </w:t>
      </w:r>
      <w:r>
        <w:rPr>
          <w:spacing w:val="-6"/>
        </w:rPr>
        <w:t>号</w:t>
      </w:r>
      <w:r>
        <w:rPr>
          <w:rFonts w:ascii="Times New Roman" w:hAnsi="Times New Roman" w:cs="Times New Roman" w:eastAsia="Times New Roman" w:hint="default"/>
          <w:spacing w:val="-6"/>
        </w:rPr>
        <w:t>——</w:t>
      </w:r>
      <w:r>
        <w:rPr>
          <w:spacing w:val="-6"/>
        </w:rPr>
        <w:t>政府补助》，修订后的准则自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日起施行，</w:t>
      </w:r>
    </w:p>
    <w:p>
      <w:pPr>
        <w:pStyle w:val="BodyText"/>
        <w:spacing w:line="300" w:lineRule="auto" w:before="63"/>
        <w:ind w:right="144"/>
        <w:jc w:val="left"/>
      </w:pPr>
      <w:r>
        <w:rPr/>
        <w:t>对于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 </w:t>
      </w:r>
      <w:r>
        <w:rPr/>
        <w:t>日存在的政府补助，要求采用未来适用法处理；对于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 </w:t>
      </w:r>
      <w:r>
        <w:rPr/>
        <w:t>日至施行日新增的政府补助，也 要求按照修订后的准则进行调整。</w:t>
      </w:r>
    </w:p>
    <w:p>
      <w:pPr>
        <w:pStyle w:val="BodyText"/>
        <w:spacing w:line="240" w:lineRule="auto" w:before="31"/>
        <w:ind w:left="513" w:right="0"/>
        <w:jc w:val="left"/>
      </w:pPr>
      <w:r>
        <w:rPr>
          <w:rFonts w:ascii="Times New Roman" w:hAnsi="Times New Roman" w:cs="Times New Roman" w:eastAsia="Times New Roman" w:hint="default"/>
        </w:rPr>
        <w:t>3</w:t>
      </w:r>
      <w:r>
        <w:rPr/>
        <w:t>、财政部于 </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年度发布了《财政部关于修订印发一般企业财务报表格式的通知》，对一般企业财务报表格式进行</w:t>
      </w:r>
    </w:p>
    <w:p>
      <w:pPr>
        <w:pStyle w:val="BodyText"/>
        <w:spacing w:line="240" w:lineRule="auto" w:before="63"/>
        <w:ind w:right="2839"/>
        <w:jc w:val="left"/>
      </w:pPr>
      <w:r>
        <w:rPr/>
        <w:t>了修订，适用于 </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年度及以后期间的财务报表。</w:t>
      </w:r>
    </w:p>
    <w:p>
      <w:pPr>
        <w:spacing w:line="240" w:lineRule="auto" w:before="0"/>
        <w:rPr>
          <w:rFonts w:ascii="宋体" w:hAnsi="宋体" w:cs="宋体" w:eastAsia="宋体" w:hint="default"/>
          <w:sz w:val="18"/>
          <w:szCs w:val="18"/>
        </w:rPr>
      </w:pPr>
    </w:p>
    <w:p>
      <w:pPr>
        <w:pStyle w:val="BodyText"/>
        <w:spacing w:line="316" w:lineRule="auto" w:before="139"/>
        <w:ind w:right="6354"/>
        <w:jc w:val="left"/>
      </w:pPr>
      <w:r>
        <w:rPr/>
        <w:t>本公司执行上述三项规定的主要影响如下： 追溯调整法：</w:t>
      </w:r>
    </w:p>
    <w:p>
      <w:pPr>
        <w:pStyle w:val="BodyText"/>
        <w:spacing w:line="300" w:lineRule="auto" w:before="19"/>
        <w:ind w:right="184" w:firstLine="360"/>
        <w:jc w:val="left"/>
      </w:pPr>
      <w:r>
        <w:rPr>
          <w:rFonts w:ascii="Times New Roman" w:hAnsi="Times New Roman" w:cs="Times New Roman" w:eastAsia="Times New Roman" w:hint="default"/>
        </w:rPr>
        <w:t>1</w:t>
      </w:r>
      <w:r>
        <w:rPr/>
        <w:t>、在利润表中分别列示</w:t>
      </w:r>
      <w:r>
        <w:rPr>
          <w:rFonts w:ascii="Times New Roman" w:hAnsi="Times New Roman" w:cs="Times New Roman" w:eastAsia="Times New Roman" w:hint="default"/>
        </w:rPr>
        <w:t>“</w:t>
      </w:r>
      <w:r>
        <w:rPr/>
        <w:t>持续经营净利润</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终止经营净利润</w:t>
      </w:r>
      <w:r>
        <w:rPr>
          <w:rFonts w:ascii="Times New Roman" w:hAnsi="Times New Roman" w:cs="Times New Roman" w:eastAsia="Times New Roman" w:hint="default"/>
        </w:rPr>
        <w:t>”</w:t>
      </w:r>
      <w:r>
        <w:rPr/>
        <w:t>。比较数据相应调整。列示</w:t>
      </w:r>
      <w:r>
        <w:rPr>
          <w:rFonts w:ascii="Times New Roman" w:hAnsi="Times New Roman" w:cs="Times New Roman" w:eastAsia="Times New Roman" w:hint="default"/>
        </w:rPr>
        <w:t>2017</w:t>
      </w:r>
      <w:r>
        <w:rPr/>
        <w:t>年度持续经营净利润金 额</w:t>
      </w:r>
      <w:r>
        <w:rPr>
          <w:rFonts w:ascii="Times New Roman" w:hAnsi="Times New Roman" w:cs="Times New Roman" w:eastAsia="Times New Roman" w:hint="default"/>
        </w:rPr>
        <w:t>444,278,307.76</w:t>
      </w:r>
      <w:r>
        <w:rPr/>
        <w:t>元；比较报表</w:t>
      </w:r>
      <w:r>
        <w:rPr>
          <w:rFonts w:ascii="Times New Roman" w:hAnsi="Times New Roman" w:cs="Times New Roman" w:eastAsia="Times New Roman" w:hint="default"/>
        </w:rPr>
        <w:t>2016</w:t>
      </w:r>
      <w:r>
        <w:rPr/>
        <w:t>年度列示持续经营净利润金额</w:t>
      </w:r>
      <w:r>
        <w:rPr>
          <w:rFonts w:ascii="Times New Roman" w:hAnsi="Times New Roman" w:cs="Times New Roman" w:eastAsia="Times New Roman" w:hint="default"/>
        </w:rPr>
        <w:t>331,213,424.34</w:t>
      </w:r>
      <w:r>
        <w:rPr/>
        <w:t>元。</w:t>
      </w:r>
    </w:p>
    <w:p>
      <w:pPr>
        <w:pStyle w:val="BodyText"/>
        <w:spacing w:line="300" w:lineRule="auto" w:before="13"/>
        <w:ind w:right="151" w:firstLine="360"/>
        <w:jc w:val="both"/>
      </w:pPr>
      <w:r>
        <w:rPr>
          <w:rFonts w:ascii="Times New Roman" w:hAnsi="Times New Roman" w:cs="Times New Roman" w:eastAsia="Times New Roman" w:hint="default"/>
          <w:spacing w:val="-1"/>
        </w:rPr>
        <w:t>2</w:t>
      </w:r>
      <w:r>
        <w:rPr>
          <w:spacing w:val="-1"/>
        </w:rPr>
        <w:t>、在利润表中新增</w:t>
      </w:r>
      <w:r>
        <w:rPr>
          <w:rFonts w:ascii="Times New Roman" w:hAnsi="Times New Roman" w:cs="Times New Roman" w:eastAsia="Times New Roman" w:hint="default"/>
          <w:spacing w:val="-1"/>
        </w:rPr>
        <w:t>“</w:t>
      </w:r>
      <w:r>
        <w:rPr>
          <w:spacing w:val="-1"/>
        </w:rPr>
        <w:t>资产处置收益</w:t>
      </w:r>
      <w:r>
        <w:rPr>
          <w:rFonts w:ascii="Times New Roman" w:hAnsi="Times New Roman" w:cs="Times New Roman" w:eastAsia="Times New Roman" w:hint="default"/>
          <w:spacing w:val="-1"/>
        </w:rPr>
        <w:t>”</w:t>
      </w:r>
      <w:r>
        <w:rPr>
          <w:spacing w:val="-1"/>
        </w:rPr>
        <w:t>项目，将部分原列示为</w:t>
      </w:r>
      <w:r>
        <w:rPr>
          <w:rFonts w:ascii="Times New Roman" w:hAnsi="Times New Roman" w:cs="Times New Roman" w:eastAsia="Times New Roman" w:hint="default"/>
          <w:spacing w:val="-1"/>
        </w:rPr>
        <w:t>“</w:t>
      </w:r>
      <w:r>
        <w:rPr>
          <w:spacing w:val="-1"/>
        </w:rPr>
        <w:t>营业外收入</w:t>
      </w:r>
      <w:r>
        <w:rPr>
          <w:rFonts w:ascii="Times New Roman" w:hAnsi="Times New Roman" w:cs="Times New Roman" w:eastAsia="Times New Roman" w:hint="default"/>
          <w:spacing w:val="-1"/>
        </w:rPr>
        <w:t>”“</w:t>
      </w:r>
      <w:r>
        <w:rPr>
          <w:spacing w:val="-1"/>
        </w:rPr>
        <w:t>营业外支出</w:t>
      </w:r>
      <w:r>
        <w:rPr>
          <w:rFonts w:ascii="Times New Roman" w:hAnsi="Times New Roman" w:cs="Times New Roman" w:eastAsia="Times New Roman" w:hint="default"/>
          <w:spacing w:val="-1"/>
        </w:rPr>
        <w:t>”</w:t>
      </w:r>
      <w:r>
        <w:rPr>
          <w:spacing w:val="-1"/>
        </w:rPr>
        <w:t>的资产处置损益重分类至</w:t>
      </w:r>
      <w:r>
        <w:rPr>
          <w:rFonts w:ascii="Times New Roman" w:hAnsi="Times New Roman" w:cs="Times New Roman" w:eastAsia="Times New Roman" w:hint="default"/>
          <w:spacing w:val="-1"/>
        </w:rPr>
        <w:t>“</w:t>
      </w:r>
      <w:r>
        <w:rPr>
          <w:spacing w:val="-1"/>
        </w:rPr>
        <w:t>资产处</w:t>
      </w:r>
      <w:r>
        <w:rPr/>
        <w:t> 置收益</w:t>
      </w:r>
      <w:r>
        <w:rPr>
          <w:rFonts w:ascii="Times New Roman" w:hAnsi="Times New Roman" w:cs="Times New Roman" w:eastAsia="Times New Roman" w:hint="default"/>
        </w:rPr>
        <w:t>”</w:t>
      </w:r>
      <w:r>
        <w:rPr/>
        <w:t>项目。比较数据相应调整。列示</w:t>
      </w:r>
      <w:r>
        <w:rPr>
          <w:rFonts w:ascii="Times New Roman" w:hAnsi="Times New Roman" w:cs="Times New Roman" w:eastAsia="Times New Roman" w:hint="default"/>
        </w:rPr>
        <w:t>2017</w:t>
      </w:r>
      <w:r>
        <w:rPr/>
        <w:t>年度营业外支出调出</w:t>
      </w:r>
      <w:r>
        <w:rPr>
          <w:rFonts w:ascii="Times New Roman" w:hAnsi="Times New Roman" w:cs="Times New Roman" w:eastAsia="Times New Roman" w:hint="default"/>
        </w:rPr>
        <w:t>1,574,720.06</w:t>
      </w:r>
      <w:r>
        <w:rPr/>
        <w:t>元，重分类至资产处置收益</w:t>
      </w:r>
      <w:r>
        <w:rPr>
          <w:rFonts w:ascii="Times New Roman" w:hAnsi="Times New Roman" w:cs="Times New Roman" w:eastAsia="Times New Roman" w:hint="default"/>
        </w:rPr>
        <w:t>-1,574,720.06</w:t>
      </w:r>
      <w:r>
        <w:rPr/>
        <w:t>元。 比较报表</w:t>
      </w:r>
      <w:r>
        <w:rPr>
          <w:rFonts w:ascii="Times New Roman" w:hAnsi="Times New Roman" w:cs="Times New Roman" w:eastAsia="Times New Roman" w:hint="default"/>
        </w:rPr>
        <w:t>2016</w:t>
      </w:r>
      <w:r>
        <w:rPr/>
        <w:t>年度调出营业外收入</w:t>
      </w:r>
      <w:r>
        <w:rPr>
          <w:rFonts w:ascii="Times New Roman" w:hAnsi="Times New Roman" w:cs="Times New Roman" w:eastAsia="Times New Roman" w:hint="default"/>
        </w:rPr>
        <w:t>15,582.59</w:t>
      </w:r>
      <w:r>
        <w:rPr/>
        <w:t>元，营业外支出调出</w:t>
      </w:r>
      <w:r>
        <w:rPr>
          <w:rFonts w:ascii="Times New Roman" w:hAnsi="Times New Roman" w:cs="Times New Roman" w:eastAsia="Times New Roman" w:hint="default"/>
        </w:rPr>
        <w:t>957,081.50</w:t>
      </w:r>
      <w:r>
        <w:rPr/>
        <w:t>元，重分类至资产处置收益</w:t>
      </w: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rFonts w:ascii="Times New Roman" w:hAnsi="Times New Roman" w:cs="Times New Roman" w:eastAsia="Times New Roman" w:hint="default"/>
        </w:rPr>
        <w:t>941,498.91</w:t>
      </w:r>
      <w:r>
        <w:rPr/>
        <w:t>元。</w:t>
      </w:r>
    </w:p>
    <w:p>
      <w:pPr>
        <w:pStyle w:val="BodyText"/>
        <w:spacing w:line="300" w:lineRule="auto" w:before="13"/>
        <w:ind w:right="234" w:firstLine="360"/>
        <w:jc w:val="left"/>
      </w:pPr>
      <w:r>
        <w:rPr/>
        <w:t>未来适用法：与本公司日常活动相关的政府补助，计入其他收益，不再计入营业外收入。比较数据不调整。列示</w:t>
      </w:r>
      <w:r>
        <w:rPr>
          <w:rFonts w:ascii="Times New Roman" w:hAnsi="Times New Roman" w:cs="Times New Roman" w:eastAsia="Times New Roman" w:hint="default"/>
        </w:rPr>
        <w:t>2017 </w:t>
      </w:r>
      <w:r>
        <w:rPr/>
        <w:t>年度其他收益</w:t>
      </w:r>
      <w:r>
        <w:rPr>
          <w:rFonts w:ascii="Times New Roman" w:hAnsi="Times New Roman" w:cs="Times New Roman" w:eastAsia="Times New Roman" w:hint="default"/>
        </w:rPr>
        <w:t>174,845.84</w:t>
      </w:r>
      <w:r>
        <w:rPr/>
        <w:t>元。</w:t>
      </w:r>
    </w:p>
    <w:p>
      <w:pPr>
        <w:pStyle w:val="BodyText"/>
        <w:spacing w:line="240" w:lineRule="auto" w:before="13"/>
        <w:ind w:left="513" w:right="0"/>
        <w:jc w:val="left"/>
      </w:pPr>
      <w:r>
        <w:rPr/>
        <w:t>以上事项决策程序：</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日第三届董事会</w:t>
      </w:r>
      <w:r>
        <w:rPr>
          <w:rFonts w:ascii="Times New Roman" w:hAnsi="Times New Roman" w:cs="Times New Roman" w:eastAsia="Times New Roman" w:hint="default"/>
        </w:rPr>
        <w:t>2018</w:t>
      </w:r>
      <w:r>
        <w:rPr/>
        <w:t>年第三次会议审议通过《关于会计政策变更的议案》。</w:t>
      </w:r>
    </w:p>
    <w:p>
      <w:pPr>
        <w:spacing w:line="240" w:lineRule="auto" w:before="3"/>
        <w:rPr>
          <w:rFonts w:ascii="宋体" w:hAnsi="宋体" w:cs="宋体" w:eastAsia="宋体" w:hint="default"/>
          <w:sz w:val="24"/>
          <w:szCs w:val="24"/>
        </w:rPr>
      </w:pPr>
    </w:p>
    <w:p>
      <w:pPr>
        <w:pStyle w:val="Heading2"/>
        <w:spacing w:line="240" w:lineRule="auto"/>
        <w:ind w:right="2839"/>
        <w:jc w:val="left"/>
        <w:rPr>
          <w:b w:val="0"/>
          <w:bCs w:val="0"/>
        </w:rPr>
      </w:pP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2839"/>
        <w:jc w:val="left"/>
      </w:pPr>
      <w:r>
        <w:rPr>
          <w:rFonts w:ascii="Times New Roman" w:hAnsi="Times New Roman" w:cs="Times New Roman" w:eastAsia="Times New Roman" w:hint="default"/>
        </w:rPr>
        <w:t>2017</w:t>
      </w:r>
      <w:r>
        <w:rPr/>
        <w:t>年度合并范围共增加两家公司。具体如下：</w:t>
      </w:r>
    </w:p>
    <w:p>
      <w:pPr>
        <w:pStyle w:val="BodyText"/>
        <w:spacing w:line="300" w:lineRule="auto" w:before="63"/>
        <w:ind w:right="0" w:firstLine="360"/>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30</w:t>
      </w:r>
      <w:r>
        <w:rPr>
          <w:spacing w:val="-2"/>
        </w:rPr>
        <w:t>日，本公司与北京无双科技有限公司、西藏瀚博投资管理合伙企业共同投资设立北京光环凯旋管理咨询</w:t>
      </w:r>
      <w:r>
        <w:rPr/>
        <w:t> 有限公司，注册资本</w:t>
      </w:r>
      <w:r>
        <w:rPr>
          <w:rFonts w:ascii="Times New Roman" w:hAnsi="Times New Roman" w:cs="Times New Roman" w:eastAsia="Times New Roman" w:hint="default"/>
        </w:rPr>
        <w:t>1000</w:t>
      </w:r>
      <w:r>
        <w:rPr/>
        <w:t>万元，公司持股比例为 </w:t>
      </w:r>
      <w:r>
        <w:rPr>
          <w:rFonts w:ascii="Times New Roman" w:hAnsi="Times New Roman" w:cs="Times New Roman" w:eastAsia="Times New Roman" w:hint="default"/>
        </w:rPr>
        <w:t>40%</w:t>
      </w:r>
      <w:r>
        <w:rPr/>
        <w:t>；北京无双科技有限公司持股比例为</w:t>
      </w:r>
      <w:r>
        <w:rPr>
          <w:spacing w:val="-38"/>
        </w:rPr>
        <w:t> </w:t>
      </w:r>
      <w:r>
        <w:rPr>
          <w:rFonts w:ascii="Times New Roman" w:hAnsi="Times New Roman" w:cs="Times New Roman" w:eastAsia="Times New Roman" w:hint="default"/>
        </w:rPr>
        <w:t>20%</w:t>
      </w:r>
      <w:r>
        <w:rPr/>
        <w:t>。</w:t>
      </w:r>
    </w:p>
    <w:p>
      <w:pPr>
        <w:pStyle w:val="BodyText"/>
        <w:spacing w:line="240" w:lineRule="auto" w:before="13"/>
        <w:ind w:left="513"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日，光环有云（北京）网络服务有限公司在香港投资设立了光环有云（香港）网络科技有限公司。</w:t>
      </w:r>
    </w:p>
    <w:p>
      <w:pPr>
        <w:spacing w:line="240" w:lineRule="auto" w:before="3"/>
        <w:rPr>
          <w:rFonts w:ascii="宋体" w:hAnsi="宋体" w:cs="宋体" w:eastAsia="宋体" w:hint="default"/>
          <w:sz w:val="24"/>
          <w:szCs w:val="24"/>
        </w:rPr>
      </w:pPr>
    </w:p>
    <w:p>
      <w:pPr>
        <w:pStyle w:val="Heading2"/>
        <w:spacing w:line="240" w:lineRule="auto"/>
        <w:ind w:right="2839"/>
        <w:jc w:val="left"/>
        <w:rPr>
          <w:b w:val="0"/>
          <w:bCs w:val="0"/>
        </w:rPr>
      </w:pPr>
      <w:r>
        <w:rPr/>
        <w:t>八、聘任、解聘会计师事务所情况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2839"/>
        <w:jc w:val="left"/>
      </w:pPr>
      <w:r>
        <w:rPr/>
        <w:t>现聘任的会计事务所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中兴华会计师事务所（特殊普通合伙）</w:t>
            </w:r>
          </w:p>
        </w:tc>
      </w:tr>
      <w:tr>
        <w:trPr>
          <w:trHeight w:val="404"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谢维、白秀荣</w:t>
            </w:r>
          </w:p>
        </w:tc>
      </w:tr>
    </w:tbl>
    <w:p>
      <w:pPr>
        <w:pStyle w:val="BodyText"/>
        <w:spacing w:line="240" w:lineRule="auto" w:before="49"/>
        <w:ind w:right="2839"/>
        <w:jc w:val="left"/>
      </w:pPr>
      <w:r>
        <w:rPr/>
        <w:t>是否改聘会计师事务所</w:t>
      </w:r>
    </w:p>
    <w:p>
      <w:pPr>
        <w:pStyle w:val="BodyText"/>
        <w:spacing w:line="340" w:lineRule="auto" w:before="115"/>
        <w:ind w:right="5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1"/>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2839"/>
        <w:jc w:val="left"/>
        <w:rPr>
          <w:b w:val="0"/>
          <w:bCs w:val="0"/>
        </w:rPr>
      </w:pP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2839"/>
        <w:jc w:val="left"/>
        <w:rPr>
          <w:b w:val="0"/>
          <w:bCs w:val="0"/>
        </w:rPr>
      </w:pPr>
      <w:r>
        <w:rPr/>
        <w:t>十、破产重整相关事项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2839"/>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line="240" w:lineRule="auto" w:before="4"/>
        <w:rPr>
          <w:rFonts w:ascii="宋体" w:hAnsi="宋体" w:cs="宋体" w:eastAsia="宋体" w:hint="default"/>
          <w:sz w:val="19"/>
          <w:szCs w:val="19"/>
        </w:rPr>
      </w:pPr>
    </w:p>
    <w:p>
      <w:pPr>
        <w:pStyle w:val="Heading2"/>
        <w:spacing w:line="240" w:lineRule="auto"/>
        <w:ind w:right="2839"/>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2839"/>
        <w:jc w:val="left"/>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513" w:right="0"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报告期内，公司及其控股股东、实际控制人诚信状况良好，不存在未履行法院生效判决、所负数额较大的债务到期未清</w:t>
      </w:r>
    </w:p>
    <w:p>
      <w:pPr>
        <w:pStyle w:val="BodyText"/>
        <w:spacing w:line="240" w:lineRule="auto" w:before="2"/>
        <w:ind w:right="2839"/>
        <w:jc w:val="left"/>
      </w:pPr>
      <w:r>
        <w:rPr/>
        <w:t>偿等情况。</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513" w:right="0"/>
        <w:jc w:val="left"/>
      </w:pPr>
      <w:r>
        <w:rPr>
          <w:rFonts w:ascii="Times New Roman" w:hAnsi="Times New Roman" w:cs="Times New Roman" w:eastAsia="Times New Roman" w:hint="default"/>
        </w:rPr>
        <w:t>2016</w:t>
      </w:r>
      <w:r>
        <w:rPr/>
        <w:t>年公司推出了首期股票期权激励计划，报告期内股权激励计划的具体实施情况如下：</w:t>
      </w:r>
    </w:p>
    <w:p>
      <w:pPr>
        <w:pStyle w:val="BodyText"/>
        <w:spacing w:line="240" w:lineRule="auto" w:before="103"/>
        <w:ind w:left="513" w:right="2839"/>
        <w:jc w:val="left"/>
      </w:pPr>
      <w:r>
        <w:rPr/>
        <w:t>（一）报告期内股权激励计划的调整及实施情况</w:t>
      </w:r>
    </w:p>
    <w:p>
      <w:pPr>
        <w:pStyle w:val="BodyText"/>
        <w:spacing w:line="300" w:lineRule="auto" w:before="117"/>
        <w:ind w:right="150"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20</w:t>
      </w:r>
      <w:r>
        <w:rPr>
          <w:spacing w:val="-2"/>
        </w:rPr>
        <w:t>日，公司召开第三届董事会</w:t>
      </w:r>
      <w:r>
        <w:rPr>
          <w:rFonts w:ascii="Times New Roman" w:hAnsi="Times New Roman" w:cs="Times New Roman" w:eastAsia="Times New Roman" w:hint="default"/>
          <w:spacing w:val="-2"/>
        </w:rPr>
        <w:t>2017</w:t>
      </w:r>
      <w:r>
        <w:rPr>
          <w:spacing w:val="-2"/>
        </w:rPr>
        <w:t>年第一次会议审议通过了《关于调整首期股票期权激励计划激励对象名</w:t>
      </w:r>
      <w:r>
        <w:rPr/>
        <w:t> 单、股票期权数量及注销部分股票期权的议案》、《关于首期股票期权激励计划第一个行权期可行权的议案》，同意取消</w:t>
      </w:r>
      <w:r>
        <w:rPr>
          <w:rFonts w:ascii="Times New Roman" w:hAnsi="Times New Roman" w:cs="Times New Roman" w:eastAsia="Times New Roman" w:hint="default"/>
        </w:rPr>
        <w:t>1</w:t>
      </w:r>
      <w:r>
        <w:rPr>
          <w:rFonts w:ascii="Times New Roman" w:hAnsi="Times New Roman" w:cs="Times New Roman" w:eastAsia="Times New Roman" w:hint="default"/>
          <w:spacing w:val="-36"/>
        </w:rPr>
        <w:t> </w:t>
      </w:r>
      <w:r>
        <w:rPr/>
        <w:t>名已离职激励对象的资格并取消拟授予其股票期权</w:t>
      </w:r>
      <w:r>
        <w:rPr>
          <w:rFonts w:ascii="Times New Roman" w:hAnsi="Times New Roman" w:cs="Times New Roman" w:eastAsia="Times New Roman" w:hint="default"/>
        </w:rPr>
        <w:t>3</w:t>
      </w:r>
      <w:r>
        <w:rPr/>
        <w:t>万份。调整后本次股权激励计划已获授的激励对象人数为</w:t>
      </w:r>
      <w:r>
        <w:rPr>
          <w:rFonts w:ascii="Times New Roman" w:hAnsi="Times New Roman" w:cs="Times New Roman" w:eastAsia="Times New Roman" w:hint="default"/>
        </w:rPr>
        <w:t>99</w:t>
      </w:r>
      <w:r>
        <w:rPr/>
        <w:t>人，已授予</w:t>
      </w:r>
      <w:r>
        <w:rPr>
          <w:spacing w:val="-82"/>
        </w:rPr>
        <w:t> </w:t>
      </w:r>
      <w:r>
        <w:rPr/>
        <w:t>的股票期权数量为</w:t>
      </w:r>
      <w:r>
        <w:rPr>
          <w:rFonts w:ascii="Times New Roman" w:hAnsi="Times New Roman" w:cs="Times New Roman" w:eastAsia="Times New Roman" w:hint="default"/>
        </w:rPr>
        <w:t>534</w:t>
      </w:r>
      <w:r>
        <w:rPr/>
        <w:t>万份。</w:t>
      </w:r>
    </w:p>
    <w:p>
      <w:pPr>
        <w:pStyle w:val="BodyText"/>
        <w:spacing w:line="300" w:lineRule="auto" w:before="51"/>
        <w:ind w:right="151" w:firstLine="360"/>
        <w:jc w:val="both"/>
      </w:pPr>
      <w:r>
        <w:rPr>
          <w:spacing w:val="-2"/>
        </w:rPr>
        <w:t>公司首期股票期权激励计划</w:t>
      </w:r>
      <w:r>
        <w:rPr>
          <w:rFonts w:ascii="Times New Roman" w:hAnsi="Times New Roman" w:cs="Times New Roman" w:eastAsia="Times New Roman" w:hint="default"/>
          <w:spacing w:val="-2"/>
        </w:rPr>
        <w:t>99</w:t>
      </w:r>
      <w:r>
        <w:rPr>
          <w:spacing w:val="-2"/>
        </w:rPr>
        <w:t>名激励对象第一个行权期绩效综合考核均达标，主体资格合法、有效，符合《上市公司股</w:t>
      </w:r>
      <w:r>
        <w:rPr/>
        <w:t> </w:t>
      </w:r>
      <w:r>
        <w:rPr>
          <w:spacing w:val="-2"/>
        </w:rPr>
        <w:t>权激励管理办法》及公司股权激励计划的有关规定。同时，公司</w:t>
      </w:r>
      <w:r>
        <w:rPr>
          <w:rFonts w:ascii="Times New Roman" w:hAnsi="Times New Roman" w:cs="Times New Roman" w:eastAsia="Times New Roman" w:hint="default"/>
          <w:spacing w:val="-2"/>
        </w:rPr>
        <w:t>2016</w:t>
      </w:r>
      <w:r>
        <w:rPr>
          <w:spacing w:val="-2"/>
        </w:rPr>
        <w:t>年度实现业绩符合股权激励计划规定的第一个行权期的</w:t>
      </w:r>
    </w:p>
    <w:p>
      <w:pPr>
        <w:spacing w:after="0" w:line="300" w:lineRule="auto"/>
        <w:jc w:val="both"/>
        <w:sectPr>
          <w:footerReference w:type="default" r:id="rId21"/>
          <w:pgSz w:w="11910" w:h="16840"/>
          <w:pgMar w:footer="979" w:header="745" w:top="1060" w:bottom="1160" w:left="980" w:right="980"/>
          <w:pgNumType w:start="110"/>
        </w:sectPr>
      </w:pPr>
    </w:p>
    <w:p>
      <w:pPr>
        <w:spacing w:line="240" w:lineRule="auto" w:before="10"/>
        <w:rPr>
          <w:rFonts w:ascii="宋体" w:hAnsi="宋体" w:cs="宋体" w:eastAsia="宋体" w:hint="default"/>
          <w:sz w:val="25"/>
          <w:szCs w:val="25"/>
        </w:rPr>
      </w:pPr>
    </w:p>
    <w:p>
      <w:pPr>
        <w:pStyle w:val="BodyText"/>
        <w:spacing w:line="300" w:lineRule="auto" w:before="44"/>
        <w:ind w:right="151"/>
        <w:jc w:val="both"/>
      </w:pPr>
      <w:r>
        <w:rPr>
          <w:spacing w:val="-1"/>
        </w:rPr>
        <w:t>行权条件。本次行权公司采用自主行权方式，行权期限为</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18</w:t>
      </w:r>
      <w:r>
        <w:rPr>
          <w:spacing w:val="-1"/>
        </w:rPr>
        <w:t>日至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6</w:t>
      </w:r>
      <w:r>
        <w:rPr>
          <w:spacing w:val="-1"/>
        </w:rPr>
        <w:t>日，行权价格为</w:t>
      </w:r>
      <w:r>
        <w:rPr>
          <w:rFonts w:ascii="Times New Roman" w:hAnsi="Times New Roman" w:cs="Times New Roman" w:eastAsia="Times New Roman" w:hint="default"/>
          <w:spacing w:val="-1"/>
        </w:rPr>
        <w:t>36.22</w:t>
      </w:r>
      <w:r>
        <w:rPr>
          <w:spacing w:val="-1"/>
        </w:rPr>
        <w:t>元，可行权数量</w:t>
      </w:r>
      <w:r>
        <w:rPr>
          <w:spacing w:val="-73"/>
        </w:rPr>
        <w:t> </w:t>
      </w:r>
      <w:r>
        <w:rPr>
          <w:spacing w:val="-73"/>
        </w:rPr>
      </w:r>
      <w:r>
        <w:rPr>
          <w:spacing w:val="-2"/>
        </w:rPr>
        <w:t>共计</w:t>
      </w:r>
      <w:r>
        <w:rPr>
          <w:rFonts w:ascii="Times New Roman" w:hAnsi="Times New Roman" w:cs="Times New Roman" w:eastAsia="Times New Roman" w:hint="default"/>
          <w:spacing w:val="-2"/>
        </w:rPr>
        <w:t>2,136,000</w:t>
      </w:r>
      <w:r>
        <w:rPr>
          <w:spacing w:val="-2"/>
        </w:rPr>
        <w:t>份。独立董事就本次调整及期权行权等相关事项发表了独立意见，监事会对公司调整后的首次股票期权激励计</w:t>
      </w:r>
      <w:r>
        <w:rPr>
          <w:spacing w:val="-57"/>
        </w:rPr>
        <w:t> </w:t>
      </w:r>
      <w:r>
        <w:rPr>
          <w:spacing w:val="-57"/>
        </w:rPr>
      </w:r>
      <w:r>
        <w:rPr/>
        <w:t>划激励对象名单发表了核查意见，北京市嘉源律师事务所对本次调整股票期权数量及行权价格出具了法律意见书。</w:t>
      </w:r>
    </w:p>
    <w:p>
      <w:pPr>
        <w:pStyle w:val="BodyText"/>
        <w:spacing w:line="300" w:lineRule="auto" w:before="72"/>
        <w:ind w:right="148" w:firstLine="36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11</w:t>
      </w:r>
      <w:r>
        <w:rPr>
          <w:spacing w:val="-2"/>
        </w:rPr>
        <w:t>日，公司召开</w:t>
      </w:r>
      <w:r>
        <w:rPr>
          <w:rFonts w:ascii="Times New Roman" w:hAnsi="Times New Roman" w:cs="Times New Roman" w:eastAsia="Times New Roman" w:hint="default"/>
          <w:spacing w:val="-2"/>
        </w:rPr>
        <w:t>2016</w:t>
      </w:r>
      <w:r>
        <w:rPr>
          <w:spacing w:val="-2"/>
        </w:rPr>
        <w:t>年度股东大会审议通过了《关于公司</w:t>
      </w:r>
      <w:r>
        <w:rPr>
          <w:rFonts w:ascii="Times New Roman" w:hAnsi="Times New Roman" w:cs="Times New Roman" w:eastAsia="Times New Roman" w:hint="default"/>
          <w:spacing w:val="-2"/>
        </w:rPr>
        <w:t>2016</w:t>
      </w:r>
      <w:r>
        <w:rPr>
          <w:spacing w:val="-2"/>
        </w:rPr>
        <w:t>年度利润分配及资本公积转增股本方案的议</w:t>
      </w:r>
      <w:r>
        <w:rPr/>
        <w:t> 案》，以截至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723,175,694</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1.00</w:t>
      </w:r>
      <w:r>
        <w:rPr/>
        <w:t>元人民币</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 </w:t>
      </w:r>
      <w:r>
        <w:rPr/>
        <w:t>合计</w:t>
      </w:r>
      <w:r>
        <w:rPr>
          <w:spacing w:val="-43"/>
        </w:rPr>
        <w:t> </w:t>
      </w:r>
      <w:r>
        <w:rPr>
          <w:spacing w:val="-1"/>
        </w:rPr>
        <w:t>派发现金股利</w:t>
      </w:r>
      <w:r>
        <w:rPr>
          <w:rFonts w:ascii="Times New Roman" w:hAnsi="Times New Roman" w:cs="Times New Roman" w:eastAsia="Times New Roman" w:hint="default"/>
          <w:spacing w:val="-1"/>
        </w:rPr>
        <w:t>72,317,569.40</w:t>
      </w:r>
      <w:r>
        <w:rPr>
          <w:spacing w:val="-1"/>
        </w:rPr>
        <w:t>元（含税）；同时进行资本公积转增股本，以公司总股本</w:t>
      </w:r>
      <w:r>
        <w:rPr>
          <w:rFonts w:ascii="Times New Roman" w:hAnsi="Times New Roman" w:cs="Times New Roman" w:eastAsia="Times New Roman" w:hint="default"/>
          <w:spacing w:val="-1"/>
        </w:rPr>
        <w:t>723,175,694</w:t>
      </w:r>
      <w:r>
        <w:rPr>
          <w:spacing w:val="-1"/>
        </w:rPr>
        <w:t>股为基数，向全体股东每</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24"/>
        </w:rPr>
        <w:t> </w:t>
      </w:r>
      <w:r>
        <w:rPr/>
        <w:t>股转增</w:t>
      </w:r>
      <w:r>
        <w:rPr>
          <w:rFonts w:ascii="Times New Roman" w:hAnsi="Times New Roman" w:cs="Times New Roman" w:eastAsia="Times New Roman" w:hint="default"/>
        </w:rPr>
        <w:t>10</w:t>
      </w:r>
      <w:r>
        <w:rPr/>
        <w:t>股，转增后公司总股本将增加至</w:t>
      </w:r>
      <w:r>
        <w:rPr>
          <w:rFonts w:ascii="Times New Roman" w:hAnsi="Times New Roman" w:cs="Times New Roman" w:eastAsia="Times New Roman" w:hint="default"/>
        </w:rPr>
        <w:t>1,446,351,388</w:t>
      </w:r>
      <w:r>
        <w:rPr/>
        <w:t>股，上述权益分派已于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日实施完毕。</w:t>
      </w:r>
    </w:p>
    <w:p>
      <w:pPr>
        <w:pStyle w:val="BodyText"/>
        <w:spacing w:line="300" w:lineRule="auto" w:before="51"/>
        <w:ind w:right="148" w:firstLine="360"/>
        <w:jc w:val="both"/>
      </w:pPr>
      <w:r>
        <w:rPr>
          <w:spacing w:val="-4"/>
        </w:rPr>
        <w:t>上述利润分配及资本公积转增股本方案实施完毕后，根据公司首次股票期权激励计划相关条款的规定，</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19</w:t>
      </w:r>
      <w:r>
        <w:rPr>
          <w:spacing w:val="-4"/>
        </w:rPr>
        <w:t>日，</w:t>
      </w:r>
      <w:r>
        <w:rPr/>
        <w:t> </w:t>
      </w:r>
      <w:r>
        <w:rPr>
          <w:spacing w:val="-2"/>
        </w:rPr>
        <w:t>公司召开的第三届董事会</w:t>
      </w:r>
      <w:r>
        <w:rPr>
          <w:rFonts w:ascii="Times New Roman" w:hAnsi="Times New Roman" w:cs="Times New Roman" w:eastAsia="Times New Roman" w:hint="default"/>
          <w:spacing w:val="-2"/>
        </w:rPr>
        <w:t>2017</w:t>
      </w:r>
      <w:r>
        <w:rPr>
          <w:spacing w:val="-2"/>
        </w:rPr>
        <w:t>年第三次会议审议通过了《关于调整公司首期股票期权激励计划股票期权数量及行权价格的议</w:t>
      </w:r>
      <w:r>
        <w:rPr>
          <w:spacing w:val="-61"/>
        </w:rPr>
        <w:t> </w:t>
      </w:r>
      <w:r>
        <w:rPr>
          <w:spacing w:val="-61"/>
        </w:rPr>
      </w:r>
      <w:r>
        <w:rPr>
          <w:spacing w:val="-2"/>
        </w:rPr>
        <w:t>案》，调整后公司首期股票期权激励计划已授予股票期权总数由</w:t>
      </w:r>
      <w:r>
        <w:rPr>
          <w:rFonts w:ascii="Times New Roman" w:hAnsi="Times New Roman" w:cs="Times New Roman" w:eastAsia="Times New Roman" w:hint="default"/>
          <w:spacing w:val="-2"/>
        </w:rPr>
        <w:t>534</w:t>
      </w:r>
      <w:r>
        <w:rPr>
          <w:spacing w:val="-2"/>
        </w:rPr>
        <w:t>万份调整为</w:t>
      </w:r>
      <w:r>
        <w:rPr>
          <w:rFonts w:ascii="Times New Roman" w:hAnsi="Times New Roman" w:cs="Times New Roman" w:eastAsia="Times New Roman" w:hint="default"/>
          <w:spacing w:val="-2"/>
        </w:rPr>
        <w:t>1,068</w:t>
      </w:r>
      <w:r>
        <w:rPr>
          <w:spacing w:val="-2"/>
        </w:rPr>
        <w:t>万份，第一期可行权数量由</w:t>
      </w:r>
      <w:r>
        <w:rPr>
          <w:rFonts w:ascii="Times New Roman" w:hAnsi="Times New Roman" w:cs="Times New Roman" w:eastAsia="Times New Roman" w:hint="default"/>
          <w:spacing w:val="-2"/>
        </w:rPr>
        <w:t>213.6</w:t>
      </w:r>
      <w:r>
        <w:rPr>
          <w:spacing w:val="-2"/>
        </w:rPr>
        <w:t>万份调</w:t>
      </w:r>
      <w:r>
        <w:rPr>
          <w:spacing w:val="-56"/>
        </w:rPr>
        <w:t> </w:t>
      </w:r>
      <w:r>
        <w:rPr>
          <w:spacing w:val="-56"/>
        </w:rPr>
      </w:r>
      <w:r>
        <w:rPr>
          <w:spacing w:val="-1"/>
        </w:rPr>
        <w:t>整为</w:t>
      </w:r>
      <w:r>
        <w:rPr>
          <w:rFonts w:ascii="Times New Roman" w:hAnsi="Times New Roman" w:cs="Times New Roman" w:eastAsia="Times New Roman" w:hint="default"/>
          <w:spacing w:val="-1"/>
        </w:rPr>
        <w:t>427.2</w:t>
      </w:r>
      <w:r>
        <w:rPr>
          <w:spacing w:val="-1"/>
        </w:rPr>
        <w:t>万份，行权价格由</w:t>
      </w:r>
      <w:r>
        <w:rPr>
          <w:rFonts w:ascii="Times New Roman" w:hAnsi="Times New Roman" w:cs="Times New Roman" w:eastAsia="Times New Roman" w:hint="default"/>
          <w:spacing w:val="-1"/>
        </w:rPr>
        <w:t>36.22</w:t>
      </w:r>
      <w:r>
        <w:rPr>
          <w:spacing w:val="-1"/>
        </w:rPr>
        <w:t>元调整为</w:t>
      </w:r>
      <w:r>
        <w:rPr>
          <w:rFonts w:ascii="Times New Roman" w:hAnsi="Times New Roman" w:cs="Times New Roman" w:eastAsia="Times New Roman" w:hint="default"/>
          <w:spacing w:val="-1"/>
        </w:rPr>
        <w:t>18.06</w:t>
      </w:r>
      <w:r>
        <w:rPr>
          <w:spacing w:val="-1"/>
        </w:rPr>
        <w:t>元。独立董事就本次调整发表了独立意见，北京市嘉源律师事务所对本次调</w:t>
      </w:r>
      <w:r>
        <w:rPr>
          <w:spacing w:val="-74"/>
        </w:rPr>
        <w:t> </w:t>
      </w:r>
      <w:r>
        <w:rPr>
          <w:spacing w:val="-74"/>
        </w:rPr>
      </w:r>
      <w:r>
        <w:rPr/>
        <w:t>整股票期权数量及行权价格出具了法律意见书。</w:t>
      </w:r>
    </w:p>
    <w:p>
      <w:pPr>
        <w:pStyle w:val="BodyText"/>
        <w:spacing w:line="360" w:lineRule="auto" w:before="72"/>
        <w:ind w:left="513" w:right="0"/>
        <w:jc w:val="left"/>
      </w:pPr>
      <w:r>
        <w:rPr/>
        <w:t>（二）本次股权激励计划实施对公司的影响 </w:t>
      </w:r>
      <w:r>
        <w:rPr>
          <w:spacing w:val="-2"/>
        </w:rPr>
        <w:t>本次股权激励计划的实施将进一步健全公司经营机制，完善公司董事、高级管理人员、核心骨干激励约束机制，充分调</w:t>
      </w:r>
    </w:p>
    <w:p>
      <w:pPr>
        <w:pStyle w:val="BodyText"/>
        <w:spacing w:line="222" w:lineRule="exact"/>
        <w:ind w:right="0"/>
        <w:jc w:val="both"/>
      </w:pPr>
      <w:r>
        <w:rPr/>
        <w:t>动其积极性，有效地将股东利益、公司利益和核心团队个人利益结合在一起，促进公司持续、稳健、快速发展。</w:t>
      </w:r>
    </w:p>
    <w:p>
      <w:pPr>
        <w:pStyle w:val="BodyText"/>
        <w:spacing w:line="240" w:lineRule="auto" w:before="115"/>
        <w:ind w:left="513" w:right="0"/>
        <w:jc w:val="left"/>
      </w:pPr>
      <w:r>
        <w:rPr/>
        <w:t>经测算，预计本次股权激励计划成本合计为</w:t>
      </w:r>
      <w:r>
        <w:rPr>
          <w:rFonts w:ascii="Times New Roman" w:hAnsi="Times New Roman" w:cs="Times New Roman" w:eastAsia="Times New Roman" w:hint="default"/>
        </w:rPr>
        <w:t>3,245.79</w:t>
      </w:r>
      <w:r>
        <w:rPr/>
        <w:t>万元，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-2019</w:t>
      </w:r>
      <w:r>
        <w:rPr/>
        <w:t>年股票期权成本摊销情况见下表：</w:t>
      </w:r>
    </w:p>
    <w:p>
      <w:pPr>
        <w:spacing w:line="240" w:lineRule="auto" w:before="4"/>
        <w:rPr>
          <w:rFonts w:ascii="宋体" w:hAnsi="宋体" w:cs="宋体" w:eastAsia="宋体" w:hint="default"/>
          <w:sz w:val="7"/>
          <w:szCs w:val="7"/>
        </w:rPr>
      </w:pPr>
    </w:p>
    <w:tbl>
      <w:tblPr>
        <w:tblW w:w="0" w:type="auto"/>
        <w:jc w:val="left"/>
        <w:tblInd w:w="712" w:type="dxa"/>
        <w:tblLayout w:type="fixed"/>
        <w:tblCellMar>
          <w:top w:w="0" w:type="dxa"/>
          <w:left w:w="0" w:type="dxa"/>
          <w:bottom w:w="0" w:type="dxa"/>
          <w:right w:w="0" w:type="dxa"/>
        </w:tblCellMar>
        <w:tblLook w:val="01E0"/>
      </w:tblPr>
      <w:tblGrid>
        <w:gridCol w:w="1668"/>
        <w:gridCol w:w="1733"/>
        <w:gridCol w:w="1702"/>
        <w:gridCol w:w="1702"/>
        <w:gridCol w:w="1702"/>
      </w:tblGrid>
      <w:tr>
        <w:trPr>
          <w:trHeight w:val="720"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需摊销的费用合计</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年度（万元）</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年度（万元）</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年度（万元）</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年度（万元）</w:t>
            </w:r>
          </w:p>
        </w:tc>
      </w:tr>
      <w:tr>
        <w:trPr>
          <w:trHeight w:val="406"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511" w:right="0"/>
              <w:jc w:val="left"/>
              <w:rPr>
                <w:rFonts w:ascii="Times New Roman" w:hAnsi="Times New Roman" w:cs="Times New Roman" w:eastAsia="Times New Roman" w:hint="default"/>
                <w:sz w:val="18"/>
                <w:szCs w:val="18"/>
              </w:rPr>
            </w:pPr>
            <w:r>
              <w:rPr>
                <w:rFonts w:ascii="Times New Roman"/>
                <w:sz w:val="18"/>
              </w:rPr>
              <w:t>3,245.79</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1,375.92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1,248.64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507.60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113.63</w:t>
            </w:r>
          </w:p>
        </w:tc>
      </w:tr>
    </w:tbl>
    <w:p>
      <w:pPr>
        <w:pStyle w:val="BodyText"/>
        <w:spacing w:line="360" w:lineRule="auto" w:before="49"/>
        <w:ind w:left="513" w:right="0"/>
        <w:jc w:val="left"/>
      </w:pPr>
      <w:r>
        <w:rPr/>
        <w:t>本次股权激励计划的成本将在经常性损益中列支。 </w:t>
      </w:r>
      <w:r>
        <w:rPr>
          <w:spacing w:val="5"/>
        </w:rPr>
        <w:t>报告期内，有关公司首期股票期权激励计划的具体内容详见公司在中国证监会指定创业板信息披露网站巨潮资讯网</w:t>
      </w:r>
    </w:p>
    <w:p>
      <w:pPr>
        <w:pStyle w:val="BodyText"/>
        <w:spacing w:line="236" w:lineRule="exact"/>
        <w:ind w:right="2839"/>
        <w:jc w:val="left"/>
      </w:pPr>
      <w:r>
        <w:rPr/>
        <w:t>（</w:t>
      </w:r>
      <w:hyperlink r:id="rId11">
        <w:r>
          <w:rPr>
            <w:rFonts w:ascii="Times New Roman" w:hAnsi="Times New Roman" w:cs="Times New Roman" w:eastAsia="Times New Roman" w:hint="default"/>
          </w:rPr>
          <w:t>http://www.cninfo.com.cn</w:t>
        </w:r>
      </w:hyperlink>
      <w:r>
        <w:rPr/>
        <w:t>）上的公告：</w:t>
      </w:r>
    </w:p>
    <w:p>
      <w:pPr>
        <w:spacing w:line="240" w:lineRule="auto" w:before="1"/>
        <w:rPr>
          <w:rFonts w:ascii="宋体" w:hAnsi="宋体" w:cs="宋体" w:eastAsia="宋体" w:hint="default"/>
          <w:sz w:val="7"/>
          <w:szCs w:val="7"/>
        </w:rPr>
      </w:pPr>
    </w:p>
    <w:tbl>
      <w:tblPr>
        <w:tblW w:w="0" w:type="auto"/>
        <w:jc w:val="left"/>
        <w:tblInd w:w="705" w:type="dxa"/>
        <w:tblLayout w:type="fixed"/>
        <w:tblCellMar>
          <w:top w:w="0" w:type="dxa"/>
          <w:left w:w="0" w:type="dxa"/>
          <w:bottom w:w="0" w:type="dxa"/>
          <w:right w:w="0" w:type="dxa"/>
        </w:tblCellMar>
        <w:tblLook w:val="01E0"/>
      </w:tblPr>
      <w:tblGrid>
        <w:gridCol w:w="5528"/>
        <w:gridCol w:w="1702"/>
        <w:gridCol w:w="1291"/>
      </w:tblGrid>
      <w:tr>
        <w:trPr>
          <w:trHeight w:val="427" w:hRule="exact"/>
        </w:trPr>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公告名称</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8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27" w:hRule="exact"/>
        </w:trPr>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第三届董事会</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年第一次会议决议公告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95" w:right="0"/>
              <w:jc w:val="left"/>
              <w:rPr>
                <w:rFonts w:ascii="Times New Roman" w:hAnsi="Times New Roman" w:cs="Times New Roman" w:eastAsia="Times New Roman" w:hint="default"/>
                <w:sz w:val="18"/>
                <w:szCs w:val="18"/>
              </w:rPr>
            </w:pPr>
            <w:r>
              <w:rPr>
                <w:rFonts w:ascii="Times New Roman"/>
                <w:sz w:val="18"/>
              </w:rPr>
              <w:t>2017-004</w:t>
            </w:r>
          </w:p>
        </w:tc>
      </w:tr>
      <w:tr>
        <w:trPr>
          <w:trHeight w:val="427" w:hRule="exact"/>
        </w:trPr>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第三届监事会</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年第一次会议决议公告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95" w:right="0"/>
              <w:jc w:val="left"/>
              <w:rPr>
                <w:rFonts w:ascii="Times New Roman" w:hAnsi="Times New Roman" w:cs="Times New Roman" w:eastAsia="Times New Roman" w:hint="default"/>
                <w:sz w:val="18"/>
                <w:szCs w:val="18"/>
              </w:rPr>
            </w:pPr>
            <w:r>
              <w:rPr>
                <w:rFonts w:ascii="Times New Roman"/>
                <w:sz w:val="18"/>
              </w:rPr>
              <w:t>2017-005</w:t>
            </w:r>
          </w:p>
        </w:tc>
      </w:tr>
      <w:tr>
        <w:trPr>
          <w:trHeight w:val="739" w:hRule="exact"/>
        </w:trPr>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035" w:right="1" w:hanging="2033"/>
              <w:jc w:val="left"/>
              <w:rPr>
                <w:rFonts w:ascii="宋体" w:hAnsi="宋体" w:cs="宋体" w:eastAsia="宋体" w:hint="default"/>
                <w:sz w:val="18"/>
                <w:szCs w:val="18"/>
              </w:rPr>
            </w:pPr>
            <w:r>
              <w:rPr>
                <w:rFonts w:ascii="宋体" w:hAnsi="宋体" w:cs="宋体" w:eastAsia="宋体" w:hint="default"/>
                <w:spacing w:val="-3"/>
                <w:sz w:val="18"/>
                <w:szCs w:val="18"/>
              </w:rPr>
              <w:t>关于调整首期股票期权激励计划激励对象名单、股票期权数量及注销部</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分股票期权的公告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2017-011</w:t>
            </w:r>
          </w:p>
        </w:tc>
      </w:tr>
      <w:tr>
        <w:trPr>
          <w:trHeight w:val="427" w:hRule="exact"/>
        </w:trPr>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关于首期股票期权激励计划第一个行权期可行权的公告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95" w:right="0"/>
              <w:jc w:val="left"/>
              <w:rPr>
                <w:rFonts w:ascii="Times New Roman" w:hAnsi="Times New Roman" w:cs="Times New Roman" w:eastAsia="Times New Roman" w:hint="default"/>
                <w:sz w:val="18"/>
                <w:szCs w:val="18"/>
              </w:rPr>
            </w:pPr>
            <w:r>
              <w:rPr>
                <w:rFonts w:ascii="Times New Roman"/>
                <w:sz w:val="18"/>
              </w:rPr>
              <w:t>2017-012</w:t>
            </w:r>
          </w:p>
        </w:tc>
      </w:tr>
      <w:tr>
        <w:trPr>
          <w:trHeight w:val="428" w:hRule="exact"/>
        </w:trPr>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首期股票期权激励计划激励对象名单（调整后）</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291" w:type="dxa"/>
            <w:tcBorders>
              <w:top w:val="single" w:sz="6" w:space="0" w:color="000000"/>
              <w:left w:val="single" w:sz="6" w:space="0" w:color="000000"/>
              <w:bottom w:val="single" w:sz="6" w:space="0" w:color="000000"/>
              <w:right w:val="single" w:sz="6" w:space="0" w:color="000000"/>
            </w:tcBorders>
          </w:tcPr>
          <w:p>
            <w:pPr/>
          </w:p>
        </w:tc>
      </w:tr>
      <w:tr>
        <w:trPr>
          <w:trHeight w:val="739" w:hRule="exact"/>
        </w:trPr>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506" w:right="56" w:hanging="452"/>
              <w:jc w:val="left"/>
              <w:rPr>
                <w:rFonts w:ascii="宋体" w:hAnsi="宋体" w:cs="宋体" w:eastAsia="宋体" w:hint="default"/>
                <w:sz w:val="18"/>
                <w:szCs w:val="18"/>
              </w:rPr>
            </w:pPr>
            <w:r>
              <w:rPr>
                <w:rFonts w:ascii="宋体" w:hAnsi="宋体" w:cs="宋体" w:eastAsia="宋体" w:hint="default"/>
                <w:sz w:val="18"/>
                <w:szCs w:val="18"/>
              </w:rPr>
              <w:t>北京市嘉源律师事务所关于北京光环新网科技股份有限公司首期股票 期权激励计划第一个行权期可行权相关事项的法律意见书</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291" w:type="dxa"/>
            <w:tcBorders>
              <w:top w:val="single" w:sz="6" w:space="0" w:color="000000"/>
              <w:left w:val="single" w:sz="6" w:space="0" w:color="000000"/>
              <w:bottom w:val="single" w:sz="6" w:space="0" w:color="000000"/>
              <w:right w:val="single" w:sz="6" w:space="0" w:color="000000"/>
            </w:tcBorders>
          </w:tcPr>
          <w:p>
            <w:pPr/>
          </w:p>
        </w:tc>
      </w:tr>
      <w:tr>
        <w:trPr>
          <w:trHeight w:val="1051" w:hRule="exact"/>
        </w:trPr>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1"/>
              <w:jc w:val="center"/>
              <w:rPr>
                <w:rFonts w:ascii="宋体" w:hAnsi="宋体" w:cs="宋体" w:eastAsia="宋体" w:hint="default"/>
                <w:sz w:val="18"/>
                <w:szCs w:val="18"/>
              </w:rPr>
            </w:pPr>
            <w:r>
              <w:rPr>
                <w:rFonts w:ascii="宋体" w:hAnsi="宋体" w:cs="宋体" w:eastAsia="宋体" w:hint="default"/>
                <w:spacing w:val="-3"/>
                <w:sz w:val="18"/>
                <w:szCs w:val="18"/>
              </w:rPr>
              <w:t>关于《北京市嘉源律师事务所关于北京光环新网科技股份有限公司首期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股票期权激励计划第一个行权期可行权相关事项的法律意见书》的更正</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2017-018</w:t>
            </w:r>
          </w:p>
        </w:tc>
      </w:tr>
      <w:tr>
        <w:trPr>
          <w:trHeight w:val="739" w:hRule="exact"/>
        </w:trPr>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1855" w:right="56" w:hanging="1800"/>
              <w:jc w:val="left"/>
              <w:rPr>
                <w:rFonts w:ascii="宋体" w:hAnsi="宋体" w:cs="宋体" w:eastAsia="宋体" w:hint="default"/>
                <w:sz w:val="18"/>
                <w:szCs w:val="18"/>
              </w:rPr>
            </w:pPr>
            <w:r>
              <w:rPr>
                <w:rFonts w:ascii="宋体" w:hAnsi="宋体" w:cs="宋体" w:eastAsia="宋体" w:hint="default"/>
                <w:sz w:val="18"/>
                <w:szCs w:val="18"/>
              </w:rPr>
              <w:t>关于首期股票期权激励计划首次授予股票期权第一个行权期采用自主 行权模式的提示性公告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2017-021</w:t>
            </w:r>
          </w:p>
        </w:tc>
      </w:tr>
      <w:tr>
        <w:trPr>
          <w:trHeight w:val="427" w:hRule="exact"/>
        </w:trPr>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关于调整首期股票期权激励计划股票期权数量及行权价格的公告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95" w:right="0"/>
              <w:jc w:val="left"/>
              <w:rPr>
                <w:rFonts w:ascii="Times New Roman" w:hAnsi="Times New Roman" w:cs="Times New Roman" w:eastAsia="Times New Roman" w:hint="default"/>
                <w:sz w:val="18"/>
                <w:szCs w:val="18"/>
              </w:rPr>
            </w:pPr>
            <w:r>
              <w:rPr>
                <w:rFonts w:ascii="Times New Roman"/>
                <w:sz w:val="18"/>
              </w:rPr>
              <w:t>2017-030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3"/>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5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6"/>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61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5"/>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报告期内公司不存在非经营性关联债权债务往来。</w:t>
      </w:r>
    </w:p>
    <w:p>
      <w:pPr>
        <w:spacing w:line="240" w:lineRule="auto" w:before="8"/>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50" w:firstLine="420"/>
        <w:jc w:val="both"/>
      </w:pPr>
      <w:r>
        <w:rPr>
          <w:rFonts w:ascii="Times New Roman" w:hAnsi="Times New Roman" w:cs="Times New Roman" w:eastAsia="Times New Roman" w:hint="default"/>
          <w:spacing w:val="-1"/>
        </w:rPr>
        <w:t>1</w:t>
      </w:r>
      <w:r>
        <w:rPr>
          <w:spacing w:val="-1"/>
        </w:rPr>
        <w:t>）公司子公司北京中金云网科技有限公司由董事长杨洁及其配偶张利做为连带责任保证人，与中国工商银行股份有限</w:t>
      </w:r>
      <w:r>
        <w:rPr/>
        <w:t> </w:t>
      </w:r>
      <w:r>
        <w:rPr>
          <w:spacing w:val="-1"/>
        </w:rPr>
        <w:t>公司北京经济技术开发区支行于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10</w:t>
      </w:r>
      <w:r>
        <w:rPr>
          <w:spacing w:val="-1"/>
        </w:rPr>
        <w:t>日签订《固定资产融资借款合同》（编号：</w:t>
      </w:r>
      <w:r>
        <w:rPr>
          <w:rFonts w:ascii="Times New Roman" w:hAnsi="Times New Roman" w:cs="Times New Roman" w:eastAsia="Times New Roman" w:hint="default"/>
          <w:spacing w:val="-1"/>
        </w:rPr>
        <w:t>0020000094-2015</w:t>
      </w:r>
      <w:r>
        <w:rPr>
          <w:spacing w:val="-1"/>
        </w:rPr>
        <w:t>年（亦庄）字</w:t>
      </w:r>
      <w:r>
        <w:rPr>
          <w:rFonts w:ascii="Times New Roman" w:hAnsi="Times New Roman" w:cs="Times New Roman" w:eastAsia="Times New Roman" w:hint="default"/>
          <w:spacing w:val="-1"/>
        </w:rPr>
        <w:t>0014</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t>号）贷款额度伍亿整。</w:t>
      </w:r>
    </w:p>
    <w:p>
      <w:pPr>
        <w:pStyle w:val="BodyText"/>
        <w:spacing w:line="300" w:lineRule="auto" w:before="31"/>
        <w:ind w:right="150" w:firstLine="420"/>
        <w:jc w:val="both"/>
      </w:pPr>
      <w:r>
        <w:rPr>
          <w:rFonts w:ascii="Times New Roman" w:hAnsi="Times New Roman" w:cs="Times New Roman" w:eastAsia="Times New Roman" w:hint="default"/>
          <w:spacing w:val="-1"/>
        </w:rPr>
        <w:t>2</w:t>
      </w:r>
      <w:r>
        <w:rPr>
          <w:spacing w:val="-1"/>
        </w:rPr>
        <w:t>）公司子公司北京中金云网科技有限公司由董事长杨洁及其配偶张利做为连带责任保证人与主办银行中国工商银行股</w:t>
      </w:r>
      <w:r>
        <w:rPr/>
        <w:t> </w:t>
      </w:r>
      <w:r>
        <w:rPr>
          <w:spacing w:val="-4"/>
        </w:rPr>
        <w:t>份有限公司北京经济技术开发区支行于</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10</w:t>
      </w:r>
      <w:r>
        <w:rPr>
          <w:spacing w:val="-4"/>
        </w:rPr>
        <w:t>日签订《北京数据中心二期项目银团贷款合同》（编号：</w:t>
      </w:r>
      <w:r>
        <w:rPr>
          <w:rFonts w:ascii="Times New Roman" w:hAnsi="Times New Roman" w:cs="Times New Roman" w:eastAsia="Times New Roman" w:hint="default"/>
          <w:spacing w:val="-4"/>
        </w:rPr>
        <w:t>0020000094-2015</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spacing w:val="-1"/>
        </w:rPr>
        <w:t>年</w:t>
      </w:r>
      <w:r>
        <w:rPr>
          <w:rFonts w:ascii="Times New Roman" w:hAnsi="Times New Roman" w:cs="Times New Roman" w:eastAsia="Times New Roman" w:hint="default"/>
          <w:spacing w:val="-1"/>
        </w:rPr>
        <w:t>(</w:t>
      </w:r>
      <w:r>
        <w:rPr>
          <w:spacing w:val="-1"/>
        </w:rPr>
        <w:t>亦庄</w:t>
      </w:r>
      <w:r>
        <w:rPr>
          <w:rFonts w:ascii="Times New Roman" w:hAnsi="Times New Roman" w:cs="Times New Roman" w:eastAsia="Times New Roman" w:hint="default"/>
          <w:spacing w:val="-1"/>
        </w:rPr>
        <w:t>)</w:t>
      </w:r>
      <w:r>
        <w:rPr>
          <w:spacing w:val="-1"/>
        </w:rPr>
        <w:t>字</w:t>
      </w:r>
      <w:r>
        <w:rPr>
          <w:rFonts w:ascii="Times New Roman" w:hAnsi="Times New Roman" w:cs="Times New Roman" w:eastAsia="Times New Roman" w:hint="default"/>
          <w:spacing w:val="-1"/>
        </w:rPr>
        <w:t>0023</w:t>
      </w:r>
      <w:r>
        <w:rPr>
          <w:spacing w:val="-1"/>
        </w:rPr>
        <w:t>号），贷款额度分别为中国工商银行股份有限公司北京经济技术开发区支行三亿元整，北京农村商业银行经</w:t>
      </w:r>
      <w:r>
        <w:rPr>
          <w:spacing w:val="-59"/>
        </w:rPr>
        <w:t> </w:t>
      </w:r>
      <w:r>
        <w:rPr>
          <w:spacing w:val="-59"/>
        </w:rPr>
      </w:r>
      <w:r>
        <w:rPr/>
        <w:t>济技术开发区支行三亿元整，北京银行黄村支行贰亿元整。</w:t>
      </w:r>
    </w:p>
    <w:p>
      <w:pPr>
        <w:pStyle w:val="BodyText"/>
        <w:spacing w:line="240" w:lineRule="auto" w:before="32"/>
        <w:ind w:left="573" w:right="0"/>
        <w:jc w:val="left"/>
      </w:pPr>
      <w:r>
        <w:rPr>
          <w:rFonts w:ascii="Times New Roman" w:hAnsi="Times New Roman" w:cs="Times New Roman" w:eastAsia="Times New Roman" w:hint="default"/>
        </w:rPr>
        <w:t>3</w:t>
      </w:r>
      <w:r>
        <w:rPr/>
        <w:t>）子公司北京科信盛彩云计算有限公司以北京金田恒业置业有限公司位于北京经济技术开发区经海二路</w:t>
      </w:r>
      <w:r>
        <w:rPr>
          <w:rFonts w:ascii="Times New Roman" w:hAnsi="Times New Roman" w:cs="Times New Roman" w:eastAsia="Times New Roman" w:hint="default"/>
        </w:rPr>
        <w:t>28</w:t>
      </w:r>
      <w:r>
        <w:rPr/>
        <w:t>号自有物业</w:t>
      </w:r>
    </w:p>
    <w:p>
      <w:pPr>
        <w:pStyle w:val="BodyText"/>
        <w:spacing w:line="300" w:lineRule="auto" w:before="63"/>
        <w:ind w:right="151"/>
        <w:jc w:val="both"/>
      </w:pPr>
      <w:r>
        <w:rPr>
          <w:spacing w:val="-1"/>
        </w:rPr>
        <w:t>（房产证编号：</w:t>
      </w:r>
      <w:r>
        <w:rPr>
          <w:rFonts w:ascii="Times New Roman" w:hAnsi="Times New Roman" w:cs="Times New Roman" w:eastAsia="Times New Roman" w:hint="default"/>
          <w:spacing w:val="-1"/>
        </w:rPr>
        <w:t>X</w:t>
      </w:r>
      <w:r>
        <w:rPr>
          <w:spacing w:val="-1"/>
        </w:rPr>
        <w:t>房权证开字第</w:t>
      </w:r>
      <w:r>
        <w:rPr>
          <w:rFonts w:ascii="Times New Roman" w:hAnsi="Times New Roman" w:cs="Times New Roman" w:eastAsia="Times New Roman" w:hint="default"/>
          <w:spacing w:val="-1"/>
        </w:rPr>
        <w:t>005009</w:t>
      </w:r>
      <w:r>
        <w:rPr>
          <w:spacing w:val="-1"/>
        </w:rPr>
        <w:t>号、土地证编号：开有限国用</w:t>
      </w:r>
      <w:r>
        <w:rPr>
          <w:rFonts w:ascii="Times New Roman" w:hAnsi="Times New Roman" w:cs="Times New Roman" w:eastAsia="Times New Roman" w:hint="default"/>
          <w:spacing w:val="-1"/>
        </w:rPr>
        <w:t>2016</w:t>
      </w:r>
      <w:r>
        <w:rPr>
          <w:spacing w:val="-1"/>
        </w:rPr>
        <w:t>第</w:t>
      </w:r>
      <w:r>
        <w:rPr>
          <w:rFonts w:ascii="Times New Roman" w:hAnsi="Times New Roman" w:cs="Times New Roman" w:eastAsia="Times New Roman" w:hint="default"/>
          <w:spacing w:val="-1"/>
        </w:rPr>
        <w:t>48</w:t>
      </w:r>
      <w:r>
        <w:rPr>
          <w:spacing w:val="-1"/>
        </w:rPr>
        <w:t>号）设定抵押；以融资期限内亦庄云计算基地</w:t>
      </w:r>
      <w:r>
        <w:rPr>
          <w:spacing w:val="-69"/>
        </w:rPr>
        <w:t> </w:t>
      </w:r>
      <w:r>
        <w:rPr>
          <w:spacing w:val="-69"/>
        </w:rPr>
      </w:r>
      <w:r>
        <w:rPr>
          <w:spacing w:val="-2"/>
        </w:rPr>
        <w:t>产生的全部经营收入（人行征信动产权属统一登记证明编号</w:t>
      </w:r>
      <w:r>
        <w:rPr>
          <w:rFonts w:ascii="Times New Roman" w:hAnsi="Times New Roman" w:cs="Times New Roman" w:eastAsia="Times New Roman" w:hint="default"/>
          <w:spacing w:val="-2"/>
        </w:rPr>
        <w:t>02661269000322397736</w:t>
      </w:r>
      <w:r>
        <w:rPr>
          <w:spacing w:val="-2"/>
        </w:rPr>
        <w:t>）及该合同下应收账款设定质押并由北京</w:t>
      </w:r>
      <w:r>
        <w:rPr>
          <w:spacing w:val="-50"/>
        </w:rPr>
        <w:t> </w:t>
      </w:r>
      <w:r>
        <w:rPr>
          <w:spacing w:val="-50"/>
        </w:rPr>
      </w:r>
      <w:r>
        <w:rPr/>
        <w:t>百汇达投资管理有限公司作为连带责任保证人与中国工商银行股份有限公司北京经济技术开发区支行于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日签订</w:t>
      </w:r>
    </w:p>
    <w:p>
      <w:pPr>
        <w:pStyle w:val="BodyText"/>
        <w:spacing w:line="300" w:lineRule="auto" w:before="13"/>
        <w:ind w:right="151"/>
        <w:jc w:val="both"/>
      </w:pPr>
      <w:r>
        <w:rPr/>
        <w:t>《固定资产借款合同》（编号：</w:t>
      </w:r>
      <w:r>
        <w:rPr>
          <w:rFonts w:ascii="Times New Roman" w:hAnsi="Times New Roman" w:cs="Times New Roman" w:eastAsia="Times New Roman" w:hint="default"/>
        </w:rPr>
        <w:t>0020000094-2016</w:t>
      </w:r>
      <w:r>
        <w:rPr/>
        <w:t>年</w:t>
      </w:r>
      <w:r>
        <w:rPr>
          <w:rFonts w:ascii="Times New Roman" w:hAnsi="Times New Roman" w:cs="Times New Roman" w:eastAsia="Times New Roman" w:hint="default"/>
        </w:rPr>
        <w:t>(</w:t>
      </w:r>
      <w:r>
        <w:rPr/>
        <w:t>亦庄</w:t>
      </w:r>
      <w:r>
        <w:rPr>
          <w:rFonts w:ascii="Times New Roman" w:hAnsi="Times New Roman" w:cs="Times New Roman" w:eastAsia="Times New Roman" w:hint="default"/>
        </w:rPr>
        <w:t>)</w:t>
      </w:r>
      <w:r>
        <w:rPr/>
        <w:t>字</w:t>
      </w:r>
      <w:r>
        <w:rPr>
          <w:rFonts w:ascii="Times New Roman" w:hAnsi="Times New Roman" w:cs="Times New Roman" w:eastAsia="Times New Roman" w:hint="default"/>
        </w:rPr>
        <w:t>0049</w:t>
      </w:r>
      <w:r>
        <w:rPr/>
        <w:t>号），贷款额度为贰亿捌仟万元整。贷款期限</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t>日至</w:t>
      </w:r>
      <w:r>
        <w:rPr>
          <w:rFonts w:ascii="Times New Roman" w:hAnsi="Times New Roman" w:cs="Times New Roman" w:eastAsia="Times New Roman" w:hint="default"/>
        </w:rPr>
        <w:t>2024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月，子公司北京科信盛彩云计算有限公司根据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日与中国工商银行股份有限公司北 </w:t>
      </w:r>
      <w:r>
        <w:rPr>
          <w:spacing w:val="-2"/>
        </w:rPr>
        <w:t>京经济技术开发区支行签订的最高额抵押合同，将抵押物变更为该公司位于北京经济技术开发区瑞合西二路</w:t>
      </w:r>
      <w:r>
        <w:rPr>
          <w:rFonts w:ascii="Times New Roman" w:hAnsi="Times New Roman" w:cs="Times New Roman" w:eastAsia="Times New Roman" w:hint="default"/>
          <w:spacing w:val="-2"/>
        </w:rPr>
        <w:t>6</w:t>
      </w:r>
      <w:r>
        <w:rPr>
          <w:spacing w:val="-2"/>
        </w:rPr>
        <w:t>号院</w:t>
      </w:r>
      <w:r>
        <w:rPr>
          <w:rFonts w:ascii="Times New Roman" w:hAnsi="Times New Roman" w:cs="Times New Roman" w:eastAsia="Times New Roman" w:hint="default"/>
          <w:spacing w:val="-2"/>
        </w:rPr>
        <w:t>1</w:t>
      </w:r>
      <w:r>
        <w:rPr>
          <w:spacing w:val="-2"/>
        </w:rPr>
        <w:t>号楼等六</w:t>
      </w:r>
      <w:r>
        <w:rPr>
          <w:spacing w:val="-62"/>
        </w:rPr>
        <w:t> </w:t>
      </w:r>
      <w:r>
        <w:rPr>
          <w:spacing w:val="-62"/>
        </w:rPr>
      </w:r>
      <w:r>
        <w:rPr/>
        <w:t>幢楼的房屋所有权及对应的土地使用权（不动产权号：京（</w:t>
      </w:r>
      <w:r>
        <w:rPr>
          <w:rFonts w:ascii="Times New Roman" w:hAnsi="Times New Roman" w:cs="Times New Roman" w:eastAsia="Times New Roman" w:hint="default"/>
        </w:rPr>
        <w:t>2016</w:t>
      </w:r>
      <w:r>
        <w:rPr/>
        <w:t>）开发区不动产第</w:t>
      </w:r>
      <w:r>
        <w:rPr>
          <w:rFonts w:ascii="Times New Roman" w:hAnsi="Times New Roman" w:cs="Times New Roman" w:eastAsia="Times New Roman" w:hint="default"/>
        </w:rPr>
        <w:t>0019466</w:t>
      </w:r>
      <w:r>
        <w:rPr/>
        <w:t>号、京（</w:t>
      </w:r>
      <w:r>
        <w:rPr>
          <w:rFonts w:ascii="Times New Roman" w:hAnsi="Times New Roman" w:cs="Times New Roman" w:eastAsia="Times New Roman" w:hint="default"/>
        </w:rPr>
        <w:t>2016</w:t>
      </w:r>
      <w:r>
        <w:rPr/>
        <w:t>）开发区不动产权</w:t>
      </w:r>
      <w:r>
        <w:rPr>
          <w:spacing w:val="-86"/>
        </w:rPr>
        <w:t> </w:t>
      </w:r>
      <w:r>
        <w:rPr/>
        <w:t>第</w:t>
      </w:r>
      <w:r>
        <w:rPr>
          <w:rFonts w:ascii="Times New Roman" w:hAnsi="Times New Roman" w:cs="Times New Roman" w:eastAsia="Times New Roman" w:hint="default"/>
        </w:rPr>
        <w:t>0019668</w:t>
      </w:r>
      <w:r>
        <w:rPr/>
        <w:t>号）；</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日签订《固定资产借款合同》（编号：</w:t>
      </w:r>
      <w:r>
        <w:rPr>
          <w:rFonts w:ascii="Times New Roman" w:hAnsi="Times New Roman" w:cs="Times New Roman" w:eastAsia="Times New Roman" w:hint="default"/>
        </w:rPr>
        <w:t>0020000094-2017</w:t>
      </w:r>
      <w:r>
        <w:rPr/>
        <w:t>年</w:t>
      </w:r>
      <w:r>
        <w:rPr>
          <w:rFonts w:ascii="Times New Roman" w:hAnsi="Times New Roman" w:cs="Times New Roman" w:eastAsia="Times New Roman" w:hint="default"/>
        </w:rPr>
        <w:t>(</w:t>
      </w:r>
      <w:r>
        <w:rPr/>
        <w:t>亦庄</w:t>
      </w:r>
      <w:r>
        <w:rPr>
          <w:rFonts w:ascii="Times New Roman" w:hAnsi="Times New Roman" w:cs="Times New Roman" w:eastAsia="Times New Roman" w:hint="default"/>
        </w:rPr>
        <w:t>)</w:t>
      </w:r>
      <w:r>
        <w:rPr/>
        <w:t>字</w:t>
      </w:r>
      <w:r>
        <w:rPr>
          <w:rFonts w:ascii="Times New Roman" w:hAnsi="Times New Roman" w:cs="Times New Roman" w:eastAsia="Times New Roman" w:hint="default"/>
        </w:rPr>
        <w:t>00073</w:t>
      </w:r>
      <w:r>
        <w:rPr/>
        <w:t>号），贷款额度为壹 亿肆仟伍佰万元整，贷款期限自实际开始提款日起不超过</w:t>
      </w:r>
      <w:r>
        <w:rPr>
          <w:rFonts w:ascii="Times New Roman" w:hAnsi="Times New Roman" w:cs="Times New Roman" w:eastAsia="Times New Roman" w:hint="default"/>
        </w:rPr>
        <w:t>8</w:t>
      </w:r>
      <w:r>
        <w:rPr/>
        <w:t>年。</w:t>
      </w:r>
    </w:p>
    <w:p>
      <w:pPr>
        <w:pStyle w:val="BodyText"/>
        <w:spacing w:line="300" w:lineRule="auto" w:before="13"/>
        <w:ind w:right="152" w:firstLine="420"/>
        <w:jc w:val="both"/>
      </w:pPr>
      <w:r>
        <w:rPr>
          <w:rFonts w:ascii="Times New Roman" w:hAnsi="Times New Roman" w:cs="Times New Roman" w:eastAsia="Times New Roman" w:hint="default"/>
          <w:spacing w:val="-1"/>
        </w:rPr>
        <w:t>4</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10</w:t>
      </w:r>
      <w:r>
        <w:rPr>
          <w:spacing w:val="-1"/>
        </w:rPr>
        <w:t>日第三届董事会</w:t>
      </w:r>
      <w:r>
        <w:rPr>
          <w:rFonts w:ascii="Times New Roman" w:hAnsi="Times New Roman" w:cs="Times New Roman" w:eastAsia="Times New Roman" w:hint="default"/>
          <w:spacing w:val="-1"/>
        </w:rPr>
        <w:t>2017</w:t>
      </w:r>
      <w:r>
        <w:rPr>
          <w:spacing w:val="-1"/>
        </w:rPr>
        <w:t>年第八次会议审议通过了《关于放弃北京科信盛彩云计算有限公司股权转让优先</w:t>
      </w:r>
      <w:r>
        <w:rPr/>
        <w:t> </w:t>
      </w:r>
      <w:r>
        <w:rPr>
          <w:spacing w:val="-1"/>
        </w:rPr>
        <w:t>购买权暨关联交易的议案》，百汇达将其持有的科信盛彩</w:t>
      </w:r>
      <w:r>
        <w:rPr>
          <w:rFonts w:ascii="Times New Roman" w:hAnsi="Times New Roman" w:cs="Times New Roman" w:eastAsia="Times New Roman" w:hint="default"/>
          <w:spacing w:val="-1"/>
        </w:rPr>
        <w:t>36%</w:t>
      </w:r>
      <w:r>
        <w:rPr>
          <w:spacing w:val="-1"/>
        </w:rPr>
        <w:t>的股权以</w:t>
      </w:r>
      <w:r>
        <w:rPr>
          <w:rFonts w:ascii="Times New Roman" w:hAnsi="Times New Roman" w:cs="Times New Roman" w:eastAsia="Times New Roman" w:hint="default"/>
          <w:spacing w:val="-1"/>
        </w:rPr>
        <w:t>16,488</w:t>
      </w:r>
      <w:r>
        <w:rPr>
          <w:spacing w:val="-1"/>
        </w:rPr>
        <w:t>万元的价格转让其全资子公司光环控股有限公</w:t>
      </w:r>
    </w:p>
    <w:p>
      <w:pPr>
        <w:spacing w:after="0" w:line="300"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2839"/>
        <w:jc w:val="left"/>
      </w:pPr>
      <w:r>
        <w:rPr/>
        <w:t>司，公司放弃优先购买权。</w:t>
      </w:r>
    </w:p>
    <w:p>
      <w:pPr>
        <w:spacing w:line="240" w:lineRule="auto" w:before="3"/>
        <w:rPr>
          <w:rFonts w:ascii="宋体" w:hAnsi="宋体" w:cs="宋体" w:eastAsia="宋体" w:hint="default"/>
          <w:sz w:val="25"/>
          <w:szCs w:val="25"/>
        </w:rPr>
      </w:pPr>
    </w:p>
    <w:p>
      <w:pPr>
        <w:pStyle w:val="Heading2"/>
        <w:spacing w:line="240" w:lineRule="auto"/>
        <w:ind w:right="2839"/>
        <w:jc w:val="left"/>
        <w:rPr>
          <w:b w:val="0"/>
          <w:bCs w:val="0"/>
        </w:rPr>
      </w:pP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2839"/>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2839"/>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8"/>
        <w:rPr>
          <w:rFonts w:ascii="宋体" w:hAnsi="宋体" w:cs="宋体" w:eastAsia="宋体" w:hint="default"/>
          <w:sz w:val="21"/>
          <w:szCs w:val="21"/>
        </w:rPr>
      </w:pPr>
    </w:p>
    <w:p>
      <w:pPr>
        <w:pStyle w:val="Heading3"/>
        <w:spacing w:line="240" w:lineRule="auto"/>
        <w:ind w:right="2839"/>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7"/>
        <w:rPr>
          <w:rFonts w:ascii="宋体" w:hAnsi="宋体" w:cs="宋体" w:eastAsia="宋体" w:hint="default"/>
          <w:sz w:val="21"/>
          <w:szCs w:val="21"/>
        </w:rPr>
      </w:pPr>
    </w:p>
    <w:p>
      <w:pPr>
        <w:pStyle w:val="Heading3"/>
        <w:spacing w:line="240" w:lineRule="auto"/>
        <w:ind w:right="2839"/>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 </w:t>
      </w:r>
      <w:r>
        <w:rPr/>
        <w:t>不适用 租赁情况说明：</w:t>
      </w:r>
    </w:p>
    <w:p>
      <w:pPr>
        <w:pStyle w:val="BodyText"/>
        <w:spacing w:line="300" w:lineRule="auto" w:before="39"/>
        <w:ind w:right="160" w:firstLine="360"/>
        <w:jc w:val="both"/>
      </w:pPr>
      <w:r>
        <w:rPr>
          <w:rFonts w:ascii="Times New Roman" w:hAnsi="Times New Roman" w:cs="Times New Roman" w:eastAsia="Times New Roman" w:hint="default"/>
        </w:rPr>
        <w:t>1</w:t>
      </w:r>
      <w:r>
        <w:rPr/>
        <w:t>、公司全资子公司光环云谷科技有限公司燕郊光环云谷一期项目经营用数据机房所用场地的租赁性质为经营租赁，合 同总金额 </w:t>
      </w:r>
      <w:r>
        <w:rPr>
          <w:rFonts w:ascii="Times New Roman" w:hAnsi="Times New Roman" w:cs="Times New Roman" w:eastAsia="Times New Roman" w:hint="default"/>
        </w:rPr>
        <w:t>60,713,917.50</w:t>
      </w:r>
      <w:r>
        <w:rPr>
          <w:rFonts w:ascii="Times New Roman" w:hAnsi="Times New Roman" w:cs="Times New Roman" w:eastAsia="Times New Roman" w:hint="default"/>
          <w:spacing w:val="-2"/>
        </w:rPr>
        <w:t> </w:t>
      </w:r>
      <w:r>
        <w:rPr/>
        <w:t>元，租期</w:t>
      </w:r>
      <w:r>
        <w:rPr>
          <w:rFonts w:ascii="Times New Roman" w:hAnsi="Times New Roman" w:cs="Times New Roman" w:eastAsia="Times New Roman" w:hint="default"/>
        </w:rPr>
        <w:t>10</w:t>
      </w:r>
      <w:r>
        <w:rPr/>
        <w:t>年，年租金</w:t>
      </w:r>
      <w:r>
        <w:rPr>
          <w:rFonts w:ascii="Times New Roman" w:hAnsi="Times New Roman" w:cs="Times New Roman" w:eastAsia="Times New Roman" w:hint="default"/>
        </w:rPr>
        <w:t>6,071,391.75</w:t>
      </w:r>
      <w:r>
        <w:rPr/>
        <w:t>元，本公司已支付相应租金。</w:t>
      </w:r>
    </w:p>
    <w:p>
      <w:pPr>
        <w:pStyle w:val="BodyText"/>
        <w:spacing w:line="240" w:lineRule="auto" w:before="13"/>
        <w:ind w:left="513" w:right="0"/>
        <w:jc w:val="left"/>
      </w:pPr>
      <w:r>
        <w:rPr>
          <w:rFonts w:ascii="Times New Roman" w:hAnsi="Times New Roman" w:cs="Times New Roman" w:eastAsia="Times New Roman" w:hint="default"/>
        </w:rPr>
        <w:t>2</w:t>
      </w:r>
      <w:r>
        <w:rPr/>
        <w:t>、燕郊光环云谷二期项目经营用数据机房所用场地为经营租赁，合同总金额</w:t>
      </w:r>
      <w:r>
        <w:rPr>
          <w:rFonts w:ascii="Times New Roman" w:hAnsi="Times New Roman" w:cs="Times New Roman" w:eastAsia="Times New Roman" w:hint="default"/>
        </w:rPr>
        <w:t>151,408,606.60</w:t>
      </w:r>
      <w:r>
        <w:rPr/>
        <w:t>元，租期</w:t>
      </w:r>
      <w:r>
        <w:rPr>
          <w:rFonts w:ascii="Times New Roman" w:hAnsi="Times New Roman" w:cs="Times New Roman" w:eastAsia="Times New Roman" w:hint="default"/>
        </w:rPr>
        <w:t>10</w:t>
      </w:r>
      <w:r>
        <w:rPr/>
        <w:t>年，年租金</w:t>
      </w:r>
    </w:p>
    <w:p>
      <w:pPr>
        <w:pStyle w:val="BodyText"/>
        <w:spacing w:line="240" w:lineRule="auto" w:before="63"/>
        <w:ind w:right="2839"/>
        <w:jc w:val="left"/>
      </w:pPr>
      <w:r>
        <w:rPr>
          <w:rFonts w:ascii="Times New Roman" w:hAnsi="Times New Roman" w:cs="Times New Roman" w:eastAsia="Times New Roman" w:hint="default"/>
        </w:rPr>
        <w:t>15,140,860.66</w:t>
      </w:r>
      <w:r>
        <w:rPr/>
        <w:t>元。</w:t>
      </w:r>
    </w:p>
    <w:p>
      <w:pPr>
        <w:pStyle w:val="BodyText"/>
        <w:spacing w:line="240" w:lineRule="auto" w:before="63"/>
        <w:ind w:left="513" w:right="0"/>
        <w:jc w:val="left"/>
      </w:pPr>
      <w:r>
        <w:rPr>
          <w:rFonts w:ascii="Times New Roman" w:hAnsi="Times New Roman" w:cs="Times New Roman" w:eastAsia="Times New Roman" w:hint="default"/>
        </w:rPr>
        <w:t>3</w:t>
      </w:r>
      <w:r>
        <w:rPr/>
        <w:t>、子公司科信盛彩固定资产中印刷车间、成品库、原料库已于</w:t>
      </w:r>
      <w:r>
        <w:rPr>
          <w:spacing w:val="-19"/>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日出租，租期</w:t>
      </w:r>
      <w:r>
        <w:rPr>
          <w:rFonts w:ascii="Times New Roman" w:hAnsi="Times New Roman" w:cs="Times New Roman" w:eastAsia="Times New Roman" w:hint="default"/>
        </w:rPr>
        <w:t>9</w:t>
      </w:r>
      <w:r>
        <w:rPr/>
        <w:t>年，</w:t>
      </w:r>
      <w:r>
        <w:rPr>
          <w:rFonts w:ascii="宋体" w:hAnsi="宋体" w:cs="宋体" w:eastAsia="宋体" w:hint="default"/>
        </w:rPr>
        <w:t>2</w:t>
      </w:r>
      <w:r>
        <w:rPr>
          <w:rFonts w:ascii="Times New Roman" w:hAnsi="Times New Roman" w:cs="Times New Roman" w:eastAsia="Times New Roman" w:hint="default"/>
        </w:rPr>
        <w:t>017</w:t>
      </w:r>
      <w:r>
        <w:rPr/>
        <w:t>年年租赁收入</w:t>
      </w:r>
    </w:p>
    <w:p>
      <w:pPr>
        <w:pStyle w:val="BodyText"/>
        <w:spacing w:line="240" w:lineRule="auto" w:before="63"/>
        <w:ind w:right="2839"/>
        <w:jc w:val="left"/>
      </w:pPr>
      <w:r>
        <w:rPr>
          <w:rFonts w:ascii="Times New Roman" w:hAnsi="Times New Roman" w:cs="Times New Roman" w:eastAsia="Times New Roman" w:hint="default"/>
        </w:rPr>
        <w:t>10,612,458.51</w:t>
      </w:r>
      <w:r>
        <w:rPr/>
        <w:t>元，租赁满后承租方可请求租约期限续展。</w:t>
      </w:r>
    </w:p>
    <w:p>
      <w:pPr>
        <w:pStyle w:val="BodyText"/>
        <w:spacing w:line="240" w:lineRule="auto" w:before="63"/>
        <w:ind w:left="513" w:right="0"/>
        <w:jc w:val="left"/>
      </w:pPr>
      <w:r>
        <w:rPr>
          <w:rFonts w:ascii="Times New Roman" w:hAnsi="Times New Roman" w:cs="Times New Roman" w:eastAsia="Times New Roman" w:hint="default"/>
        </w:rPr>
        <w:t>4</w:t>
      </w:r>
      <w:r>
        <w:rPr/>
        <w:t>、公司全资子公司北京中金云网科技有限公司出租办公楼部分房间及附属物给中金数据系统有限公司使用，年租金</w:t>
      </w:r>
    </w:p>
    <w:p>
      <w:pPr>
        <w:pStyle w:val="BodyText"/>
        <w:spacing w:line="240" w:lineRule="auto" w:before="63"/>
        <w:ind w:right="0"/>
        <w:jc w:val="left"/>
      </w:pPr>
      <w:r>
        <w:rPr>
          <w:rFonts w:ascii="Times New Roman" w:hAnsi="Times New Roman" w:cs="Times New Roman" w:eastAsia="Times New Roman" w:hint="default"/>
        </w:rPr>
        <w:t>19,374,784</w:t>
      </w:r>
      <w:r>
        <w:rPr/>
        <w:t>元，租赁期为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日，如无一方提出终止，自动续约</w:t>
      </w:r>
      <w:r>
        <w:rPr>
          <w:rFonts w:ascii="Times New Roman" w:hAnsi="Times New Roman" w:cs="Times New Roman" w:eastAsia="Times New Roman" w:hint="default"/>
        </w:rPr>
        <w:t>1</w:t>
      </w:r>
      <w:r>
        <w:rPr/>
        <w:t>年，续约次数以两次为限。</w:t>
      </w:r>
    </w:p>
    <w:p>
      <w:pPr>
        <w:pStyle w:val="BodyText"/>
        <w:spacing w:line="300" w:lineRule="auto" w:before="63"/>
        <w:ind w:right="148" w:firstLine="360"/>
        <w:jc w:val="both"/>
      </w:pPr>
      <w:r>
        <w:rPr>
          <w:rFonts w:ascii="Times New Roman" w:hAnsi="Times New Roman" w:cs="Times New Roman" w:eastAsia="Times New Roman" w:hint="default"/>
        </w:rPr>
        <w:t>5</w:t>
      </w:r>
      <w:r>
        <w:rPr/>
        <w:t>、公司子公司北京中金云网科技有限公司与仲信国际租赁有限公司签订相关售后回租合同，将公司拥有的部分生产设 </w:t>
      </w:r>
      <w:r>
        <w:rPr>
          <w:spacing w:val="-1"/>
        </w:rPr>
        <w:t>备以</w:t>
      </w:r>
      <w:r>
        <w:rPr>
          <w:rFonts w:ascii="Times New Roman" w:hAnsi="Times New Roman" w:cs="Times New Roman" w:eastAsia="Times New Roman" w:hint="default"/>
          <w:spacing w:val="-1"/>
        </w:rPr>
        <w:t>“</w:t>
      </w:r>
      <w:r>
        <w:rPr>
          <w:spacing w:val="-1"/>
        </w:rPr>
        <w:t>售后回租</w:t>
      </w:r>
      <w:r>
        <w:rPr>
          <w:rFonts w:ascii="Times New Roman" w:hAnsi="Times New Roman" w:cs="Times New Roman" w:eastAsia="Times New Roman" w:hint="default"/>
          <w:spacing w:val="-1"/>
        </w:rPr>
        <w:t>”</w:t>
      </w:r>
      <w:r>
        <w:rPr>
          <w:spacing w:val="-1"/>
        </w:rPr>
        <w:t>租赁方式与仲信国际租赁有限公司开展融资租赁交易，融资金额</w:t>
      </w:r>
      <w:r>
        <w:rPr>
          <w:rFonts w:ascii="Times New Roman" w:hAnsi="Times New Roman" w:cs="Times New Roman" w:eastAsia="Times New Roman" w:hint="default"/>
          <w:spacing w:val="-1"/>
        </w:rPr>
        <w:t>30,000,000.00</w:t>
      </w:r>
      <w:r>
        <w:rPr>
          <w:spacing w:val="-1"/>
        </w:rPr>
        <w:t>元，售后回租期限为</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5"/>
        </w:rPr>
        <w:t> </w:t>
      </w:r>
      <w:r>
        <w:rPr/>
        <w:t>月</w:t>
      </w:r>
      <w:r>
        <w:rPr>
          <w:rFonts w:ascii="Times New Roman" w:hAnsi="Times New Roman" w:cs="Times New Roman" w:eastAsia="Times New Roman" w:hint="default"/>
        </w:rPr>
        <w:t>29</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w:t>
      </w:r>
      <w:r>
        <w:rPr/>
        <w:t>日，融资期限为三年，租赁期满，公司拥有所有权，中金数据系统有限公司为连带责任保证人。截止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日，合同已执行完毕，所有应付款项均已偿还。</w:t>
      </w:r>
    </w:p>
    <w:p>
      <w:pPr>
        <w:pStyle w:val="BodyText"/>
        <w:spacing w:line="300" w:lineRule="auto" w:before="13"/>
        <w:ind w:right="148" w:firstLine="360"/>
        <w:jc w:val="both"/>
      </w:pPr>
      <w:r>
        <w:rPr>
          <w:rFonts w:ascii="Times New Roman" w:hAnsi="Times New Roman" w:cs="Times New Roman" w:eastAsia="Times New Roman" w:hint="default"/>
          <w:spacing w:val="-5"/>
        </w:rPr>
        <w:t>6</w:t>
      </w:r>
      <w:r>
        <w:rPr>
          <w:spacing w:val="-5"/>
        </w:rPr>
        <w:t>、公司全资子公司北京中金云网科技有限公司与上海电气融资有限公司签订了融资租赁合同，租赁物为电缆、冷却塔 </w:t>
      </w:r>
      <w:r>
        <w:rPr/>
        <w:t>及</w:t>
      </w:r>
      <w:r>
        <w:rPr/>
        <w:t> </w:t>
      </w:r>
      <w:r>
        <w:rPr>
          <w:spacing w:val="-1"/>
        </w:rPr>
        <w:t>阀门、冷水机组、柴油发电机，融资金额</w:t>
      </w:r>
      <w:r>
        <w:rPr>
          <w:rFonts w:ascii="Times New Roman" w:hAnsi="Times New Roman" w:cs="Times New Roman" w:eastAsia="Times New Roman" w:hint="default"/>
          <w:spacing w:val="-1"/>
        </w:rPr>
        <w:t>19,651,420.27</w:t>
      </w:r>
      <w:r>
        <w:rPr>
          <w:spacing w:val="-1"/>
        </w:rPr>
        <w:t>元，融资期限为五年，租赁期满，公司拥有所有权，中金数据系统有</w:t>
      </w:r>
      <w:r>
        <w:rPr>
          <w:spacing w:val="-67"/>
        </w:rPr>
        <w:t> </w:t>
      </w:r>
      <w:r>
        <w:rPr>
          <w:spacing w:val="-67"/>
        </w:rPr>
      </w:r>
      <w:r>
        <w:rPr/>
        <w:t>限公司为连带责任保证人。</w:t>
      </w:r>
    </w:p>
    <w:p>
      <w:pPr>
        <w:pStyle w:val="BodyText"/>
        <w:spacing w:line="300" w:lineRule="auto" w:before="31"/>
        <w:ind w:right="144" w:firstLine="360"/>
        <w:jc w:val="left"/>
      </w:pPr>
      <w:r>
        <w:rPr>
          <w:rFonts w:ascii="Times New Roman" w:hAnsi="Times New Roman" w:cs="Times New Roman" w:eastAsia="Times New Roman" w:hint="default"/>
        </w:rPr>
        <w:t>7</w:t>
      </w:r>
      <w:r>
        <w:rPr/>
        <w:t>、公司子公司北京中金云网科技有限公司与利星行融资租赁（上海）有限公司签订了融资租赁合同，租赁物为柴油发 电机，融资金额</w:t>
      </w:r>
      <w:r>
        <w:rPr>
          <w:rFonts w:ascii="Times New Roman" w:hAnsi="Times New Roman" w:cs="Times New Roman" w:eastAsia="Times New Roman" w:hint="default"/>
        </w:rPr>
        <w:t>19,600,000.00</w:t>
      </w:r>
      <w:r>
        <w:rPr/>
        <w:t>元，租赁期自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日融资期限为四年，租赁期满，公司以留购价格 </w:t>
      </w:r>
      <w:r>
        <w:rPr>
          <w:rFonts w:ascii="Times New Roman" w:hAnsi="Times New Roman" w:cs="Times New Roman" w:eastAsia="Times New Roman" w:hint="default"/>
        </w:rPr>
        <w:t>1,000.00</w:t>
      </w:r>
      <w:r>
        <w:rPr/>
        <w:t>元回购该部分租赁物所有权，公司董事长杨洁及中金数据系统有限公司为连带责任保证人。</w:t>
      </w:r>
    </w:p>
    <w:p>
      <w:pPr>
        <w:spacing w:line="240" w:lineRule="auto" w:before="4"/>
        <w:rPr>
          <w:rFonts w:ascii="宋体" w:hAnsi="宋体" w:cs="宋体" w:eastAsia="宋体" w:hint="default"/>
          <w:sz w:val="22"/>
          <w:szCs w:val="22"/>
        </w:rPr>
      </w:pPr>
    </w:p>
    <w:p>
      <w:pPr>
        <w:pStyle w:val="Heading3"/>
        <w:spacing w:line="240" w:lineRule="auto"/>
        <w:ind w:right="2839"/>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after="0" w:line="3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2839"/>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2839"/>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980"/>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980"/>
          <w:cols w:num="2" w:equalWidth="0">
            <w:col w:w="1953" w:space="6787"/>
            <w:col w:w="12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0"/>
        <w:gridCol w:w="1846"/>
      </w:tblGrid>
      <w:tr>
        <w:trPr>
          <w:trHeight w:val="403"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154,202</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券商理财产品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184,202</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2839"/>
        <w:jc w:val="left"/>
      </w:pPr>
      <w:r>
        <w:rPr/>
        <w:t>单项金额重大或安全性较低、流动性较差、不保本的高风险委托理财具体情况</w:t>
      </w:r>
    </w:p>
    <w:p>
      <w:pPr>
        <w:pStyle w:val="BodyText"/>
        <w:spacing w:line="240" w:lineRule="auto" w:before="117"/>
        <w:ind w:left="0" w:right="15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2276" w:hRule="exact"/>
        </w:trPr>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0" w:right="99"/>
              <w:jc w:val="both"/>
              <w:rPr>
                <w:rFonts w:ascii="宋体" w:hAnsi="宋体" w:cs="宋体" w:eastAsia="宋体" w:hint="default"/>
                <w:sz w:val="18"/>
                <w:szCs w:val="18"/>
              </w:rPr>
            </w:pPr>
            <w:r>
              <w:rPr>
                <w:rFonts w:ascii="宋体" w:hAnsi="宋体" w:cs="宋体" w:eastAsia="宋体" w:hint="default"/>
                <w:sz w:val="18"/>
                <w:szCs w:val="18"/>
              </w:rPr>
              <w:t>受托 机构 名称</w:t>
            </w:r>
          </w:p>
          <w:p>
            <w:pPr>
              <w:pStyle w:val="TableParagraph"/>
              <w:spacing w:line="319" w:lineRule="auto" w:before="19"/>
              <w:ind w:left="100" w:right="99"/>
              <w:jc w:val="both"/>
              <w:rPr>
                <w:rFonts w:ascii="宋体" w:hAnsi="宋体" w:cs="宋体" w:eastAsia="宋体" w:hint="default"/>
                <w:sz w:val="18"/>
                <w:szCs w:val="18"/>
              </w:rPr>
            </w:pPr>
            <w:r>
              <w:rPr>
                <w:rFonts w:ascii="宋体" w:hAnsi="宋体" w:cs="宋体" w:eastAsia="宋体" w:hint="default"/>
                <w:sz w:val="18"/>
                <w:szCs w:val="18"/>
              </w:rPr>
              <w:t>（或 受托 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0" w:right="108"/>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6" w:lineRule="auto" w:before="19"/>
              <w:ind w:left="24" w:right="21"/>
              <w:jc w:val="center"/>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3"/>
                <w:sz w:val="18"/>
                <w:szCs w:val="18"/>
              </w:rPr>
              <w:t>人）类</w:t>
            </w:r>
            <w:r>
              <w:rPr>
                <w:rFonts w:ascii="宋体" w:hAnsi="宋体" w:cs="宋体" w:eastAsia="宋体" w:hint="default"/>
                <w:sz w:val="18"/>
                <w:szCs w:val="18"/>
              </w:rPr>
              <w:t> 型</w:t>
            </w:r>
          </w:p>
        </w:tc>
        <w:tc>
          <w:tcPr>
            <w:tcW w:w="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08" w:right="2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96" w:right="94"/>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95" w:right="91"/>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95" w:right="95"/>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95" w:right="9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95" w:right="95"/>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6" w:right="91"/>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5"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6" w:lineRule="auto" w:before="19"/>
              <w:ind w:left="184" w:right="95" w:hanging="89"/>
              <w:jc w:val="left"/>
              <w:rPr>
                <w:rFonts w:ascii="宋体" w:hAnsi="宋体" w:cs="宋体" w:eastAsia="宋体" w:hint="default"/>
                <w:sz w:val="18"/>
                <w:szCs w:val="18"/>
              </w:rPr>
            </w:pPr>
            <w:r>
              <w:rPr>
                <w:rFonts w:ascii="宋体" w:hAnsi="宋体" w:cs="宋体" w:eastAsia="宋体" w:hint="default"/>
                <w:sz w:val="18"/>
                <w:szCs w:val="18"/>
              </w:rPr>
              <w:t>（如 有</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6" w:right="95"/>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5" w:right="95"/>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8" w:right="87"/>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6" w:lineRule="auto" w:before="19"/>
              <w:ind w:left="88" w:right="87"/>
              <w:jc w:val="both"/>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88" w:right="86"/>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8" w:right="86"/>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9" w:hanging="3"/>
              <w:jc w:val="center"/>
              <w:rPr>
                <w:rFonts w:ascii="宋体" w:hAnsi="宋体" w:cs="宋体" w:eastAsia="宋体" w:hint="default"/>
                <w:sz w:val="18"/>
                <w:szCs w:val="18"/>
              </w:rPr>
            </w:pPr>
            <w:r>
              <w:rPr>
                <w:rFonts w:ascii="宋体" w:hAnsi="宋体" w:cs="宋体" w:eastAsia="宋体" w:hint="default"/>
                <w:sz w:val="18"/>
                <w:szCs w:val="18"/>
              </w:rPr>
              <w:t>事项 概述 及相 关查 询索 </w:t>
            </w:r>
            <w:r>
              <w:rPr>
                <w:rFonts w:ascii="宋体" w:hAnsi="宋体" w:cs="宋体" w:eastAsia="宋体" w:hint="default"/>
                <w:spacing w:val="-20"/>
                <w:sz w:val="18"/>
                <w:szCs w:val="18"/>
              </w:rPr>
              <w:t>引（如</w:t>
            </w:r>
            <w:r>
              <w:rPr>
                <w:rFonts w:ascii="宋体" w:hAnsi="宋体" w:cs="宋体" w:eastAsia="宋体" w:hint="default"/>
                <w:sz w:val="18"/>
                <w:szCs w:val="18"/>
              </w:rPr>
              <w:t> 有）</w:t>
            </w:r>
          </w:p>
        </w:tc>
      </w:tr>
      <w:tr>
        <w:trPr>
          <w:trHeight w:val="691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100" w:right="99"/>
              <w:jc w:val="both"/>
              <w:rPr>
                <w:rFonts w:ascii="宋体" w:hAnsi="宋体" w:cs="宋体" w:eastAsia="宋体" w:hint="default"/>
                <w:sz w:val="18"/>
                <w:szCs w:val="18"/>
              </w:rPr>
            </w:pPr>
            <w:r>
              <w:rPr>
                <w:rFonts w:ascii="宋体" w:hAnsi="宋体" w:cs="宋体" w:eastAsia="宋体" w:hint="default"/>
                <w:sz w:val="18"/>
                <w:szCs w:val="18"/>
              </w:rPr>
              <w:t>广发 银行 股份 有限 公司 东直 门支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8" w:right="26"/>
              <w:jc w:val="center"/>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34,861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96" w:right="94"/>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 w:hanging="36"/>
              <w:jc w:val="center"/>
              <w:rPr>
                <w:rFonts w:ascii="宋体" w:hAnsi="宋体" w:cs="宋体" w:eastAsia="宋体" w:hint="default"/>
                <w:sz w:val="18"/>
                <w:szCs w:val="18"/>
              </w:rPr>
            </w:pPr>
            <w:r>
              <w:rPr>
                <w:rFonts w:ascii="宋体" w:hAnsi="宋体" w:cs="宋体" w:eastAsia="宋体" w:hint="default"/>
                <w:sz w:val="18"/>
                <w:szCs w:val="18"/>
              </w:rPr>
              <w:t>投资 于货 币市 场工 </w:t>
            </w:r>
            <w:r>
              <w:rPr>
                <w:rFonts w:ascii="宋体" w:hAnsi="宋体" w:cs="宋体" w:eastAsia="宋体" w:hint="default"/>
                <w:spacing w:val="-12"/>
                <w:sz w:val="18"/>
                <w:szCs w:val="18"/>
              </w:rPr>
              <w:t>具（包</w:t>
            </w:r>
            <w:r>
              <w:rPr>
                <w:rFonts w:ascii="宋体" w:hAnsi="宋体" w:cs="宋体" w:eastAsia="宋体" w:hint="default"/>
                <w:sz w:val="18"/>
                <w:szCs w:val="18"/>
              </w:rPr>
              <w:t> 括但 不限 于银 行存 </w:t>
            </w:r>
            <w:r>
              <w:rPr>
                <w:rFonts w:ascii="宋体" w:hAnsi="宋体" w:cs="宋体" w:eastAsia="宋体" w:hint="default"/>
                <w:spacing w:val="-12"/>
                <w:sz w:val="18"/>
                <w:szCs w:val="18"/>
              </w:rPr>
              <w:t>款、拆</w:t>
            </w:r>
            <w:r>
              <w:rPr>
                <w:rFonts w:ascii="宋体" w:hAnsi="宋体" w:cs="宋体" w:eastAsia="宋体" w:hint="default"/>
                <w:sz w:val="18"/>
                <w:szCs w:val="18"/>
              </w:rPr>
              <w:t> </w:t>
            </w:r>
            <w:r>
              <w:rPr>
                <w:rFonts w:ascii="宋体" w:hAnsi="宋体" w:cs="宋体" w:eastAsia="宋体" w:hint="default"/>
                <w:spacing w:val="-12"/>
                <w:sz w:val="18"/>
                <w:szCs w:val="18"/>
              </w:rPr>
              <w:t>借、回</w:t>
            </w:r>
            <w:r>
              <w:rPr>
                <w:rFonts w:ascii="宋体" w:hAnsi="宋体" w:cs="宋体" w:eastAsia="宋体" w:hint="default"/>
                <w:sz w:val="18"/>
                <w:szCs w:val="18"/>
              </w:rPr>
              <w:t> 购等） 的比 例区 间为</w:t>
            </w:r>
          </w:p>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100%</w:t>
            </w:r>
          </w:p>
          <w:p>
            <w:pPr>
              <w:pStyle w:val="TableParagraph"/>
              <w:spacing w:line="319" w:lineRule="auto" w:before="63"/>
              <w:ind w:left="23" w:right="23"/>
              <w:jc w:val="center"/>
              <w:rPr>
                <w:rFonts w:ascii="宋体" w:hAnsi="宋体" w:cs="宋体" w:eastAsia="宋体" w:hint="default"/>
                <w:sz w:val="18"/>
                <w:szCs w:val="18"/>
              </w:rPr>
            </w:pPr>
            <w:r>
              <w:rPr>
                <w:rFonts w:ascii="宋体" w:hAnsi="宋体" w:cs="宋体" w:eastAsia="宋体" w:hint="default"/>
                <w:spacing w:val="-12"/>
                <w:sz w:val="18"/>
                <w:szCs w:val="18"/>
              </w:rPr>
              <w:t>、债券</w:t>
            </w:r>
            <w:r>
              <w:rPr>
                <w:rFonts w:ascii="宋体" w:hAnsi="宋体" w:cs="宋体" w:eastAsia="宋体" w:hint="default"/>
                <w:sz w:val="18"/>
                <w:szCs w:val="18"/>
              </w:rPr>
              <w:t> 等金 融资 产的 比例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3.70%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321.58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321.58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314" w:lineRule="auto"/>
              <w:ind w:left="95" w:right="95"/>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5667"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8"/>
              <w:ind w:left="62" w:right="59" w:hanging="2"/>
              <w:jc w:val="center"/>
              <w:rPr>
                <w:rFonts w:ascii="Times New Roman" w:hAnsi="Times New Roman" w:cs="Times New Roman" w:eastAsia="Times New Roman" w:hint="default"/>
                <w:sz w:val="18"/>
                <w:szCs w:val="18"/>
              </w:rPr>
            </w:pPr>
            <w:r>
              <w:rPr>
                <w:rFonts w:ascii="宋体" w:hAnsi="宋体" w:cs="宋体" w:eastAsia="宋体" w:hint="default"/>
                <w:sz w:val="18"/>
                <w:szCs w:val="18"/>
              </w:rPr>
              <w:t>区间 为 </w:t>
            </w:r>
            <w:r>
              <w:rPr>
                <w:rFonts w:ascii="Times New Roman" w:hAnsi="Times New Roman" w:cs="Times New Roman" w:eastAsia="Times New Roman" w:hint="default"/>
                <w:sz w:val="18"/>
                <w:szCs w:val="18"/>
              </w:rPr>
              <w:t>0%~8</w:t>
            </w:r>
          </w:p>
          <w:p>
            <w:pPr>
              <w:pStyle w:val="TableParagraph"/>
              <w:spacing w:line="230" w:lineRule="exact"/>
              <w:ind w:left="95" w:right="0" w:hanging="32"/>
              <w:jc w:val="both"/>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p>
          <w:p>
            <w:pPr>
              <w:pStyle w:val="TableParagraph"/>
              <w:spacing w:line="316" w:lineRule="auto" w:before="63"/>
              <w:ind w:left="95" w:right="95"/>
              <w:jc w:val="both"/>
              <w:rPr>
                <w:rFonts w:ascii="宋体" w:hAnsi="宋体" w:cs="宋体" w:eastAsia="宋体" w:hint="default"/>
                <w:sz w:val="18"/>
                <w:szCs w:val="18"/>
              </w:rPr>
            </w:pPr>
            <w:r>
              <w:rPr>
                <w:rFonts w:ascii="宋体" w:hAnsi="宋体" w:cs="宋体" w:eastAsia="宋体" w:hint="default"/>
                <w:sz w:val="18"/>
                <w:szCs w:val="18"/>
              </w:rPr>
              <w:t>收益 部分 投资 于与 美元 兑港 币的 汇率 水平 挂钩 的金 融衍 生产 品</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816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100" w:right="99"/>
              <w:jc w:val="both"/>
              <w:rPr>
                <w:rFonts w:ascii="宋体" w:hAnsi="宋体" w:cs="宋体" w:eastAsia="宋体" w:hint="default"/>
                <w:sz w:val="18"/>
                <w:szCs w:val="18"/>
              </w:rPr>
            </w:pPr>
            <w:r>
              <w:rPr>
                <w:rFonts w:ascii="宋体" w:hAnsi="宋体" w:cs="宋体" w:eastAsia="宋体" w:hint="default"/>
                <w:sz w:val="18"/>
                <w:szCs w:val="18"/>
              </w:rPr>
              <w:t>兴业 银行 北京 东长 安街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6" w:lineRule="auto"/>
              <w:ind w:left="28" w:right="26"/>
              <w:jc w:val="center"/>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6" w:lineRule="auto"/>
              <w:ind w:left="96" w:right="94"/>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 w:hanging="36"/>
              <w:jc w:val="center"/>
              <w:rPr>
                <w:rFonts w:ascii="宋体" w:hAnsi="宋体" w:cs="宋体" w:eastAsia="宋体" w:hint="default"/>
                <w:sz w:val="18"/>
                <w:szCs w:val="18"/>
              </w:rPr>
            </w:pPr>
            <w:r>
              <w:rPr>
                <w:rFonts w:ascii="宋体" w:hAnsi="宋体" w:cs="宋体" w:eastAsia="宋体" w:hint="default"/>
                <w:sz w:val="18"/>
                <w:szCs w:val="18"/>
              </w:rPr>
              <w:t>第一 类</w:t>
            </w:r>
            <w:r>
              <w:rPr>
                <w:rFonts w:ascii="Times New Roman" w:hAnsi="Times New Roman" w:cs="Times New Roman" w:eastAsia="Times New Roman" w:hint="default"/>
                <w:sz w:val="18"/>
                <w:szCs w:val="18"/>
              </w:rPr>
              <w:t>:</w:t>
            </w:r>
            <w:r>
              <w:rPr>
                <w:rFonts w:ascii="宋体" w:hAnsi="宋体" w:cs="宋体" w:eastAsia="宋体" w:hint="default"/>
                <w:sz w:val="18"/>
                <w:szCs w:val="18"/>
              </w:rPr>
              <w:t>银 行存 </w:t>
            </w:r>
            <w:r>
              <w:rPr>
                <w:rFonts w:ascii="宋体" w:hAnsi="宋体" w:cs="宋体" w:eastAsia="宋体" w:hint="default"/>
                <w:spacing w:val="-12"/>
                <w:sz w:val="18"/>
                <w:szCs w:val="18"/>
              </w:rPr>
              <w:t>款、债</w:t>
            </w:r>
            <w:r>
              <w:rPr>
                <w:rFonts w:ascii="宋体" w:hAnsi="宋体" w:cs="宋体" w:eastAsia="宋体" w:hint="default"/>
                <w:sz w:val="18"/>
                <w:szCs w:val="18"/>
              </w:rPr>
              <w:t> 券回 </w:t>
            </w:r>
            <w:r>
              <w:rPr>
                <w:rFonts w:ascii="宋体" w:hAnsi="宋体" w:cs="宋体" w:eastAsia="宋体" w:hint="default"/>
                <w:spacing w:val="-12"/>
                <w:sz w:val="18"/>
                <w:szCs w:val="18"/>
              </w:rPr>
              <w:t>购、货</w:t>
            </w:r>
            <w:r>
              <w:rPr>
                <w:rFonts w:ascii="宋体" w:hAnsi="宋体" w:cs="宋体" w:eastAsia="宋体" w:hint="default"/>
                <w:sz w:val="18"/>
                <w:szCs w:val="18"/>
              </w:rPr>
              <w:t> 币基 金等 货币 市场 工具 及其 它银 行间 资金 融通 工具； 第二 类</w:t>
            </w:r>
            <w:r>
              <w:rPr>
                <w:rFonts w:ascii="Times New Roman" w:hAnsi="Times New Roman" w:cs="Times New Roman" w:eastAsia="Times New Roman" w:hint="default"/>
                <w:sz w:val="18"/>
                <w:szCs w:val="18"/>
              </w:rPr>
              <w:t>:</w:t>
            </w:r>
            <w:r>
              <w:rPr>
                <w:rFonts w:ascii="宋体" w:hAnsi="宋体" w:cs="宋体" w:eastAsia="宋体" w:hint="default"/>
                <w:sz w:val="18"/>
                <w:szCs w:val="18"/>
              </w:rPr>
              <w:t>国 </w:t>
            </w:r>
            <w:r>
              <w:rPr>
                <w:rFonts w:ascii="宋体" w:hAnsi="宋体" w:cs="宋体" w:eastAsia="宋体" w:hint="default"/>
                <w:spacing w:val="-12"/>
                <w:sz w:val="18"/>
                <w:szCs w:val="18"/>
              </w:rPr>
              <w:t>债、政</w:t>
            </w:r>
            <w:r>
              <w:rPr>
                <w:rFonts w:ascii="宋体" w:hAnsi="宋体" w:cs="宋体" w:eastAsia="宋体" w:hint="default"/>
                <w:sz w:val="18"/>
                <w:szCs w:val="18"/>
              </w:rPr>
              <w:t> 策性 金融 </w:t>
            </w:r>
            <w:r>
              <w:rPr>
                <w:rFonts w:ascii="宋体" w:hAnsi="宋体" w:cs="宋体" w:eastAsia="宋体" w:hint="default"/>
                <w:spacing w:val="-12"/>
                <w:sz w:val="18"/>
                <w:szCs w:val="18"/>
              </w:rPr>
              <w:t>债、央</w:t>
            </w:r>
            <w:r>
              <w:rPr>
                <w:rFonts w:ascii="宋体" w:hAnsi="宋体" w:cs="宋体" w:eastAsia="宋体" w:hint="default"/>
                <w:sz w:val="18"/>
                <w:szCs w:val="18"/>
              </w:rPr>
              <w:t> 行票 </w:t>
            </w:r>
            <w:r>
              <w:rPr>
                <w:rFonts w:ascii="宋体" w:hAnsi="宋体" w:cs="宋体" w:eastAsia="宋体" w:hint="default"/>
                <w:spacing w:val="-12"/>
                <w:sz w:val="18"/>
                <w:szCs w:val="18"/>
              </w:rPr>
              <w:t>据、短</w:t>
            </w:r>
            <w:r>
              <w:rPr>
                <w:rFonts w:ascii="宋体" w:hAnsi="宋体" w:cs="宋体" w:eastAsia="宋体" w:hint="default"/>
                <w:sz w:val="18"/>
                <w:szCs w:val="18"/>
              </w:rPr>
              <w:t> 期融</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340.27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340.27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14" w:lineRule="auto"/>
              <w:ind w:left="95" w:right="95"/>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315" w:hRule="exact"/>
        </w:trPr>
        <w:tc>
          <w:tcPr>
            <w:tcW w:w="572" w:type="dxa"/>
            <w:vMerge w:val="restart"/>
            <w:tcBorders>
              <w:top w:val="single" w:sz="4" w:space="0" w:color="000000"/>
              <w:left w:val="single" w:sz="4" w:space="0" w:color="000000"/>
              <w:right w:val="single" w:sz="4" w:space="0" w:color="000000"/>
            </w:tcBorders>
          </w:tcPr>
          <w:p>
            <w:pPr/>
          </w:p>
        </w:tc>
        <w:tc>
          <w:tcPr>
            <w:tcW w:w="590" w:type="dxa"/>
            <w:vMerge w:val="restart"/>
            <w:tcBorders>
              <w:top w:val="single" w:sz="4" w:space="0" w:color="000000"/>
              <w:left w:val="single" w:sz="4" w:space="0" w:color="000000"/>
              <w:right w:val="single" w:sz="4" w:space="0" w:color="000000"/>
            </w:tcBorders>
          </w:tcPr>
          <w:p>
            <w:pPr/>
          </w:p>
        </w:tc>
        <w:tc>
          <w:tcPr>
            <w:tcW w:w="607" w:type="dxa"/>
            <w:vMerge w:val="restart"/>
            <w:tcBorders>
              <w:top w:val="single" w:sz="4" w:space="0" w:color="000000"/>
              <w:left w:val="single" w:sz="4" w:space="0" w:color="000000"/>
              <w:right w:val="single" w:sz="4" w:space="0" w:color="000000"/>
            </w:tcBorders>
          </w:tcPr>
          <w:p>
            <w:pPr/>
          </w:p>
        </w:tc>
        <w:tc>
          <w:tcPr>
            <w:tcW w:w="574"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59"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13"/>
              <w:jc w:val="center"/>
              <w:rPr>
                <w:rFonts w:ascii="宋体" w:hAnsi="宋体" w:cs="宋体" w:eastAsia="宋体" w:hint="default"/>
                <w:sz w:val="18"/>
                <w:szCs w:val="18"/>
              </w:rPr>
            </w:pPr>
            <w:r>
              <w:rPr>
                <w:rFonts w:ascii="宋体" w:hAnsi="宋体" w:cs="宋体" w:eastAsia="宋体" w:hint="default"/>
                <w:sz w:val="18"/>
                <w:szCs w:val="18"/>
              </w:rPr>
              <w:t>资券、</w:t>
            </w:r>
          </w:p>
        </w:tc>
        <w:tc>
          <w:tcPr>
            <w:tcW w:w="562" w:type="dxa"/>
            <w:vMerge w:val="restart"/>
            <w:tcBorders>
              <w:top w:val="single" w:sz="4" w:space="0" w:color="000000"/>
              <w:left w:val="single" w:sz="4" w:space="0" w:color="000000"/>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48" w:type="dxa"/>
            <w:vMerge w:val="restart"/>
            <w:tcBorders>
              <w:top w:val="single" w:sz="4" w:space="0" w:color="000000"/>
              <w:left w:val="single" w:sz="4" w:space="0" w:color="000000"/>
              <w:right w:val="single" w:sz="4" w:space="0" w:color="000000"/>
            </w:tcBorders>
          </w:tcPr>
          <w:p>
            <w:pPr/>
          </w:p>
        </w:tc>
        <w:tc>
          <w:tcPr>
            <w:tcW w:w="547" w:type="dxa"/>
            <w:vMerge w:val="restart"/>
            <w:tcBorders>
              <w:top w:val="single" w:sz="4" w:space="0" w:color="000000"/>
              <w:left w:val="single" w:sz="4" w:space="0" w:color="000000"/>
              <w:right w:val="single" w:sz="4" w:space="0" w:color="000000"/>
            </w:tcBorders>
          </w:tcPr>
          <w:p>
            <w:pPr/>
          </w:p>
        </w:tc>
        <w:tc>
          <w:tcPr>
            <w:tcW w:w="547" w:type="dxa"/>
            <w:vMerge w:val="restart"/>
            <w:tcBorders>
              <w:top w:val="single" w:sz="4" w:space="0" w:color="000000"/>
              <w:left w:val="single" w:sz="4" w:space="0" w:color="000000"/>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中期</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3"/>
              <w:jc w:val="center"/>
              <w:rPr>
                <w:rFonts w:ascii="宋体" w:hAnsi="宋体" w:cs="宋体" w:eastAsia="宋体" w:hint="default"/>
                <w:sz w:val="18"/>
                <w:szCs w:val="18"/>
              </w:rPr>
            </w:pPr>
            <w:r>
              <w:rPr>
                <w:rFonts w:ascii="宋体" w:hAnsi="宋体" w:cs="宋体" w:eastAsia="宋体" w:hint="default"/>
                <w:sz w:val="18"/>
                <w:szCs w:val="18"/>
              </w:rPr>
              <w:t>票据、</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企业</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12"/>
                <w:sz w:val="18"/>
                <w:szCs w:val="18"/>
              </w:rPr>
              <w:t>债、公</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3"/>
              <w:jc w:val="center"/>
              <w:rPr>
                <w:rFonts w:ascii="宋体" w:hAnsi="宋体" w:cs="宋体" w:eastAsia="宋体" w:hint="default"/>
                <w:sz w:val="18"/>
                <w:szCs w:val="18"/>
              </w:rPr>
            </w:pPr>
            <w:r>
              <w:rPr>
                <w:rFonts w:ascii="宋体" w:hAnsi="宋体" w:cs="宋体" w:eastAsia="宋体" w:hint="default"/>
                <w:sz w:val="18"/>
                <w:szCs w:val="18"/>
              </w:rPr>
              <w:t>司债、</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可转</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12"/>
                <w:sz w:val="18"/>
                <w:szCs w:val="18"/>
              </w:rPr>
              <w:t>债、次</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3"/>
              <w:jc w:val="center"/>
              <w:rPr>
                <w:rFonts w:ascii="宋体" w:hAnsi="宋体" w:cs="宋体" w:eastAsia="宋体" w:hint="default"/>
                <w:sz w:val="18"/>
                <w:szCs w:val="18"/>
              </w:rPr>
            </w:pPr>
            <w:r>
              <w:rPr>
                <w:rFonts w:ascii="宋体" w:hAnsi="宋体" w:cs="宋体" w:eastAsia="宋体" w:hint="default"/>
                <w:sz w:val="18"/>
                <w:szCs w:val="18"/>
              </w:rPr>
              <w:t>级债、</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混合</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资本</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债等</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间及</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交易</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所市</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场债</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券及</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债务</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融资</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3"/>
              <w:jc w:val="center"/>
              <w:rPr>
                <w:rFonts w:ascii="宋体" w:hAnsi="宋体" w:cs="宋体" w:eastAsia="宋体" w:hint="default"/>
                <w:sz w:val="18"/>
                <w:szCs w:val="18"/>
              </w:rPr>
            </w:pPr>
            <w:r>
              <w:rPr>
                <w:rFonts w:ascii="宋体" w:hAnsi="宋体" w:cs="宋体" w:eastAsia="宋体" w:hint="default"/>
                <w:sz w:val="18"/>
                <w:szCs w:val="18"/>
              </w:rPr>
              <w:t>工具，</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其它</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固定</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收益</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类短</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期投</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资工</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12"/>
                <w:sz w:val="18"/>
                <w:szCs w:val="18"/>
              </w:rPr>
              <w:t>具；第</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三类</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符合</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监管</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规定</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的信</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托计</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12"/>
                <w:sz w:val="18"/>
                <w:szCs w:val="18"/>
              </w:rPr>
              <w:t>划，券</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商资</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产管</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理计</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12"/>
                <w:sz w:val="18"/>
                <w:szCs w:val="18"/>
              </w:rPr>
              <w:t>划，保</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险债</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权投</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资计</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9" w:hRule="exact"/>
        </w:trPr>
        <w:tc>
          <w:tcPr>
            <w:tcW w:w="572" w:type="dxa"/>
            <w:vMerge/>
            <w:tcBorders>
              <w:left w:val="single" w:sz="4" w:space="0" w:color="000000"/>
              <w:bottom w:val="single" w:sz="4" w:space="0" w:color="000000"/>
              <w:right w:val="single" w:sz="4" w:space="0" w:color="000000"/>
            </w:tcBorders>
          </w:tcPr>
          <w:p>
            <w:pPr/>
          </w:p>
        </w:tc>
        <w:tc>
          <w:tcPr>
            <w:tcW w:w="590" w:type="dxa"/>
            <w:vMerge/>
            <w:tcBorders>
              <w:left w:val="single" w:sz="4" w:space="0" w:color="000000"/>
              <w:bottom w:val="single" w:sz="4" w:space="0" w:color="000000"/>
              <w:right w:val="single" w:sz="4" w:space="0" w:color="000000"/>
            </w:tcBorders>
          </w:tcPr>
          <w:p>
            <w:pPr/>
          </w:p>
        </w:tc>
        <w:tc>
          <w:tcPr>
            <w:tcW w:w="607" w:type="dxa"/>
            <w:vMerge/>
            <w:tcBorders>
              <w:left w:val="single" w:sz="4" w:space="0" w:color="000000"/>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59"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12"/>
                <w:sz w:val="18"/>
                <w:szCs w:val="18"/>
              </w:rPr>
              <w:t>划，基</w:t>
            </w:r>
          </w:p>
        </w:tc>
        <w:tc>
          <w:tcPr>
            <w:tcW w:w="562" w:type="dxa"/>
            <w:vMerge/>
            <w:tcBorders>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48" w:type="dxa"/>
            <w:vMerge/>
            <w:tcBorders>
              <w:left w:val="single" w:sz="4" w:space="0" w:color="000000"/>
              <w:bottom w:val="single" w:sz="4" w:space="0" w:color="000000"/>
              <w:right w:val="single" w:sz="4" w:space="0" w:color="000000"/>
            </w:tcBorders>
          </w:tcPr>
          <w:p>
            <w:pPr/>
          </w:p>
        </w:tc>
        <w:tc>
          <w:tcPr>
            <w:tcW w:w="547" w:type="dxa"/>
            <w:vMerge/>
            <w:tcBorders>
              <w:left w:val="single" w:sz="4" w:space="0" w:color="000000"/>
              <w:bottom w:val="single" w:sz="4" w:space="0" w:color="000000"/>
              <w:right w:val="single" w:sz="4" w:space="0" w:color="000000"/>
            </w:tcBorders>
          </w:tcPr>
          <w:p>
            <w:pPr/>
          </w:p>
        </w:tc>
        <w:tc>
          <w:tcPr>
            <w:tcW w:w="547" w:type="dxa"/>
            <w:vMerge/>
            <w:tcBorders>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315" w:hRule="exact"/>
        </w:trPr>
        <w:tc>
          <w:tcPr>
            <w:tcW w:w="572" w:type="dxa"/>
            <w:vMerge w:val="restart"/>
            <w:tcBorders>
              <w:top w:val="single" w:sz="4" w:space="0" w:color="000000"/>
              <w:left w:val="single" w:sz="4" w:space="0" w:color="000000"/>
              <w:right w:val="single" w:sz="4" w:space="0" w:color="000000"/>
            </w:tcBorders>
          </w:tcPr>
          <w:p>
            <w:pPr/>
          </w:p>
        </w:tc>
        <w:tc>
          <w:tcPr>
            <w:tcW w:w="590" w:type="dxa"/>
            <w:vMerge w:val="restart"/>
            <w:tcBorders>
              <w:top w:val="single" w:sz="4" w:space="0" w:color="000000"/>
              <w:left w:val="single" w:sz="4" w:space="0" w:color="000000"/>
              <w:right w:val="single" w:sz="4" w:space="0" w:color="000000"/>
            </w:tcBorders>
          </w:tcPr>
          <w:p>
            <w:pPr/>
          </w:p>
        </w:tc>
        <w:tc>
          <w:tcPr>
            <w:tcW w:w="607" w:type="dxa"/>
            <w:vMerge w:val="restart"/>
            <w:tcBorders>
              <w:top w:val="single" w:sz="4" w:space="0" w:color="000000"/>
              <w:left w:val="single" w:sz="4" w:space="0" w:color="000000"/>
              <w:right w:val="single" w:sz="4" w:space="0" w:color="000000"/>
            </w:tcBorders>
          </w:tcPr>
          <w:p>
            <w:pPr/>
          </w:p>
        </w:tc>
        <w:tc>
          <w:tcPr>
            <w:tcW w:w="574"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59"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金专</w:t>
            </w:r>
          </w:p>
        </w:tc>
        <w:tc>
          <w:tcPr>
            <w:tcW w:w="562" w:type="dxa"/>
            <w:vMerge w:val="restart"/>
            <w:tcBorders>
              <w:top w:val="single" w:sz="4" w:space="0" w:color="000000"/>
              <w:left w:val="single" w:sz="4" w:space="0" w:color="000000"/>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48" w:type="dxa"/>
            <w:vMerge w:val="restart"/>
            <w:tcBorders>
              <w:top w:val="single" w:sz="4" w:space="0" w:color="000000"/>
              <w:left w:val="single" w:sz="4" w:space="0" w:color="000000"/>
              <w:right w:val="single" w:sz="4" w:space="0" w:color="000000"/>
            </w:tcBorders>
          </w:tcPr>
          <w:p>
            <w:pPr/>
          </w:p>
        </w:tc>
        <w:tc>
          <w:tcPr>
            <w:tcW w:w="547" w:type="dxa"/>
            <w:vMerge w:val="restart"/>
            <w:tcBorders>
              <w:top w:val="single" w:sz="4" w:space="0" w:color="000000"/>
              <w:left w:val="single" w:sz="4" w:space="0" w:color="000000"/>
              <w:right w:val="single" w:sz="4" w:space="0" w:color="000000"/>
            </w:tcBorders>
          </w:tcPr>
          <w:p>
            <w:pPr/>
          </w:p>
        </w:tc>
        <w:tc>
          <w:tcPr>
            <w:tcW w:w="547" w:type="dxa"/>
            <w:vMerge w:val="restart"/>
            <w:tcBorders>
              <w:top w:val="single" w:sz="4" w:space="0" w:color="000000"/>
              <w:left w:val="single" w:sz="4" w:space="0" w:color="000000"/>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户及</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上述</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的受</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3"/>
              <w:jc w:val="center"/>
              <w:rPr>
                <w:rFonts w:ascii="宋体" w:hAnsi="宋体" w:cs="宋体" w:eastAsia="宋体" w:hint="default"/>
                <w:sz w:val="18"/>
                <w:szCs w:val="18"/>
              </w:rPr>
            </w:pPr>
            <w:r>
              <w:rPr>
                <w:rFonts w:ascii="宋体" w:hAnsi="宋体" w:cs="宋体" w:eastAsia="宋体" w:hint="default"/>
                <w:sz w:val="18"/>
                <w:szCs w:val="18"/>
              </w:rPr>
              <w:t>益权，</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结构</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化信</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托产</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品有</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优先</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级受</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3"/>
              <w:jc w:val="center"/>
              <w:rPr>
                <w:rFonts w:ascii="宋体" w:hAnsi="宋体" w:cs="宋体" w:eastAsia="宋体" w:hint="default"/>
                <w:sz w:val="18"/>
                <w:szCs w:val="18"/>
              </w:rPr>
            </w:pPr>
            <w:r>
              <w:rPr>
                <w:rFonts w:ascii="宋体" w:hAnsi="宋体" w:cs="宋体" w:eastAsia="宋体" w:hint="default"/>
                <w:sz w:val="18"/>
                <w:szCs w:val="18"/>
              </w:rPr>
              <w:t>益权，</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沪深</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交易</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所上</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市公</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司股</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票为</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基础</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的股</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票收</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益权</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产品</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以投</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资有</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限合</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伙企</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业股</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权为</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基础</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的基</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金专</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项资</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产管</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理计</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划以</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及经</w:t>
            </w: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9" w:hRule="exact"/>
        </w:trPr>
        <w:tc>
          <w:tcPr>
            <w:tcW w:w="572" w:type="dxa"/>
            <w:vMerge/>
            <w:tcBorders>
              <w:left w:val="single" w:sz="4" w:space="0" w:color="000000"/>
              <w:bottom w:val="single" w:sz="4" w:space="0" w:color="000000"/>
              <w:right w:val="single" w:sz="4" w:space="0" w:color="000000"/>
            </w:tcBorders>
          </w:tcPr>
          <w:p>
            <w:pPr/>
          </w:p>
        </w:tc>
        <w:tc>
          <w:tcPr>
            <w:tcW w:w="590" w:type="dxa"/>
            <w:vMerge/>
            <w:tcBorders>
              <w:left w:val="single" w:sz="4" w:space="0" w:color="000000"/>
              <w:bottom w:val="single" w:sz="4" w:space="0" w:color="000000"/>
              <w:right w:val="single" w:sz="4" w:space="0" w:color="000000"/>
            </w:tcBorders>
          </w:tcPr>
          <w:p>
            <w:pPr/>
          </w:p>
        </w:tc>
        <w:tc>
          <w:tcPr>
            <w:tcW w:w="607" w:type="dxa"/>
            <w:vMerge/>
            <w:tcBorders>
              <w:left w:val="single" w:sz="4" w:space="0" w:color="000000"/>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59"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我行</w:t>
            </w:r>
          </w:p>
        </w:tc>
        <w:tc>
          <w:tcPr>
            <w:tcW w:w="562" w:type="dxa"/>
            <w:vMerge/>
            <w:tcBorders>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48" w:type="dxa"/>
            <w:vMerge/>
            <w:tcBorders>
              <w:left w:val="single" w:sz="4" w:space="0" w:color="000000"/>
              <w:bottom w:val="single" w:sz="4" w:space="0" w:color="000000"/>
              <w:right w:val="single" w:sz="4" w:space="0" w:color="000000"/>
            </w:tcBorders>
          </w:tcPr>
          <w:p>
            <w:pPr/>
          </w:p>
        </w:tc>
        <w:tc>
          <w:tcPr>
            <w:tcW w:w="547" w:type="dxa"/>
            <w:vMerge/>
            <w:tcBorders>
              <w:left w:val="single" w:sz="4" w:space="0" w:color="000000"/>
              <w:bottom w:val="single" w:sz="4" w:space="0" w:color="000000"/>
              <w:right w:val="single" w:sz="4" w:space="0" w:color="000000"/>
            </w:tcBorders>
          </w:tcPr>
          <w:p>
            <w:pPr/>
          </w:p>
        </w:tc>
        <w:tc>
          <w:tcPr>
            <w:tcW w:w="547" w:type="dxa"/>
            <w:vMerge/>
            <w:tcBorders>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7540"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59" w:firstLine="72"/>
              <w:jc w:val="both"/>
              <w:rPr>
                <w:rFonts w:ascii="宋体" w:hAnsi="宋体" w:cs="宋体" w:eastAsia="宋体" w:hint="default"/>
                <w:sz w:val="18"/>
                <w:szCs w:val="18"/>
              </w:rPr>
            </w:pPr>
            <w:r>
              <w:rPr>
                <w:rFonts w:ascii="宋体" w:hAnsi="宋体" w:cs="宋体" w:eastAsia="宋体" w:hint="default"/>
                <w:sz w:val="18"/>
                <w:szCs w:val="18"/>
              </w:rPr>
              <w:t>有权 审批 部门 审批 同意 </w:t>
            </w:r>
            <w:r>
              <w:rPr>
                <w:rFonts w:ascii="宋体" w:hAnsi="宋体" w:cs="宋体" w:eastAsia="宋体" w:hint="default"/>
                <w:spacing w:val="-24"/>
                <w:sz w:val="18"/>
                <w:szCs w:val="18"/>
              </w:rPr>
              <w:t>的，符</w:t>
            </w:r>
            <w:r>
              <w:rPr>
                <w:rFonts w:ascii="宋体" w:hAnsi="宋体" w:cs="宋体" w:eastAsia="宋体" w:hint="default"/>
                <w:spacing w:val="-36"/>
                <w:sz w:val="18"/>
                <w:szCs w:val="18"/>
              </w:rPr>
              <w:t> </w:t>
            </w:r>
            <w:r>
              <w:rPr>
                <w:rFonts w:ascii="宋体" w:hAnsi="宋体" w:cs="宋体" w:eastAsia="宋体" w:hint="default"/>
                <w:sz w:val="18"/>
                <w:szCs w:val="18"/>
              </w:rPr>
              <w:t>合兴</w:t>
            </w:r>
            <w:r>
              <w:rPr>
                <w:rFonts w:ascii="宋体" w:hAnsi="宋体" w:cs="宋体" w:eastAsia="宋体" w:hint="default"/>
                <w:sz w:val="18"/>
                <w:szCs w:val="18"/>
              </w:rPr>
              <w:t> 业银 行规 定的 风险 可控 的其 他各 类交 易性 融资 产品 等其 它金 融资 产及 其组 合。</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0" w:right="99"/>
              <w:jc w:val="both"/>
              <w:rPr>
                <w:rFonts w:ascii="宋体" w:hAnsi="宋体" w:cs="宋体" w:eastAsia="宋体" w:hint="default"/>
                <w:sz w:val="18"/>
                <w:szCs w:val="18"/>
              </w:rPr>
            </w:pPr>
            <w:r>
              <w:rPr>
                <w:rFonts w:ascii="宋体" w:hAnsi="宋体" w:cs="宋体" w:eastAsia="宋体" w:hint="default"/>
                <w:sz w:val="18"/>
                <w:szCs w:val="18"/>
              </w:rPr>
              <w:t>民生 银行 北京 紫竹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8" w:right="26"/>
              <w:jc w:val="center"/>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36,240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96" w:right="94"/>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95" w:right="95"/>
              <w:jc w:val="both"/>
              <w:rPr>
                <w:rFonts w:ascii="宋体" w:hAnsi="宋体" w:cs="宋体" w:eastAsia="宋体" w:hint="default"/>
                <w:sz w:val="18"/>
                <w:szCs w:val="18"/>
              </w:rPr>
            </w:pPr>
            <w:r>
              <w:rPr>
                <w:rFonts w:ascii="宋体" w:hAnsi="宋体" w:cs="宋体" w:eastAsia="宋体" w:hint="default"/>
                <w:sz w:val="18"/>
                <w:szCs w:val="18"/>
              </w:rPr>
              <w:t>结构 性存 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3.70%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70.77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70.77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95" w:right="95"/>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5"/>
              <w:jc w:val="righ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101,10</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1</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5" w:right="0"/>
              <w:jc w:val="left"/>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732.62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732.62</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6"/>
              <w:jc w:val="right"/>
              <w:rPr>
                <w:rFonts w:ascii="Times New Roman" w:hAnsi="Times New Roman" w:cs="Times New Roman" w:eastAsia="Times New Roman" w:hint="default"/>
                <w:sz w:val="18"/>
                <w:szCs w:val="18"/>
              </w:rPr>
            </w:pPr>
            <w:r>
              <w:rPr>
                <w:rFonts w:ascii="Times New Roman"/>
                <w:sz w:val="18"/>
              </w:rPr>
              <w:t>--</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2839"/>
        <w:jc w:val="left"/>
      </w:pPr>
      <w:r>
        <w:rPr/>
        <w:t>委托理财出现预期无法收回本金或存在其他可能导致减值的情形</w:t>
      </w:r>
    </w:p>
    <w:p>
      <w:pPr>
        <w:pStyle w:val="BodyText"/>
        <w:spacing w:line="240" w:lineRule="auto" w:before="115"/>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2839"/>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7"/>
        <w:rPr>
          <w:rFonts w:ascii="宋体" w:hAnsi="宋体" w:cs="宋体" w:eastAsia="宋体" w:hint="default"/>
          <w:sz w:val="21"/>
          <w:szCs w:val="21"/>
        </w:rPr>
      </w:pPr>
    </w:p>
    <w:p>
      <w:pPr>
        <w:pStyle w:val="Heading3"/>
        <w:spacing w:line="240" w:lineRule="auto"/>
        <w:ind w:right="2839"/>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35"/>
        <w:gridCol w:w="638"/>
        <w:gridCol w:w="641"/>
        <w:gridCol w:w="638"/>
        <w:gridCol w:w="639"/>
        <w:gridCol w:w="641"/>
        <w:gridCol w:w="640"/>
        <w:gridCol w:w="637"/>
        <w:gridCol w:w="639"/>
        <w:gridCol w:w="636"/>
        <w:gridCol w:w="638"/>
        <w:gridCol w:w="640"/>
        <w:gridCol w:w="638"/>
        <w:gridCol w:w="638"/>
        <w:gridCol w:w="625"/>
      </w:tblGrid>
      <w:tr>
        <w:trPr>
          <w:trHeight w:val="362" w:hRule="exact"/>
        </w:trPr>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 w:right="0"/>
              <w:jc w:val="left"/>
              <w:rPr>
                <w:rFonts w:ascii="宋体" w:hAnsi="宋体" w:cs="宋体" w:eastAsia="宋体" w:hint="default"/>
                <w:sz w:val="18"/>
                <w:szCs w:val="18"/>
              </w:rPr>
            </w:pPr>
            <w:r>
              <w:rPr>
                <w:rFonts w:ascii="宋体" w:hAnsi="宋体" w:cs="宋体" w:eastAsia="宋体" w:hint="default"/>
                <w:sz w:val="18"/>
                <w:szCs w:val="18"/>
              </w:rPr>
              <w:t>合同订</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 w:right="0"/>
              <w:jc w:val="left"/>
              <w:rPr>
                <w:rFonts w:ascii="宋体" w:hAnsi="宋体" w:cs="宋体" w:eastAsia="宋体" w:hint="default"/>
                <w:sz w:val="18"/>
                <w:szCs w:val="18"/>
              </w:rPr>
            </w:pPr>
            <w:r>
              <w:rPr>
                <w:rFonts w:ascii="宋体" w:hAnsi="宋体" w:cs="宋体" w:eastAsia="宋体" w:hint="default"/>
                <w:sz w:val="18"/>
                <w:szCs w:val="18"/>
              </w:rPr>
              <w:t>合同订</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 w:right="0"/>
              <w:jc w:val="left"/>
              <w:rPr>
                <w:rFonts w:ascii="宋体" w:hAnsi="宋体" w:cs="宋体" w:eastAsia="宋体" w:hint="default"/>
                <w:sz w:val="18"/>
                <w:szCs w:val="18"/>
              </w:rPr>
            </w:pPr>
            <w:r>
              <w:rPr>
                <w:rFonts w:ascii="宋体" w:hAnsi="宋体" w:cs="宋体" w:eastAsia="宋体" w:hint="default"/>
                <w:sz w:val="18"/>
                <w:szCs w:val="18"/>
              </w:rPr>
              <w:t>合同标</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 w:right="0"/>
              <w:jc w:val="left"/>
              <w:rPr>
                <w:rFonts w:ascii="宋体" w:hAnsi="宋体" w:cs="宋体" w:eastAsia="宋体" w:hint="default"/>
                <w:sz w:val="18"/>
                <w:szCs w:val="18"/>
              </w:rPr>
            </w:pPr>
            <w:r>
              <w:rPr>
                <w:rFonts w:ascii="宋体" w:hAnsi="宋体" w:cs="宋体" w:eastAsia="宋体" w:hint="default"/>
                <w:sz w:val="18"/>
                <w:szCs w:val="18"/>
              </w:rPr>
              <w:t>合同签</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 w:right="0"/>
              <w:jc w:val="left"/>
              <w:rPr>
                <w:rFonts w:ascii="宋体" w:hAnsi="宋体" w:cs="宋体" w:eastAsia="宋体" w:hint="default"/>
                <w:sz w:val="18"/>
                <w:szCs w:val="18"/>
              </w:rPr>
            </w:pPr>
            <w:r>
              <w:rPr>
                <w:rFonts w:ascii="宋体" w:hAnsi="宋体" w:cs="宋体" w:eastAsia="宋体" w:hint="default"/>
                <w:sz w:val="18"/>
                <w:szCs w:val="18"/>
              </w:rPr>
              <w:t>合同涉</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合同涉</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 w:right="0"/>
              <w:jc w:val="left"/>
              <w:rPr>
                <w:rFonts w:ascii="宋体" w:hAnsi="宋体" w:cs="宋体" w:eastAsia="宋体" w:hint="default"/>
                <w:sz w:val="18"/>
                <w:szCs w:val="18"/>
              </w:rPr>
            </w:pPr>
            <w:r>
              <w:rPr>
                <w:rFonts w:ascii="宋体" w:hAnsi="宋体" w:cs="宋体" w:eastAsia="宋体" w:hint="default"/>
                <w:sz w:val="18"/>
                <w:szCs w:val="18"/>
              </w:rPr>
              <w:t>评估机</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 w:right="0"/>
              <w:jc w:val="left"/>
              <w:rPr>
                <w:rFonts w:ascii="宋体" w:hAnsi="宋体" w:cs="宋体" w:eastAsia="宋体" w:hint="default"/>
                <w:sz w:val="18"/>
                <w:szCs w:val="18"/>
              </w:rPr>
            </w:pPr>
            <w:r>
              <w:rPr>
                <w:rFonts w:ascii="宋体" w:hAnsi="宋体" w:cs="宋体" w:eastAsia="宋体" w:hint="default"/>
                <w:sz w:val="18"/>
                <w:szCs w:val="18"/>
              </w:rPr>
              <w:t>评估基</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 w:right="0"/>
              <w:jc w:val="left"/>
              <w:rPr>
                <w:rFonts w:ascii="宋体" w:hAnsi="宋体" w:cs="宋体" w:eastAsia="宋体" w:hint="default"/>
                <w:sz w:val="18"/>
                <w:szCs w:val="18"/>
              </w:rPr>
            </w:pPr>
            <w:r>
              <w:rPr>
                <w:rFonts w:ascii="宋体" w:hAnsi="宋体" w:cs="宋体" w:eastAsia="宋体" w:hint="default"/>
                <w:sz w:val="18"/>
                <w:szCs w:val="18"/>
              </w:rPr>
              <w:t>定价原</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 w:right="0"/>
              <w:jc w:val="left"/>
              <w:rPr>
                <w:rFonts w:ascii="宋体" w:hAnsi="宋体" w:cs="宋体" w:eastAsia="宋体" w:hint="default"/>
                <w:sz w:val="18"/>
                <w:szCs w:val="18"/>
              </w:rPr>
            </w:pPr>
            <w:r>
              <w:rPr>
                <w:rFonts w:ascii="宋体" w:hAnsi="宋体" w:cs="宋体" w:eastAsia="宋体" w:hint="default"/>
                <w:sz w:val="18"/>
                <w:szCs w:val="18"/>
              </w:rPr>
              <w:t>交易价</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是否关</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 w:right="0"/>
              <w:jc w:val="left"/>
              <w:rPr>
                <w:rFonts w:ascii="宋体" w:hAnsi="宋体" w:cs="宋体" w:eastAsia="宋体" w:hint="default"/>
                <w:sz w:val="18"/>
                <w:szCs w:val="18"/>
              </w:rPr>
            </w:pPr>
            <w:r>
              <w:rPr>
                <w:rFonts w:ascii="宋体" w:hAnsi="宋体" w:cs="宋体" w:eastAsia="宋体" w:hint="default"/>
                <w:sz w:val="18"/>
                <w:szCs w:val="18"/>
              </w:rPr>
              <w:t>关联关</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 w:right="0"/>
              <w:jc w:val="left"/>
              <w:rPr>
                <w:rFonts w:ascii="宋体" w:hAnsi="宋体" w:cs="宋体" w:eastAsia="宋体" w:hint="default"/>
                <w:sz w:val="18"/>
                <w:szCs w:val="18"/>
              </w:rPr>
            </w:pPr>
            <w:r>
              <w:rPr>
                <w:rFonts w:ascii="宋体" w:hAnsi="宋体" w:cs="宋体" w:eastAsia="宋体" w:hint="default"/>
                <w:sz w:val="18"/>
                <w:szCs w:val="18"/>
              </w:rPr>
              <w:t>截至报</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 w:right="0"/>
              <w:jc w:val="left"/>
              <w:rPr>
                <w:rFonts w:ascii="宋体" w:hAnsi="宋体" w:cs="宋体" w:eastAsia="宋体" w:hint="default"/>
                <w:sz w:val="18"/>
                <w:szCs w:val="18"/>
              </w:rPr>
            </w:pPr>
            <w:r>
              <w:rPr>
                <w:rFonts w:ascii="宋体" w:hAnsi="宋体" w:cs="宋体" w:eastAsia="宋体" w:hint="default"/>
                <w:sz w:val="18"/>
                <w:szCs w:val="18"/>
              </w:rPr>
              <w:t>披露日</w:t>
            </w:r>
          </w:p>
        </w:tc>
        <w:tc>
          <w:tcPr>
            <w:tcW w:w="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 w:right="0"/>
              <w:jc w:val="left"/>
              <w:rPr>
                <w:rFonts w:ascii="宋体" w:hAnsi="宋体" w:cs="宋体" w:eastAsia="宋体" w:hint="default"/>
                <w:sz w:val="18"/>
                <w:szCs w:val="18"/>
              </w:rPr>
            </w:pPr>
            <w:r>
              <w:rPr>
                <w:rFonts w:ascii="宋体" w:hAnsi="宋体" w:cs="宋体" w:eastAsia="宋体" w:hint="default"/>
                <w:sz w:val="18"/>
                <w:szCs w:val="18"/>
              </w:rPr>
              <w:t>披露索</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36"/>
        <w:gridCol w:w="638"/>
        <w:gridCol w:w="641"/>
        <w:gridCol w:w="638"/>
        <w:gridCol w:w="639"/>
        <w:gridCol w:w="641"/>
        <w:gridCol w:w="638"/>
        <w:gridCol w:w="638"/>
        <w:gridCol w:w="639"/>
        <w:gridCol w:w="636"/>
        <w:gridCol w:w="638"/>
        <w:gridCol w:w="638"/>
        <w:gridCol w:w="639"/>
        <w:gridCol w:w="638"/>
        <w:gridCol w:w="636"/>
      </w:tblGrid>
      <w:tr>
        <w:trPr>
          <w:trHeight w:val="1923"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43" w:right="41"/>
              <w:jc w:val="left"/>
              <w:rPr>
                <w:rFonts w:ascii="宋体" w:hAnsi="宋体" w:cs="宋体" w:eastAsia="宋体" w:hint="default"/>
                <w:sz w:val="18"/>
                <w:szCs w:val="18"/>
              </w:rPr>
            </w:pPr>
            <w:r>
              <w:rPr>
                <w:rFonts w:ascii="宋体" w:hAnsi="宋体" w:cs="宋体" w:eastAsia="宋体" w:hint="default"/>
                <w:sz w:val="18"/>
                <w:szCs w:val="18"/>
              </w:rPr>
              <w:t>立公司 方名称</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34" w:right="41" w:hanging="89"/>
              <w:jc w:val="left"/>
              <w:rPr>
                <w:rFonts w:ascii="宋体" w:hAnsi="宋体" w:cs="宋体" w:eastAsia="宋体" w:hint="default"/>
                <w:sz w:val="18"/>
                <w:szCs w:val="18"/>
              </w:rPr>
            </w:pPr>
            <w:r>
              <w:rPr>
                <w:rFonts w:ascii="宋体" w:hAnsi="宋体" w:cs="宋体" w:eastAsia="宋体" w:hint="default"/>
                <w:sz w:val="18"/>
                <w:szCs w:val="18"/>
              </w:rPr>
              <w:t>立对方 名称</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的</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5" w:right="0"/>
              <w:jc w:val="left"/>
              <w:rPr>
                <w:rFonts w:ascii="宋体" w:hAnsi="宋体" w:cs="宋体" w:eastAsia="宋体" w:hint="default"/>
                <w:sz w:val="18"/>
                <w:szCs w:val="18"/>
              </w:rPr>
            </w:pPr>
            <w:r>
              <w:rPr>
                <w:rFonts w:ascii="宋体" w:hAnsi="宋体" w:cs="宋体" w:eastAsia="宋体" w:hint="default"/>
                <w:sz w:val="18"/>
                <w:szCs w:val="18"/>
              </w:rPr>
              <w:t>订日期</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45" w:right="41"/>
              <w:jc w:val="both"/>
              <w:rPr>
                <w:rFonts w:ascii="宋体" w:hAnsi="宋体" w:cs="宋体" w:eastAsia="宋体" w:hint="default"/>
                <w:sz w:val="18"/>
                <w:szCs w:val="18"/>
              </w:rPr>
            </w:pPr>
            <w:r>
              <w:rPr>
                <w:rFonts w:ascii="宋体" w:hAnsi="宋体" w:cs="宋体" w:eastAsia="宋体" w:hint="default"/>
                <w:sz w:val="18"/>
                <w:szCs w:val="18"/>
              </w:rPr>
              <w:t>及资产 的账面 价值</w:t>
            </w:r>
          </w:p>
          <w:p>
            <w:pPr>
              <w:pStyle w:val="TableParagraph"/>
              <w:spacing w:line="316" w:lineRule="auto" w:before="19"/>
              <w:ind w:left="24" w:right="22" w:firstLine="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47" w:right="41"/>
              <w:jc w:val="both"/>
              <w:rPr>
                <w:rFonts w:ascii="宋体" w:hAnsi="宋体" w:cs="宋体" w:eastAsia="宋体" w:hint="default"/>
                <w:sz w:val="18"/>
                <w:szCs w:val="18"/>
              </w:rPr>
            </w:pPr>
            <w:r>
              <w:rPr>
                <w:rFonts w:ascii="宋体" w:hAnsi="宋体" w:cs="宋体" w:eastAsia="宋体" w:hint="default"/>
                <w:sz w:val="18"/>
                <w:szCs w:val="18"/>
              </w:rPr>
              <w:t>及资产 的评估 价值</w:t>
            </w:r>
          </w:p>
          <w:p>
            <w:pPr>
              <w:pStyle w:val="TableParagraph"/>
              <w:spacing w:line="316" w:lineRule="auto" w:before="19"/>
              <w:ind w:left="26" w:right="21" w:hanging="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5" w:right="0"/>
              <w:jc w:val="left"/>
              <w:rPr>
                <w:rFonts w:ascii="宋体" w:hAnsi="宋体" w:cs="宋体" w:eastAsia="宋体" w:hint="default"/>
                <w:sz w:val="18"/>
                <w:szCs w:val="18"/>
              </w:rPr>
            </w:pPr>
            <w:r>
              <w:rPr>
                <w:rFonts w:ascii="宋体" w:hAnsi="宋体" w:cs="宋体" w:eastAsia="宋体" w:hint="default"/>
                <w:sz w:val="18"/>
                <w:szCs w:val="18"/>
              </w:rPr>
              <w:t>构名称</w:t>
            </w:r>
          </w:p>
          <w:p>
            <w:pPr>
              <w:pStyle w:val="TableParagraph"/>
              <w:spacing w:line="316" w:lineRule="auto" w:before="76"/>
              <w:ind w:left="134"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34" w:right="0"/>
              <w:jc w:val="left"/>
              <w:rPr>
                <w:rFonts w:ascii="宋体" w:hAnsi="宋体" w:cs="宋体" w:eastAsia="宋体" w:hint="default"/>
                <w:sz w:val="18"/>
                <w:szCs w:val="18"/>
              </w:rPr>
            </w:pPr>
            <w:r>
              <w:rPr>
                <w:rFonts w:ascii="宋体" w:hAnsi="宋体" w:cs="宋体" w:eastAsia="宋体" w:hint="default"/>
                <w:sz w:val="18"/>
                <w:szCs w:val="18"/>
              </w:rPr>
              <w:t>准日</w:t>
            </w:r>
          </w:p>
          <w:p>
            <w:pPr>
              <w:pStyle w:val="TableParagraph"/>
              <w:spacing w:line="316" w:lineRule="auto" w:before="76"/>
              <w:ind w:left="134"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则</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34" w:right="38" w:hanging="89"/>
              <w:jc w:val="left"/>
              <w:rPr>
                <w:rFonts w:ascii="宋体" w:hAnsi="宋体" w:cs="宋体" w:eastAsia="宋体" w:hint="default"/>
                <w:sz w:val="18"/>
                <w:szCs w:val="18"/>
              </w:rPr>
            </w:pPr>
            <w:r>
              <w:rPr>
                <w:rFonts w:ascii="宋体" w:hAnsi="宋体" w:cs="宋体" w:eastAsia="宋体" w:hint="default"/>
                <w:sz w:val="18"/>
                <w:szCs w:val="18"/>
              </w:rPr>
              <w:t>格（万 元）</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7" w:right="0"/>
              <w:jc w:val="left"/>
              <w:rPr>
                <w:rFonts w:ascii="宋体" w:hAnsi="宋体" w:cs="宋体" w:eastAsia="宋体" w:hint="default"/>
                <w:sz w:val="18"/>
                <w:szCs w:val="18"/>
              </w:rPr>
            </w:pPr>
            <w:r>
              <w:rPr>
                <w:rFonts w:ascii="宋体" w:hAnsi="宋体" w:cs="宋体" w:eastAsia="宋体" w:hint="default"/>
                <w:sz w:val="18"/>
                <w:szCs w:val="18"/>
              </w:rPr>
              <w:t>联交易</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系</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45" w:right="41"/>
              <w:jc w:val="both"/>
              <w:rPr>
                <w:rFonts w:ascii="宋体" w:hAnsi="宋体" w:cs="宋体" w:eastAsia="宋体" w:hint="default"/>
                <w:sz w:val="18"/>
                <w:szCs w:val="18"/>
              </w:rPr>
            </w:pPr>
            <w:r>
              <w:rPr>
                <w:rFonts w:ascii="宋体" w:hAnsi="宋体" w:cs="宋体" w:eastAsia="宋体" w:hint="default"/>
                <w:sz w:val="18"/>
                <w:szCs w:val="18"/>
              </w:rPr>
              <w:t>告期末 的执行 情况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引</w:t>
            </w:r>
          </w:p>
        </w:tc>
      </w:tr>
      <w:tr>
        <w:trPr>
          <w:trHeight w:val="1961"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60"/>
              <w:jc w:val="both"/>
              <w:rPr>
                <w:rFonts w:ascii="宋体" w:hAnsi="宋体" w:cs="宋体" w:eastAsia="宋体" w:hint="default"/>
                <w:sz w:val="18"/>
                <w:szCs w:val="18"/>
              </w:rPr>
            </w:pPr>
            <w:r>
              <w:rPr>
                <w:rFonts w:ascii="宋体" w:hAnsi="宋体" w:cs="宋体" w:eastAsia="宋体" w:hint="default"/>
                <w:sz w:val="18"/>
                <w:szCs w:val="18"/>
              </w:rPr>
              <w:t>北京光 环新网 科技股 份有限 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2"/>
              <w:jc w:val="both"/>
              <w:rPr>
                <w:rFonts w:ascii="宋体" w:hAnsi="宋体" w:cs="宋体" w:eastAsia="宋体" w:hint="default"/>
                <w:sz w:val="18"/>
                <w:szCs w:val="18"/>
              </w:rPr>
            </w:pPr>
            <w:r>
              <w:rPr>
                <w:rFonts w:ascii="宋体" w:hAnsi="宋体" w:cs="宋体" w:eastAsia="宋体" w:hint="default"/>
                <w:sz w:val="18"/>
                <w:szCs w:val="18"/>
              </w:rPr>
              <w:t>亚马逊 通技术 服务</w:t>
            </w:r>
          </w:p>
          <w:p>
            <w:pPr>
              <w:pStyle w:val="TableParagraph"/>
              <w:spacing w:line="319" w:lineRule="auto" w:before="19"/>
              <w:ind w:left="23" w:right="62"/>
              <w:jc w:val="left"/>
              <w:rPr>
                <w:rFonts w:ascii="宋体" w:hAnsi="宋体" w:cs="宋体" w:eastAsia="宋体" w:hint="default"/>
                <w:sz w:val="18"/>
                <w:szCs w:val="18"/>
              </w:rPr>
            </w:pPr>
            <w:r>
              <w:rPr>
                <w:rFonts w:ascii="宋体" w:hAnsi="宋体" w:cs="宋体" w:eastAsia="宋体" w:hint="default"/>
                <w:sz w:val="18"/>
                <w:szCs w:val="18"/>
              </w:rPr>
              <w:t>（北 京）有 限公司</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65"/>
              <w:jc w:val="both"/>
              <w:rPr>
                <w:rFonts w:ascii="宋体" w:hAnsi="宋体" w:cs="宋体" w:eastAsia="宋体" w:hint="default"/>
                <w:sz w:val="18"/>
                <w:szCs w:val="18"/>
              </w:rPr>
            </w:pPr>
            <w:r>
              <w:rPr>
                <w:rFonts w:ascii="宋体" w:hAnsi="宋体" w:cs="宋体" w:eastAsia="宋体" w:hint="default"/>
                <w:sz w:val="18"/>
                <w:szCs w:val="18"/>
              </w:rPr>
              <w:t>特定经 营性资 产</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63"/>
              <w:jc w:val="left"/>
              <w:rPr>
                <w:rFonts w:ascii="宋体" w:hAnsi="宋体" w:cs="宋体" w:eastAsia="宋体" w:hint="default"/>
                <w:sz w:val="18"/>
                <w:szCs w:val="18"/>
              </w:rPr>
            </w:pPr>
            <w:r>
              <w:rPr>
                <w:rFonts w:ascii="宋体" w:hAnsi="宋体" w:cs="宋体" w:eastAsia="宋体" w:hint="default"/>
                <w:sz w:val="18"/>
                <w:szCs w:val="18"/>
              </w:rPr>
              <w:t>参考市 场定价</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84,583.</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43</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执行中</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362" w:lineRule="auto"/>
              <w:ind w:left="23" w:right="93"/>
              <w:jc w:val="both"/>
              <w:rPr>
                <w:rFonts w:ascii="Times New Roman" w:hAnsi="Times New Roman" w:cs="Times New Roman" w:eastAsia="Times New Roman" w:hint="default"/>
                <w:sz w:val="18"/>
                <w:szCs w:val="18"/>
              </w:rPr>
            </w:pPr>
            <w:r>
              <w:rPr>
                <w:rFonts w:ascii="Times New Roman"/>
                <w:spacing w:val="-3"/>
                <w:sz w:val="18"/>
              </w:rPr>
              <w:t>www.c</w:t>
            </w:r>
            <w:r>
              <w:rPr>
                <w:rFonts w:ascii="Times New Roman"/>
                <w:sz w:val="18"/>
              </w:rPr>
              <w:t> ninfo.c om.cn</w:t>
            </w:r>
          </w:p>
        </w:tc>
      </w:tr>
    </w:tbl>
    <w:p>
      <w:pPr>
        <w:pStyle w:val="BodyText"/>
        <w:spacing w:line="300" w:lineRule="auto" w:before="49"/>
        <w:ind w:right="149" w:firstLine="360"/>
        <w:jc w:val="both"/>
      </w:pPr>
      <w:r>
        <w:rPr>
          <w:spacing w:val="-2"/>
        </w:rPr>
        <w:t>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10</w:t>
      </w:r>
      <w:r>
        <w:rPr>
          <w:spacing w:val="-2"/>
        </w:rPr>
        <w:t>日与亚马逊通技术服务（北京）有限公司签署了《分期资产出售主协议》，拟向亚马逊通购买不超过</w:t>
      </w:r>
      <w:r>
        <w:rPr/>
        <w:t> </w:t>
      </w:r>
      <w:r>
        <w:rPr>
          <w:rFonts w:ascii="宋体" w:hAnsi="宋体" w:cs="宋体" w:eastAsia="宋体" w:hint="default"/>
          <w:spacing w:val="8"/>
        </w:rPr>
        <w:t>20</w:t>
      </w:r>
      <w:r>
        <w:rPr>
          <w:spacing w:val="8"/>
        </w:rPr>
        <w:t>亿元的基于亚马逊云技术的云服务相关的特定经营性资产。</w:t>
      </w:r>
      <w:r>
        <w:rPr>
          <w:spacing w:val="-61"/>
        </w:rPr>
        <w:t> </w:t>
      </w:r>
      <w:r>
        <w:rPr>
          <w:spacing w:val="8"/>
        </w:rPr>
        <w:t>截至本报告期末公司与亚马逊确认购买设备不含税金额</w:t>
      </w:r>
    </w:p>
    <w:p>
      <w:pPr>
        <w:pStyle w:val="BodyText"/>
        <w:spacing w:line="240" w:lineRule="auto" w:before="31"/>
        <w:ind w:right="2839"/>
        <w:jc w:val="left"/>
      </w:pPr>
      <w:r>
        <w:rPr>
          <w:rFonts w:ascii="Times New Roman" w:hAnsi="Times New Roman" w:cs="Times New Roman" w:eastAsia="Times New Roman" w:hint="default"/>
        </w:rPr>
        <w:t>845,834,318.98</w:t>
      </w:r>
      <w:r>
        <w:rPr/>
        <w:t>元。</w:t>
      </w:r>
    </w:p>
    <w:p>
      <w:pPr>
        <w:spacing w:line="240" w:lineRule="auto" w:before="3"/>
        <w:rPr>
          <w:rFonts w:ascii="宋体" w:hAnsi="宋体" w:cs="宋体" w:eastAsia="宋体" w:hint="default"/>
          <w:sz w:val="24"/>
          <w:szCs w:val="24"/>
        </w:rPr>
      </w:pPr>
    </w:p>
    <w:p>
      <w:pPr>
        <w:pStyle w:val="Heading2"/>
        <w:spacing w:line="240" w:lineRule="auto"/>
        <w:ind w:right="2839"/>
        <w:jc w:val="left"/>
        <w:rPr>
          <w:b w:val="0"/>
          <w:bCs w:val="0"/>
        </w:rPr>
      </w:pPr>
      <w:r>
        <w:rPr/>
        <w:t>十七、社会责任情况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2839"/>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50" w:firstLine="360"/>
        <w:jc w:val="both"/>
      </w:pPr>
      <w:r>
        <w:rPr>
          <w:spacing w:val="-2"/>
        </w:rPr>
        <w:t>公司始终将依法经营作为公司运行的基本原则，注重企业经济效益与社会效益的同步共赢。公司严格遵守国家法律、法</w:t>
      </w:r>
      <w:r>
        <w:rPr/>
        <w:t> 规、政策的规定，始终依法经营，积极纳税，发展就业岗位，支持地方经济的发展。</w:t>
      </w:r>
    </w:p>
    <w:p>
      <w:pPr>
        <w:pStyle w:val="BodyText"/>
        <w:spacing w:line="316" w:lineRule="auto" w:before="58"/>
        <w:ind w:right="150" w:firstLine="360"/>
        <w:jc w:val="both"/>
      </w:pPr>
      <w:r>
        <w:rPr>
          <w:spacing w:val="-2"/>
        </w:rPr>
        <w:t>公司严格按照《公司法》、《深圳证券交易所创业板股票上市规则》、《上市公司信息披露管理办法》等相关法律法规</w:t>
      </w:r>
      <w:r>
        <w:rPr/>
        <w:t> </w:t>
      </w:r>
      <w:r>
        <w:rPr>
          <w:spacing w:val="-2"/>
        </w:rPr>
        <w:t>的要求，准确、真实、完整、及时地进行信息披露工作，保证公司的信息的透明度与诚信度。公司通过投资者电话、电子邮</w:t>
      </w:r>
      <w:r>
        <w:rPr>
          <w:spacing w:val="-70"/>
        </w:rPr>
        <w:t> </w:t>
      </w:r>
      <w:r>
        <w:rPr>
          <w:spacing w:val="-70"/>
        </w:rPr>
      </w:r>
      <w:r>
        <w:rPr>
          <w:spacing w:val="-2"/>
        </w:rPr>
        <w:t>箱、公司网站和投资者互动易等多种渠道与平台保持与投资者，特别是中小投资者的沟通交流，以便投资者及时掌握公司的</w:t>
      </w:r>
      <w:r>
        <w:rPr>
          <w:spacing w:val="-63"/>
        </w:rPr>
        <w:t> </w:t>
      </w:r>
      <w:r>
        <w:rPr>
          <w:spacing w:val="-63"/>
        </w:rPr>
      </w:r>
      <w:r>
        <w:rPr>
          <w:spacing w:val="-2"/>
        </w:rPr>
        <w:t>最新经营情况，保证投资者的知情权。另外公司非常重视对投资者的合理回报，制定了相对稳定的利润分配政策和分红方案</w:t>
      </w:r>
      <w:r>
        <w:rPr>
          <w:spacing w:val="-63"/>
        </w:rPr>
        <w:t> </w:t>
      </w:r>
      <w:r>
        <w:rPr>
          <w:spacing w:val="-63"/>
        </w:rPr>
      </w:r>
      <w:r>
        <w:rPr/>
        <w:t>以回报股东。</w:t>
      </w:r>
    </w:p>
    <w:p>
      <w:pPr>
        <w:pStyle w:val="BodyText"/>
        <w:spacing w:line="316" w:lineRule="auto" w:before="59"/>
        <w:ind w:right="149" w:firstLine="360"/>
        <w:jc w:val="both"/>
      </w:pPr>
      <w:r>
        <w:rPr>
          <w:spacing w:val="-2"/>
        </w:rPr>
        <w:t>公司在不断为股东创造价值的同时，也积极关注职工的需求。公司一直坚持以人为本的人才理念，重视员工的未来职业</w:t>
      </w:r>
      <w:r>
        <w:rPr/>
        <w:t> </w:t>
      </w:r>
      <w:r>
        <w:rPr>
          <w:spacing w:val="-5"/>
        </w:rPr>
        <w:t>发展规划，通过多种方式为员工提供平等的发展机会，尊重和维护员工的个人利益，制定了人力资源管理制度，对人员录用、</w:t>
      </w:r>
      <w:r>
        <w:rPr>
          <w:spacing w:val="-75"/>
        </w:rPr>
        <w:t> </w:t>
      </w:r>
      <w:r>
        <w:rPr>
          <w:spacing w:val="-75"/>
        </w:rPr>
      </w:r>
      <w:r>
        <w:rPr>
          <w:spacing w:val="-2"/>
        </w:rPr>
        <w:t>员工培训、工资薪酬、福利保障等进行了详细规定，建立了较为完善的绩效考核体系，为员工提供了良好的工作环境，重视</w:t>
      </w:r>
      <w:r>
        <w:rPr>
          <w:spacing w:val="-67"/>
        </w:rPr>
        <w:t> </w:t>
      </w:r>
      <w:r>
        <w:rPr>
          <w:spacing w:val="-67"/>
        </w:rPr>
      </w:r>
      <w:r>
        <w:rPr/>
        <w:t>人才培养，实现员工与企业的共同成长。</w:t>
      </w:r>
    </w:p>
    <w:p>
      <w:pPr>
        <w:spacing w:line="240" w:lineRule="auto" w:before="9"/>
        <w:rPr>
          <w:rFonts w:ascii="宋体" w:hAnsi="宋体" w:cs="宋体" w:eastAsia="宋体" w:hint="default"/>
          <w:sz w:val="22"/>
          <w:szCs w:val="22"/>
        </w:rPr>
      </w:pPr>
    </w:p>
    <w:p>
      <w:pPr>
        <w:pStyle w:val="Heading3"/>
        <w:spacing w:line="240" w:lineRule="auto"/>
        <w:ind w:right="2839"/>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2839"/>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839"/>
        <w:jc w:val="left"/>
      </w:pPr>
      <w:r>
        <w:rPr/>
        <w:t>上市公司及其子公司是否属于环境保护部门公布的重点排污单位</w:t>
      </w:r>
    </w:p>
    <w:p>
      <w:pPr>
        <w:pStyle w:val="BodyText"/>
        <w:spacing w:line="240" w:lineRule="auto" w:before="115"/>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2839"/>
        <w:jc w:val="left"/>
        <w:rPr>
          <w:b w:val="0"/>
          <w:bCs w:val="0"/>
        </w:rPr>
      </w:pP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2839"/>
        <w:jc w:val="left"/>
      </w:pPr>
      <w:r>
        <w:rPr/>
        <w:t>公司报告期不存在需要说明的其他重大事项。</w:t>
      </w:r>
    </w:p>
    <w:p>
      <w:pPr>
        <w:spacing w:line="240" w:lineRule="auto" w:before="3"/>
        <w:rPr>
          <w:rFonts w:ascii="宋体" w:hAnsi="宋体" w:cs="宋体" w:eastAsia="宋体" w:hint="default"/>
          <w:sz w:val="25"/>
          <w:szCs w:val="25"/>
        </w:rPr>
      </w:pPr>
    </w:p>
    <w:p>
      <w:pPr>
        <w:pStyle w:val="Heading2"/>
        <w:spacing w:line="240" w:lineRule="auto"/>
        <w:ind w:right="2839"/>
        <w:jc w:val="left"/>
        <w:rPr>
          <w:b w:val="0"/>
          <w:bCs w:val="0"/>
        </w:rPr>
      </w:pPr>
      <w:r>
        <w:rPr/>
        <w:t>十九、公司子公司重大事项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footerReference w:type="default" r:id="rId22"/>
          <w:pgSz w:w="11910" w:h="16840"/>
          <w:pgMar w:footer="979" w:header="745" w:top="1060" w:bottom="1160" w:left="980" w:right="980"/>
          <w:pgNumType w:start="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64" w:right="183"/>
        <w:jc w:val="left"/>
        <w:rPr>
          <w:b w:val="0"/>
          <w:bCs w:val="0"/>
        </w:rPr>
      </w:pPr>
      <w:bookmarkStart w:name="_bookmark5" w:id="6"/>
      <w:bookmarkEnd w:id="6"/>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83"/>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83"/>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1"/>
        <w:jc w:val="right"/>
      </w:pPr>
      <w:r>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4"/>
        <w:gridCol w:w="823"/>
        <w:gridCol w:w="823"/>
        <w:gridCol w:w="821"/>
        <w:gridCol w:w="823"/>
        <w:gridCol w:w="821"/>
        <w:gridCol w:w="824"/>
        <w:gridCol w:w="794"/>
        <w:gridCol w:w="792"/>
      </w:tblGrid>
      <w:tr>
        <w:trPr>
          <w:trHeight w:val="40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9"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371,068,0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51.31%</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98,993,88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-388,742,</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469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-289,748,</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589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81,319,44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5.62%</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371,068,0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51.31%</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98,993,88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-388,742,</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469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-289,748,</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589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81,319,44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5.62%</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301,959,6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29</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41.75%</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32,978,45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-311,973,</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031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-278,994,</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572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22,965,05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1.59%</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69,108,40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9.56%</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66,015,42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-76,769,4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-10,754,0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58,354,39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4.03%</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352,107,6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48.69%</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624,181,8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14</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388,742,4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1,012,924,</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283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1,365,031</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,939</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94.38%</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352,107,6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48.69%</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624,181,8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14</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388,742,4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1,012,924,</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283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1,365,031</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,939</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94.38%</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723,175,6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723,175,6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94</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723,175,6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1,446,351</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,388</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83"/>
        <w:jc w:val="left"/>
      </w:pPr>
      <w:r>
        <w:rPr/>
        <w:t>股份变动的原因</w:t>
      </w:r>
    </w:p>
    <w:p>
      <w:pPr>
        <w:pStyle w:val="BodyText"/>
        <w:spacing w:line="240" w:lineRule="auto" w:before="115"/>
        <w:ind w:right="1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4"/>
        <w:ind w:right="188" w:firstLine="360"/>
        <w:jc w:val="both"/>
      </w:pPr>
      <w:r>
        <w:rPr>
          <w:rFonts w:ascii="Times New Roman" w:hAnsi="Times New Roman" w:cs="Times New Roman" w:eastAsia="Times New Roman" w:hint="default"/>
        </w:rPr>
        <w:t>1</w:t>
      </w:r>
      <w:r>
        <w:rPr/>
        <w:t>、根据持有公司</w:t>
      </w:r>
      <w:r>
        <w:rPr>
          <w:rFonts w:ascii="Times New Roman" w:hAnsi="Times New Roman" w:cs="Times New Roman" w:eastAsia="Times New Roman" w:hint="default"/>
        </w:rPr>
        <w:t>2014</w:t>
      </w:r>
      <w:r>
        <w:rPr/>
        <w:t>年首次公开发行前已发行股份的股东作出的相关股份锁定承诺，上述股东持有的</w:t>
      </w:r>
      <w:r>
        <w:rPr>
          <w:rFonts w:ascii="Times New Roman" w:hAnsi="Times New Roman" w:cs="Times New Roman" w:eastAsia="Times New Roman" w:hint="default"/>
        </w:rPr>
        <w:t>281,353,120</w:t>
      </w:r>
      <w:r>
        <w:rPr/>
        <w:t>股股 份于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9</w:t>
      </w:r>
      <w:r>
        <w:rPr/>
        <w:t>日解除限售，其中实际可上市流通股份的数量为</w:t>
      </w:r>
      <w:r>
        <w:rPr>
          <w:rFonts w:ascii="Times New Roman" w:hAnsi="Times New Roman" w:cs="Times New Roman" w:eastAsia="Times New Roman" w:hint="default"/>
        </w:rPr>
        <w:t>89,387,658</w:t>
      </w:r>
      <w:r>
        <w:rPr/>
        <w:t>股。</w:t>
      </w:r>
    </w:p>
    <w:p>
      <w:pPr>
        <w:pStyle w:val="BodyText"/>
        <w:spacing w:line="300" w:lineRule="auto" w:before="13"/>
        <w:ind w:right="191" w:firstLine="360"/>
        <w:jc w:val="both"/>
      </w:pPr>
      <w:r>
        <w:rPr>
          <w:rFonts w:ascii="Times New Roman" w:hAnsi="Times New Roman" w:cs="Times New Roman" w:eastAsia="Times New Roman" w:hint="default"/>
          <w:spacing w:val="-2"/>
        </w:rPr>
        <w:t>2</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11</w:t>
      </w:r>
      <w:r>
        <w:rPr>
          <w:spacing w:val="-2"/>
        </w:rPr>
        <w:t>日召开</w:t>
      </w:r>
      <w:r>
        <w:rPr>
          <w:rFonts w:ascii="Times New Roman" w:hAnsi="Times New Roman" w:cs="Times New Roman" w:eastAsia="Times New Roman" w:hint="default"/>
          <w:spacing w:val="-2"/>
        </w:rPr>
        <w:t>2016</w:t>
      </w:r>
      <w:r>
        <w:rPr>
          <w:spacing w:val="-2"/>
        </w:rPr>
        <w:t>年度股东大会，审议通过《关于公司</w:t>
      </w:r>
      <w:r>
        <w:rPr>
          <w:rFonts w:ascii="Times New Roman" w:hAnsi="Times New Roman" w:cs="Times New Roman" w:eastAsia="Times New Roman" w:hint="default"/>
          <w:spacing w:val="-2"/>
        </w:rPr>
        <w:t>2016</w:t>
      </w:r>
      <w:r>
        <w:rPr>
          <w:spacing w:val="-2"/>
        </w:rPr>
        <w:t>年度利润分配及资本公积转增股本方案的议</w:t>
      </w:r>
      <w:r>
        <w:rPr/>
        <w:t> </w:t>
      </w:r>
      <w:r>
        <w:rPr>
          <w:spacing w:val="-1"/>
        </w:rPr>
        <w:t>案》，以截至</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日公司总股本</w:t>
      </w:r>
      <w:r>
        <w:rPr>
          <w:rFonts w:ascii="Times New Roman" w:hAnsi="Times New Roman" w:cs="Times New Roman" w:eastAsia="Times New Roman" w:hint="default"/>
          <w:spacing w:val="-1"/>
        </w:rPr>
        <w:t>723,175,694</w:t>
      </w:r>
      <w:r>
        <w:rPr>
          <w:spacing w:val="-1"/>
        </w:rPr>
        <w:t>股为基数，向全体股东每</w:t>
      </w:r>
      <w:r>
        <w:rPr>
          <w:rFonts w:ascii="Times New Roman" w:hAnsi="Times New Roman" w:cs="Times New Roman" w:eastAsia="Times New Roman" w:hint="default"/>
          <w:spacing w:val="-1"/>
        </w:rPr>
        <w:t>10</w:t>
      </w:r>
      <w:r>
        <w:rPr>
          <w:spacing w:val="-1"/>
        </w:rPr>
        <w:t>股派发现金红利</w:t>
      </w:r>
      <w:r>
        <w:rPr>
          <w:rFonts w:ascii="Times New Roman" w:hAnsi="Times New Roman" w:cs="Times New Roman" w:eastAsia="Times New Roman" w:hint="default"/>
          <w:spacing w:val="-1"/>
        </w:rPr>
        <w:t>1.00</w:t>
      </w:r>
      <w:r>
        <w:rPr>
          <w:spacing w:val="-1"/>
        </w:rPr>
        <w:t>元人民币</w:t>
      </w:r>
      <w:r>
        <w:rPr>
          <w:rFonts w:ascii="Times New Roman" w:hAnsi="Times New Roman" w:cs="Times New Roman" w:eastAsia="Times New Roman" w:hint="default"/>
          <w:spacing w:val="-1"/>
        </w:rPr>
        <w:t>(</w:t>
      </w:r>
      <w:r>
        <w:rPr>
          <w:spacing w:val="-1"/>
        </w:rPr>
        <w:t>含税</w:t>
      </w:r>
      <w:r>
        <w:rPr>
          <w:rFonts w:ascii="Times New Roman" w:hAnsi="Times New Roman" w:cs="Times New Roman" w:eastAsia="Times New Roman" w:hint="default"/>
          <w:spacing w:val="-1"/>
        </w:rPr>
        <w:t>),</w:t>
      </w:r>
      <w:r>
        <w:rPr>
          <w:spacing w:val="-1"/>
        </w:rPr>
        <w:t>合计派</w:t>
      </w:r>
      <w:r>
        <w:rPr>
          <w:spacing w:val="-57"/>
        </w:rPr>
        <w:t> </w:t>
      </w:r>
      <w:r>
        <w:rPr>
          <w:spacing w:val="-57"/>
        </w:rPr>
      </w:r>
      <w:r>
        <w:rPr>
          <w:spacing w:val="-1"/>
        </w:rPr>
        <w:t>发现金股利</w:t>
      </w:r>
      <w:r>
        <w:rPr>
          <w:rFonts w:ascii="Times New Roman" w:hAnsi="Times New Roman" w:cs="Times New Roman" w:eastAsia="Times New Roman" w:hint="default"/>
          <w:spacing w:val="-1"/>
        </w:rPr>
        <w:t>72,317,569.40</w:t>
      </w:r>
      <w:r>
        <w:rPr>
          <w:spacing w:val="-1"/>
        </w:rPr>
        <w:t>元（含税）；同时进行资本公积转增股本，以公司总股本</w:t>
      </w:r>
      <w:r>
        <w:rPr>
          <w:rFonts w:ascii="Times New Roman" w:hAnsi="Times New Roman" w:cs="Times New Roman" w:eastAsia="Times New Roman" w:hint="default"/>
          <w:spacing w:val="-1"/>
        </w:rPr>
        <w:t>723,175,694</w:t>
      </w:r>
      <w:r>
        <w:rPr>
          <w:spacing w:val="-1"/>
        </w:rPr>
        <w:t>股为基数，向全体股东每</w:t>
      </w:r>
      <w:r>
        <w:rPr>
          <w:rFonts w:ascii="Times New Roman" w:hAnsi="Times New Roman" w:cs="Times New Roman" w:eastAsia="Times New Roman" w:hint="default"/>
          <w:spacing w:val="-1"/>
        </w:rPr>
        <w:t>10</w:t>
      </w:r>
      <w:r>
        <w:rPr>
          <w:spacing w:val="-1"/>
        </w:rPr>
        <w:t>股</w:t>
      </w:r>
      <w:r>
        <w:rPr>
          <w:spacing w:val="-76"/>
        </w:rPr>
        <w:t> </w:t>
      </w:r>
      <w:r>
        <w:rPr/>
        <w:t>转增</w:t>
      </w:r>
      <w:r>
        <w:rPr>
          <w:rFonts w:ascii="Times New Roman" w:hAnsi="Times New Roman" w:cs="Times New Roman" w:eastAsia="Times New Roman" w:hint="default"/>
        </w:rPr>
        <w:t>10</w:t>
      </w:r>
      <w:r>
        <w:rPr/>
        <w:t>股，转增后公司总股本将增加至</w:t>
      </w:r>
      <w:r>
        <w:rPr>
          <w:rFonts w:ascii="Times New Roman" w:hAnsi="Times New Roman" w:cs="Times New Roman" w:eastAsia="Times New Roman" w:hint="default"/>
        </w:rPr>
        <w:t>1,446,351,388</w:t>
      </w:r>
      <w:r>
        <w:rPr/>
        <w:t>股。上述权益分派方案已于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日实施完毕。</w:t>
      </w:r>
    </w:p>
    <w:p>
      <w:pPr>
        <w:pStyle w:val="BodyText"/>
        <w:spacing w:line="240" w:lineRule="auto" w:before="13"/>
        <w:ind w:left="513" w:right="0"/>
        <w:jc w:val="left"/>
        <w:rPr>
          <w:rFonts w:ascii="Times New Roman" w:hAnsi="Times New Roman" w:cs="Times New Roman" w:eastAsia="Times New Roman" w:hint="default"/>
        </w:rPr>
      </w:pPr>
      <w:r>
        <w:rPr>
          <w:rFonts w:ascii="Times New Roman" w:hAnsi="Times New Roman" w:cs="Times New Roman" w:eastAsia="Times New Roman" w:hint="default"/>
        </w:rPr>
        <w:t>3</w:t>
      </w:r>
      <w:r>
        <w:rPr/>
        <w:t>、根据持有公司</w:t>
      </w:r>
      <w:r>
        <w:rPr>
          <w:rFonts w:ascii="Times New Roman" w:hAnsi="Times New Roman" w:cs="Times New Roman" w:eastAsia="Times New Roman" w:hint="default"/>
        </w:rPr>
        <w:t>2016</w:t>
      </w:r>
      <w:r>
        <w:rPr/>
        <w:t>年非公开发行股份的股东作出的相关股份锁定承诺，上述股东持有的</w:t>
      </w:r>
      <w:r>
        <w:rPr>
          <w:rFonts w:ascii="Times New Roman" w:hAnsi="Times New Roman" w:cs="Times New Roman" w:eastAsia="Times New Roman" w:hint="default"/>
        </w:rPr>
        <w:t>116,430,076</w:t>
      </w:r>
      <w:r>
        <w:rPr/>
        <w:t>股股份于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p>
    <w:p>
      <w:pPr>
        <w:pStyle w:val="BodyText"/>
        <w:spacing w:line="240" w:lineRule="auto" w:before="63"/>
        <w:ind w:right="183"/>
        <w:jc w:val="left"/>
      </w:pPr>
      <w:r>
        <w:rPr/>
        <w:t>月</w:t>
      </w:r>
      <w:r>
        <w:rPr>
          <w:rFonts w:ascii="Times New Roman" w:hAnsi="Times New Roman" w:cs="Times New Roman" w:eastAsia="Times New Roman" w:hint="default"/>
        </w:rPr>
        <w:t>23</w:t>
      </w:r>
      <w:r>
        <w:rPr/>
        <w:t>日解除限售，其中实际可上市流通股份的数量为</w:t>
      </w:r>
      <w:r>
        <w:rPr>
          <w:rFonts w:ascii="Times New Roman" w:hAnsi="Times New Roman" w:cs="Times New Roman" w:eastAsia="Times New Roman" w:hint="default"/>
        </w:rPr>
        <w:t>85,544,216</w:t>
      </w:r>
      <w:r>
        <w:rPr/>
        <w:t>股。</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right="183"/>
        <w:jc w:val="left"/>
      </w:pPr>
      <w:r>
        <w:rPr/>
        <w:t>股份变动的批准情况</w:t>
      </w:r>
    </w:p>
    <w:p>
      <w:pPr>
        <w:pStyle w:val="BodyText"/>
        <w:spacing w:line="340" w:lineRule="auto" w:before="115"/>
        <w:ind w:left="513" w:right="102"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5"/>
        </w:rPr>
        <w:t>公司于</w:t>
      </w:r>
      <w:r>
        <w:rPr>
          <w:rFonts w:ascii="宋体" w:hAnsi="宋体" w:cs="宋体" w:eastAsia="宋体" w:hint="default"/>
          <w:spacing w:val="-5"/>
        </w:rPr>
        <w:t>2017</w:t>
      </w:r>
      <w:r>
        <w:rPr>
          <w:spacing w:val="-5"/>
        </w:rPr>
        <w:t>年</w:t>
      </w:r>
      <w:r>
        <w:rPr>
          <w:rFonts w:ascii="宋体" w:hAnsi="宋体" w:cs="宋体" w:eastAsia="宋体" w:hint="default"/>
          <w:spacing w:val="-5"/>
        </w:rPr>
        <w:t>4</w:t>
      </w:r>
      <w:r>
        <w:rPr>
          <w:spacing w:val="-5"/>
        </w:rPr>
        <w:t>月</w:t>
      </w:r>
      <w:r>
        <w:rPr>
          <w:rFonts w:ascii="宋体" w:hAnsi="宋体" w:cs="宋体" w:eastAsia="宋体" w:hint="default"/>
          <w:spacing w:val="-5"/>
        </w:rPr>
        <w:t>11</w:t>
      </w:r>
      <w:r>
        <w:rPr>
          <w:spacing w:val="-5"/>
        </w:rPr>
        <w:t>日召开</w:t>
      </w:r>
      <w:r>
        <w:rPr>
          <w:rFonts w:ascii="宋体" w:hAnsi="宋体" w:cs="宋体" w:eastAsia="宋体" w:hint="default"/>
          <w:spacing w:val="-5"/>
        </w:rPr>
        <w:t>2016</w:t>
      </w:r>
      <w:r>
        <w:rPr>
          <w:spacing w:val="-5"/>
        </w:rPr>
        <w:t>年度股东大会，审议通过《关于公司</w:t>
      </w:r>
      <w:r>
        <w:rPr>
          <w:rFonts w:ascii="宋体" w:hAnsi="宋体" w:cs="宋体" w:eastAsia="宋体" w:hint="default"/>
          <w:spacing w:val="-5"/>
        </w:rPr>
        <w:t>2016</w:t>
      </w:r>
      <w:r>
        <w:rPr>
          <w:spacing w:val="-5"/>
        </w:rPr>
        <w:t>年度利润分配及资本公积转增股本方案的议案》。</w:t>
      </w:r>
    </w:p>
    <w:p>
      <w:pPr>
        <w:spacing w:after="0" w:line="3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right="2839"/>
        <w:jc w:val="left"/>
      </w:pPr>
      <w:r>
        <w:rPr/>
        <w:t>上述权益分派方案已于</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28</w:t>
      </w:r>
      <w:r>
        <w:rPr/>
        <w:t>日实施完毕。</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240" w:lineRule="auto"/>
        <w:ind w:right="2839"/>
        <w:jc w:val="left"/>
      </w:pPr>
      <w:r>
        <w:rPr/>
        <w:t>股份变动的过户情况</w:t>
      </w:r>
    </w:p>
    <w:p>
      <w:pPr>
        <w:pStyle w:val="BodyText"/>
        <w:spacing w:line="340" w:lineRule="auto" w:before="117"/>
        <w:ind w:left="513" w:right="257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宋体" w:hAnsi="宋体" w:cs="宋体" w:eastAsia="宋体" w:hint="default"/>
        </w:rPr>
        <w:t>2016</w:t>
      </w:r>
      <w:r>
        <w:rPr/>
        <w:t>年度利润分配方案于</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28</w:t>
      </w:r>
      <w:r>
        <w:rPr/>
        <w:t>日实施完毕，</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12</w:t>
      </w:r>
      <w:r>
        <w:rPr/>
        <w:t>日完成工商变更手续。</w:t>
      </w:r>
    </w:p>
    <w:p>
      <w:pPr>
        <w:spacing w:line="240" w:lineRule="auto" w:before="0"/>
        <w:rPr>
          <w:rFonts w:ascii="宋体" w:hAnsi="宋体" w:cs="宋体" w:eastAsia="宋体" w:hint="default"/>
          <w:sz w:val="18"/>
          <w:szCs w:val="18"/>
        </w:rPr>
      </w:pPr>
    </w:p>
    <w:p>
      <w:pPr>
        <w:pStyle w:val="BodyText"/>
        <w:spacing w:line="240" w:lineRule="auto" w:before="156"/>
        <w:ind w:right="0"/>
        <w:jc w:val="left"/>
      </w:pPr>
      <w:r>
        <w:rPr/>
        <w:t>股份变动对最近一年和最近一期基本每股收益和稀释每股收益、归属于公司普通股股东的每股净资产等财务指标的影响</w:t>
      </w:r>
    </w:p>
    <w:p>
      <w:pPr>
        <w:pStyle w:val="BodyText"/>
        <w:spacing w:line="240" w:lineRule="auto" w:before="117"/>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right="148" w:firstLine="360"/>
        <w:jc w:val="both"/>
      </w:pPr>
      <w:r>
        <w:rPr>
          <w:rFonts w:ascii="Times New Roman" w:hAnsi="Times New Roman" w:cs="Times New Roman" w:eastAsia="Times New Roman" w:hint="default"/>
          <w:spacing w:val="-3"/>
        </w:rPr>
        <w:t>1.</w:t>
      </w:r>
      <w:r>
        <w:rPr>
          <w:spacing w:val="-3"/>
        </w:rPr>
        <w:t>基本每股收益：按期初股本计算，本期基本每股收益</w:t>
      </w:r>
      <w:r>
        <w:rPr>
          <w:rFonts w:ascii="Times New Roman" w:hAnsi="Times New Roman" w:cs="Times New Roman" w:eastAsia="Times New Roman" w:hint="default"/>
          <w:spacing w:val="-3"/>
        </w:rPr>
        <w:t>0.60</w:t>
      </w:r>
      <w:r>
        <w:rPr>
          <w:spacing w:val="-3"/>
        </w:rPr>
        <w:t>元；本期股本变动后基本每股收益</w:t>
      </w:r>
      <w:r>
        <w:rPr>
          <w:rFonts w:ascii="Times New Roman" w:hAnsi="Times New Roman" w:cs="Times New Roman" w:eastAsia="Times New Roman" w:hint="default"/>
          <w:spacing w:val="-3"/>
        </w:rPr>
        <w:t>0.30</w:t>
      </w:r>
      <w:r>
        <w:rPr>
          <w:spacing w:val="-3"/>
        </w:rPr>
        <w:t>元；因本期股本增加，</w:t>
      </w:r>
      <w:r>
        <w:rPr/>
        <w:t> 导致每股收益减少</w:t>
      </w:r>
      <w:r>
        <w:rPr>
          <w:rFonts w:ascii="Times New Roman" w:hAnsi="Times New Roman" w:cs="Times New Roman" w:eastAsia="Times New Roman" w:hint="default"/>
        </w:rPr>
        <w:t>0.30</w:t>
      </w:r>
      <w:r>
        <w:rPr/>
        <w:t>元，对稀释每股收益的影响与基本每股收益相同。</w:t>
      </w:r>
    </w:p>
    <w:p>
      <w:pPr>
        <w:pStyle w:val="BodyText"/>
        <w:spacing w:line="300" w:lineRule="auto" w:before="13"/>
        <w:ind w:right="157" w:firstLine="360"/>
        <w:jc w:val="both"/>
      </w:pPr>
      <w:r>
        <w:rPr>
          <w:rFonts w:ascii="Times New Roman" w:hAnsi="Times New Roman" w:cs="Times New Roman" w:eastAsia="Times New Roman" w:hint="default"/>
        </w:rPr>
        <w:t>2.</w:t>
      </w:r>
      <w:r>
        <w:rPr/>
        <w:t>归属于公司普通股股东的每股净资产：按期初股本计算，期末归属于公司普通股股东的每股净资产</w:t>
      </w:r>
      <w:r>
        <w:rPr>
          <w:rFonts w:ascii="Times New Roman" w:hAnsi="Times New Roman" w:cs="Times New Roman" w:eastAsia="Times New Roman" w:hint="default"/>
        </w:rPr>
        <w:t>8.89</w:t>
      </w:r>
      <w:r>
        <w:rPr/>
        <w:t>元；股本增加 后，期末归属于公司普通股股东的每股净资产</w:t>
      </w:r>
      <w:r>
        <w:rPr>
          <w:rFonts w:ascii="Times New Roman" w:hAnsi="Times New Roman" w:cs="Times New Roman" w:eastAsia="Times New Roman" w:hint="default"/>
        </w:rPr>
        <w:t>4.45</w:t>
      </w:r>
      <w:r>
        <w:rPr/>
        <w:t>元；因本期股本增加，导致归属于公司普通股股东的每股净资产减少</w:t>
      </w:r>
      <w:r>
        <w:rPr>
          <w:rFonts w:ascii="Times New Roman" w:hAnsi="Times New Roman" w:cs="Times New Roman" w:eastAsia="Times New Roman" w:hint="default"/>
        </w:rPr>
        <w:t>4.44 </w:t>
      </w:r>
      <w:r>
        <w:rPr/>
        <w:t>元。</w:t>
      </w:r>
    </w:p>
    <w:p>
      <w:pPr>
        <w:spacing w:line="240" w:lineRule="auto" w:before="0"/>
        <w:rPr>
          <w:rFonts w:ascii="宋体" w:hAnsi="宋体" w:cs="宋体" w:eastAsia="宋体" w:hint="default"/>
          <w:sz w:val="18"/>
          <w:szCs w:val="18"/>
        </w:rPr>
      </w:pPr>
    </w:p>
    <w:p>
      <w:pPr>
        <w:pStyle w:val="BodyText"/>
        <w:spacing w:line="240" w:lineRule="auto" w:before="148"/>
        <w:ind w:right="2839"/>
        <w:jc w:val="left"/>
      </w:pPr>
      <w:r>
        <w:rPr/>
        <w:t>公司认为必要或证券监管机构要求披露的其他内容</w:t>
      </w:r>
    </w:p>
    <w:p>
      <w:pPr>
        <w:pStyle w:val="BodyText"/>
        <w:spacing w:line="240" w:lineRule="auto" w:before="117"/>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2839"/>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0" w:right="15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4"/>
        <w:gridCol w:w="1369"/>
        <w:gridCol w:w="1368"/>
        <w:gridCol w:w="1371"/>
        <w:gridCol w:w="1368"/>
        <w:gridCol w:w="1371"/>
        <w:gridCol w:w="1361"/>
      </w:tblGrid>
      <w:tr>
        <w:trPr>
          <w:trHeight w:val="713"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90"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90"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5979"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24" w:right="69"/>
              <w:jc w:val="left"/>
              <w:rPr>
                <w:rFonts w:ascii="宋体" w:hAnsi="宋体" w:cs="宋体" w:eastAsia="宋体" w:hint="default"/>
                <w:sz w:val="18"/>
                <w:szCs w:val="18"/>
              </w:rPr>
            </w:pPr>
            <w:r>
              <w:rPr>
                <w:rFonts w:ascii="宋体" w:hAnsi="宋体" w:cs="宋体" w:eastAsia="宋体" w:hint="default"/>
                <w:sz w:val="18"/>
                <w:szCs w:val="18"/>
              </w:rPr>
              <w:t>北京百汇达投资 管理有限公司</w:t>
            </w:r>
          </w:p>
          <w:p>
            <w:pPr>
              <w:pStyle w:val="TableParagraph"/>
              <w:spacing w:line="316" w:lineRule="auto" w:before="17"/>
              <w:ind w:left="24" w:right="69"/>
              <w:jc w:val="left"/>
              <w:rPr>
                <w:rFonts w:ascii="宋体" w:hAnsi="宋体" w:cs="宋体" w:eastAsia="宋体" w:hint="default"/>
                <w:sz w:val="18"/>
                <w:szCs w:val="18"/>
              </w:rPr>
            </w:pPr>
            <w:r>
              <w:rPr>
                <w:rFonts w:ascii="宋体" w:hAnsi="宋体" w:cs="宋体" w:eastAsia="宋体" w:hint="default"/>
                <w:sz w:val="18"/>
                <w:szCs w:val="18"/>
              </w:rPr>
              <w:t>（现已更名为霍 尔果斯百汇达股 权投资管理合伙 企业（有限合 </w:t>
            </w:r>
            <w:r>
              <w:rPr>
                <w:rFonts w:ascii="宋体" w:hAnsi="宋体" w:cs="宋体" w:eastAsia="宋体" w:hint="default"/>
                <w:spacing w:val="-31"/>
                <w:sz w:val="18"/>
                <w:szCs w:val="18"/>
              </w:rPr>
              <w:t>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256,086,250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256,000,000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86,250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172,500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在耿殿根任公司 董事长期间，该 股东</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 从二级市场增持 </w:t>
            </w:r>
            <w:r>
              <w:rPr>
                <w:rFonts w:ascii="Times New Roman" w:hAnsi="Times New Roman" w:cs="Times New Roman" w:eastAsia="Times New Roman" w:hint="default"/>
                <w:sz w:val="18"/>
                <w:szCs w:val="18"/>
              </w:rPr>
              <w:t>115,000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股股份， 其中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的股份 按高管锁定股处 理，报告期内公 司转增股份后高 管锁定股为 </w:t>
            </w:r>
            <w:r>
              <w:rPr>
                <w:rFonts w:ascii="Times New Roman" w:hAnsi="Times New Roman" w:cs="Times New Roman" w:eastAsia="Times New Roman" w:hint="default"/>
                <w:sz w:val="18"/>
                <w:szCs w:val="18"/>
              </w:rPr>
              <w:t>172,500</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股。截至</w:t>
            </w:r>
            <w:r>
              <w:rPr>
                <w:rFonts w:ascii="宋体" w:hAnsi="宋体" w:cs="宋体" w:eastAsia="宋体" w:hint="default"/>
                <w:sz w:val="18"/>
                <w:szCs w:val="18"/>
              </w:rPr>
              <w:t> 本报告期末，除 上述股份外，该 股东在公司首次 公开发行股份前 取得股份为 </w:t>
            </w:r>
            <w:r>
              <w:rPr>
                <w:rFonts w:ascii="Times New Roman" w:hAnsi="Times New Roman" w:cs="Times New Roman" w:eastAsia="Times New Roman" w:hint="default"/>
                <w:sz w:val="18"/>
                <w:szCs w:val="18"/>
              </w:rPr>
              <w:t>512,000,000 </w:t>
            </w:r>
            <w:r>
              <w:rPr>
                <w:rFonts w:ascii="宋体" w:hAnsi="宋体" w:cs="宋体" w:eastAsia="宋体" w:hint="default"/>
                <w:sz w:val="18"/>
                <w:szCs w:val="18"/>
              </w:rPr>
              <w:t>股，</w:t>
            </w:r>
          </w:p>
          <w:p>
            <w:pPr>
              <w:pStyle w:val="TableParagraph"/>
              <w:spacing w:line="316" w:lineRule="auto" w:before="1"/>
              <w:ind w:left="23" w:right="59"/>
              <w:jc w:val="left"/>
              <w:rPr>
                <w:rFonts w:ascii="宋体" w:hAnsi="宋体" w:cs="宋体" w:eastAsia="宋体" w:hint="default"/>
                <w:sz w:val="18"/>
                <w:szCs w:val="18"/>
              </w:rPr>
            </w:pPr>
            <w:r>
              <w:rPr>
                <w:rFonts w:ascii="宋体" w:hAnsi="宋体" w:cs="宋体" w:eastAsia="宋体" w:hint="default"/>
                <w:sz w:val="18"/>
                <w:szCs w:val="18"/>
              </w:rPr>
              <w:t>根据其做出的承 诺，其中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即</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314" w:lineRule="auto" w:before="63"/>
              <w:ind w:left="23" w:right="65"/>
              <w:jc w:val="left"/>
              <w:rPr>
                <w:rFonts w:ascii="宋体" w:hAnsi="宋体" w:cs="宋体" w:eastAsia="宋体" w:hint="default"/>
                <w:sz w:val="18"/>
                <w:szCs w:val="18"/>
              </w:rPr>
            </w:pPr>
            <w:r>
              <w:rPr>
                <w:rFonts w:ascii="宋体" w:hAnsi="宋体" w:cs="宋体" w:eastAsia="宋体" w:hint="default"/>
                <w:sz w:val="18"/>
                <w:szCs w:val="18"/>
              </w:rPr>
              <w:t>日根据其所持该 部分股份总数按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 在耿殿根任公司 董事长期间，百 汇达每年可减持 股份为上年末持 有股份总数的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，其余股份 视同锁定。耿殿 根离职后，百汇 达半年内不得转 让其所持有的本 公司股份。</w:t>
            </w:r>
          </w:p>
        </w:tc>
      </w:tr>
    </w:tbl>
    <w:p>
      <w:pPr>
        <w:spacing w:after="0" w:line="314"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4"/>
        <w:gridCol w:w="1369"/>
        <w:gridCol w:w="1368"/>
        <w:gridCol w:w="1371"/>
        <w:gridCol w:w="1368"/>
        <w:gridCol w:w="1371"/>
        <w:gridCol w:w="1361"/>
      </w:tblGrid>
      <w:tr>
        <w:trPr>
          <w:trHeight w:val="987" w:hRule="exact"/>
        </w:trPr>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384,000,000 </w:t>
            </w:r>
            <w:r>
              <w:rPr>
                <w:rFonts w:ascii="宋体" w:hAnsi="宋体" w:cs="宋体" w:eastAsia="宋体" w:hint="default"/>
                <w:sz w:val="18"/>
                <w:szCs w:val="18"/>
              </w:rPr>
              <w:t>股不</w:t>
            </w:r>
          </w:p>
          <w:p>
            <w:pPr>
              <w:pStyle w:val="TableParagraph"/>
              <w:spacing w:line="316" w:lineRule="auto" w:before="63"/>
              <w:ind w:left="23" w:right="75"/>
              <w:jc w:val="left"/>
              <w:rPr>
                <w:rFonts w:ascii="宋体" w:hAnsi="宋体" w:cs="宋体" w:eastAsia="宋体" w:hint="default"/>
                <w:sz w:val="18"/>
                <w:szCs w:val="18"/>
              </w:rPr>
            </w:pPr>
            <w:r>
              <w:rPr>
                <w:rFonts w:ascii="宋体" w:hAnsi="宋体" w:cs="宋体" w:eastAsia="宋体" w:hint="default"/>
                <w:sz w:val="18"/>
                <w:szCs w:val="18"/>
              </w:rPr>
              <w:t>可转让，视同锁 定。</w:t>
            </w: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69"/>
              <w:jc w:val="left"/>
              <w:rPr>
                <w:rFonts w:ascii="宋体" w:hAnsi="宋体" w:cs="宋体" w:eastAsia="宋体" w:hint="default"/>
                <w:sz w:val="18"/>
                <w:szCs w:val="18"/>
              </w:rPr>
            </w:pPr>
            <w:r>
              <w:rPr>
                <w:rFonts w:ascii="宋体" w:hAnsi="宋体" w:cs="宋体" w:eastAsia="宋体" w:hint="default"/>
                <w:sz w:val="18"/>
                <w:szCs w:val="18"/>
              </w:rPr>
              <w:t>中金盛世投资有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16,052,562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16,052,562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pacing w:val="-1"/>
                <w:sz w:val="18"/>
              </w:rPr>
              <w:t>16,052,562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16,052,562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5"/>
              <w:jc w:val="left"/>
              <w:rPr>
                <w:rFonts w:ascii="宋体" w:hAnsi="宋体" w:cs="宋体" w:eastAsia="宋体" w:hint="default"/>
                <w:sz w:val="18"/>
                <w:szCs w:val="18"/>
              </w:rPr>
            </w:pPr>
            <w:r>
              <w:rPr>
                <w:rFonts w:ascii="宋体" w:hAnsi="宋体" w:cs="宋体" w:eastAsia="宋体" w:hint="default"/>
                <w:sz w:val="18"/>
                <w:szCs w:val="18"/>
              </w:rPr>
              <w:t>向其发行股份及 支付现金购买中 金云网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 权，转增股份及 第一期股份解锁 后剩余首发后机 构类限售股 </w:t>
            </w:r>
            <w:r>
              <w:rPr>
                <w:rFonts w:ascii="Times New Roman" w:hAnsi="Times New Roman" w:cs="Times New Roman" w:eastAsia="Times New Roman" w:hint="default"/>
                <w:sz w:val="18"/>
                <w:szCs w:val="18"/>
              </w:rPr>
              <w:t>16,052,562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拟解除</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4,815,768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日拟解除</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11,236,794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w:t>
            </w:r>
          </w:p>
        </w:tc>
      </w:tr>
      <w:tr>
        <w:trPr>
          <w:trHeight w:val="102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天津红杉资本投 资基金中心（有 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12,981,170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12,981,170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5"/>
              <w:jc w:val="left"/>
              <w:rPr>
                <w:rFonts w:ascii="宋体" w:hAnsi="宋体" w:cs="宋体" w:eastAsia="宋体" w:hint="default"/>
                <w:sz w:val="18"/>
                <w:szCs w:val="18"/>
              </w:rPr>
            </w:pPr>
            <w:r>
              <w:rPr>
                <w:rFonts w:ascii="宋体" w:hAnsi="宋体" w:cs="宋体" w:eastAsia="宋体" w:hint="default"/>
                <w:sz w:val="18"/>
                <w:szCs w:val="18"/>
              </w:rPr>
              <w:t>截至本报告期 末，该股东无限 售股份。</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209"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耿桂芳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9,671,950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9,671,950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14,507,924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14,507,924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14,507,924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8"/>
              <w:jc w:val="both"/>
              <w:rPr>
                <w:rFonts w:ascii="宋体" w:hAnsi="宋体" w:cs="宋体" w:eastAsia="宋体" w:hint="default"/>
                <w:sz w:val="18"/>
                <w:szCs w:val="18"/>
              </w:rPr>
            </w:pPr>
            <w:r>
              <w:rPr>
                <w:rFonts w:ascii="宋体" w:hAnsi="宋体" w:cs="宋体" w:eastAsia="宋体" w:hint="default"/>
                <w:sz w:val="18"/>
                <w:szCs w:val="18"/>
              </w:rPr>
              <w:t>在耿殿根任公司 董事长期间，耿 桂芳每年可解除 限售的股份为上 年末持有股份总 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。耿殿 根离职后，耿桂 芳半年内不得转 让其所持有的本 公司股份。</w:t>
            </w:r>
          </w:p>
        </w:tc>
      </w:tr>
      <w:tr>
        <w:trPr>
          <w:trHeight w:val="2276"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杨雨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9,320,842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9,320,842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9,320,842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9,320,842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3"/>
              <w:jc w:val="left"/>
              <w:rPr>
                <w:rFonts w:ascii="宋体" w:hAnsi="宋体" w:cs="宋体" w:eastAsia="宋体" w:hint="default"/>
                <w:sz w:val="18"/>
                <w:szCs w:val="18"/>
              </w:rPr>
            </w:pPr>
            <w:r>
              <w:rPr>
                <w:rFonts w:ascii="宋体" w:hAnsi="宋体" w:cs="宋体" w:eastAsia="宋体" w:hint="default"/>
                <w:sz w:val="18"/>
                <w:szCs w:val="18"/>
              </w:rPr>
              <w:t>向其发行股份购 买中金云网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股权，转增 股份及第一期股 份解锁后剩余首 发后个人类限售 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9,320,842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拟解除</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5,592,505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日拟解除</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3,728,337 </w:t>
            </w:r>
            <w:r>
              <w:rPr>
                <w:rFonts w:ascii="宋体" w:hAnsi="宋体" w:cs="宋体" w:eastAsia="宋体" w:hint="default"/>
                <w:sz w:val="18"/>
                <w:szCs w:val="18"/>
              </w:rPr>
              <w:t>股。</w:t>
            </w:r>
          </w:p>
        </w:tc>
      </w:tr>
      <w:tr>
        <w:trPr>
          <w:trHeight w:val="289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施侃</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8,141,560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9,769,872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8,141,560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6,513,248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5"/>
              <w:jc w:val="left"/>
              <w:rPr>
                <w:rFonts w:ascii="Times New Roman" w:hAnsi="Times New Roman" w:cs="Times New Roman" w:eastAsia="Times New Roman" w:hint="default"/>
                <w:sz w:val="18"/>
                <w:szCs w:val="18"/>
              </w:rPr>
            </w:pPr>
            <w:r>
              <w:rPr>
                <w:rFonts w:ascii="宋体" w:hAnsi="宋体" w:cs="宋体" w:eastAsia="宋体" w:hint="default"/>
                <w:sz w:val="18"/>
                <w:szCs w:val="18"/>
              </w:rPr>
              <w:t>向其发行股份及 支付现金购买无 双科技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 权，转增股份及 第一期、第二期 股份解锁后剩余 首发后个人类限 售股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6,513,248</w:t>
            </w:r>
          </w:p>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拟解除</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6,513,248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67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深圳市天图兴瑞 创业投资有限公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5,592,505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11,185,010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5,592,505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5"/>
              <w:jc w:val="left"/>
              <w:rPr>
                <w:rFonts w:ascii="宋体" w:hAnsi="宋体" w:cs="宋体" w:eastAsia="宋体" w:hint="default"/>
                <w:sz w:val="18"/>
                <w:szCs w:val="18"/>
              </w:rPr>
            </w:pPr>
            <w:r>
              <w:rPr>
                <w:rFonts w:ascii="宋体" w:hAnsi="宋体" w:cs="宋体" w:eastAsia="宋体" w:hint="default"/>
                <w:sz w:val="18"/>
                <w:szCs w:val="18"/>
              </w:rPr>
              <w:t>截至本报告期 末，该股东无限</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73.919998pt;margin-top:531.789978pt;width:119.1pt;height:15.6pt;mso-position-horizontal-relative:page;mso-position-vertical-relative:page;z-index:-1815136" type="#_x0000_t202" filled="false" stroked="false">
            <v:textbox inset="0,0,0,0">
              <w:txbxContent>
                <w:p>
                  <w:pPr>
                    <w:pStyle w:val="BodyText"/>
                    <w:spacing w:line="203" w:lineRule="exact"/>
                    <w:ind w:left="0" w:right="0"/>
                    <w:jc w:val="left"/>
                  </w:pPr>
                  <w:r>
                    <w:rPr/>
                    <w:t>（有限合伙）</w:t>
                  </w:r>
                </w:p>
              </w:txbxContent>
            </v:textbox>
            <w10:wrap type="none"/>
          </v:shape>
        </w:pict>
      </w:r>
      <w:r>
        <w:rPr/>
        <w:pict>
          <v:group style="position:absolute;margin-left:125.059998pt;margin-top:531.789978pt;width:67.95pt;height:15.6pt;mso-position-horizontal-relative:page;mso-position-vertical-relative:page;z-index:-1815112" coordorigin="2501,10636" coordsize="1359,312">
            <v:shape style="position:absolute;left:2501;top:10636;width:1359;height:312" coordorigin="2501,10636" coordsize="1359,312" path="m2501,10948l3860,10948,3860,10636,2501,10636,2501,1094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4"/>
        <w:gridCol w:w="342"/>
        <w:gridCol w:w="1027"/>
        <w:gridCol w:w="1368"/>
        <w:gridCol w:w="1371"/>
        <w:gridCol w:w="1368"/>
        <w:gridCol w:w="1371"/>
        <w:gridCol w:w="1361"/>
      </w:tblGrid>
      <w:tr>
        <w:trPr>
          <w:trHeight w:val="36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售股份。</w:t>
            </w: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徐庆良</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5,385,375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5,385,375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10,770,750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向其发行股份购 买中金云网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股权，取得 首发后个人类限 售股，转增后为 </w:t>
            </w:r>
            <w:r>
              <w:rPr>
                <w:rFonts w:ascii="Times New Roman" w:hAnsi="Times New Roman" w:cs="Times New Roman" w:eastAsia="Times New Roman" w:hint="default"/>
                <w:sz w:val="18"/>
                <w:szCs w:val="18"/>
              </w:rPr>
              <w:t>10,770,750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09" w:lineRule="auto"/>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拟解除 </w:t>
            </w:r>
            <w:r>
              <w:rPr>
                <w:rFonts w:ascii="Times New Roman" w:hAnsi="Times New Roman" w:cs="Times New Roman" w:eastAsia="Times New Roman" w:hint="default"/>
                <w:sz w:val="18"/>
                <w:szCs w:val="18"/>
              </w:rPr>
              <w:t>10,770,750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102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徐厚华</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4,763,986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9,527,972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4,763,986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5"/>
              <w:jc w:val="left"/>
              <w:rPr>
                <w:rFonts w:ascii="宋体" w:hAnsi="宋体" w:cs="宋体" w:eastAsia="宋体" w:hint="default"/>
                <w:sz w:val="18"/>
                <w:szCs w:val="18"/>
              </w:rPr>
            </w:pPr>
            <w:r>
              <w:rPr>
                <w:rFonts w:ascii="宋体" w:hAnsi="宋体" w:cs="宋体" w:eastAsia="宋体" w:hint="default"/>
                <w:sz w:val="18"/>
                <w:szCs w:val="18"/>
              </w:rPr>
              <w:t>截至本报告期 末，该股东无限 售股份。</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车志远</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4,660,421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9,320,842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4,660,421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5"/>
              <w:jc w:val="left"/>
              <w:rPr>
                <w:rFonts w:ascii="宋体" w:hAnsi="宋体" w:cs="宋体" w:eastAsia="宋体" w:hint="default"/>
                <w:sz w:val="18"/>
                <w:szCs w:val="18"/>
              </w:rPr>
            </w:pPr>
            <w:r>
              <w:rPr>
                <w:rFonts w:ascii="宋体" w:hAnsi="宋体" w:cs="宋体" w:eastAsia="宋体" w:hint="default"/>
                <w:sz w:val="18"/>
                <w:szCs w:val="18"/>
              </w:rPr>
              <w:t>截至本报告期 末，该股东无限 售股份。</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王有昌</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3,624,771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7,249,542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3,624,771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5"/>
              <w:jc w:val="left"/>
              <w:rPr>
                <w:rFonts w:ascii="宋体" w:hAnsi="宋体" w:cs="宋体" w:eastAsia="宋体" w:hint="default"/>
                <w:sz w:val="18"/>
                <w:szCs w:val="18"/>
              </w:rPr>
            </w:pPr>
            <w:r>
              <w:rPr>
                <w:rFonts w:ascii="宋体" w:hAnsi="宋体" w:cs="宋体" w:eastAsia="宋体" w:hint="default"/>
                <w:sz w:val="18"/>
                <w:szCs w:val="18"/>
              </w:rPr>
              <w:t>截至本报告期 末，该股东无限 售股份。</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黄玉珍</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3,624,771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7,249,542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3,624,771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5"/>
              <w:jc w:val="left"/>
              <w:rPr>
                <w:rFonts w:ascii="宋体" w:hAnsi="宋体" w:cs="宋体" w:eastAsia="宋体" w:hint="default"/>
                <w:sz w:val="18"/>
                <w:szCs w:val="18"/>
              </w:rPr>
            </w:pPr>
            <w:r>
              <w:rPr>
                <w:rFonts w:ascii="宋体" w:hAnsi="宋体" w:cs="宋体" w:eastAsia="宋体" w:hint="default"/>
                <w:sz w:val="18"/>
                <w:szCs w:val="18"/>
              </w:rPr>
              <w:t>截至本报告期 末，该股东无限 售股份。</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8"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高淑杰</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3,624,771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7,249,542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3,624,771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5"/>
              <w:jc w:val="left"/>
              <w:rPr>
                <w:rFonts w:ascii="宋体" w:hAnsi="宋体" w:cs="宋体" w:eastAsia="宋体" w:hint="default"/>
                <w:sz w:val="18"/>
                <w:szCs w:val="18"/>
              </w:rPr>
            </w:pPr>
            <w:r>
              <w:rPr>
                <w:rFonts w:ascii="宋体" w:hAnsi="宋体" w:cs="宋体" w:eastAsia="宋体" w:hint="default"/>
                <w:sz w:val="18"/>
                <w:szCs w:val="18"/>
              </w:rPr>
              <w:t>截至本报告期 末，该股东无限 售股份。</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江苏国投衡盈创 业投资中心（有 限合伙）</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3,106,947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6,213,894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3,106,947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5"/>
              <w:jc w:val="left"/>
              <w:rPr>
                <w:rFonts w:ascii="宋体" w:hAnsi="宋体" w:cs="宋体" w:eastAsia="宋体" w:hint="default"/>
                <w:sz w:val="18"/>
                <w:szCs w:val="18"/>
              </w:rPr>
            </w:pPr>
            <w:r>
              <w:rPr>
                <w:rFonts w:ascii="宋体" w:hAnsi="宋体" w:cs="宋体" w:eastAsia="宋体" w:hint="default"/>
                <w:sz w:val="18"/>
                <w:szCs w:val="18"/>
              </w:rPr>
              <w:t>截至本报告期 末，该股东无限 售股份。</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天津天图兴盛股 权投资基金合伙 企业</w:t>
            </w:r>
          </w:p>
        </w:tc>
        <w:tc>
          <w:tcPr>
            <w:tcW w:w="342" w:type="dxa"/>
            <w:tcBorders>
              <w:top w:val="single" w:sz="4" w:space="0" w:color="000000"/>
              <w:left w:val="single" w:sz="4" w:space="0" w:color="000000"/>
              <w:bottom w:val="single" w:sz="4" w:space="0" w:color="000000"/>
              <w:right w:val="nil" w:sz="6" w:space="0" w:color="auto"/>
            </w:tcBorders>
          </w:tcPr>
          <w:p>
            <w:pPr/>
          </w:p>
        </w:tc>
        <w:tc>
          <w:tcPr>
            <w:tcW w:w="10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79" w:right="0"/>
              <w:jc w:val="left"/>
              <w:rPr>
                <w:rFonts w:ascii="Times New Roman" w:hAnsi="Times New Roman" w:cs="Times New Roman" w:eastAsia="Times New Roman" w:hint="default"/>
                <w:sz w:val="18"/>
                <w:szCs w:val="18"/>
              </w:rPr>
            </w:pPr>
            <w:r>
              <w:rPr>
                <w:rFonts w:ascii="Times New Roman"/>
                <w:sz w:val="18"/>
              </w:rPr>
              <w:t>2,796,251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5,592,502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2,796,251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5"/>
              <w:jc w:val="left"/>
              <w:rPr>
                <w:rFonts w:ascii="宋体" w:hAnsi="宋体" w:cs="宋体" w:eastAsia="宋体" w:hint="default"/>
                <w:sz w:val="18"/>
                <w:szCs w:val="18"/>
              </w:rPr>
            </w:pPr>
            <w:r>
              <w:rPr>
                <w:rFonts w:ascii="宋体" w:hAnsi="宋体" w:cs="宋体" w:eastAsia="宋体" w:hint="default"/>
                <w:sz w:val="18"/>
                <w:szCs w:val="18"/>
              </w:rPr>
              <w:t>截至本报告期 末，该股东无限 售股份。</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赵忠彬</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2,071,297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4,142,594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2,071,297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5"/>
              <w:jc w:val="left"/>
              <w:rPr>
                <w:rFonts w:ascii="宋体" w:hAnsi="宋体" w:cs="宋体" w:eastAsia="宋体" w:hint="default"/>
                <w:sz w:val="18"/>
                <w:szCs w:val="18"/>
              </w:rPr>
            </w:pPr>
            <w:r>
              <w:rPr>
                <w:rFonts w:ascii="宋体" w:hAnsi="宋体" w:cs="宋体" w:eastAsia="宋体" w:hint="default"/>
                <w:sz w:val="18"/>
                <w:szCs w:val="18"/>
              </w:rPr>
              <w:t>截至本报告期 末，该股东无限 售股份。</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900"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冯天放</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1,757,817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2,109,380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1,757,817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1,406,254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5"/>
              <w:jc w:val="left"/>
              <w:rPr>
                <w:rFonts w:ascii="Times New Roman" w:hAnsi="Times New Roman" w:cs="Times New Roman" w:eastAsia="Times New Roman" w:hint="default"/>
                <w:sz w:val="18"/>
                <w:szCs w:val="18"/>
              </w:rPr>
            </w:pPr>
            <w:r>
              <w:rPr>
                <w:rFonts w:ascii="宋体" w:hAnsi="宋体" w:cs="宋体" w:eastAsia="宋体" w:hint="default"/>
                <w:sz w:val="18"/>
                <w:szCs w:val="18"/>
              </w:rPr>
              <w:t>向其发行股份及 支付现金购买无 双科技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 权，转增股份及 第一期、第二期 股份解锁后剩余 首发后个人类限 售股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1,406,254</w:t>
            </w:r>
          </w:p>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拟解除</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1,406,254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北京宇扬锦达投</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1,398,126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1,398,126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1,398,126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1,398,126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向其发行股份购</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4"/>
        <w:gridCol w:w="1369"/>
        <w:gridCol w:w="1368"/>
        <w:gridCol w:w="1371"/>
        <w:gridCol w:w="1368"/>
        <w:gridCol w:w="1371"/>
        <w:gridCol w:w="1361"/>
      </w:tblGrid>
      <w:tr>
        <w:trPr>
          <w:trHeight w:val="192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69"/>
              <w:jc w:val="left"/>
              <w:rPr>
                <w:rFonts w:ascii="宋体" w:hAnsi="宋体" w:cs="宋体" w:eastAsia="宋体" w:hint="default"/>
                <w:sz w:val="18"/>
                <w:szCs w:val="18"/>
              </w:rPr>
            </w:pPr>
            <w:r>
              <w:rPr>
                <w:rFonts w:ascii="宋体" w:hAnsi="宋体" w:cs="宋体" w:eastAsia="宋体" w:hint="default"/>
                <w:sz w:val="18"/>
                <w:szCs w:val="18"/>
              </w:rPr>
              <w:t>资管理中心（有 限合伙）</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13"/>
              <w:jc w:val="left"/>
              <w:rPr>
                <w:rFonts w:ascii="宋体" w:hAnsi="宋体" w:cs="宋体" w:eastAsia="宋体" w:hint="default"/>
                <w:sz w:val="18"/>
                <w:szCs w:val="18"/>
              </w:rPr>
            </w:pPr>
            <w:r>
              <w:rPr>
                <w:rFonts w:ascii="宋体" w:hAnsi="宋体" w:cs="宋体" w:eastAsia="宋体" w:hint="default"/>
                <w:sz w:val="18"/>
                <w:szCs w:val="18"/>
              </w:rPr>
              <w:t>买中金云网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股权，转增 股份及第一期股 份解锁后剩余首 发后机构类限售 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1,398,126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拟解除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838,875 </w:t>
            </w:r>
            <w:r>
              <w:rPr>
                <w:rFonts w:ascii="宋体" w:hAnsi="宋体" w:cs="宋体" w:eastAsia="宋体" w:hint="default"/>
                <w:sz w:val="18"/>
                <w:szCs w:val="18"/>
              </w:rPr>
              <w:t>股；</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日拟解除</w:t>
            </w:r>
          </w:p>
          <w:p>
            <w:pPr>
              <w:pStyle w:val="TableParagraph"/>
              <w:spacing w:line="240" w:lineRule="auto" w:before="1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559,251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227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69"/>
              <w:jc w:val="both"/>
              <w:rPr>
                <w:rFonts w:ascii="宋体" w:hAnsi="宋体" w:cs="宋体" w:eastAsia="宋体" w:hint="default"/>
                <w:sz w:val="18"/>
                <w:szCs w:val="18"/>
              </w:rPr>
            </w:pPr>
            <w:r>
              <w:rPr>
                <w:rFonts w:ascii="宋体" w:hAnsi="宋体" w:cs="宋体" w:eastAsia="宋体" w:hint="default"/>
                <w:sz w:val="18"/>
                <w:szCs w:val="18"/>
              </w:rPr>
              <w:t>北京利源顶盛投 资管理中心（有 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1,398,126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1,398,126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1,398,126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1,398,126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3"/>
              <w:jc w:val="left"/>
              <w:rPr>
                <w:rFonts w:ascii="宋体" w:hAnsi="宋体" w:cs="宋体" w:eastAsia="宋体" w:hint="default"/>
                <w:sz w:val="18"/>
                <w:szCs w:val="18"/>
              </w:rPr>
            </w:pPr>
            <w:r>
              <w:rPr>
                <w:rFonts w:ascii="宋体" w:hAnsi="宋体" w:cs="宋体" w:eastAsia="宋体" w:hint="default"/>
                <w:sz w:val="18"/>
                <w:szCs w:val="18"/>
              </w:rPr>
              <w:t>向其发行股份购 买中金云网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股权，转增 股份及第一期股 份解锁后剩余首 发后机构类限售 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1,398,126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00"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拟解除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838,875 </w:t>
            </w:r>
            <w:r>
              <w:rPr>
                <w:rFonts w:ascii="宋体" w:hAnsi="宋体" w:cs="宋体" w:eastAsia="宋体" w:hint="default"/>
                <w:sz w:val="18"/>
                <w:szCs w:val="18"/>
              </w:rPr>
              <w:t>股；</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日拟解除</w:t>
            </w:r>
          </w:p>
          <w:p>
            <w:pPr>
              <w:pStyle w:val="TableParagraph"/>
              <w:spacing w:line="240" w:lineRule="auto" w:before="1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559,251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2588"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耿岩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1,300,000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1,300,000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pacing w:val="-1"/>
                <w:sz w:val="18"/>
              </w:rPr>
              <w:t>1,950,000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1,950,000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1,950,000 </w:t>
            </w:r>
            <w:r>
              <w:rPr>
                <w:rFonts w:ascii="宋体" w:hAnsi="宋体" w:cs="宋体" w:eastAsia="宋体" w:hint="default"/>
                <w:sz w:val="18"/>
                <w:szCs w:val="18"/>
              </w:rPr>
              <w:t>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48"/>
              <w:jc w:val="both"/>
              <w:rPr>
                <w:rFonts w:ascii="宋体" w:hAnsi="宋体" w:cs="宋体" w:eastAsia="宋体" w:hint="default"/>
                <w:sz w:val="18"/>
                <w:szCs w:val="18"/>
              </w:rPr>
            </w:pPr>
            <w:r>
              <w:rPr>
                <w:rFonts w:ascii="宋体" w:hAnsi="宋体" w:cs="宋体" w:eastAsia="宋体" w:hint="default"/>
                <w:sz w:val="18"/>
                <w:szCs w:val="18"/>
              </w:rPr>
              <w:t>在其任公司高管 期间，每年按照 上年末持有股份 总数的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 限售。离职后半 年内不得转让其 所持有的本公司 股份。</w:t>
            </w:r>
          </w:p>
        </w:tc>
      </w:tr>
      <w:tr>
        <w:trPr>
          <w:trHeight w:val="3209"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郭明强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1,800,000 </w:t>
            </w:r>
            <w:r>
              <w:rPr>
                <w:rFonts w:ascii="宋体" w:hAnsi="宋体" w:cs="宋体" w:eastAsia="宋体" w:hint="default"/>
                <w:sz w:val="18"/>
                <w:szCs w:val="18"/>
              </w:rPr>
              <w:t>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8"/>
              <w:jc w:val="both"/>
              <w:rPr>
                <w:rFonts w:ascii="宋体" w:hAnsi="宋体" w:cs="宋体" w:eastAsia="宋体" w:hint="default"/>
                <w:sz w:val="18"/>
                <w:szCs w:val="18"/>
              </w:rPr>
            </w:pPr>
            <w:r>
              <w:rPr>
                <w:rFonts w:ascii="宋体" w:hAnsi="宋体" w:cs="宋体" w:eastAsia="宋体" w:hint="default"/>
                <w:sz w:val="18"/>
                <w:szCs w:val="18"/>
              </w:rPr>
              <w:t>在耿殿根任公司 董事长期间，郭 明强每年可解除 限售的股份为上 年末持有股份总 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。耿殿 根离职后，郭明 强半年内不得转 让其所持有的本 公司股份。</w:t>
            </w:r>
          </w:p>
        </w:tc>
      </w:tr>
      <w:tr>
        <w:trPr>
          <w:trHeight w:val="227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69"/>
              <w:jc w:val="both"/>
              <w:rPr>
                <w:rFonts w:ascii="宋体" w:hAnsi="宋体" w:cs="宋体" w:eastAsia="宋体" w:hint="default"/>
                <w:sz w:val="18"/>
                <w:szCs w:val="18"/>
              </w:rPr>
            </w:pPr>
            <w:r>
              <w:rPr>
                <w:rFonts w:ascii="宋体" w:hAnsi="宋体" w:cs="宋体" w:eastAsia="宋体" w:hint="default"/>
                <w:sz w:val="18"/>
                <w:szCs w:val="18"/>
              </w:rPr>
              <w:t>北京卓程达投资 管理中心（有限 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1,151,641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1,151,641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1,151,641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1,151,641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3"/>
              <w:jc w:val="left"/>
              <w:rPr>
                <w:rFonts w:ascii="宋体" w:hAnsi="宋体" w:cs="宋体" w:eastAsia="宋体" w:hint="default"/>
                <w:sz w:val="18"/>
                <w:szCs w:val="18"/>
              </w:rPr>
            </w:pPr>
            <w:r>
              <w:rPr>
                <w:rFonts w:ascii="宋体" w:hAnsi="宋体" w:cs="宋体" w:eastAsia="宋体" w:hint="default"/>
                <w:sz w:val="18"/>
                <w:szCs w:val="18"/>
              </w:rPr>
              <w:t>向其发行股份购 买中金云网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股权，转增 股份及第一期股 份解锁后剩余首 发后机构类限售 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1,151,641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00"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拟解除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276,393 </w:t>
            </w:r>
            <w:r>
              <w:rPr>
                <w:rFonts w:ascii="宋体" w:hAnsi="宋体" w:cs="宋体" w:eastAsia="宋体" w:hint="default"/>
                <w:sz w:val="18"/>
                <w:szCs w:val="18"/>
              </w:rPr>
              <w:t>股；</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日拟解除</w:t>
            </w:r>
          </w:p>
          <w:p>
            <w:pPr>
              <w:pStyle w:val="TableParagraph"/>
              <w:spacing w:line="240" w:lineRule="auto" w:before="1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875,248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61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1,082,637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1,082,637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2,165,274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p>
            <w:pPr>
              <w:pStyle w:val="TableParagraph"/>
              <w:spacing w:line="240" w:lineRule="auto" w:before="7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2,165,274 </w:t>
            </w:r>
            <w:r>
              <w:rPr>
                <w:rFonts w:ascii="宋体" w:hAnsi="宋体" w:cs="宋体" w:eastAsia="宋体" w:hint="default"/>
                <w:sz w:val="18"/>
                <w:szCs w:val="18"/>
              </w:rPr>
              <w:t>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48"/>
              <w:jc w:val="both"/>
              <w:rPr>
                <w:rFonts w:ascii="宋体" w:hAnsi="宋体" w:cs="宋体" w:eastAsia="宋体" w:hint="default"/>
                <w:sz w:val="18"/>
                <w:szCs w:val="18"/>
              </w:rPr>
            </w:pPr>
            <w:r>
              <w:rPr>
                <w:rFonts w:ascii="宋体" w:hAnsi="宋体" w:cs="宋体" w:eastAsia="宋体" w:hint="default"/>
                <w:sz w:val="18"/>
                <w:szCs w:val="18"/>
              </w:rPr>
              <w:t>在其任公司高管 期间，每年按照 上年末持有股份 总数的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 限售。离职后半</w:t>
            </w:r>
          </w:p>
        </w:tc>
      </w:tr>
    </w:tbl>
    <w:p>
      <w:pPr>
        <w:spacing w:after="0" w:line="314"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4"/>
        <w:gridCol w:w="1369"/>
        <w:gridCol w:w="1368"/>
        <w:gridCol w:w="1371"/>
        <w:gridCol w:w="1368"/>
        <w:gridCol w:w="1371"/>
        <w:gridCol w:w="1361"/>
      </w:tblGrid>
      <w:tr>
        <w:trPr>
          <w:trHeight w:val="987" w:hRule="exact"/>
        </w:trPr>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65"/>
              <w:jc w:val="both"/>
              <w:rPr>
                <w:rFonts w:ascii="宋体" w:hAnsi="宋体" w:cs="宋体" w:eastAsia="宋体" w:hint="default"/>
                <w:sz w:val="18"/>
                <w:szCs w:val="18"/>
              </w:rPr>
            </w:pPr>
            <w:r>
              <w:rPr>
                <w:rFonts w:ascii="宋体" w:hAnsi="宋体" w:cs="宋体" w:eastAsia="宋体" w:hint="default"/>
                <w:sz w:val="18"/>
                <w:szCs w:val="18"/>
              </w:rPr>
              <w:t>年内不得转让其 所持有的本公司 股份。</w:t>
            </w:r>
          </w:p>
        </w:tc>
      </w:tr>
      <w:tr>
        <w:trPr>
          <w:trHeight w:val="102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何长津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1,035,647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2,071,294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1,035,647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5"/>
              <w:jc w:val="left"/>
              <w:rPr>
                <w:rFonts w:ascii="宋体" w:hAnsi="宋体" w:cs="宋体" w:eastAsia="宋体" w:hint="default"/>
                <w:sz w:val="18"/>
                <w:szCs w:val="18"/>
              </w:rPr>
            </w:pPr>
            <w:r>
              <w:rPr>
                <w:rFonts w:ascii="宋体" w:hAnsi="宋体" w:cs="宋体" w:eastAsia="宋体" w:hint="default"/>
                <w:sz w:val="18"/>
                <w:szCs w:val="18"/>
              </w:rPr>
              <w:t>截至本报告期 末，该股东无限 售股份。</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王德宁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1,035,647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2,071,294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1,035,647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5"/>
              <w:jc w:val="left"/>
              <w:rPr>
                <w:rFonts w:ascii="宋体" w:hAnsi="宋体" w:cs="宋体" w:eastAsia="宋体" w:hint="default"/>
                <w:sz w:val="18"/>
                <w:szCs w:val="18"/>
              </w:rPr>
            </w:pPr>
            <w:r>
              <w:rPr>
                <w:rFonts w:ascii="宋体" w:hAnsi="宋体" w:cs="宋体" w:eastAsia="宋体" w:hint="default"/>
                <w:sz w:val="18"/>
                <w:szCs w:val="18"/>
              </w:rPr>
              <w:t>截至本报告期 末，该股东无限 售股份。</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209"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960,900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960,900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1,921,800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1,921,800 </w:t>
            </w:r>
            <w:r>
              <w:rPr>
                <w:rFonts w:ascii="宋体" w:hAnsi="宋体" w:cs="宋体" w:eastAsia="宋体" w:hint="default"/>
                <w:sz w:val="18"/>
                <w:szCs w:val="18"/>
              </w:rPr>
              <w:t>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both"/>
              <w:rPr>
                <w:rFonts w:ascii="宋体" w:hAnsi="宋体" w:cs="宋体" w:eastAsia="宋体" w:hint="default"/>
                <w:sz w:val="18"/>
                <w:szCs w:val="18"/>
              </w:rPr>
            </w:pPr>
            <w:r>
              <w:rPr>
                <w:rFonts w:ascii="宋体" w:hAnsi="宋体" w:cs="宋体" w:eastAsia="宋体" w:hint="default"/>
                <w:sz w:val="18"/>
                <w:szCs w:val="18"/>
              </w:rPr>
              <w:t>在齐顺杰任公司 高管期间，赵斌 每年可解除限售 的股份为上年末 持有股份总数的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。齐顺杰离 职后，赵斌半年 内不得转让其所 持有的本公司股 份。</w:t>
            </w:r>
          </w:p>
        </w:tc>
      </w:tr>
      <w:tr>
        <w:trPr>
          <w:trHeight w:val="196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69"/>
              <w:jc w:val="left"/>
              <w:rPr>
                <w:rFonts w:ascii="宋体" w:hAnsi="宋体" w:cs="宋体" w:eastAsia="宋体" w:hint="default"/>
                <w:sz w:val="18"/>
                <w:szCs w:val="18"/>
              </w:rPr>
            </w:pPr>
            <w:r>
              <w:rPr>
                <w:rFonts w:ascii="宋体" w:hAnsi="宋体" w:cs="宋体" w:eastAsia="宋体" w:hint="default"/>
                <w:sz w:val="18"/>
                <w:szCs w:val="18"/>
              </w:rPr>
              <w:t>深圳天图股权投 资基金管理企业</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932,082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932,082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1,864,164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向其发行股份购 买中金云网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股权，取得 首发后机构类限 售股，转增后为 </w:t>
            </w:r>
            <w:r>
              <w:rPr>
                <w:rFonts w:ascii="Times New Roman" w:hAnsi="Times New Roman" w:cs="Times New Roman" w:eastAsia="Times New Roman" w:hint="default"/>
                <w:sz w:val="18"/>
                <w:szCs w:val="18"/>
              </w:rPr>
              <w:t>1,864,164 </w:t>
            </w:r>
            <w:r>
              <w:rPr>
                <w:rFonts w:ascii="宋体" w:hAnsi="宋体" w:cs="宋体" w:eastAsia="宋体" w:hint="default"/>
                <w:sz w:val="18"/>
                <w:szCs w:val="18"/>
              </w:rPr>
              <w:t>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拟解除</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1,864,164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258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侯焰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848,625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22,500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826,125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1,652,250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1,652,250 </w:t>
            </w:r>
            <w:r>
              <w:rPr>
                <w:rFonts w:ascii="宋体" w:hAnsi="宋体" w:cs="宋体" w:eastAsia="宋体" w:hint="default"/>
                <w:sz w:val="18"/>
                <w:szCs w:val="18"/>
              </w:rPr>
              <w:t>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48"/>
              <w:jc w:val="both"/>
              <w:rPr>
                <w:rFonts w:ascii="宋体" w:hAnsi="宋体" w:cs="宋体" w:eastAsia="宋体" w:hint="default"/>
                <w:sz w:val="18"/>
                <w:szCs w:val="18"/>
              </w:rPr>
            </w:pPr>
            <w:r>
              <w:rPr>
                <w:rFonts w:ascii="宋体" w:hAnsi="宋体" w:cs="宋体" w:eastAsia="宋体" w:hint="default"/>
                <w:sz w:val="18"/>
                <w:szCs w:val="18"/>
              </w:rPr>
              <w:t>在其任公司高管 期间，每年按照 上年末持有股份 总数的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 限售。离职后半 年内不得转让其 所持有的本公司 股份。</w:t>
            </w:r>
          </w:p>
        </w:tc>
      </w:tr>
      <w:tr>
        <w:trPr>
          <w:trHeight w:val="2588"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高宏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848,550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212,138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636,412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1,272,824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1,272,824 </w:t>
            </w:r>
            <w:r>
              <w:rPr>
                <w:rFonts w:ascii="宋体" w:hAnsi="宋体" w:cs="宋体" w:eastAsia="宋体" w:hint="default"/>
                <w:sz w:val="18"/>
                <w:szCs w:val="18"/>
              </w:rPr>
              <w:t>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48"/>
              <w:jc w:val="both"/>
              <w:rPr>
                <w:rFonts w:ascii="宋体" w:hAnsi="宋体" w:cs="宋体" w:eastAsia="宋体" w:hint="default"/>
                <w:sz w:val="18"/>
                <w:szCs w:val="18"/>
              </w:rPr>
            </w:pPr>
            <w:r>
              <w:rPr>
                <w:rFonts w:ascii="宋体" w:hAnsi="宋体" w:cs="宋体" w:eastAsia="宋体" w:hint="default"/>
                <w:sz w:val="18"/>
                <w:szCs w:val="18"/>
              </w:rPr>
              <w:t>在其任公司高管 期间，每年按照 上年末持有股份 总数的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 限售。离职后半 年内不得转让其 所持有的本公司 股份。</w:t>
            </w: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837,375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209,344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628,031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1,256,062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在其任公司监事</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4"/>
        <w:gridCol w:w="1369"/>
        <w:gridCol w:w="1368"/>
        <w:gridCol w:w="1371"/>
        <w:gridCol w:w="1368"/>
        <w:gridCol w:w="1371"/>
        <w:gridCol w:w="1361"/>
      </w:tblGrid>
      <w:tr>
        <w:trPr>
          <w:trHeight w:val="2235" w:hRule="exact"/>
        </w:trPr>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1,256,062 </w:t>
            </w:r>
            <w:r>
              <w:rPr>
                <w:rFonts w:ascii="宋体" w:hAnsi="宋体" w:cs="宋体" w:eastAsia="宋体" w:hint="default"/>
                <w:sz w:val="18"/>
                <w:szCs w:val="18"/>
              </w:rPr>
              <w:t>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48"/>
              <w:jc w:val="both"/>
              <w:rPr>
                <w:rFonts w:ascii="宋体" w:hAnsi="宋体" w:cs="宋体" w:eastAsia="宋体" w:hint="default"/>
                <w:sz w:val="18"/>
                <w:szCs w:val="18"/>
              </w:rPr>
            </w:pPr>
            <w:r>
              <w:rPr>
                <w:rFonts w:ascii="宋体" w:hAnsi="宋体" w:cs="宋体" w:eastAsia="宋体" w:hint="default"/>
                <w:sz w:val="18"/>
                <w:szCs w:val="18"/>
              </w:rPr>
              <w:t>期间，每年按照 上年末持有股份 总数的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 限售。离职后半 年内不得转让其 所持有的本公司 股份。</w:t>
            </w:r>
          </w:p>
        </w:tc>
      </w:tr>
      <w:tr>
        <w:trPr>
          <w:trHeight w:val="102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杨俊杰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828,519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1,657,038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828,519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5"/>
              <w:jc w:val="left"/>
              <w:rPr>
                <w:rFonts w:ascii="宋体" w:hAnsi="宋体" w:cs="宋体" w:eastAsia="宋体" w:hint="default"/>
                <w:sz w:val="18"/>
                <w:szCs w:val="18"/>
              </w:rPr>
            </w:pPr>
            <w:r>
              <w:rPr>
                <w:rFonts w:ascii="宋体" w:hAnsi="宋体" w:cs="宋体" w:eastAsia="宋体" w:hint="default"/>
                <w:sz w:val="18"/>
                <w:szCs w:val="18"/>
              </w:rPr>
              <w:t>截至本报告期 末，该股东无限 售股份。</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588"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袁丁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19"/>
              <w:jc w:val="right"/>
              <w:rPr>
                <w:rFonts w:ascii="Times New Roman" w:hAnsi="Times New Roman" w:cs="Times New Roman" w:eastAsia="Times New Roman" w:hint="default"/>
                <w:sz w:val="18"/>
                <w:szCs w:val="18"/>
              </w:rPr>
            </w:pPr>
            <w:r>
              <w:rPr>
                <w:rFonts w:ascii="Times New Roman"/>
                <w:spacing w:val="-1"/>
                <w:sz w:val="18"/>
              </w:rPr>
              <w:t>754,875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18"/>
              <w:jc w:val="right"/>
              <w:rPr>
                <w:rFonts w:ascii="Times New Roman" w:hAnsi="Times New Roman" w:cs="Times New Roman" w:eastAsia="Times New Roman" w:hint="default"/>
                <w:sz w:val="18"/>
                <w:szCs w:val="18"/>
              </w:rPr>
            </w:pPr>
            <w:r>
              <w:rPr>
                <w:rFonts w:ascii="Times New Roman"/>
                <w:spacing w:val="-1"/>
                <w:sz w:val="18"/>
              </w:rPr>
              <w:t>42,375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21"/>
              <w:jc w:val="right"/>
              <w:rPr>
                <w:rFonts w:ascii="Times New Roman" w:hAnsi="Times New Roman" w:cs="Times New Roman" w:eastAsia="Times New Roman" w:hint="default"/>
                <w:sz w:val="18"/>
                <w:szCs w:val="18"/>
              </w:rPr>
            </w:pPr>
            <w:r>
              <w:rPr>
                <w:rFonts w:ascii="Times New Roman"/>
                <w:spacing w:val="-1"/>
                <w:sz w:val="18"/>
              </w:rPr>
              <w:t>712,500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19"/>
              <w:jc w:val="right"/>
              <w:rPr>
                <w:rFonts w:ascii="Times New Roman" w:hAnsi="Times New Roman" w:cs="Times New Roman" w:eastAsia="Times New Roman" w:hint="default"/>
                <w:sz w:val="18"/>
                <w:szCs w:val="18"/>
              </w:rPr>
            </w:pPr>
            <w:r>
              <w:rPr>
                <w:rFonts w:ascii="Times New Roman"/>
                <w:spacing w:val="-1"/>
                <w:sz w:val="18"/>
              </w:rPr>
              <w:t>1,425,000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1,425,000 </w:t>
            </w:r>
            <w:r>
              <w:rPr>
                <w:rFonts w:ascii="宋体" w:hAnsi="宋体" w:cs="宋体" w:eastAsia="宋体" w:hint="default"/>
                <w:sz w:val="18"/>
                <w:szCs w:val="18"/>
              </w:rPr>
              <w:t>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48"/>
              <w:jc w:val="both"/>
              <w:rPr>
                <w:rFonts w:ascii="宋体" w:hAnsi="宋体" w:cs="宋体" w:eastAsia="宋体" w:hint="default"/>
                <w:sz w:val="18"/>
                <w:szCs w:val="18"/>
              </w:rPr>
            </w:pPr>
            <w:r>
              <w:rPr>
                <w:rFonts w:ascii="宋体" w:hAnsi="宋体" w:cs="宋体" w:eastAsia="宋体" w:hint="default"/>
                <w:sz w:val="18"/>
                <w:szCs w:val="18"/>
              </w:rPr>
              <w:t>在其任公司董事 期间，每年按照 上年末持有股份 总数的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 限售。离职后半 年内不得转让其 所持有的本公司 股份。</w:t>
            </w:r>
          </w:p>
        </w:tc>
      </w:tr>
      <w:tr>
        <w:trPr>
          <w:trHeight w:val="196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09" w:lineRule="auto"/>
              <w:ind w:left="24" w:right="69"/>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北京利扬盛达投 资管理中心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限合伙</w:t>
            </w:r>
            <w:r>
              <w:rPr>
                <w:rFonts w:ascii="Times New Roman" w:hAnsi="Times New Roman" w:cs="Times New Roman" w:eastAsia="Times New Roman"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463,969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463,969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927,938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向其发行股份购 买中金云网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股权，取得 首发后机构类限 售股，转增后为 </w:t>
            </w:r>
            <w:r>
              <w:rPr>
                <w:rFonts w:ascii="Times New Roman" w:hAnsi="Times New Roman" w:cs="Times New Roman" w:eastAsia="Times New Roman" w:hint="default"/>
                <w:sz w:val="18"/>
                <w:szCs w:val="18"/>
              </w:rPr>
              <w:t>927,938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拟解除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927,938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2276"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陈静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372,833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372,833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372,833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372,833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向其发行股份购 买中金云网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股权，转增 股份及第一期股 份解锁后剩余首 发后个人类限售 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372,833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00"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拟解除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223,699 </w:t>
            </w:r>
            <w:r>
              <w:rPr>
                <w:rFonts w:ascii="宋体" w:hAnsi="宋体" w:cs="宋体" w:eastAsia="宋体" w:hint="default"/>
                <w:sz w:val="18"/>
                <w:szCs w:val="18"/>
              </w:rPr>
              <w:t>股；</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日拟解除</w:t>
            </w:r>
          </w:p>
          <w:p>
            <w:pPr>
              <w:pStyle w:val="TableParagraph"/>
              <w:spacing w:line="240" w:lineRule="auto" w:before="1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149,134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227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申海山</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331,407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331,407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331,407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331,407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向其发行股份购 买中金云网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股权，转增 股份及第一期股 份解锁后剩余首 发后个人类限售 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331,407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00"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拟解除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198,844 </w:t>
            </w:r>
            <w:r>
              <w:rPr>
                <w:rFonts w:ascii="宋体" w:hAnsi="宋体" w:cs="宋体" w:eastAsia="宋体" w:hint="default"/>
                <w:sz w:val="18"/>
                <w:szCs w:val="18"/>
              </w:rPr>
              <w:t>股；</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日拟解除</w:t>
            </w:r>
          </w:p>
          <w:p>
            <w:pPr>
              <w:pStyle w:val="TableParagraph"/>
              <w:spacing w:line="240" w:lineRule="auto" w:before="1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132,563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299"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唐征卫</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19"/>
              <w:jc w:val="right"/>
              <w:rPr>
                <w:rFonts w:ascii="Times New Roman" w:hAnsi="Times New Roman" w:cs="Times New Roman" w:eastAsia="Times New Roman" w:hint="default"/>
                <w:sz w:val="18"/>
                <w:szCs w:val="18"/>
              </w:rPr>
            </w:pPr>
            <w:r>
              <w:rPr>
                <w:rFonts w:ascii="Times New Roman"/>
                <w:spacing w:val="-1"/>
                <w:sz w:val="18"/>
              </w:rPr>
              <w:t>331,407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19"/>
              <w:jc w:val="right"/>
              <w:rPr>
                <w:rFonts w:ascii="Times New Roman" w:hAnsi="Times New Roman" w:cs="Times New Roman" w:eastAsia="Times New Roman" w:hint="default"/>
                <w:sz w:val="18"/>
                <w:szCs w:val="18"/>
              </w:rPr>
            </w:pPr>
            <w:r>
              <w:rPr>
                <w:rFonts w:ascii="Times New Roman"/>
                <w:spacing w:val="-1"/>
                <w:sz w:val="18"/>
              </w:rPr>
              <w:t>331,407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pacing w:val="-1"/>
                <w:sz w:val="18"/>
              </w:rPr>
              <w:t>331,407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19"/>
              <w:jc w:val="right"/>
              <w:rPr>
                <w:rFonts w:ascii="Times New Roman" w:hAnsi="Times New Roman" w:cs="Times New Roman" w:eastAsia="Times New Roman" w:hint="default"/>
                <w:sz w:val="18"/>
                <w:szCs w:val="18"/>
              </w:rPr>
            </w:pPr>
            <w:r>
              <w:rPr>
                <w:rFonts w:ascii="Times New Roman"/>
                <w:spacing w:val="-1"/>
                <w:sz w:val="18"/>
              </w:rPr>
              <w:t>331,407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向其发行股份购 买中金云网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股权，转增 股份及第一期股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00"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拟解除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198,844 </w:t>
            </w:r>
            <w:r>
              <w:rPr>
                <w:rFonts w:ascii="宋体" w:hAnsi="宋体" w:cs="宋体" w:eastAsia="宋体" w:hint="default"/>
                <w:sz w:val="18"/>
                <w:szCs w:val="18"/>
              </w:rPr>
              <w:t>股；</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日拟解除</w:t>
            </w:r>
          </w:p>
        </w:tc>
      </w:tr>
    </w:tbl>
    <w:p>
      <w:pPr>
        <w:spacing w:after="0" w:line="30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4"/>
        <w:gridCol w:w="1369"/>
        <w:gridCol w:w="1368"/>
        <w:gridCol w:w="1371"/>
        <w:gridCol w:w="1368"/>
        <w:gridCol w:w="1371"/>
        <w:gridCol w:w="1361"/>
      </w:tblGrid>
      <w:tr>
        <w:trPr>
          <w:trHeight w:val="987" w:hRule="exact"/>
        </w:trPr>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75"/>
              <w:jc w:val="both"/>
              <w:rPr>
                <w:rFonts w:ascii="宋体" w:hAnsi="宋体" w:cs="宋体" w:eastAsia="宋体" w:hint="default"/>
                <w:sz w:val="18"/>
                <w:szCs w:val="18"/>
              </w:rPr>
            </w:pPr>
            <w:r>
              <w:rPr>
                <w:rFonts w:ascii="宋体" w:hAnsi="宋体" w:cs="宋体" w:eastAsia="宋体" w:hint="default"/>
                <w:sz w:val="18"/>
                <w:szCs w:val="18"/>
              </w:rPr>
              <w:t>份解锁后剩余首 发后个人类限售 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331,407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132,563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414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郑善伟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331,407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331,407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497,110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497,110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2" w:lineRule="auto"/>
              <w:ind w:left="23" w:right="20"/>
              <w:jc w:val="left"/>
              <w:rPr>
                <w:rFonts w:ascii="宋体" w:hAnsi="宋体" w:cs="宋体" w:eastAsia="宋体" w:hint="default"/>
                <w:sz w:val="18"/>
                <w:szCs w:val="18"/>
              </w:rPr>
            </w:pPr>
            <w:r>
              <w:rPr>
                <w:rFonts w:ascii="宋体" w:hAnsi="宋体" w:cs="宋体" w:eastAsia="宋体" w:hint="default"/>
                <w:sz w:val="18"/>
                <w:szCs w:val="18"/>
              </w:rPr>
              <w:t>向其发行股份购 买中金云网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股权，转增 股份及第一期股 份解锁后剩余首 发后个人类限售 股</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331,407</w:t>
            </w:r>
            <w:r>
              <w:rPr>
                <w:rFonts w:ascii="Times New Roman" w:hAnsi="Times New Roman" w:cs="Times New Roman" w:eastAsia="Times New Roman" w:hint="default"/>
                <w:spacing w:val="4"/>
                <w:sz w:val="18"/>
                <w:szCs w:val="18"/>
              </w:rPr>
              <w:t> </w:t>
            </w:r>
            <w:r>
              <w:rPr>
                <w:rFonts w:ascii="宋体" w:hAnsi="宋体" w:cs="宋体" w:eastAsia="宋体" w:hint="default"/>
                <w:spacing w:val="-28"/>
                <w:sz w:val="18"/>
                <w:szCs w:val="18"/>
              </w:rPr>
              <w:t>股；高</w:t>
            </w:r>
            <w:r>
              <w:rPr>
                <w:rFonts w:ascii="宋体" w:hAnsi="宋体" w:cs="宋体" w:eastAsia="宋体" w:hint="default"/>
                <w:sz w:val="18"/>
                <w:szCs w:val="18"/>
              </w:rPr>
              <w:t> 管锁定股</w:t>
            </w:r>
          </w:p>
          <w:p>
            <w:pPr>
              <w:pStyle w:val="TableParagraph"/>
              <w:spacing w:line="240" w:lineRule="auto" w:before="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165,703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00"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拟解除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198,844 </w:t>
            </w:r>
            <w:r>
              <w:rPr>
                <w:rFonts w:ascii="宋体" w:hAnsi="宋体" w:cs="宋体" w:eastAsia="宋体" w:hint="default"/>
                <w:sz w:val="18"/>
                <w:szCs w:val="18"/>
              </w:rPr>
              <w:t>股；</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日拟解除</w:t>
            </w:r>
          </w:p>
          <w:p>
            <w:pPr>
              <w:pStyle w:val="TableParagraph"/>
              <w:spacing w:line="314" w:lineRule="auto" w:before="13"/>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132,563</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股。同时</w:t>
            </w:r>
            <w:r>
              <w:rPr>
                <w:rFonts w:ascii="宋体" w:hAnsi="宋体" w:cs="宋体" w:eastAsia="宋体" w:hint="default"/>
                <w:sz w:val="18"/>
                <w:szCs w:val="18"/>
              </w:rPr>
              <w:t> 在其任公司董事 期间，每年转让 的股份不得超过 其所持本公司股 份总数的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 离职后半年内不 得转让其所持有 的本公司股份。</w:t>
            </w:r>
          </w:p>
        </w:tc>
      </w:tr>
      <w:tr>
        <w:trPr>
          <w:trHeight w:val="2900"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许小平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331,407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331,407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331,407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331,407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向其发行股份购 买中金云网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股权，转增 股份及第一期股 份解锁后剩余首 发后个人类限售 股</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331,407</w:t>
            </w:r>
            <w:r>
              <w:rPr>
                <w:rFonts w:ascii="Times New Roman" w:hAnsi="Times New Roman" w:cs="Times New Roman" w:eastAsia="Times New Roman" w:hint="default"/>
                <w:spacing w:val="4"/>
                <w:sz w:val="18"/>
                <w:szCs w:val="18"/>
              </w:rPr>
              <w:t> </w:t>
            </w:r>
            <w:r>
              <w:rPr>
                <w:rFonts w:ascii="宋体" w:hAnsi="宋体" w:cs="宋体" w:eastAsia="宋体" w:hint="default"/>
                <w:spacing w:val="-28"/>
                <w:sz w:val="18"/>
                <w:szCs w:val="18"/>
              </w:rPr>
              <w:t>股；高</w:t>
            </w:r>
            <w:r>
              <w:rPr>
                <w:rFonts w:ascii="宋体" w:hAnsi="宋体" w:cs="宋体" w:eastAsia="宋体" w:hint="default"/>
                <w:sz w:val="18"/>
                <w:szCs w:val="18"/>
              </w:rPr>
              <w:t> 管锁定股</w:t>
            </w:r>
          </w:p>
          <w:p>
            <w:pPr>
              <w:pStyle w:val="TableParagraph"/>
              <w:spacing w:line="240" w:lineRule="auto" w:before="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165,703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00"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拟解除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198,844 </w:t>
            </w:r>
            <w:r>
              <w:rPr>
                <w:rFonts w:ascii="宋体" w:hAnsi="宋体" w:cs="宋体" w:eastAsia="宋体" w:hint="default"/>
                <w:sz w:val="18"/>
                <w:szCs w:val="18"/>
              </w:rPr>
              <w:t>股；</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日拟解除</w:t>
            </w:r>
          </w:p>
          <w:p>
            <w:pPr>
              <w:pStyle w:val="TableParagraph"/>
              <w:spacing w:line="240" w:lineRule="auto" w:before="1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132,563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3209"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8"/>
              <w:jc w:val="both"/>
              <w:rPr>
                <w:rFonts w:ascii="宋体" w:hAnsi="宋体" w:cs="宋体" w:eastAsia="宋体" w:hint="default"/>
                <w:sz w:val="18"/>
                <w:szCs w:val="18"/>
              </w:rPr>
            </w:pPr>
            <w:r>
              <w:rPr>
                <w:rFonts w:ascii="宋体" w:hAnsi="宋体" w:cs="宋体" w:eastAsia="宋体" w:hint="default"/>
                <w:sz w:val="18"/>
                <w:szCs w:val="18"/>
              </w:rPr>
              <w:t>在耿殿根任公司 董事长期间，王 路每年可解除限 售的股份为上年 末持有股份总数 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。耿殿根 离职后，王路半 年内不得转让其 所持有的本公司 股份。</w:t>
            </w:r>
          </w:p>
        </w:tc>
      </w:tr>
      <w:tr>
        <w:trPr>
          <w:trHeight w:val="2588"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庞宝光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2"/>
                <w:sz w:val="18"/>
              </w:rPr>
              <w:t>114,000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2"/>
                <w:sz w:val="18"/>
              </w:rPr>
              <w:t>114,000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228,000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48"/>
              <w:jc w:val="both"/>
              <w:rPr>
                <w:rFonts w:ascii="宋体" w:hAnsi="宋体" w:cs="宋体" w:eastAsia="宋体" w:hint="default"/>
                <w:sz w:val="18"/>
                <w:szCs w:val="18"/>
              </w:rPr>
            </w:pPr>
            <w:r>
              <w:rPr>
                <w:rFonts w:ascii="宋体" w:hAnsi="宋体" w:cs="宋体" w:eastAsia="宋体" w:hint="default"/>
                <w:sz w:val="18"/>
                <w:szCs w:val="18"/>
              </w:rPr>
              <w:t>在其任公司监事 期间，每年按照 上年末持有股份 总数的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 限售。离职后半 年内不得转让其 所持有的本公司 股份。</w:t>
            </w:r>
          </w:p>
        </w:tc>
      </w:tr>
    </w:tbl>
    <w:p>
      <w:pPr>
        <w:spacing w:after="0" w:line="314"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68"/>
        <w:gridCol w:w="1371"/>
        <w:gridCol w:w="1369"/>
        <w:gridCol w:w="1370"/>
        <w:gridCol w:w="1361"/>
      </w:tblGrid>
      <w:tr>
        <w:trPr>
          <w:trHeight w:val="40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371,352,426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398,269,553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108,236,576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81,319,449</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0"/>
        <w:jc w:val="both"/>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513" w:right="14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宋体" w:hAnsi="宋体" w:cs="宋体" w:eastAsia="宋体" w:hint="default"/>
        </w:rPr>
        <w:t>1</w:t>
      </w:r>
      <w:r>
        <w:rPr/>
        <w:t>、公司</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10</w:t>
      </w:r>
      <w:r>
        <w:rPr/>
        <w:t>日与亚马逊通技术服务（北京）有限公司签署了《分期资产出售主协议》，拟向亚马逊通购买不</w:t>
      </w:r>
    </w:p>
    <w:p>
      <w:pPr>
        <w:pStyle w:val="BodyText"/>
        <w:spacing w:line="316" w:lineRule="auto" w:before="1"/>
        <w:ind w:right="151"/>
        <w:jc w:val="both"/>
      </w:pPr>
      <w:r>
        <w:rPr>
          <w:spacing w:val="-2"/>
        </w:rPr>
        <w:t>超过</w:t>
      </w:r>
      <w:r>
        <w:rPr>
          <w:rFonts w:ascii="宋体" w:hAnsi="宋体" w:cs="宋体" w:eastAsia="宋体" w:hint="default"/>
          <w:spacing w:val="-2"/>
        </w:rPr>
        <w:t>20</w:t>
      </w:r>
      <w:r>
        <w:rPr>
          <w:spacing w:val="-2"/>
        </w:rPr>
        <w:t>亿元的基于亚马逊云技术的云服务相关的特定经营性资产。</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29</w:t>
      </w:r>
      <w:r>
        <w:rPr>
          <w:spacing w:val="-2"/>
        </w:rPr>
        <w:t>日亚马逊出具了购买确认函，公司向亚马逊</w:t>
      </w:r>
      <w:r>
        <w:rPr>
          <w:spacing w:val="-59"/>
        </w:rPr>
        <w:t> </w:t>
      </w:r>
      <w:r>
        <w:rPr>
          <w:spacing w:val="-59"/>
        </w:rPr>
      </w:r>
      <w:r>
        <w:rPr/>
        <w:t>通技术服务（北京）有限公司已购买设备不含税金额</w:t>
      </w:r>
      <w:r>
        <w:rPr>
          <w:rFonts w:ascii="宋体" w:hAnsi="宋体" w:cs="宋体" w:eastAsia="宋体" w:hint="default"/>
        </w:rPr>
        <w:t>845,834,318.98</w:t>
      </w:r>
      <w:r>
        <w:rPr/>
        <w:t>元。资产和负债重大变化详见“第四节</w:t>
      </w:r>
      <w:r>
        <w:rPr>
          <w:spacing w:val="-1"/>
        </w:rPr>
        <w:t> </w:t>
      </w:r>
      <w:r>
        <w:rPr/>
        <w:t>经营情况讨论</w:t>
      </w:r>
      <w:r>
        <w:rPr/>
        <w:t> 与分析</w:t>
      </w:r>
      <w:r>
        <w:rPr>
          <w:spacing w:val="-2"/>
        </w:rPr>
        <w:t> </w:t>
      </w:r>
      <w:r>
        <w:rPr/>
        <w:t>四、</w:t>
      </w:r>
      <w:r>
        <w:rPr>
          <w:rFonts w:ascii="宋体" w:hAnsi="宋体" w:cs="宋体" w:eastAsia="宋体" w:hint="default"/>
        </w:rPr>
        <w:t>1</w:t>
      </w:r>
      <w:r>
        <w:rPr/>
        <w:t>、资产构成重大变化情况”。</w:t>
      </w:r>
    </w:p>
    <w:p>
      <w:pPr>
        <w:pStyle w:val="BodyText"/>
        <w:spacing w:line="316" w:lineRule="auto" w:before="19"/>
        <w:ind w:right="0" w:firstLine="360"/>
        <w:jc w:val="left"/>
      </w:pPr>
      <w:r>
        <w:rPr>
          <w:rFonts w:ascii="宋体" w:hAnsi="宋体" w:cs="宋体" w:eastAsia="宋体" w:hint="default"/>
          <w:spacing w:val="-4"/>
        </w:rPr>
        <w:t>2</w:t>
      </w:r>
      <w:r>
        <w:rPr>
          <w:spacing w:val="-4"/>
        </w:rPr>
        <w:t>、根据公司</w:t>
      </w:r>
      <w:r>
        <w:rPr>
          <w:rFonts w:ascii="宋体" w:hAnsi="宋体" w:cs="宋体" w:eastAsia="宋体" w:hint="default"/>
          <w:spacing w:val="-4"/>
        </w:rPr>
        <w:t>2016</w:t>
      </w:r>
      <w:r>
        <w:rPr>
          <w:spacing w:val="-4"/>
        </w:rPr>
        <w:t>年度股东大会审议通过的《关于公司</w:t>
      </w:r>
      <w:r>
        <w:rPr>
          <w:rFonts w:ascii="宋体" w:hAnsi="宋体" w:cs="宋体" w:eastAsia="宋体" w:hint="default"/>
          <w:spacing w:val="-4"/>
        </w:rPr>
        <w:t>2016</w:t>
      </w:r>
      <w:r>
        <w:rPr>
          <w:spacing w:val="-4"/>
        </w:rPr>
        <w:t>年度利润分配及资本公积转增股本方案的议案》，以截至</w:t>
      </w:r>
      <w:r>
        <w:rPr>
          <w:rFonts w:ascii="宋体" w:hAnsi="宋体" w:cs="宋体" w:eastAsia="宋体" w:hint="default"/>
          <w:spacing w:val="-4"/>
        </w:rPr>
        <w:t>2016</w:t>
      </w:r>
      <w:r>
        <w:rPr>
          <w:rFonts w:ascii="宋体" w:hAnsi="宋体" w:cs="宋体" w:eastAsia="宋体" w:hint="default"/>
        </w:rPr>
        <w:t> </w:t>
      </w:r>
      <w:r>
        <w:rPr/>
        <w:t>年</w:t>
      </w:r>
      <w:r>
        <w:rPr>
          <w:rFonts w:ascii="宋体" w:hAnsi="宋体" w:cs="宋体" w:eastAsia="宋体" w:hint="default"/>
        </w:rPr>
        <w:t>12</w:t>
      </w:r>
      <w:r>
        <w:rPr/>
        <w:t>月</w:t>
      </w:r>
      <w:r>
        <w:rPr>
          <w:rFonts w:ascii="宋体" w:hAnsi="宋体" w:cs="宋体" w:eastAsia="宋体" w:hint="default"/>
        </w:rPr>
        <w:t>31</w:t>
      </w:r>
      <w:r>
        <w:rPr/>
        <w:t>日公司总股本</w:t>
      </w:r>
      <w:r>
        <w:rPr>
          <w:rFonts w:ascii="宋体" w:hAnsi="宋体" w:cs="宋体" w:eastAsia="宋体" w:hint="default"/>
        </w:rPr>
        <w:t>723,175,694</w:t>
      </w:r>
      <w:r>
        <w:rPr/>
        <w:t>股为基数，向全体股东每</w:t>
      </w:r>
      <w:r>
        <w:rPr>
          <w:rFonts w:ascii="宋体" w:hAnsi="宋体" w:cs="宋体" w:eastAsia="宋体" w:hint="default"/>
        </w:rPr>
        <w:t>10</w:t>
      </w:r>
      <w:r>
        <w:rPr/>
        <w:t>股派发现金红利</w:t>
      </w:r>
      <w:r>
        <w:rPr>
          <w:rFonts w:ascii="宋体" w:hAnsi="宋体" w:cs="宋体" w:eastAsia="宋体" w:hint="default"/>
        </w:rPr>
        <w:t>1.00</w:t>
      </w:r>
      <w:r>
        <w:rPr/>
        <w:t>元人民币</w:t>
      </w:r>
      <w:r>
        <w:rPr>
          <w:rFonts w:ascii="宋体" w:hAnsi="宋体" w:cs="宋体" w:eastAsia="宋体" w:hint="default"/>
        </w:rPr>
        <w:t>(</w:t>
      </w:r>
      <w:r>
        <w:rPr/>
        <w:t>含税</w:t>
      </w:r>
      <w:r>
        <w:rPr>
          <w:rFonts w:ascii="宋体" w:hAnsi="宋体" w:cs="宋体" w:eastAsia="宋体" w:hint="default"/>
        </w:rPr>
        <w:t>),</w:t>
      </w:r>
      <w:r>
        <w:rPr>
          <w:rFonts w:ascii="宋体" w:hAnsi="宋体" w:cs="宋体" w:eastAsia="宋体" w:hint="default"/>
          <w:spacing w:val="-2"/>
        </w:rPr>
        <w:t> </w:t>
      </w:r>
      <w:r>
        <w:rPr/>
        <w:t>合计派发现金股利 </w:t>
      </w:r>
      <w:r>
        <w:rPr>
          <w:rFonts w:ascii="宋体" w:hAnsi="宋体" w:cs="宋体" w:eastAsia="宋体" w:hint="default"/>
        </w:rPr>
        <w:t>72,317,569.40</w:t>
      </w:r>
      <w:r>
        <w:rPr/>
        <w:t>元（含税）；同时进行资本公积转增股本，以公司总股本</w:t>
      </w:r>
      <w:r>
        <w:rPr>
          <w:rFonts w:ascii="宋体" w:hAnsi="宋体" w:cs="宋体" w:eastAsia="宋体" w:hint="default"/>
        </w:rPr>
        <w:t>723,175,694</w:t>
      </w:r>
      <w:r>
        <w:rPr/>
        <w:t>股为基数，向全体股东每</w:t>
      </w:r>
      <w:r>
        <w:rPr>
          <w:rFonts w:ascii="宋体" w:hAnsi="宋体" w:cs="宋体" w:eastAsia="宋体" w:hint="default"/>
        </w:rPr>
        <w:t>10</w:t>
      </w:r>
      <w:r>
        <w:rPr/>
        <w:t>股转增</w:t>
      </w:r>
      <w:r>
        <w:rPr>
          <w:rFonts w:ascii="宋体" w:hAnsi="宋体" w:cs="宋体" w:eastAsia="宋体" w:hint="default"/>
        </w:rPr>
        <w:t>10</w:t>
      </w:r>
      <w:r>
        <w:rPr>
          <w:rFonts w:ascii="宋体" w:hAnsi="宋体" w:cs="宋体" w:eastAsia="宋体" w:hint="default"/>
          <w:spacing w:val="-2"/>
        </w:rPr>
        <w:t> </w:t>
      </w:r>
      <w:r>
        <w:rPr/>
        <w:t>股，转增后公司总股本增加至</w:t>
      </w:r>
      <w:r>
        <w:rPr>
          <w:rFonts w:ascii="宋体" w:hAnsi="宋体" w:cs="宋体" w:eastAsia="宋体" w:hint="default"/>
        </w:rPr>
        <w:t>1,446,351,388</w:t>
      </w:r>
      <w:r>
        <w:rPr/>
        <w:t>股。上述利润分配及资本公积转增股本方案已于</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28</w:t>
      </w:r>
      <w:r>
        <w:rPr/>
        <w:t>日实施完毕。</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pict>
          <v:shape style="position:absolute;margin-left:449.22699pt;margin-top:68.501724pt;width:85.75pt;height:31.2pt;mso-position-horizontal-relative:page;mso-position-vertical-relative:paragraph;z-index:-1815088" type="#_x0000_t202" filled="false" stroked="false">
            <v:textbox inset="0,0,0,0">
              <w:txbxContent>
                <w:p>
                  <w:pPr>
                    <w:pStyle w:val="BodyText"/>
                    <w:spacing w:line="203" w:lineRule="exact"/>
                    <w:ind w:left="0" w:right="0"/>
                    <w:jc w:val="left"/>
                  </w:pPr>
                  <w:r>
                    <w:rPr/>
                    <w:t>（如有）</w:t>
                  </w:r>
                </w:p>
              </w:txbxContent>
            </v:textbox>
            <w10:wrap type="none"/>
          </v:shape>
        </w:pict>
      </w:r>
      <w:r>
        <w:rPr/>
        <w:pict>
          <v:group style="position:absolute;margin-left:482.5pt;margin-top:68.501724pt;width:52.45pt;height:31.2pt;mso-position-horizontal-relative:page;mso-position-vertical-relative:paragraph;z-index:-1815064" coordorigin="9650,1370" coordsize="1049,624">
            <v:shape style="position:absolute;left:9650;top:1370;width:1049;height:624" coordorigin="9650,1370" coordsize="1049,624" path="m9650,1994l10699,1994,10699,1370,9650,1370,9650,1994xe" filled="true" fillcolor="#ffffff" stroked="false">
              <v:path arrowok="t"/>
              <v:fill type="solid"/>
            </v:shape>
            <w10:wrap type="none"/>
          </v:group>
        </w:pict>
      </w:r>
      <w:r>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12"/>
        <w:gridCol w:w="145"/>
        <w:gridCol w:w="674"/>
        <w:gridCol w:w="737"/>
        <w:gridCol w:w="744"/>
        <w:gridCol w:w="830"/>
        <w:gridCol w:w="346"/>
        <w:gridCol w:w="444"/>
        <w:gridCol w:w="823"/>
        <w:gridCol w:w="802"/>
        <w:gridCol w:w="322"/>
        <w:gridCol w:w="1028"/>
        <w:gridCol w:w="280"/>
        <w:gridCol w:w="512"/>
        <w:gridCol w:w="557"/>
      </w:tblGrid>
      <w:tr>
        <w:trPr>
          <w:trHeight w:val="161" w:hRule="exact"/>
        </w:trPr>
        <w:tc>
          <w:tcPr>
            <w:tcW w:w="1312" w:type="dxa"/>
            <w:vMerge w:val="restart"/>
            <w:tcBorders>
              <w:top w:val="single" w:sz="4" w:space="0" w:color="000000"/>
              <w:left w:val="single" w:sz="4" w:space="0" w:color="000000"/>
              <w:right w:val="single" w:sz="4" w:space="0" w:color="000000"/>
            </w:tcBorders>
            <w:shd w:val="clear" w:color="auto" w:fill="D2D2D2"/>
          </w:tcPr>
          <w:p>
            <w:pPr/>
          </w:p>
        </w:tc>
        <w:tc>
          <w:tcPr>
            <w:tcW w:w="820" w:type="dxa"/>
            <w:gridSpan w:val="2"/>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65,979</w:t>
            </w:r>
          </w:p>
        </w:tc>
        <w:tc>
          <w:tcPr>
            <w:tcW w:w="1481" w:type="dxa"/>
            <w:gridSpan w:val="2"/>
            <w:vMerge w:val="restart"/>
            <w:tcBorders>
              <w:top w:val="single" w:sz="4" w:space="0" w:color="000000"/>
              <w:left w:val="single" w:sz="4" w:space="0" w:color="000000"/>
              <w:right w:val="single" w:sz="4" w:space="0" w:color="000000"/>
            </w:tcBorders>
            <w:shd w:val="clear" w:color="auto" w:fill="D2D2D2"/>
          </w:tcPr>
          <w:p>
            <w:pPr/>
          </w:p>
        </w:tc>
        <w:tc>
          <w:tcPr>
            <w:tcW w:w="1176" w:type="dxa"/>
            <w:gridSpan w:val="2"/>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31" w:right="0"/>
              <w:jc w:val="left"/>
              <w:rPr>
                <w:rFonts w:ascii="Times New Roman" w:hAnsi="Times New Roman" w:cs="Times New Roman" w:eastAsia="Times New Roman" w:hint="default"/>
                <w:sz w:val="18"/>
                <w:szCs w:val="18"/>
              </w:rPr>
            </w:pPr>
            <w:r>
              <w:rPr>
                <w:rFonts w:ascii="Times New Roman"/>
                <w:sz w:val="18"/>
              </w:rPr>
              <w:t>66,015</w:t>
            </w:r>
          </w:p>
        </w:tc>
        <w:tc>
          <w:tcPr>
            <w:tcW w:w="126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4"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0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1" w:right="23"/>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7"/>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2" w:type="dxa"/>
            <w:vMerge w:val="restart"/>
            <w:tcBorders>
              <w:top w:val="single" w:sz="4" w:space="0" w:color="000000"/>
              <w:left w:val="single" w:sz="12" w:space="0" w:color="D2D2D2"/>
              <w:right w:val="nil" w:sz="6" w:space="0" w:color="auto"/>
            </w:tcBorders>
          </w:tcPr>
          <w:p>
            <w:pPr/>
          </w:p>
        </w:tc>
        <w:tc>
          <w:tcPr>
            <w:tcW w:w="557"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12" w:type="dxa"/>
            <w:vMerge/>
            <w:tcBorders>
              <w:left w:val="single" w:sz="4" w:space="0" w:color="000000"/>
              <w:right w:val="single" w:sz="4" w:space="0" w:color="000000"/>
            </w:tcBorders>
            <w:shd w:val="clear" w:color="auto" w:fill="D2D2D2"/>
          </w:tcPr>
          <w:p>
            <w:pPr/>
          </w:p>
        </w:tc>
        <w:tc>
          <w:tcPr>
            <w:tcW w:w="820" w:type="dxa"/>
            <w:gridSpan w:val="2"/>
            <w:vMerge/>
            <w:tcBorders>
              <w:left w:val="single" w:sz="9" w:space="0" w:color="D2D2D2"/>
              <w:right w:val="single" w:sz="10" w:space="0" w:color="D2D2D2"/>
            </w:tcBorders>
          </w:tcPr>
          <w:p>
            <w:pPr/>
          </w:p>
        </w:tc>
        <w:tc>
          <w:tcPr>
            <w:tcW w:w="1481" w:type="dxa"/>
            <w:gridSpan w:val="2"/>
            <w:vMerge/>
            <w:tcBorders>
              <w:left w:val="single" w:sz="4" w:space="0" w:color="000000"/>
              <w:bottom w:val="nil" w:sz="6" w:space="0" w:color="auto"/>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26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11" w:right="-15"/>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7"/>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12" w:type="dxa"/>
            <w:vMerge/>
            <w:tcBorders>
              <w:left w:val="single" w:sz="4" w:space="0" w:color="000000"/>
              <w:bottom w:val="nil" w:sz="6" w:space="0" w:color="auto"/>
              <w:right w:val="single" w:sz="4" w:space="0" w:color="000000"/>
            </w:tcBorders>
            <w:shd w:val="clear" w:color="auto" w:fill="D2D2D2"/>
          </w:tcPr>
          <w:p>
            <w:pPr/>
          </w:p>
        </w:tc>
        <w:tc>
          <w:tcPr>
            <w:tcW w:w="820" w:type="dxa"/>
            <w:gridSpan w:val="2"/>
            <w:vMerge/>
            <w:tcBorders>
              <w:left w:val="single" w:sz="9" w:space="0" w:color="D2D2D2"/>
              <w:right w:val="single" w:sz="10" w:space="0" w:color="D2D2D2"/>
            </w:tcBorders>
          </w:tcPr>
          <w:p>
            <w:pPr/>
          </w:p>
        </w:tc>
        <w:tc>
          <w:tcPr>
            <w:tcW w:w="14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11" w:right="197"/>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6" w:type="dxa"/>
            <w:gridSpan w:val="2"/>
            <w:vMerge/>
            <w:tcBorders>
              <w:left w:val="single" w:sz="10" w:space="0" w:color="D2D2D2"/>
              <w:right w:val="single" w:sz="10" w:space="0" w:color="D2D2D2"/>
            </w:tcBorders>
          </w:tcPr>
          <w:p>
            <w:pPr/>
          </w:p>
        </w:tc>
        <w:tc>
          <w:tcPr>
            <w:tcW w:w="1267" w:type="dxa"/>
            <w:gridSpan w:val="2"/>
            <w:vMerge/>
            <w:tcBorders>
              <w:left w:val="single" w:sz="4" w:space="0" w:color="000000"/>
              <w:right w:val="single" w:sz="4" w:space="0" w:color="000000"/>
            </w:tcBorders>
            <w:shd w:val="clear" w:color="auto" w:fill="D2D2D2"/>
          </w:tcPr>
          <w:p>
            <w:pP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706" w:hRule="exact"/>
        </w:trPr>
        <w:tc>
          <w:tcPr>
            <w:tcW w:w="13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12" w:right="28"/>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20" w:type="dxa"/>
            <w:gridSpan w:val="2"/>
            <w:vMerge/>
            <w:tcBorders>
              <w:left w:val="single" w:sz="9" w:space="0" w:color="D2D2D2"/>
              <w:right w:val="single" w:sz="10" w:space="0" w:color="D2D2D2"/>
            </w:tcBorders>
          </w:tcPr>
          <w:p>
            <w:pPr/>
          </w:p>
        </w:tc>
        <w:tc>
          <w:tcPr>
            <w:tcW w:w="1481" w:type="dxa"/>
            <w:gridSpan w:val="2"/>
            <w:vMerge/>
            <w:tcBorders>
              <w:left w:val="single" w:sz="4" w:space="0" w:color="000000"/>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267" w:type="dxa"/>
            <w:gridSpan w:val="2"/>
            <w:vMerge/>
            <w:tcBorders>
              <w:left w:val="single" w:sz="4" w:space="0" w:color="000000"/>
              <w:right w:val="single" w:sz="4" w:space="0" w:color="000000"/>
            </w:tcBorders>
            <w:shd w:val="clear" w:color="auto" w:fill="D2D2D2"/>
          </w:tcPr>
          <w:p>
            <w:pP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12" w:type="dxa"/>
            <w:vMerge w:val="restart"/>
            <w:tcBorders>
              <w:top w:val="nil" w:sz="6" w:space="0" w:color="auto"/>
              <w:left w:val="single" w:sz="4" w:space="0" w:color="000000"/>
              <w:right w:val="single" w:sz="4" w:space="0" w:color="000000"/>
            </w:tcBorders>
            <w:shd w:val="clear" w:color="auto" w:fill="D2D2D2"/>
          </w:tcPr>
          <w:p>
            <w:pPr/>
          </w:p>
        </w:tc>
        <w:tc>
          <w:tcPr>
            <w:tcW w:w="820" w:type="dxa"/>
            <w:gridSpan w:val="2"/>
            <w:vMerge/>
            <w:tcBorders>
              <w:left w:val="single" w:sz="9" w:space="0" w:color="D2D2D2"/>
              <w:right w:val="single" w:sz="10" w:space="0" w:color="D2D2D2"/>
            </w:tcBorders>
          </w:tcPr>
          <w:p>
            <w:pPr/>
          </w:p>
        </w:tc>
        <w:tc>
          <w:tcPr>
            <w:tcW w:w="1481" w:type="dxa"/>
            <w:gridSpan w:val="2"/>
            <w:vMerge/>
            <w:tcBorders>
              <w:left w:val="single" w:sz="4" w:space="0" w:color="000000"/>
              <w:bottom w:val="nil" w:sz="6" w:space="0" w:color="auto"/>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267" w:type="dxa"/>
            <w:gridSpan w:val="2"/>
            <w:vMerge/>
            <w:tcBorders>
              <w:left w:val="single" w:sz="4" w:space="0" w:color="000000"/>
              <w:right w:val="single" w:sz="4" w:space="0" w:color="000000"/>
            </w:tcBorders>
            <w:shd w:val="clear" w:color="auto" w:fill="D2D2D2"/>
          </w:tcPr>
          <w:p>
            <w:pP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12" w:type="dxa"/>
            <w:vMerge/>
            <w:tcBorders>
              <w:left w:val="single" w:sz="4" w:space="0" w:color="000000"/>
              <w:right w:val="single" w:sz="4" w:space="0" w:color="000000"/>
            </w:tcBorders>
            <w:shd w:val="clear" w:color="auto" w:fill="D2D2D2"/>
          </w:tcPr>
          <w:p>
            <w:pPr/>
          </w:p>
        </w:tc>
        <w:tc>
          <w:tcPr>
            <w:tcW w:w="820" w:type="dxa"/>
            <w:gridSpan w:val="2"/>
            <w:vMerge/>
            <w:tcBorders>
              <w:left w:val="single" w:sz="9" w:space="0" w:color="D2D2D2"/>
              <w:right w:val="single" w:sz="10" w:space="0" w:color="D2D2D2"/>
            </w:tcBorders>
          </w:tcPr>
          <w:p>
            <w:pPr/>
          </w:p>
        </w:tc>
        <w:tc>
          <w:tcPr>
            <w:tcW w:w="1481" w:type="dxa"/>
            <w:gridSpan w:val="2"/>
            <w:vMerge w:val="restart"/>
            <w:tcBorders>
              <w:top w:val="nil" w:sz="6" w:space="0" w:color="auto"/>
              <w:left w:val="single" w:sz="4" w:space="0" w:color="000000"/>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267" w:type="dxa"/>
            <w:gridSpan w:val="2"/>
            <w:vMerge/>
            <w:tcBorders>
              <w:left w:val="single" w:sz="4" w:space="0" w:color="000000"/>
              <w:bottom w:val="nil" w:sz="6" w:space="0" w:color="auto"/>
              <w:right w:val="single" w:sz="4" w:space="0" w:color="000000"/>
            </w:tcBorders>
            <w:shd w:val="clear" w:color="auto" w:fill="D2D2D2"/>
          </w:tcPr>
          <w:p>
            <w:pP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12" w:type="dxa"/>
            <w:vMerge/>
            <w:tcBorders>
              <w:left w:val="single" w:sz="4" w:space="0" w:color="000000"/>
              <w:bottom w:val="single" w:sz="4" w:space="0" w:color="000000"/>
              <w:right w:val="single" w:sz="4" w:space="0" w:color="000000"/>
            </w:tcBorders>
            <w:shd w:val="clear" w:color="auto" w:fill="D2D2D2"/>
          </w:tcPr>
          <w:p>
            <w:pPr/>
          </w:p>
        </w:tc>
        <w:tc>
          <w:tcPr>
            <w:tcW w:w="820" w:type="dxa"/>
            <w:gridSpan w:val="2"/>
            <w:vMerge/>
            <w:tcBorders>
              <w:left w:val="single" w:sz="9" w:space="0" w:color="D2D2D2"/>
              <w:bottom w:val="single" w:sz="4" w:space="0" w:color="000000"/>
              <w:right w:val="single" w:sz="10" w:space="0" w:color="D2D2D2"/>
            </w:tcBorders>
          </w:tcPr>
          <w:p>
            <w:pPr/>
          </w:p>
        </w:tc>
        <w:tc>
          <w:tcPr>
            <w:tcW w:w="1481" w:type="dxa"/>
            <w:gridSpan w:val="2"/>
            <w:vMerge/>
            <w:tcBorders>
              <w:left w:val="single" w:sz="4" w:space="0" w:color="000000"/>
              <w:bottom w:val="single" w:sz="4" w:space="0" w:color="000000"/>
              <w:right w:val="single" w:sz="4" w:space="0" w:color="000000"/>
            </w:tcBorders>
            <w:shd w:val="clear" w:color="auto" w:fill="D2D2D2"/>
          </w:tcPr>
          <w:p>
            <w:pPr/>
          </w:p>
        </w:tc>
        <w:tc>
          <w:tcPr>
            <w:tcW w:w="1176" w:type="dxa"/>
            <w:gridSpan w:val="2"/>
            <w:vMerge/>
            <w:tcBorders>
              <w:left w:val="single" w:sz="10" w:space="0" w:color="D2D2D2"/>
              <w:bottom w:val="single" w:sz="4" w:space="0" w:color="000000"/>
              <w:right w:val="single" w:sz="10" w:space="0" w:color="D2D2D2"/>
            </w:tcBorders>
          </w:tcPr>
          <w:p>
            <w:pPr/>
          </w:p>
        </w:tc>
        <w:tc>
          <w:tcPr>
            <w:tcW w:w="126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4" w:type="dxa"/>
            <w:gridSpan w:val="2"/>
            <w:vMerge/>
            <w:tcBorders>
              <w:left w:val="single" w:sz="10" w:space="0" w:color="D2D2D2"/>
              <w:bottom w:val="single" w:sz="4" w:space="0" w:color="000000"/>
              <w:right w:val="single" w:sz="13" w:space="0" w:color="D2D2D2"/>
            </w:tcBorders>
          </w:tcPr>
          <w:p>
            <w:pPr/>
          </w:p>
        </w:tc>
        <w:tc>
          <w:tcPr>
            <w:tcW w:w="1307" w:type="dxa"/>
            <w:gridSpan w:val="2"/>
            <w:vMerge/>
            <w:tcBorders>
              <w:left w:val="single" w:sz="4" w:space="0" w:color="000000"/>
              <w:bottom w:val="single" w:sz="4" w:space="0" w:color="000000"/>
              <w:right w:val="single" w:sz="4" w:space="0" w:color="000000"/>
            </w:tcBorders>
            <w:shd w:val="clear" w:color="auto" w:fill="D2D2D2"/>
          </w:tcPr>
          <w:p>
            <w:pPr/>
          </w:p>
        </w:tc>
        <w:tc>
          <w:tcPr>
            <w:tcW w:w="512" w:type="dxa"/>
            <w:vMerge/>
            <w:tcBorders>
              <w:left w:val="single" w:sz="12" w:space="0" w:color="D2D2D2"/>
              <w:bottom w:val="single" w:sz="4" w:space="0" w:color="000000"/>
              <w:right w:val="nil" w:sz="6" w:space="0" w:color="auto"/>
            </w:tcBorders>
          </w:tcPr>
          <w:p>
            <w:pPr/>
          </w:p>
        </w:tc>
        <w:tc>
          <w:tcPr>
            <w:tcW w:w="557" w:type="dxa"/>
            <w:tcBorders>
              <w:top w:val="nil" w:sz="6" w:space="0" w:color="auto"/>
              <w:left w:val="nil" w:sz="6" w:space="0" w:color="auto"/>
              <w:bottom w:val="single" w:sz="4" w:space="0" w:color="000000"/>
              <w:right w:val="single" w:sz="4" w:space="0" w:color="000000"/>
            </w:tcBorders>
          </w:tcPr>
          <w:p>
            <w:pPr/>
          </w:p>
        </w:tc>
      </w:tr>
      <w:tr>
        <w:trPr>
          <w:trHeight w:val="391" w:hRule="exact"/>
        </w:trPr>
        <w:tc>
          <w:tcPr>
            <w:tcW w:w="9556"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5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57"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8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 w:right="6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7"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1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57"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72" w:right="2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8" w:type="dxa"/>
            <w:gridSpan w:val="5"/>
            <w:vMerge/>
            <w:tcBorders>
              <w:left w:val="single" w:sz="4" w:space="0" w:color="000000"/>
              <w:right w:val="single" w:sz="4" w:space="0" w:color="000000"/>
            </w:tcBorders>
            <w:shd w:val="clear" w:color="auto" w:fill="D2D2D2"/>
          </w:tcPr>
          <w:p>
            <w:pPr/>
          </w:p>
        </w:tc>
      </w:tr>
      <w:tr>
        <w:trPr>
          <w:trHeight w:val="142" w:hRule="exact"/>
        </w:trPr>
        <w:tc>
          <w:tcPr>
            <w:tcW w:w="145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0"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8" w:type="dxa"/>
            <w:gridSpan w:val="5"/>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57"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0"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57"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830" w:type="dxa"/>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9" w:type="dxa"/>
            <w:gridSpan w:val="3"/>
            <w:vMerge/>
            <w:tcBorders>
              <w:left w:val="single" w:sz="4" w:space="0" w:color="000000"/>
              <w:right w:val="single" w:sz="4" w:space="0" w:color="000000"/>
            </w:tcBorders>
            <w:shd w:val="clear" w:color="auto" w:fill="D2D2D2"/>
          </w:tcPr>
          <w:p>
            <w:pPr/>
          </w:p>
        </w:tc>
      </w:tr>
      <w:tr>
        <w:trPr>
          <w:trHeight w:val="161" w:hRule="exact"/>
        </w:trPr>
        <w:tc>
          <w:tcPr>
            <w:tcW w:w="1457"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3"/>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2" w:right="173"/>
              <w:jc w:val="left"/>
              <w:rPr>
                <w:rFonts w:ascii="宋体" w:hAnsi="宋体" w:cs="宋体" w:eastAsia="宋体" w:hint="default"/>
                <w:sz w:val="18"/>
                <w:szCs w:val="18"/>
              </w:rPr>
            </w:pPr>
            <w:r>
              <w:rPr>
                <w:rFonts w:ascii="宋体" w:hAnsi="宋体" w:cs="宋体" w:eastAsia="宋体" w:hint="default"/>
                <w:sz w:val="18"/>
                <w:szCs w:val="18"/>
              </w:rPr>
              <w:t>北京百汇达投资 管理有限公司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35.42%</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512,230,0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25611500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172,500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512,057,5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349" w:type="dxa"/>
            <w:gridSpan w:val="2"/>
            <w:tcBorders>
              <w:top w:val="single" w:sz="45" w:space="0" w:color="D2D2D2"/>
              <w:left w:val="single" w:sz="4" w:space="0" w:color="000000"/>
              <w:bottom w:val="single" w:sz="4" w:space="0" w:color="000000"/>
              <w:right w:val="single" w:sz="4" w:space="0" w:color="000000"/>
            </w:tcBorders>
          </w:tcPr>
          <w:p>
            <w:pPr>
              <w:pStyle w:val="TableParagraph"/>
              <w:spacing w:line="240" w:lineRule="auto" w:before="153"/>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5" w:space="0" w:color="D2D2D2"/>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17" w:right="0"/>
              <w:jc w:val="left"/>
              <w:rPr>
                <w:rFonts w:ascii="Times New Roman" w:hAnsi="Times New Roman" w:cs="Times New Roman" w:eastAsia="Times New Roman" w:hint="default"/>
                <w:sz w:val="18"/>
                <w:szCs w:val="18"/>
              </w:rPr>
            </w:pPr>
            <w:r>
              <w:rPr>
                <w:rFonts w:ascii="Times New Roman"/>
                <w:sz w:val="18"/>
              </w:rPr>
              <w:t>335,510,000</w:t>
            </w:r>
          </w:p>
        </w:tc>
      </w:tr>
      <w:tr>
        <w:trPr>
          <w:trHeight w:val="716" w:hRule="exact"/>
        </w:trPr>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2" w:right="173"/>
              <w:jc w:val="left"/>
              <w:rPr>
                <w:rFonts w:ascii="宋体" w:hAnsi="宋体" w:cs="宋体" w:eastAsia="宋体" w:hint="default"/>
                <w:sz w:val="18"/>
                <w:szCs w:val="18"/>
              </w:rPr>
            </w:pPr>
            <w:r>
              <w:rPr>
                <w:rFonts w:ascii="宋体" w:hAnsi="宋体" w:cs="宋体" w:eastAsia="宋体" w:hint="default"/>
                <w:sz w:val="18"/>
                <w:szCs w:val="18"/>
              </w:rPr>
              <w:t>中金盛世投资有 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2.22%</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32,105,12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16052562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7"/>
              <w:jc w:val="right"/>
              <w:rPr>
                <w:rFonts w:ascii="Times New Roman" w:hAnsi="Times New Roman" w:cs="Times New Roman" w:eastAsia="Times New Roman" w:hint="default"/>
                <w:sz w:val="18"/>
                <w:szCs w:val="18"/>
              </w:rPr>
            </w:pPr>
            <w:r>
              <w:rPr>
                <w:rFonts w:ascii="Times New Roman"/>
                <w:spacing w:val="-1"/>
                <w:sz w:val="18"/>
              </w:rPr>
              <w:t>16,052,56</w:t>
            </w:r>
          </w:p>
          <w:p>
            <w:pPr>
              <w:pStyle w:val="TableParagraph"/>
              <w:spacing w:line="240" w:lineRule="auto" w:before="105"/>
              <w:ind w:right="58"/>
              <w:jc w:val="right"/>
              <w:rPr>
                <w:rFonts w:ascii="Times New Roman" w:hAnsi="Times New Roman" w:cs="Times New Roman" w:eastAsia="Times New Roman" w:hint="default"/>
                <w:sz w:val="18"/>
                <w:szCs w:val="18"/>
              </w:rPr>
            </w:pPr>
            <w:r>
              <w:rPr>
                <w:rFonts w:ascii="Times New Roman"/>
                <w:sz w:val="18"/>
              </w:rPr>
              <w:t>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16,052,56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32,105,124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r>
        <w:rPr/>
        <w:pict>
          <v:shape style="position:absolute;margin-left:56.400002pt;margin-top:71.999985pt;width:479.15pt;height:685.6pt;mso-position-horizontal-relative:page;mso-position-vertical-relative:page;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69"/>
                    <w:gridCol w:w="1412"/>
                    <w:gridCol w:w="787"/>
                    <w:gridCol w:w="787"/>
                    <w:gridCol w:w="790"/>
                    <w:gridCol w:w="785"/>
                    <w:gridCol w:w="840"/>
                    <w:gridCol w:w="1349"/>
                    <w:gridCol w:w="1349"/>
                  </w:tblGrid>
                  <w:tr>
                    <w:trPr>
                      <w:trHeight w:val="102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天津红杉资本投 </w:t>
                        </w:r>
                        <w:r>
                          <w:rPr>
                            <w:rFonts w:ascii="宋体" w:hAnsi="宋体" w:cs="宋体" w:eastAsia="宋体" w:hint="default"/>
                            <w:spacing w:val="-4"/>
                            <w:sz w:val="18"/>
                            <w:szCs w:val="18"/>
                          </w:rPr>
                          <w:t>资基金中心（有限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合伙）</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31,565,66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-1645503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31,565,66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华鑫国际信托有 限公司－华鑫信 托</w:t>
                        </w:r>
                        <w:r>
                          <w:rPr>
                            <w:rFonts w:ascii="Times New Roman" w:hAnsi="Times New Roman" w:cs="Times New Roman" w:eastAsia="Times New Roman" w:hint="default"/>
                            <w:sz w:val="18"/>
                            <w:szCs w:val="18"/>
                          </w:rPr>
                          <w:t>·</w:t>
                        </w:r>
                        <w:r>
                          <w:rPr>
                            <w:rFonts w:ascii="宋体" w:hAnsi="宋体" w:cs="宋体" w:eastAsia="宋体" w:hint="default"/>
                            <w:sz w:val="18"/>
                            <w:szCs w:val="18"/>
                          </w:rPr>
                          <w:t>国鑫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 资金信托计划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20,280,00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20280000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20,280,00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耿桂芳</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19,343,90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9671950.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14,507,92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4,835,976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w:t>
                        </w:r>
                      </w:p>
                    </w:tc>
                  </w:tr>
                  <w:tr>
                    <w:trPr>
                      <w:trHeight w:val="71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杨雨</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18,641,68</w:t>
                        </w:r>
                      </w:p>
                      <w:p>
                        <w:pPr>
                          <w:pStyle w:val="TableParagraph"/>
                          <w:spacing w:line="240" w:lineRule="auto" w:before="103"/>
                          <w:ind w:right="23"/>
                          <w:jc w:val="right"/>
                          <w:rPr>
                            <w:rFonts w:ascii="Times New Roman" w:hAnsi="Times New Roman" w:cs="Times New Roman" w:eastAsia="Times New Roman" w:hint="default"/>
                            <w:sz w:val="18"/>
                            <w:szCs w:val="18"/>
                          </w:rPr>
                        </w:pPr>
                        <w:r>
                          <w:rPr>
                            <w:rFonts w:ascii="Times New Roman"/>
                            <w:sz w:val="18"/>
                          </w:rPr>
                          <w:t>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9320842.</w:t>
                        </w:r>
                      </w:p>
                      <w:p>
                        <w:pPr>
                          <w:pStyle w:val="TableParagraph"/>
                          <w:spacing w:line="240" w:lineRule="auto" w:before="103"/>
                          <w:ind w:left="23" w:right="0"/>
                          <w:jc w:val="left"/>
                          <w:rPr>
                            <w:rFonts w:ascii="Times New Roman" w:hAnsi="Times New Roman" w:cs="Times New Roman" w:eastAsia="Times New Roman" w:hint="default"/>
                            <w:sz w:val="18"/>
                            <w:szCs w:val="18"/>
                          </w:rPr>
                        </w:pPr>
                        <w:r>
                          <w:rPr>
                            <w:rFonts w:ascii="Times New Roman"/>
                            <w:sz w:val="18"/>
                          </w:rPr>
                          <w:t>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9,320,842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9,320,842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18,641,684</w:t>
                        </w: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施侃</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14,551,92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6410360.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6,513,248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8,038,672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10,870,000</w:t>
                        </w: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徐庆良</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10,770,75</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5385375.</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10,770,75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10,600,000</w:t>
                        </w: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车志远</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9,320,842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4660421.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9,320,842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徐厚华</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9,267,872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4503886.</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9,267,872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4,764,000</w:t>
                        </w:r>
                      </w:p>
                    </w:tc>
                  </w:tr>
                  <w:tr>
                    <w:trPr>
                      <w:trHeight w:val="317"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7"/>
                        <w:vMerge w:val="restart"/>
                        <w:tcBorders>
                          <w:top w:val="single" w:sz="4" w:space="0" w:color="000000"/>
                          <w:left w:val="single" w:sz="9" w:space="0" w:color="D2D2D2"/>
                          <w:right w:val="single" w:sz="4" w:space="0" w:color="000000"/>
                        </w:tcBorders>
                      </w:tcPr>
                      <w:p>
                        <w:pPr>
                          <w:pStyle w:val="TableParagraph"/>
                          <w:spacing w:line="300" w:lineRule="auto" w:before="49"/>
                          <w:ind w:left="17" w:right="14"/>
                          <w:jc w:val="both"/>
                          <w:rPr>
                            <w:rFonts w:ascii="宋体" w:hAnsi="宋体" w:cs="宋体" w:eastAsia="宋体" w:hint="default"/>
                            <w:sz w:val="18"/>
                            <w:szCs w:val="18"/>
                          </w:rPr>
                        </w:pPr>
                        <w:r>
                          <w:rPr>
                            <w:rFonts w:ascii="宋体" w:hAnsi="宋体" w:cs="宋体" w:eastAsia="宋体" w:hint="default"/>
                            <w:sz w:val="18"/>
                            <w:szCs w:val="18"/>
                          </w:rPr>
                          <w:t>中金盛世投资有限公司和杨雨为公司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年以发行股份及支付现金方式购买中金云 网</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股权的其中两名交易对方，施侃为公司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年以发行股份及支付现金方式购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买无双科技</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股权的交易对方之一，其因本次发行取得的股份上市日期为</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日，上述股份自上市之日起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个月内将不以任何方式转让，包括但不限于通过 证券市场公开转让或通过协议方式转让。</w:t>
                        </w:r>
                      </w:p>
                    </w:tc>
                  </w:tr>
                  <w:tr>
                    <w:trPr>
                      <w:trHeight w:val="1015" w:hRule="exact"/>
                    </w:trPr>
                    <w:tc>
                      <w:tcPr>
                        <w:tcW w:w="288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7"/>
                        <w:vMerge/>
                        <w:tcBorders>
                          <w:left w:val="single" w:sz="9" w:space="0" w:color="D2D2D2"/>
                          <w:right w:val="single" w:sz="4" w:space="0" w:color="000000"/>
                        </w:tcBorders>
                      </w:tcPr>
                      <w:p>
                        <w:pPr/>
                      </w:p>
                    </w:tc>
                  </w:tr>
                  <w:tr>
                    <w:trPr>
                      <w:trHeight w:val="317"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7"/>
                        <w:vMerge/>
                        <w:tcBorders>
                          <w:left w:val="single" w:sz="9" w:space="0" w:color="D2D2D2"/>
                          <w:bottom w:val="single" w:sz="4" w:space="0" w:color="000000"/>
                          <w:right w:val="single" w:sz="4" w:space="0" w:color="000000"/>
                        </w:tcBorders>
                      </w:tcPr>
                      <w:p>
                        <w:pPr/>
                      </w:p>
                    </w:tc>
                  </w:tr>
                  <w:tr>
                    <w:trPr>
                      <w:trHeight w:val="631"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7"/>
                        <w:vMerge w:val="restart"/>
                        <w:tcBorders>
                          <w:top w:val="single" w:sz="4" w:space="0" w:color="000000"/>
                          <w:left w:val="single" w:sz="9" w:space="0" w:color="D2D2D2"/>
                          <w:right w:val="single" w:sz="4" w:space="0" w:color="000000"/>
                        </w:tcBorders>
                      </w:tcPr>
                      <w:p>
                        <w:pPr>
                          <w:pStyle w:val="TableParagraph"/>
                          <w:spacing w:line="316" w:lineRule="auto" w:before="51"/>
                          <w:ind w:left="17" w:right="20"/>
                          <w:jc w:val="left"/>
                          <w:rPr>
                            <w:rFonts w:ascii="宋体" w:hAnsi="宋体" w:cs="宋体" w:eastAsia="宋体" w:hint="default"/>
                            <w:sz w:val="18"/>
                            <w:szCs w:val="18"/>
                          </w:rPr>
                        </w:pPr>
                        <w:r>
                          <w:rPr>
                            <w:rFonts w:ascii="宋体" w:hAnsi="宋体" w:cs="宋体" w:eastAsia="宋体" w:hint="default"/>
                            <w:spacing w:val="-1"/>
                            <w:sz w:val="18"/>
                            <w:szCs w:val="18"/>
                          </w:rPr>
                          <w:t>截至本报告期末，耿桂芳为北京百汇达投资管理有限公司的法定代表人，是公司实际</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控制人耿殿根先生的姐姐；截至本报告日，北京百汇达投资管理有限公司已更名为霍</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尔果斯百汇达股权投资管理合伙企业（有限合伙），耿殿根先生为执行事务合伙人，</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4"/>
                            <w:sz w:val="18"/>
                            <w:szCs w:val="18"/>
                          </w:rPr>
                          <w:t>百汇达与耿桂芳为一致行动人。中金盛世投资有限公司实际控制人为杨洁、张利夫妇</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sz w:val="18"/>
                            <w:szCs w:val="18"/>
                          </w:rPr>
                          <w:t>杨雨与杨洁为父子关系、杨雨与张利为母子关系，中金盛世投资有限公司与杨雨为一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致行动人。除此之外，公司未发现上述股东之间存在其他关联关系。</w:t>
                        </w:r>
                      </w:p>
                    </w:tc>
                  </w:tr>
                  <w:tr>
                    <w:trPr>
                      <w:trHeight w:val="703" w:hRule="exact"/>
                    </w:trPr>
                    <w:tc>
                      <w:tcPr>
                        <w:tcW w:w="288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vMerge/>
                        <w:tcBorders>
                          <w:left w:val="single" w:sz="9" w:space="0" w:color="D2D2D2"/>
                          <w:right w:val="single" w:sz="4" w:space="0" w:color="000000"/>
                        </w:tcBorders>
                      </w:tcPr>
                      <w:p>
                        <w:pPr/>
                      </w:p>
                    </w:tc>
                  </w:tr>
                  <w:tr>
                    <w:trPr>
                      <w:trHeight w:val="629"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7"/>
                        <w:vMerge/>
                        <w:tcBorders>
                          <w:left w:val="single" w:sz="9" w:space="0" w:color="D2D2D2"/>
                          <w:bottom w:val="single" w:sz="4" w:space="0" w:color="000000"/>
                          <w:right w:val="single" w:sz="4" w:space="0" w:color="000000"/>
                        </w:tcBorders>
                      </w:tcPr>
                      <w:p>
                        <w:pP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5"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81"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北京百汇达投资管理有限公司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512,057,500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512,057,500</w:t>
                        </w:r>
                      </w:p>
                    </w:tc>
                  </w:tr>
                  <w:tr>
                    <w:trPr>
                      <w:trHeight w:val="71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4"/>
                            <w:sz w:val="18"/>
                            <w:szCs w:val="18"/>
                          </w:rPr>
                          <w:t>天津红杉资本投资基金中心（有限合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伙）</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31,565,667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31,565,667</w:t>
                        </w:r>
                      </w:p>
                    </w:tc>
                  </w:tr>
                  <w:tr>
                    <w:trPr>
                      <w:trHeight w:val="716"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325"/>
                          <w:jc w:val="left"/>
                          <w:rPr>
                            <w:rFonts w:ascii="宋体" w:hAnsi="宋体" w:cs="宋体" w:eastAsia="宋体" w:hint="default"/>
                            <w:sz w:val="18"/>
                            <w:szCs w:val="18"/>
                          </w:rPr>
                        </w:pPr>
                        <w:r>
                          <w:rPr>
                            <w:rFonts w:ascii="宋体" w:hAnsi="宋体" w:cs="宋体" w:eastAsia="宋体" w:hint="default"/>
                            <w:sz w:val="18"/>
                            <w:szCs w:val="18"/>
                          </w:rPr>
                          <w:t>华鑫国际信托有限公司－华鑫信 托</w:t>
                        </w:r>
                        <w:r>
                          <w:rPr>
                            <w:rFonts w:ascii="Times New Roman" w:hAnsi="Times New Roman" w:cs="Times New Roman" w:eastAsia="Times New Roman" w:hint="default"/>
                            <w:sz w:val="18"/>
                            <w:szCs w:val="18"/>
                          </w:rPr>
                          <w:t>·</w:t>
                        </w:r>
                        <w:r>
                          <w:rPr>
                            <w:rFonts w:ascii="宋体" w:hAnsi="宋体" w:cs="宋体" w:eastAsia="宋体" w:hint="default"/>
                            <w:sz w:val="18"/>
                            <w:szCs w:val="18"/>
                          </w:rPr>
                          <w:t>国鑫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号集合资金信托计划</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20,280,000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20,280,000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中金盛世投资有限公司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16,052,562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16,052,562</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before="44"/>
        <w:ind w:left="0" w:right="161"/>
        <w:jc w:val="right"/>
      </w:pPr>
      <w:r>
        <w:rPr/>
        <w:t>，</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881"/>
        <w:gridCol w:w="3989"/>
        <w:gridCol w:w="1349"/>
        <w:gridCol w:w="1349"/>
      </w:tblGrid>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车志远</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9,320,842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9,320,842</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杨雨</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9,320,842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9,320,842</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徐厚华</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9,267,872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9,267,872</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施侃</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8,038,672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8,038,672</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王有昌</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7,240,000</w:t>
            </w:r>
          </w:p>
        </w:tc>
      </w:tr>
      <w:tr>
        <w:trPr>
          <w:trHeight w:val="715"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5"/>
              <w:jc w:val="left"/>
              <w:rPr>
                <w:rFonts w:ascii="宋体" w:hAnsi="宋体" w:cs="宋体" w:eastAsia="宋体" w:hint="default"/>
                <w:sz w:val="18"/>
                <w:szCs w:val="18"/>
              </w:rPr>
            </w:pPr>
            <w:r>
              <w:rPr>
                <w:rFonts w:ascii="宋体" w:hAnsi="宋体" w:cs="宋体" w:eastAsia="宋体" w:hint="default"/>
                <w:sz w:val="18"/>
                <w:szCs w:val="18"/>
              </w:rPr>
              <w:t>交通银行股份有限公司－易方达科 讯混合型证券投资基金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w:t>
            </w:r>
          </w:p>
        </w:tc>
      </w:tr>
      <w:tr>
        <w:trPr>
          <w:trHeight w:val="1337"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9" w:lineRule="auto"/>
              <w:ind w:left="23" w:right="20"/>
              <w:jc w:val="both"/>
              <w:rPr>
                <w:rFonts w:ascii="宋体" w:hAnsi="宋体" w:cs="宋体" w:eastAsia="宋体" w:hint="default"/>
                <w:sz w:val="18"/>
                <w:szCs w:val="18"/>
              </w:rPr>
            </w:pPr>
            <w:r>
              <w:rPr>
                <w:rFonts w:ascii="宋体" w:hAnsi="宋体" w:cs="宋体" w:eastAsia="宋体" w:hint="default"/>
                <w:spacing w:val="-1"/>
                <w:sz w:val="18"/>
                <w:szCs w:val="18"/>
              </w:rPr>
              <w:t>除百汇达与耿桂芳为一致行动人、中金盛世投资有限公司与杨雨为一致行动人外，公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 间不存在关联关系或一致行动关系。</w:t>
            </w:r>
          </w:p>
        </w:tc>
      </w:tr>
      <w:tr>
        <w:trPr>
          <w:trHeight w:val="715"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6"/>
                <w:sz w:val="18"/>
                <w:szCs w:val="18"/>
              </w:rPr>
              <w:t>有）（参见注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283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3"/>
        <w:spacing w:line="240" w:lineRule="auto"/>
        <w:ind w:right="2839"/>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right="7614"/>
        <w:jc w:val="left"/>
      </w:pPr>
      <w:r>
        <w:rPr/>
        <w:t>控股股东性质：自然人控股 控股股东类型：法人</w:t>
      </w:r>
    </w:p>
    <w:tbl>
      <w:tblPr>
        <w:tblW w:w="0" w:type="auto"/>
        <w:jc w:val="left"/>
        <w:tblInd w:w="148" w:type="dxa"/>
        <w:tblLayout w:type="fixed"/>
        <w:tblCellMar>
          <w:top w:w="0" w:type="dxa"/>
          <w:left w:w="0" w:type="dxa"/>
          <w:bottom w:w="0" w:type="dxa"/>
          <w:right w:w="0" w:type="dxa"/>
        </w:tblCellMar>
        <w:tblLook w:val="01E0"/>
      </w:tblPr>
      <w:tblGrid>
        <w:gridCol w:w="2199"/>
        <w:gridCol w:w="1793"/>
        <w:gridCol w:w="1594"/>
        <w:gridCol w:w="1752"/>
        <w:gridCol w:w="2233"/>
      </w:tblGrid>
      <w:tr>
        <w:trPr>
          <w:trHeight w:val="715"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802" w:right="55"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961"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4" w:right="3"/>
              <w:jc w:val="left"/>
              <w:rPr>
                <w:rFonts w:ascii="宋体" w:hAnsi="宋体" w:cs="宋体" w:eastAsia="宋体" w:hint="default"/>
                <w:sz w:val="18"/>
                <w:szCs w:val="18"/>
              </w:rPr>
            </w:pPr>
            <w:r>
              <w:rPr>
                <w:rFonts w:ascii="宋体" w:hAnsi="宋体" w:cs="宋体" w:eastAsia="宋体" w:hint="default"/>
                <w:sz w:val="18"/>
                <w:szCs w:val="18"/>
              </w:rPr>
              <w:t>霍尔果斯百汇达股权投资 管理合伙企业（有限合伙）</w:t>
            </w:r>
          </w:p>
          <w:p>
            <w:pPr>
              <w:pStyle w:val="TableParagraph"/>
              <w:spacing w:line="316" w:lineRule="auto" w:before="20"/>
              <w:ind w:left="24" w:right="19"/>
              <w:jc w:val="left"/>
              <w:rPr>
                <w:rFonts w:ascii="宋体" w:hAnsi="宋体" w:cs="宋体" w:eastAsia="宋体" w:hint="default"/>
                <w:sz w:val="18"/>
                <w:szCs w:val="18"/>
              </w:rPr>
            </w:pPr>
            <w:r>
              <w:rPr>
                <w:rFonts w:ascii="宋体" w:hAnsi="宋体" w:cs="宋体" w:eastAsia="宋体" w:hint="default"/>
                <w:spacing w:val="-2"/>
                <w:sz w:val="18"/>
                <w:szCs w:val="18"/>
              </w:rPr>
              <w:t>（曾用名：北京百汇达投资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管理有限公司）</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center"/>
              <w:rPr>
                <w:rFonts w:ascii="Times New Roman" w:hAnsi="Times New Roman" w:cs="Times New Roman" w:eastAsia="Times New Roman" w:hint="default"/>
                <w:sz w:val="18"/>
                <w:szCs w:val="18"/>
              </w:rPr>
            </w:pPr>
            <w:r>
              <w:rPr>
                <w:rFonts w:ascii="Times New Roman"/>
                <w:sz w:val="18"/>
              </w:rPr>
              <w:t>91110101742331060J</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接受委托管理股权投资项 目、参与股权投资、为非上 市及已上市公司提供直接融 </w:t>
            </w:r>
            <w:r>
              <w:rPr>
                <w:rFonts w:ascii="宋体" w:hAnsi="宋体" w:cs="宋体" w:eastAsia="宋体" w:hint="default"/>
                <w:spacing w:val="-13"/>
                <w:sz w:val="18"/>
                <w:szCs w:val="18"/>
              </w:rPr>
              <w:t>资的相关服务。（依法须经批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准的项目，经相关部门批准 后方可开展经营活动）</w:t>
            </w:r>
          </w:p>
        </w:tc>
      </w:tr>
    </w:tbl>
    <w:p>
      <w:pPr>
        <w:pStyle w:val="BodyText"/>
        <w:spacing w:line="240" w:lineRule="auto" w:before="70"/>
        <w:ind w:right="2839"/>
        <w:jc w:val="left"/>
      </w:pPr>
      <w:r>
        <w:rPr/>
        <w:t>控股股东报告期内变更</w:t>
      </w:r>
    </w:p>
    <w:p>
      <w:pPr>
        <w:pStyle w:val="BodyText"/>
        <w:spacing w:line="338" w:lineRule="auto" w:before="117"/>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7"/>
        <w:rPr>
          <w:rFonts w:ascii="宋体" w:hAnsi="宋体" w:cs="宋体" w:eastAsia="宋体" w:hint="default"/>
          <w:sz w:val="21"/>
          <w:szCs w:val="21"/>
        </w:rPr>
      </w:pPr>
    </w:p>
    <w:p>
      <w:pPr>
        <w:pStyle w:val="Heading3"/>
        <w:spacing w:line="240" w:lineRule="auto"/>
        <w:ind w:right="2839"/>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434"/>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3337"/>
        <w:gridCol w:w="2057"/>
        <w:gridCol w:w="4177"/>
      </w:tblGrid>
      <w:tr>
        <w:trPr>
          <w:trHeight w:val="403"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36"/>
        <w:gridCol w:w="6234"/>
      </w:tblGrid>
      <w:tr>
        <w:trPr>
          <w:trHeight w:val="401"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现任公司董事长，任期至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2839"/>
        <w:jc w:val="left"/>
      </w:pPr>
      <w:r>
        <w:rPr/>
        <w:t>实际控制人报告期内变更</w:t>
      </w:r>
    </w:p>
    <w:p>
      <w:pPr>
        <w:pStyle w:val="BodyText"/>
        <w:spacing w:line="35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Heading4"/>
        <w:tabs>
          <w:tab w:pos="4829" w:val="left" w:leader="none"/>
        </w:tabs>
        <w:spacing w:line="483" w:lineRule="exact"/>
        <w:ind w:left="2748" w:right="0"/>
        <w:jc w:val="left"/>
      </w:pPr>
      <w:r>
        <w:rPr>
          <w:position w:val="-9"/>
        </w:rPr>
        <w:pict>
          <v:shape style="width:42.6pt;height:24.15pt;mso-position-horizontal-relative:char;mso-position-vertical-relative:line" type="#_x0000_t202" filled="false" stroked="true" strokeweight=".75pt" strokecolor="#000000">
            <w10:anchorlock/>
            <v:textbox inset="0,0,0,0">
              <w:txbxContent>
                <w:p>
                  <w:pPr>
                    <w:pStyle w:val="BodyText"/>
                    <w:spacing w:line="240" w:lineRule="auto" w:before="122"/>
                    <w:ind w:left="146" w:right="0"/>
                    <w:jc w:val="left"/>
                  </w:pPr>
                  <w:r>
                    <w:rPr/>
                    <w:t>耿殿根</w:t>
                  </w:r>
                </w:p>
              </w:txbxContent>
            </v:textbox>
          </v:shape>
        </w:pict>
      </w:r>
      <w:r>
        <w:rPr>
          <w:position w:val="-9"/>
        </w:rPr>
      </w:r>
      <w:r>
        <w:rPr>
          <w:position w:val="-9"/>
        </w:rPr>
        <w:tab/>
      </w:r>
      <w:r>
        <w:rPr>
          <w:position w:val="-9"/>
        </w:rPr>
        <w:pict>
          <v:shape style="width:45.05pt;height:24.15pt;mso-position-horizontal-relative:char;mso-position-vertical-relative:line" type="#_x0000_t202" filled="false" stroked="true" strokeweight=".75pt" strokecolor="#000000">
            <w10:anchorlock/>
            <v:textbox inset="0,0,0,0">
              <w:txbxContent>
                <w:p>
                  <w:pPr>
                    <w:pStyle w:val="BodyText"/>
                    <w:spacing w:line="240" w:lineRule="auto" w:before="122"/>
                    <w:ind w:left="146" w:right="0"/>
                    <w:jc w:val="left"/>
                  </w:pPr>
                  <w:r>
                    <w:rPr/>
                    <w:t>耿桂芳</w:t>
                  </w:r>
                </w:p>
              </w:txbxContent>
            </v:textbox>
          </v:shape>
        </w:pict>
      </w:r>
      <w:r>
        <w:rPr>
          <w:position w:val="-9"/>
        </w:rPr>
      </w:r>
    </w:p>
    <w:p>
      <w:pPr>
        <w:pStyle w:val="BodyText"/>
        <w:tabs>
          <w:tab w:pos="1997" w:val="left" w:leader="none"/>
        </w:tabs>
        <w:spacing w:line="240" w:lineRule="auto" w:before="141"/>
        <w:ind w:left="0" w:right="695"/>
        <w:jc w:val="center"/>
        <w:rPr>
          <w:rFonts w:ascii="Times New Roman" w:hAnsi="Times New Roman" w:cs="Times New Roman" w:eastAsia="Times New Roman" w:hint="default"/>
        </w:rPr>
      </w:pPr>
      <w:r>
        <w:rPr/>
        <w:pict>
          <v:group style="position:absolute;margin-left:204.600006pt;margin-top:-.507671pt;width:6pt;height:28.1pt;mso-position-horizontal-relative:page;mso-position-vertical-relative:paragraph;z-index:-1814920" coordorigin="4092,-10" coordsize="120,562">
            <v:shape style="position:absolute;left:4092;top:-10;width:120;height:562" coordorigin="4092,-10" coordsize="120,562" path="m4142,432l4092,432,4152,552,4197,462,4146,462,4142,457,4142,432xe" filled="true" fillcolor="#000000" stroked="false">
              <v:path arrowok="t"/>
              <v:fill type="solid"/>
            </v:shape>
            <v:shape style="position:absolute;left:4092;top:-10;width:120;height:562" coordorigin="4092,-10" coordsize="120,562" path="m4158,-10l4146,-10,4142,-6,4142,457,4146,462,4158,462,4162,457,4162,-6,4158,-10xe" filled="true" fillcolor="#000000" stroked="false">
              <v:path arrowok="t"/>
              <v:fill type="solid"/>
            </v:shape>
            <v:shape style="position:absolute;left:4092;top:-10;width:120;height:562" coordorigin="4092,-10" coordsize="120,562" path="m4212,432l4162,432,4162,457,4158,462,4197,462,4212,432xe" filled="true" fillcolor="#000000" stroked="false">
              <v:path arrowok="t"/>
              <v:fill type="solid"/>
            </v:shape>
            <w10:wrap type="none"/>
          </v:group>
        </w:pict>
      </w:r>
      <w:r>
        <w:rPr/>
        <w:pict>
          <v:group style="position:absolute;margin-left:309.589996pt;margin-top:-.517671pt;width:6pt;height:28.15pt;mso-position-horizontal-relative:page;mso-position-vertical-relative:paragraph;z-index:-1814896" coordorigin="6192,-10" coordsize="120,563">
            <v:shape style="position:absolute;left:6192;top:-10;width:120;height:563" coordorigin="6192,-10" coordsize="120,563" path="m6242,432l6192,433,6255,552,6297,462,6247,462,6242,458,6242,452,6242,432xe" filled="true" fillcolor="#000000" stroked="false">
              <v:path arrowok="t"/>
              <v:fill type="solid"/>
            </v:shape>
            <v:shape style="position:absolute;left:6192;top:-10;width:120;height:563" coordorigin="6192,-10" coordsize="120,563" path="m6262,432l6242,432,6242,452,6242,458,6247,462,6258,462,6262,457,6262,452,6262,432xe" filled="true" fillcolor="#000000" stroked="false">
              <v:path arrowok="t"/>
              <v:fill type="solid"/>
            </v:shape>
            <v:shape style="position:absolute;left:6192;top:-10;width:120;height:563" coordorigin="6192,-10" coordsize="120,563" path="m6312,430l6262,432,6262,452,6262,457,6258,462,6247,462,6297,462,6312,430xe" filled="true" fillcolor="#000000" stroked="false">
              <v:path arrowok="t"/>
              <v:fill type="solid"/>
            </v:shape>
            <v:shape style="position:absolute;left:6192;top:-10;width:120;height:563" coordorigin="6192,-10" coordsize="120,563" path="m6245,-10l6234,-10,6230,-5,6230,0,6242,432,6262,432,6250,0,6250,-6,6245,-10xe" filled="true" fillcolor="#000000" stroked="false">
              <v:path arrowok="t"/>
              <v:fill type="solid"/>
            </v:shape>
            <w10:wrap type="none"/>
          </v:group>
        </w:pict>
      </w:r>
      <w:r>
        <w:rPr>
          <w:rFonts w:ascii="Times New Roman"/>
        </w:rPr>
        <w:t>99.99%</w:t>
        <w:tab/>
        <w:t>0.01%</w:t>
      </w:r>
    </w:p>
    <w:p>
      <w:pPr>
        <w:spacing w:line="240" w:lineRule="auto" w:before="8"/>
        <w:rPr>
          <w:rFonts w:ascii="Times New Roman" w:hAnsi="Times New Roman" w:cs="Times New Roman" w:eastAsia="Times New Roman" w:hint="default"/>
          <w:sz w:val="17"/>
          <w:szCs w:val="17"/>
        </w:rPr>
      </w:pPr>
    </w:p>
    <w:p>
      <w:pPr>
        <w:spacing w:line="485" w:lineRule="exact"/>
        <w:ind w:left="208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pict>
          <v:shape style="width:218.95pt;height:24.25pt;mso-position-horizontal-relative:char;mso-position-vertical-relative:line" type="#_x0000_t202" filled="false" stroked="true" strokeweight=".75pt" strokecolor="#000000">
            <w10:anchorlock/>
            <v:textbox inset="0,0,0,0">
              <w:txbxContent>
                <w:p>
                  <w:pPr>
                    <w:pStyle w:val="BodyText"/>
                    <w:spacing w:line="240" w:lineRule="auto" w:before="122"/>
                    <w:ind w:left="144" w:right="0"/>
                    <w:jc w:val="left"/>
                  </w:pPr>
                  <w:r>
                    <w:rPr/>
                    <w:t>霍尔果斯百汇达股权投资管理合伙企业（有限合伙）</w:t>
                  </w:r>
                </w:p>
              </w:txbxContent>
            </v:textbox>
          </v:shape>
        </w:pict>
      </w:r>
      <w:r>
        <w:rPr>
          <w:rFonts w:ascii="Times New Roman" w:hAnsi="Times New Roman" w:cs="Times New Roman" w:eastAsia="Times New Roman" w:hint="default"/>
          <w:position w:val="-9"/>
          <w:sz w:val="20"/>
          <w:szCs w:val="20"/>
        </w:rPr>
      </w:r>
    </w:p>
    <w:p>
      <w:pPr>
        <w:pStyle w:val="BodyText"/>
        <w:spacing w:line="240" w:lineRule="auto" w:before="160"/>
        <w:ind w:left="0" w:right="439"/>
        <w:jc w:val="center"/>
        <w:rPr>
          <w:rFonts w:ascii="Times New Roman" w:hAnsi="Times New Roman" w:cs="Times New Roman" w:eastAsia="Times New Roman" w:hint="default"/>
        </w:rPr>
      </w:pPr>
      <w:r>
        <w:rPr/>
        <w:pict>
          <v:group style="position:absolute;margin-left:260.700012pt;margin-top:-.507659pt;width:6pt;height:31pt;mso-position-horizontal-relative:page;mso-position-vertical-relative:paragraph;z-index:-1814872" coordorigin="5214,-10" coordsize="120,620">
            <v:shape style="position:absolute;left:5214;top:-10;width:120;height:620" coordorigin="5214,-10" coordsize="120,620" path="m5264,490l5214,490,5274,610,5319,520,5268,520,5264,515,5264,490xe" filled="true" fillcolor="#000000" stroked="false">
              <v:path arrowok="t"/>
              <v:fill type="solid"/>
            </v:shape>
            <v:shape style="position:absolute;left:5214;top:-10;width:120;height:620" coordorigin="5214,-10" coordsize="120,620" path="m5280,-10l5268,-10,5264,-6,5264,515,5268,520,5280,520,5284,515,5284,-6,5280,-10xe" filled="true" fillcolor="#000000" stroked="false">
              <v:path arrowok="t"/>
              <v:fill type="solid"/>
            </v:shape>
            <v:shape style="position:absolute;left:5214;top:-10;width:120;height:620" coordorigin="5214,-10" coordsize="120,620" path="m5334,490l5284,490,5284,515,5280,520,5319,520,5334,490xe" filled="true" fillcolor="#000000" stroked="false">
              <v:path arrowok="t"/>
              <v:fill type="solid"/>
            </v:shape>
            <w10:wrap type="none"/>
          </v:group>
        </w:pict>
      </w:r>
      <w:r>
        <w:rPr>
          <w:rFonts w:ascii="Times New Roman"/>
        </w:rPr>
        <w:t>35.42%</w:t>
      </w:r>
    </w:p>
    <w:p>
      <w:pPr>
        <w:spacing w:line="240" w:lineRule="auto" w:before="1"/>
        <w:rPr>
          <w:rFonts w:ascii="Times New Roman" w:hAnsi="Times New Roman" w:cs="Times New Roman" w:eastAsia="Times New Roman" w:hint="default"/>
          <w:sz w:val="21"/>
          <w:szCs w:val="21"/>
        </w:rPr>
      </w:pPr>
    </w:p>
    <w:p>
      <w:pPr>
        <w:spacing w:line="558" w:lineRule="exact"/>
        <w:ind w:left="287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pict>
          <v:shape style="width:142.7pt;height:27.9pt;mso-position-horizontal-relative:char;mso-position-vertical-relative:line" type="#_x0000_t202" filled="false" stroked="true" strokeweight=".75pt" strokecolor="#000000">
            <w10:anchorlock/>
            <v:textbox inset="0,0,0,0">
              <w:txbxContent>
                <w:p>
                  <w:pPr>
                    <w:pStyle w:val="BodyText"/>
                    <w:spacing w:line="240" w:lineRule="auto" w:before="119"/>
                    <w:ind w:left="145" w:right="0"/>
                    <w:jc w:val="left"/>
                  </w:pPr>
                  <w:r>
                    <w:rPr/>
                    <w:t>北京光环新网科技股份有限公司</w:t>
                  </w:r>
                </w:p>
              </w:txbxContent>
            </v:textbox>
          </v:shape>
        </w:pict>
      </w:r>
      <w:r>
        <w:rPr>
          <w:rFonts w:ascii="Times New Roman" w:hAnsi="Times New Roman" w:cs="Times New Roman" w:eastAsia="Times New Roman" w:hint="default"/>
          <w:position w:val="-10"/>
          <w:sz w:val="20"/>
          <w:szCs w:val="20"/>
        </w:rPr>
      </w: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0"/>
          <w:szCs w:val="20"/>
        </w:rPr>
      </w:pPr>
    </w:p>
    <w:p>
      <w:pPr>
        <w:spacing w:before="0"/>
        <w:ind w:left="152" w:right="2839"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0"/>
        <w:rPr>
          <w:rFonts w:ascii="宋体" w:hAnsi="宋体" w:cs="宋体" w:eastAsia="宋体" w:hint="default"/>
          <w:sz w:val="18"/>
          <w:szCs w:val="18"/>
        </w:rPr>
      </w:pPr>
    </w:p>
    <w:p>
      <w:pPr>
        <w:pStyle w:val="BodyText"/>
        <w:spacing w:line="240" w:lineRule="auto"/>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2839"/>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2839"/>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2839"/>
        <w:jc w:val="left"/>
        <w:rPr>
          <w:b w:val="0"/>
          <w:bCs w:val="0"/>
        </w:rPr>
      </w:pPr>
      <w:bookmarkStart w:name="_bookmark6" w:id="7"/>
      <w:bookmarkEnd w:id="7"/>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7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0"/>
        <w:jc w:val="left"/>
        <w:rPr>
          <w:b w:val="0"/>
          <w:bCs w:val="0"/>
        </w:rPr>
      </w:pPr>
      <w:bookmarkStart w:name="_bookmark7" w:id="8"/>
      <w:bookmarkEnd w:id="8"/>
      <w:r>
        <w:rPr>
          <w:b w:val="0"/>
          <w:bCs w:val="0"/>
        </w:rPr>
      </w:r>
      <w:r>
        <w:rPr/>
        <w:t>第八节</w:t>
      </w:r>
      <w:r>
        <w:rPr>
          <w:spacing w:val="-9"/>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2839"/>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袁丁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475,000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1,425,000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郑善伟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331,407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331,407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662,814</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宋健尔</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侯成训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郭莉莉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庞宝光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228,000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837,375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418,688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837,375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1,256,062</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王军辉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董事会秘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848,550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424,276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848,550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1,272,824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675"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41"/>
              <w:jc w:val="left"/>
              <w:rPr>
                <w:rFonts w:ascii="宋体" w:hAnsi="宋体" w:cs="宋体" w:eastAsia="宋体" w:hint="default"/>
                <w:sz w:val="18"/>
                <w:szCs w:val="18"/>
              </w:rPr>
            </w:pPr>
            <w:r>
              <w:rPr>
                <w:rFonts w:ascii="宋体" w:hAnsi="宋体" w:cs="宋体" w:eastAsia="宋体" w:hint="default"/>
                <w:sz w:val="18"/>
                <w:szCs w:val="18"/>
              </w:rPr>
              <w:t>书兼副总 裁</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侯焰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1,101,500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549,957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1,101,500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1,653,043</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1,443,516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721,758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1,443,516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2,165,274</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齐顺杰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张利军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耿岩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2,600,000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6,964,348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2,665,679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6,964,348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11,263,01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bl>
    <w:p>
      <w:pPr>
        <w:spacing w:line="240" w:lineRule="auto" w:before="1"/>
        <w:rPr>
          <w:rFonts w:ascii="宋体" w:hAnsi="宋体" w:cs="宋体" w:eastAsia="宋体" w:hint="default"/>
          <w:b/>
          <w:bCs/>
          <w:sz w:val="18"/>
          <w:szCs w:val="18"/>
        </w:rPr>
      </w:pPr>
    </w:p>
    <w:p>
      <w:pPr>
        <w:pStyle w:val="Heading2"/>
        <w:spacing w:line="240" w:lineRule="auto" w:before="26"/>
        <w:ind w:right="2839"/>
        <w:jc w:val="left"/>
        <w:rPr>
          <w:b w:val="0"/>
          <w:bCs w:val="0"/>
        </w:rPr>
      </w:pP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2839"/>
        <w:jc w:val="left"/>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BodyText"/>
        <w:spacing w:line="430" w:lineRule="atLeast" w:before="18"/>
        <w:ind w:left="513" w:right="0"/>
        <w:jc w:val="left"/>
      </w:pPr>
      <w:r>
        <w:rPr>
          <w:rFonts w:ascii="Times New Roman" w:hAnsi="Times New Roman" w:cs="Times New Roman" w:eastAsia="Times New Roman" w:hint="default"/>
          <w:b/>
          <w:bCs/>
        </w:rPr>
        <w:t>1</w:t>
      </w:r>
      <w:r>
        <w:rPr>
          <w:rFonts w:ascii="宋体" w:hAnsi="宋体" w:cs="宋体" w:eastAsia="宋体" w:hint="default"/>
          <w:b/>
          <w:bCs/>
        </w:rPr>
        <w:t>、公司现任董事任职情况</w:t>
      </w:r>
      <w:r>
        <w:rPr>
          <w:rFonts w:ascii="宋体" w:hAnsi="宋体" w:cs="宋体" w:eastAsia="宋体" w:hint="default"/>
          <w:b/>
          <w:bCs/>
          <w:w w:val="99"/>
        </w:rPr>
        <w:t> </w:t>
      </w:r>
      <w:r>
        <w:rPr>
          <w:spacing w:val="-2"/>
        </w:rPr>
        <w:t>耿殿根先生，中国国籍，无永久境外居留权，</w:t>
      </w:r>
      <w:r>
        <w:rPr>
          <w:rFonts w:ascii="Times New Roman" w:hAnsi="Times New Roman" w:cs="Times New Roman" w:eastAsia="Times New Roman" w:hint="default"/>
          <w:spacing w:val="-2"/>
        </w:rPr>
        <w:t>1956</w:t>
      </w:r>
      <w:r>
        <w:rPr>
          <w:spacing w:val="-2"/>
        </w:rPr>
        <w:t>年出生，汉族，中共党员，毕业于美国德克萨斯阿灵顿商学院，硕士</w:t>
      </w:r>
    </w:p>
    <w:p>
      <w:pPr>
        <w:pStyle w:val="BodyText"/>
        <w:spacing w:line="300" w:lineRule="auto" w:before="63"/>
        <w:ind w:right="144"/>
        <w:jc w:val="left"/>
      </w:pPr>
      <w:r>
        <w:rPr>
          <w:spacing w:val="-2"/>
        </w:rPr>
        <w:t>学历。</w:t>
      </w:r>
      <w:r>
        <w:rPr>
          <w:rFonts w:ascii="Times New Roman" w:hAnsi="Times New Roman" w:cs="Times New Roman" w:eastAsia="Times New Roman" w:hint="default"/>
          <w:spacing w:val="-2"/>
        </w:rPr>
        <w:t>1980</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1987</w:t>
      </w:r>
      <w:r>
        <w:rPr>
          <w:spacing w:val="-2"/>
        </w:rPr>
        <w:t>年</w:t>
      </w:r>
      <w:r>
        <w:rPr>
          <w:rFonts w:ascii="Times New Roman" w:hAnsi="Times New Roman" w:cs="Times New Roman" w:eastAsia="Times New Roman" w:hint="default"/>
          <w:spacing w:val="-2"/>
        </w:rPr>
        <w:t>11</w:t>
      </w:r>
      <w:r>
        <w:rPr>
          <w:spacing w:val="-2"/>
        </w:rPr>
        <w:t>月在北京工艺品进出口公司担任业务员；</w:t>
      </w:r>
      <w:r>
        <w:rPr>
          <w:rFonts w:ascii="Times New Roman" w:hAnsi="Times New Roman" w:cs="Times New Roman" w:eastAsia="Times New Roman" w:hint="default"/>
          <w:spacing w:val="-2"/>
        </w:rPr>
        <w:t>1987</w:t>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1991</w:t>
      </w:r>
      <w:r>
        <w:rPr>
          <w:spacing w:val="-2"/>
        </w:rPr>
        <w:t>年</w:t>
      </w:r>
      <w:r>
        <w:rPr>
          <w:rFonts w:ascii="Times New Roman" w:hAnsi="Times New Roman" w:cs="Times New Roman" w:eastAsia="Times New Roman" w:hint="default"/>
          <w:spacing w:val="-2"/>
        </w:rPr>
        <w:t>1</w:t>
      </w:r>
      <w:r>
        <w:rPr>
          <w:spacing w:val="-2"/>
        </w:rPr>
        <w:t>月任北京京美电子技术有限公司</w:t>
      </w:r>
      <w:r>
        <w:rPr>
          <w:spacing w:val="-55"/>
        </w:rPr>
        <w:t> </w:t>
      </w:r>
      <w:r>
        <w:rPr/>
        <w:t>业务经理；</w:t>
      </w:r>
      <w:r>
        <w:rPr>
          <w:rFonts w:ascii="Times New Roman" w:hAnsi="Times New Roman" w:cs="Times New Roman" w:eastAsia="Times New Roman" w:hint="default"/>
        </w:rPr>
        <w:t>1991</w:t>
      </w:r>
      <w:r>
        <w:rPr/>
        <w:t>年至</w:t>
      </w:r>
      <w:r>
        <w:rPr>
          <w:rFonts w:ascii="Times New Roman" w:hAnsi="Times New Roman" w:cs="Times New Roman" w:eastAsia="Times New Roman" w:hint="default"/>
        </w:rPr>
        <w:t>1995</w:t>
      </w:r>
      <w:r>
        <w:rPr/>
        <w:t>年在北京华电通信公司担任经理；</w:t>
      </w:r>
      <w:r>
        <w:rPr>
          <w:rFonts w:ascii="Times New Roman" w:hAnsi="Times New Roman" w:cs="Times New Roman" w:eastAsia="Times New Roman" w:hint="default"/>
        </w:rPr>
        <w:t>1995</w:t>
      </w:r>
      <w:r>
        <w:rPr/>
        <w:t>年至</w:t>
      </w:r>
      <w:r>
        <w:rPr>
          <w:rFonts w:ascii="Times New Roman" w:hAnsi="Times New Roman" w:cs="Times New Roman" w:eastAsia="Times New Roman" w:hint="default"/>
        </w:rPr>
        <w:t>1998</w:t>
      </w:r>
      <w:r>
        <w:rPr/>
        <w:t>年任光环集团网络通信部经理；</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19</w:t>
      </w:r>
      <w:r>
        <w:rPr/>
        <w:t>日至 </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日担任北京百汇达投资管理有限公司执行董事兼总经理，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日辞去百汇达总经理职务，</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spacing w:val="-2"/>
        </w:rPr>
        <w:t>日起不再担任百汇达执行董事职务；</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w:t>
      </w:r>
      <w:r>
        <w:rPr>
          <w:spacing w:val="-2"/>
        </w:rPr>
        <w:t>日原北京百汇达投资管理有限公司更名为霍尔果斯百汇达股权投资管理合伙</w:t>
      </w:r>
      <w:r>
        <w:rPr>
          <w:spacing w:val="-61"/>
        </w:rPr>
        <w:t> </w:t>
      </w:r>
      <w:r>
        <w:rPr>
          <w:spacing w:val="-61"/>
        </w:rPr>
      </w:r>
      <w:r>
        <w:rPr>
          <w:spacing w:val="-2"/>
        </w:rPr>
        <w:t>企业（有限合伙），</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16</w:t>
      </w:r>
      <w:r>
        <w:rPr>
          <w:spacing w:val="-2"/>
        </w:rPr>
        <w:t>日起担任执行事务合伙人；</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22</w:t>
      </w:r>
      <w:r>
        <w:rPr>
          <w:spacing w:val="-2"/>
        </w:rPr>
        <w:t>日期担任北京光环金网科技有限公司董事长；</w:t>
      </w:r>
      <w:r>
        <w:rPr>
          <w:rFonts w:ascii="Times New Roman" w:hAnsi="Times New Roman" w:cs="Times New Roman" w:eastAsia="Times New Roman" w:hint="default"/>
          <w:spacing w:val="-2"/>
        </w:rPr>
        <w:t>2015</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13</w:t>
      </w:r>
      <w:r>
        <w:rPr/>
        <w:t>日起担任光环传媒股份有限公司董事长；</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日起担任光环时代影视文化有限公司执行董事；</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 </w:t>
      </w:r>
      <w:r>
        <w:rPr/>
        <w:t>日起担任光环影业有限公司执行董事；自</w:t>
      </w:r>
      <w:r>
        <w:rPr>
          <w:rFonts w:ascii="Times New Roman" w:hAnsi="Times New Roman" w:cs="Times New Roman" w:eastAsia="Times New Roman" w:hint="default"/>
        </w:rPr>
        <w:t>1999</w:t>
      </w:r>
      <w:r>
        <w:rPr/>
        <w:t>年创立光环新网并担任董事长兼总经理，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日辞去总经理职务，现 任公司董事长，负责公司战略规划方面工作。</w:t>
      </w:r>
    </w:p>
    <w:p>
      <w:pPr>
        <w:pStyle w:val="BodyText"/>
        <w:spacing w:line="300" w:lineRule="auto" w:before="151"/>
        <w:ind w:right="148" w:firstLine="360"/>
        <w:jc w:val="both"/>
      </w:pPr>
      <w:r>
        <w:rPr/>
        <w:t>杨宇航先生，中国国籍，无永久境外居留权，</w:t>
      </w:r>
      <w:r>
        <w:rPr>
          <w:rFonts w:ascii="Times New Roman" w:hAnsi="Times New Roman" w:cs="Times New Roman" w:eastAsia="Times New Roman" w:hint="default"/>
        </w:rPr>
        <w:t>1962</w:t>
      </w:r>
      <w:r>
        <w:rPr/>
        <w:t>年出生，汉族，毕业于英国</w:t>
      </w:r>
      <w:r>
        <w:rPr>
          <w:rFonts w:ascii="Times New Roman" w:hAnsi="Times New Roman" w:cs="Times New Roman" w:eastAsia="Times New Roman" w:hint="default"/>
        </w:rPr>
        <w:t>ASTON</w:t>
      </w:r>
      <w:r>
        <w:rPr/>
        <w:t>大学，硕士学历。</w:t>
      </w:r>
      <w:r>
        <w:rPr>
          <w:rFonts w:ascii="Times New Roman" w:hAnsi="Times New Roman" w:cs="Times New Roman" w:eastAsia="Times New Roman" w:hint="default"/>
        </w:rPr>
        <w:t>1991</w:t>
      </w:r>
      <w:r>
        <w:rPr/>
        <w:t>年</w:t>
      </w:r>
      <w:r>
        <w:rPr>
          <w:rFonts w:ascii="Times New Roman" w:hAnsi="Times New Roman" w:cs="Times New Roman" w:eastAsia="Times New Roman" w:hint="default"/>
        </w:rPr>
        <w:t>10</w:t>
      </w:r>
      <w:r>
        <w:rPr/>
        <w:t>月至 </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12</w:t>
      </w:r>
      <w:r>
        <w:rPr>
          <w:spacing w:val="-2"/>
        </w:rPr>
        <w:t>月在上海交通大学任教授、博士生导师，期间曾担任校长助理、网络中心主任；</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6</w:t>
      </w:r>
      <w:r>
        <w:rPr>
          <w:spacing w:val="-2"/>
        </w:rPr>
        <w:t>月任长城宽带</w:t>
      </w:r>
      <w:r>
        <w:rPr>
          <w:spacing w:val="-56"/>
        </w:rPr>
        <w:t> </w:t>
      </w:r>
      <w:r>
        <w:rPr>
          <w:spacing w:val="-56"/>
        </w:rPr>
      </w:r>
      <w:r>
        <w:rPr>
          <w:spacing w:val="-2"/>
        </w:rPr>
        <w:t>网络服务有限公司总经理；</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w:t>
      </w:r>
      <w:r>
        <w:rPr>
          <w:spacing w:val="-2"/>
        </w:rPr>
        <w:t>月任中国网络通信有限公司副总裁；</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8</w:t>
      </w:r>
      <w:r>
        <w:rPr>
          <w:spacing w:val="-2"/>
        </w:rPr>
        <w:t>月任中国网通集团南</w:t>
      </w:r>
      <w:r>
        <w:rPr>
          <w:spacing w:val="-50"/>
        </w:rPr>
        <w:t> </w:t>
      </w:r>
      <w:r>
        <w:rPr/>
        <w:t>方通信公司副总裁；</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10</w:t>
      </w:r>
      <w:r>
        <w:rPr/>
        <w:t>月任中录国际文化传播有限公司总裁；</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月任航天数字传媒</w:t>
      </w:r>
    </w:p>
    <w:p>
      <w:pPr>
        <w:spacing w:after="0" w:line="300"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102"/>
        <w:jc w:val="left"/>
      </w:pPr>
      <w:r>
        <w:rPr>
          <w:spacing w:val="-1"/>
        </w:rPr>
        <w:t>有限公司副总经理；</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11</w:t>
      </w:r>
      <w:r>
        <w:rPr>
          <w:spacing w:val="-1"/>
        </w:rPr>
        <w:t>月至</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2</w:t>
      </w:r>
      <w:r>
        <w:rPr>
          <w:spacing w:val="-1"/>
        </w:rPr>
        <w:t>月任中卫普信宽带通信有限公司董事兼总经理；</w:t>
      </w:r>
      <w:r>
        <w:rPr>
          <w:spacing w:val="-25"/>
        </w:rPr>
        <w:t> </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12</w:t>
      </w:r>
      <w:r>
        <w:rPr>
          <w:spacing w:val="-1"/>
        </w:rPr>
        <w:t>日起担任光环新网</w:t>
      </w:r>
    </w:p>
    <w:p>
      <w:pPr>
        <w:pStyle w:val="BodyText"/>
        <w:spacing w:line="300" w:lineRule="auto" w:before="63"/>
        <w:ind w:right="94"/>
        <w:jc w:val="left"/>
      </w:pPr>
      <w:r>
        <w:rPr>
          <w:spacing w:val="-2"/>
        </w:rPr>
        <w:t>（上海）信息服务有限公司执行董事；</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23</w:t>
      </w:r>
      <w:r>
        <w:rPr>
          <w:spacing w:val="-2"/>
        </w:rPr>
        <w:t>日起担任北京蓝沧科技有限公司副董事长；</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12</w:t>
      </w:r>
      <w:r>
        <w:rPr>
          <w:spacing w:val="-2"/>
        </w:rPr>
        <w:t>日起担任北京华</w:t>
      </w:r>
      <w:r>
        <w:rPr>
          <w:spacing w:val="-56"/>
        </w:rPr>
        <w:t> </w:t>
      </w:r>
      <w:r>
        <w:rPr>
          <w:spacing w:val="-56"/>
        </w:rPr>
      </w:r>
      <w:r>
        <w:rPr/>
        <w:t>爱光环科技有限公司董事；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8</w:t>
      </w:r>
      <w:r>
        <w:rPr/>
        <w:t>日担任共青城云创投资管理合伙企业（有限合伙）执行事务合伙人； </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19</w:t>
      </w:r>
      <w:r>
        <w:rPr>
          <w:spacing w:val="-2"/>
        </w:rPr>
        <w:t>日起担任北京德信致远科技有限公司执行董事兼总监；</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19</w:t>
      </w:r>
      <w:r>
        <w:rPr>
          <w:spacing w:val="-2"/>
        </w:rPr>
        <w:t>日起担任北京科信盛彩云计算有限公司董</w:t>
      </w:r>
      <w:r>
        <w:rPr>
          <w:spacing w:val="-56"/>
        </w:rPr>
        <w:t> </w:t>
      </w:r>
      <w:r>
        <w:rPr>
          <w:spacing w:val="-56"/>
        </w:rPr>
      </w:r>
      <w:r>
        <w:rPr/>
        <w:t>事长；</w:t>
      </w:r>
      <w:r>
        <w:rPr>
          <w:spacing w:val="-50"/>
        </w:rPr>
        <w:t>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3</w:t>
      </w:r>
      <w:r>
        <w:rPr/>
        <w:t>日起担任北京中金云网科技有限公司董事；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9</w:t>
      </w:r>
      <w:r>
        <w:rPr/>
        <w:t>日起担任北京无双科技有限公司董事长；</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 </w:t>
      </w:r>
      <w:r>
        <w:rPr/>
        <w:t>月</w:t>
      </w:r>
      <w:r>
        <w:rPr>
          <w:rFonts w:ascii="Times New Roman" w:hAnsi="Times New Roman" w:cs="Times New Roman" w:eastAsia="Times New Roman" w:hint="default"/>
        </w:rPr>
        <w:t>29</w:t>
      </w:r>
      <w:r>
        <w:rPr/>
        <w:t>日起担任光环有云（北京）网络服务有限公司董事长；</w:t>
      </w:r>
      <w:r>
        <w:rPr>
          <w:spacing w:val="-20"/>
        </w:rPr>
        <w:t>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日起担任光环新网（宁夏）云服务有限公司董事长 兼总经理；</w:t>
      </w:r>
      <w:r>
        <w:rPr>
          <w:spacing w:val="-57"/>
        </w:rPr>
        <w:t>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w:t>
      </w:r>
      <w:r>
        <w:rPr/>
        <w:t>日起担任光环传媒股份有限公司董事；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日起担任北京亚逊新网科技有限公司执行董事兼 总经理；</w:t>
      </w:r>
      <w:r>
        <w:rPr>
          <w:spacing w:val="-33"/>
        </w:rPr>
        <w:t> </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3</w:t>
      </w:r>
      <w:r>
        <w:rPr>
          <w:spacing w:val="-3"/>
        </w:rPr>
        <w:t>月起担任公司常务副总经理，现任公司总裁，全面负责公司的经营管理工作；</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w:t>
      </w:r>
      <w:r>
        <w:rPr>
          <w:spacing w:val="-3"/>
        </w:rPr>
        <w:t>月起担任公司董事，</w:t>
      </w:r>
      <w:r>
        <w:rPr>
          <w:spacing w:val="-71"/>
        </w:rPr>
        <w:t> </w:t>
      </w:r>
      <w:r>
        <w:rPr>
          <w:spacing w:val="-71"/>
        </w:rPr>
      </w:r>
      <w:r>
        <w:rPr/>
        <w:t>任期三年。</w:t>
      </w:r>
    </w:p>
    <w:p>
      <w:pPr>
        <w:pStyle w:val="BodyText"/>
        <w:spacing w:line="300" w:lineRule="auto" w:before="151"/>
        <w:ind w:right="184" w:firstLine="360"/>
        <w:jc w:val="left"/>
      </w:pPr>
      <w:r>
        <w:rPr>
          <w:spacing w:val="-2"/>
        </w:rPr>
        <w:t>袁丁女士，中国国籍，无永久境外居留权，</w:t>
      </w:r>
      <w:r>
        <w:rPr>
          <w:rFonts w:ascii="Times New Roman" w:hAnsi="Times New Roman" w:cs="Times New Roman" w:eastAsia="Times New Roman" w:hint="default"/>
          <w:spacing w:val="-2"/>
        </w:rPr>
        <w:t>1975</w:t>
      </w:r>
      <w:r>
        <w:rPr>
          <w:spacing w:val="-2"/>
        </w:rPr>
        <w:t>年出生，汉族，中共党员，毕业于北京航空航天大学，本科学历，经济</w:t>
      </w:r>
      <w:r>
        <w:rPr/>
        <w:t> 师，人力资源管理师。</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4</w:t>
      </w:r>
      <w:r>
        <w:rPr/>
        <w:t>月，在哈尔滨飞机制造公司机动数控科担任技术员；</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12</w:t>
      </w:r>
      <w:r>
        <w:rPr/>
        <w:t>月在 </w:t>
      </w:r>
      <w:r>
        <w:rPr>
          <w:spacing w:val="-2"/>
        </w:rPr>
        <w:t>北京易华特卡信息技术有限公司担任综合部经理；</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2</w:t>
      </w:r>
      <w:r>
        <w:rPr>
          <w:spacing w:val="-2"/>
        </w:rPr>
        <w:t>月至</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2</w:t>
      </w:r>
      <w:r>
        <w:rPr>
          <w:spacing w:val="-2"/>
        </w:rPr>
        <w:t>在北京长城光环宽带网络技术有限公司任人事行政经</w:t>
      </w:r>
      <w:r>
        <w:rPr>
          <w:spacing w:val="-58"/>
        </w:rPr>
        <w:t> </w:t>
      </w:r>
      <w:r>
        <w:rPr>
          <w:spacing w:val="-58"/>
        </w:rPr>
      </w:r>
      <w:r>
        <w:rPr/>
        <w:t>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7</w:t>
      </w:r>
      <w:r>
        <w:rPr/>
        <w:t>日起在光环云谷科技有限公司担任监事；</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日起在北京瑞科新网科技有限公司担任监事；</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w:t>
      </w:r>
      <w:r>
        <w:rPr/>
        <w:t>日起担任光环新网（上海）信息服务有限公司监事；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日担任北京德信致远科技有限公司监事；</w:t>
      </w:r>
      <w:r>
        <w:rPr>
          <w:rFonts w:ascii="Times New Roman" w:hAnsi="Times New Roman" w:cs="Times New Roman" w:eastAsia="Times New Roman" w:hint="default"/>
        </w:rPr>
        <w:t>2015</w:t>
      </w:r>
      <w:r>
        <w:rPr/>
        <w:t>年 </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19</w:t>
      </w:r>
      <w:r>
        <w:rPr>
          <w:spacing w:val="-2"/>
        </w:rPr>
        <w:t>日起在北京科信盛彩云计算有限公司担任董事；</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8</w:t>
      </w:r>
      <w:r>
        <w:rPr>
          <w:spacing w:val="-2"/>
        </w:rPr>
        <w:t>日起在光环新网（宁夏）云服务有限公司担任监事；</w:t>
      </w:r>
      <w:r>
        <w:rPr>
          <w:rFonts w:ascii="Times New Roman" w:hAnsi="Times New Roman" w:cs="Times New Roman" w:eastAsia="Times New Roman" w:hint="default"/>
          <w:spacing w:val="-2"/>
        </w:rPr>
        <w:t>2016</w:t>
      </w:r>
      <w:r>
        <w:rPr>
          <w:rFonts w:ascii="Times New Roman" w:hAnsi="Times New Roman" w:cs="Times New Roman" w:eastAsia="Times New Roman" w:hint="default"/>
          <w:spacing w:val="-8"/>
        </w:rPr>
        <w:t> </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20</w:t>
      </w:r>
      <w:r>
        <w:rPr>
          <w:spacing w:val="-2"/>
        </w:rPr>
        <w:t>日起在亚逊新网科技有限公司担任监事；</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2</w:t>
      </w:r>
      <w:r>
        <w:rPr>
          <w:spacing w:val="-2"/>
        </w:rPr>
        <w:t>月至今在公司人事行政部工作，现任公司人事行政部总监，负责企</w:t>
      </w:r>
      <w:r>
        <w:rPr>
          <w:spacing w:val="-58"/>
        </w:rPr>
        <w:t> </w:t>
      </w:r>
      <w:r>
        <w:rPr>
          <w:spacing w:val="-58"/>
        </w:rPr>
      </w:r>
      <w:r>
        <w:rPr/>
        <w:t>业人事和行政管理工作，现任公司董事。</w:t>
      </w:r>
    </w:p>
    <w:p>
      <w:pPr>
        <w:pStyle w:val="BodyText"/>
        <w:spacing w:line="300" w:lineRule="auto" w:before="151"/>
        <w:ind w:right="186" w:firstLine="360"/>
        <w:jc w:val="both"/>
      </w:pPr>
      <w:r>
        <w:rPr>
          <w:spacing w:val="-2"/>
        </w:rPr>
        <w:t>郑善伟先生，中国国籍，无永久境外居留权，</w:t>
      </w:r>
      <w:r>
        <w:rPr>
          <w:rFonts w:ascii="Times New Roman" w:hAnsi="Times New Roman" w:cs="Times New Roman" w:eastAsia="Times New Roman" w:hint="default"/>
          <w:spacing w:val="-2"/>
        </w:rPr>
        <w:t>1974</w:t>
      </w:r>
      <w:r>
        <w:rPr>
          <w:spacing w:val="-2"/>
        </w:rPr>
        <w:t>年出生，汉族，毕业于清华大学，硕士学位。</w:t>
      </w:r>
      <w:r>
        <w:rPr>
          <w:rFonts w:ascii="Times New Roman" w:hAnsi="Times New Roman" w:cs="Times New Roman" w:eastAsia="Times New Roman" w:hint="default"/>
          <w:spacing w:val="-2"/>
        </w:rPr>
        <w:t>1996</w:t>
      </w:r>
      <w:r>
        <w:rPr>
          <w:spacing w:val="-2"/>
        </w:rPr>
        <w:t>年至</w:t>
      </w:r>
      <w:r>
        <w:rPr>
          <w:rFonts w:ascii="Times New Roman" w:hAnsi="Times New Roman" w:cs="Times New Roman" w:eastAsia="Times New Roman" w:hint="default"/>
          <w:spacing w:val="-2"/>
        </w:rPr>
        <w:t>2001</w:t>
      </w:r>
      <w:r>
        <w:rPr>
          <w:spacing w:val="-2"/>
        </w:rPr>
        <w:t>年，在中</w:t>
      </w:r>
      <w:r>
        <w:rPr/>
        <w:t> </w:t>
      </w:r>
      <w:r>
        <w:rPr>
          <w:spacing w:val="-2"/>
        </w:rPr>
        <w:t>国石油化工集团公司石油化工科学研究院任新技术研发经理，多项发明专利持有人；</w:t>
      </w:r>
      <w:r>
        <w:rPr>
          <w:rFonts w:ascii="Times New Roman" w:hAnsi="Times New Roman" w:cs="Times New Roman" w:eastAsia="Times New Roman" w:hint="default"/>
          <w:spacing w:val="-2"/>
        </w:rPr>
        <w:t>2004</w:t>
      </w:r>
      <w:r>
        <w:rPr>
          <w:spacing w:val="-2"/>
        </w:rPr>
        <w:t>年至</w:t>
      </w:r>
      <w:r>
        <w:rPr>
          <w:rFonts w:ascii="Times New Roman" w:hAnsi="Times New Roman" w:cs="Times New Roman" w:eastAsia="Times New Roman" w:hint="default"/>
          <w:spacing w:val="-2"/>
        </w:rPr>
        <w:t>2005</w:t>
      </w:r>
      <w:r>
        <w:rPr>
          <w:spacing w:val="-2"/>
        </w:rPr>
        <w:t>年，在泰阳证券研究所任</w:t>
      </w:r>
      <w:r>
        <w:rPr>
          <w:spacing w:val="-60"/>
        </w:rPr>
        <w:t> </w:t>
      </w:r>
      <w:r>
        <w:rPr>
          <w:spacing w:val="-60"/>
        </w:rPr>
      </w:r>
      <w:r>
        <w:rPr/>
        <w:t>行业研究员；</w:t>
      </w:r>
      <w:r>
        <w:rPr>
          <w:rFonts w:ascii="Times New Roman" w:hAnsi="Times New Roman" w:cs="Times New Roman" w:eastAsia="Times New Roman" w:hint="default"/>
        </w:rPr>
        <w:t>2005</w:t>
      </w:r>
      <w:r>
        <w:rPr/>
        <w:t>年至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日，在中金数据系统有限公司任副总裁。</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月起担任公司董事，任期三年。</w:t>
      </w:r>
    </w:p>
    <w:p>
      <w:pPr>
        <w:pStyle w:val="BodyText"/>
        <w:spacing w:line="300" w:lineRule="auto" w:before="133"/>
        <w:ind w:right="188" w:firstLine="360"/>
        <w:jc w:val="both"/>
      </w:pPr>
      <w:r>
        <w:rPr>
          <w:spacing w:val="-2"/>
        </w:rPr>
        <w:t>宋健尔先生，中国国籍，</w:t>
      </w:r>
      <w:r>
        <w:rPr>
          <w:rFonts w:ascii="Times New Roman" w:hAnsi="Times New Roman" w:cs="Times New Roman" w:eastAsia="Times New Roman" w:hint="default"/>
          <w:spacing w:val="-2"/>
        </w:rPr>
        <w:t>1967</w:t>
      </w:r>
      <w:r>
        <w:rPr>
          <w:spacing w:val="-2"/>
        </w:rPr>
        <w:t>年出生，汉族，毕业于中国人民大学，硕士学历。</w:t>
      </w:r>
      <w:r>
        <w:rPr>
          <w:rFonts w:ascii="Times New Roman" w:hAnsi="Times New Roman" w:cs="Times New Roman" w:eastAsia="Times New Roman" w:hint="default"/>
          <w:spacing w:val="-2"/>
        </w:rPr>
        <w:t>1988</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1992</w:t>
      </w:r>
      <w:r>
        <w:rPr>
          <w:spacing w:val="-2"/>
        </w:rPr>
        <w:t>年</w:t>
      </w:r>
      <w:r>
        <w:rPr>
          <w:rFonts w:ascii="Times New Roman" w:hAnsi="Times New Roman" w:cs="Times New Roman" w:eastAsia="Times New Roman" w:hint="default"/>
          <w:spacing w:val="-2"/>
        </w:rPr>
        <w:t>3</w:t>
      </w:r>
      <w:r>
        <w:rPr>
          <w:spacing w:val="-2"/>
        </w:rPr>
        <w:t>月，在广州市头实</w:t>
      </w:r>
      <w:r>
        <w:rPr/>
        <w:t> </w:t>
      </w:r>
      <w:r>
        <w:rPr>
          <w:spacing w:val="-2"/>
        </w:rPr>
        <w:t>业有限公司担任科员；</w:t>
      </w:r>
      <w:r>
        <w:rPr>
          <w:rFonts w:ascii="Times New Roman" w:hAnsi="Times New Roman" w:cs="Times New Roman" w:eastAsia="Times New Roman" w:hint="default"/>
          <w:spacing w:val="-2"/>
        </w:rPr>
        <w:t>1992</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1993</w:t>
      </w:r>
      <w:r>
        <w:rPr>
          <w:spacing w:val="-2"/>
        </w:rPr>
        <w:t>年</w:t>
      </w:r>
      <w:r>
        <w:rPr>
          <w:rFonts w:ascii="Times New Roman" w:hAnsi="Times New Roman" w:cs="Times New Roman" w:eastAsia="Times New Roman" w:hint="default"/>
          <w:spacing w:val="-2"/>
        </w:rPr>
        <w:t>5</w:t>
      </w:r>
      <w:r>
        <w:rPr>
          <w:spacing w:val="-2"/>
        </w:rPr>
        <w:t>月，在广州市南公司担任业务经理；</w:t>
      </w:r>
      <w:r>
        <w:rPr>
          <w:rFonts w:ascii="Times New Roman" w:hAnsi="Times New Roman" w:cs="Times New Roman" w:eastAsia="Times New Roman" w:hint="default"/>
          <w:spacing w:val="-2"/>
        </w:rPr>
        <w:t>1993</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9</w:t>
      </w:r>
      <w:r>
        <w:rPr>
          <w:spacing w:val="-2"/>
        </w:rPr>
        <w:t>月，在广州永大集团担</w:t>
      </w:r>
      <w:r>
        <w:rPr>
          <w:spacing w:val="-51"/>
        </w:rPr>
        <w:t> </w:t>
      </w:r>
      <w:r>
        <w:rPr>
          <w:spacing w:val="-51"/>
        </w:rPr>
      </w:r>
      <w:r>
        <w:rPr>
          <w:spacing w:val="-2"/>
        </w:rPr>
        <w:t>任经理；</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8</w:t>
      </w:r>
      <w:r>
        <w:rPr>
          <w:spacing w:val="-2"/>
        </w:rPr>
        <w:t>月，在中国民生银行公司银行部担任支行信贷员；</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6</w:t>
      </w:r>
      <w:r>
        <w:rPr>
          <w:spacing w:val="-2"/>
        </w:rPr>
        <w:t>月，在中国民生银行个</w:t>
      </w:r>
      <w:r>
        <w:rPr>
          <w:spacing w:val="-51"/>
        </w:rPr>
        <w:t> </w:t>
      </w:r>
      <w:r>
        <w:rPr>
          <w:spacing w:val="-51"/>
        </w:rPr>
      </w:r>
      <w:r>
        <w:rPr/>
        <w:t>人银行部担任支行个人部经理；</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7</w:t>
      </w:r>
      <w:r>
        <w:rPr/>
        <w:t>月，在中国民生银行北京管理部亚运村支行担任行长助理，</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8</w:t>
      </w:r>
      <w:r>
        <w:rPr/>
        <w:t>月 起担任支行副行长，</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月担任支行行长；</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月，在中国民生银行北京管理部企业金融 </w:t>
      </w:r>
      <w:r>
        <w:rPr>
          <w:spacing w:val="-2"/>
        </w:rPr>
        <w:t>七中心担任总经理；</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月至今，在中国民生银行北京管理部企业金融八部担任总经理；</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月至今，在中国民生银</w:t>
      </w:r>
      <w:r>
        <w:rPr>
          <w:spacing w:val="-59"/>
        </w:rPr>
        <w:t> </w:t>
      </w:r>
      <w:r>
        <w:rPr>
          <w:spacing w:val="-59"/>
        </w:rPr>
      </w:r>
      <w:r>
        <w:rPr/>
        <w:t>行北京管理部投资银行一部担任总经理。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月起担任公司独立董事，任期三年。</w:t>
      </w:r>
    </w:p>
    <w:p>
      <w:pPr>
        <w:pStyle w:val="BodyText"/>
        <w:spacing w:line="300" w:lineRule="auto" w:before="133"/>
        <w:ind w:right="186" w:firstLine="360"/>
        <w:jc w:val="both"/>
      </w:pPr>
      <w:r>
        <w:rPr>
          <w:spacing w:val="-2"/>
        </w:rPr>
        <w:t>侯成训先生，中国国籍，</w:t>
      </w:r>
      <w:r>
        <w:rPr>
          <w:rFonts w:ascii="Times New Roman" w:hAnsi="Times New Roman" w:cs="Times New Roman" w:eastAsia="Times New Roman" w:hint="default"/>
          <w:spacing w:val="-2"/>
        </w:rPr>
        <w:t>1963</w:t>
      </w:r>
      <w:r>
        <w:rPr>
          <w:spacing w:val="-2"/>
        </w:rPr>
        <w:t>年出生，汉族，毕业于中国政法大学，本科学历，副教授。</w:t>
      </w:r>
      <w:r>
        <w:rPr>
          <w:rFonts w:ascii="Times New Roman" w:hAnsi="Times New Roman" w:cs="Times New Roman" w:eastAsia="Times New Roman" w:hint="default"/>
          <w:spacing w:val="-2"/>
        </w:rPr>
        <w:t>1986</w:t>
      </w:r>
      <w:r>
        <w:rPr>
          <w:spacing w:val="-2"/>
        </w:rPr>
        <w:t>年至</w:t>
      </w:r>
      <w:r>
        <w:rPr>
          <w:rFonts w:ascii="Times New Roman" w:hAnsi="Times New Roman" w:cs="Times New Roman" w:eastAsia="Times New Roman" w:hint="default"/>
          <w:spacing w:val="-2"/>
        </w:rPr>
        <w:t>2000</w:t>
      </w:r>
      <w:r>
        <w:rPr>
          <w:spacing w:val="-2"/>
        </w:rPr>
        <w:t>年，在石油化工</w:t>
      </w:r>
      <w:r>
        <w:rPr/>
        <w:t> </w:t>
      </w:r>
      <w:r>
        <w:rPr>
          <w:spacing w:val="-2"/>
        </w:rPr>
        <w:t>管理干部学院从事教学和科研工作，</w:t>
      </w:r>
      <w:r>
        <w:rPr>
          <w:rFonts w:ascii="Times New Roman" w:hAnsi="Times New Roman" w:cs="Times New Roman" w:eastAsia="Times New Roman" w:hint="default"/>
          <w:spacing w:val="-2"/>
        </w:rPr>
        <w:t>2000</w:t>
      </w:r>
      <w:r>
        <w:rPr>
          <w:spacing w:val="-2"/>
        </w:rPr>
        <w:t>年至今，先后在北京市观韬律师事务所、北京市乾坤律师事务所工作，现任北京市</w:t>
      </w:r>
      <w:r>
        <w:rPr>
          <w:spacing w:val="-60"/>
        </w:rPr>
        <w:t> </w:t>
      </w:r>
      <w:r>
        <w:rPr>
          <w:spacing w:val="-60"/>
        </w:rPr>
      </w:r>
      <w:r>
        <w:rPr/>
        <w:t>中永律师事务所高级合伙人。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月起担任公司独立董事，任期三年。</w:t>
      </w:r>
    </w:p>
    <w:p>
      <w:pPr>
        <w:pStyle w:val="BodyText"/>
        <w:spacing w:line="307" w:lineRule="auto" w:before="133"/>
        <w:ind w:right="192" w:firstLine="360"/>
        <w:jc w:val="both"/>
      </w:pPr>
      <w:r>
        <w:rPr>
          <w:spacing w:val="-2"/>
        </w:rPr>
        <w:t>郭莉莉女士，中国国籍，</w:t>
      </w:r>
      <w:r>
        <w:rPr>
          <w:rFonts w:ascii="Times New Roman" w:hAnsi="Times New Roman" w:cs="Times New Roman" w:eastAsia="Times New Roman" w:hint="default"/>
          <w:spacing w:val="-2"/>
        </w:rPr>
        <w:t>1963</w:t>
      </w:r>
      <w:r>
        <w:rPr>
          <w:spacing w:val="-2"/>
        </w:rPr>
        <w:t>年出生，无境外永久居留权，大学学历，注册会计师。曾任沈飞工学院教师，岳华会计师</w:t>
      </w:r>
      <w:r>
        <w:rPr/>
        <w:t> 事务所项目经理、部门经理、总经理助理、副主任会计、合伙人，福建榕基软件开发股份有限公司董事、财务总监</w:t>
      </w:r>
      <w:r>
        <w:rPr>
          <w:rFonts w:ascii="Times New Roman" w:hAnsi="Times New Roman" w:cs="Times New Roman" w:eastAsia="Times New Roman" w:hint="default"/>
        </w:rPr>
        <w:t>,</w:t>
      </w:r>
      <w:r>
        <w:rPr/>
        <w:t>中磊会 </w:t>
      </w:r>
      <w:r>
        <w:rPr>
          <w:spacing w:val="-2"/>
        </w:rPr>
        <w:t>计师事务所有限公司副主任会计师。现任大信会计师事务所（特殊普通合伙）合伙人，科迈化工股份有限公司独立董事，乐</w:t>
      </w:r>
      <w:r>
        <w:rPr>
          <w:spacing w:val="-65"/>
        </w:rPr>
        <w:t> </w:t>
      </w:r>
      <w:r>
        <w:rPr>
          <w:spacing w:val="-65"/>
        </w:rPr>
      </w:r>
      <w:r>
        <w:rPr/>
        <w:t>凯新材独立董事。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月起担任公司独立董事，任期三年。</w:t>
      </w:r>
    </w:p>
    <w:p>
      <w:pPr>
        <w:pStyle w:val="Heading5"/>
        <w:spacing w:line="240" w:lineRule="auto" w:before="127"/>
        <w:ind w:right="183"/>
        <w:jc w:val="left"/>
        <w:rPr>
          <w:b w:val="0"/>
          <w:bCs w:val="0"/>
        </w:rPr>
      </w:pPr>
      <w:r>
        <w:rPr>
          <w:rFonts w:ascii="Times New Roman" w:hAnsi="Times New Roman" w:cs="Times New Roman" w:eastAsia="Times New Roman" w:hint="default"/>
        </w:rPr>
        <w:t>2</w:t>
      </w:r>
      <w:r>
        <w:rPr/>
        <w:t>、公司现任监事任职情况</w:t>
      </w:r>
      <w:r>
        <w:rPr>
          <w:b w:val="0"/>
          <w:bCs w:val="0"/>
        </w:rPr>
      </w:r>
    </w:p>
    <w:p>
      <w:pPr>
        <w:spacing w:line="240" w:lineRule="auto" w:before="13"/>
        <w:rPr>
          <w:rFonts w:ascii="宋体" w:hAnsi="宋体" w:cs="宋体" w:eastAsia="宋体" w:hint="default"/>
          <w:b/>
          <w:bCs/>
          <w:sz w:val="13"/>
          <w:szCs w:val="13"/>
        </w:rPr>
      </w:pPr>
    </w:p>
    <w:p>
      <w:pPr>
        <w:pStyle w:val="BodyText"/>
        <w:spacing w:line="300" w:lineRule="auto"/>
        <w:ind w:right="105" w:firstLine="432"/>
        <w:jc w:val="both"/>
      </w:pPr>
      <w:r>
        <w:rPr/>
        <w:t>庞宝光女士，中国国籍，汉族，</w:t>
      </w:r>
      <w:r>
        <w:rPr>
          <w:rFonts w:ascii="Times New Roman" w:hAnsi="Times New Roman" w:cs="Times New Roman" w:eastAsia="Times New Roman" w:hint="default"/>
        </w:rPr>
        <w:t>1973</w:t>
      </w:r>
      <w:r>
        <w:rPr/>
        <w:t>年出生，本科学历，经济师，人力资源管理师，商务策划师。</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2000 </w:t>
      </w:r>
      <w:r>
        <w:rPr/>
        <w:t>年</w:t>
      </w:r>
      <w:r>
        <w:rPr>
          <w:rFonts w:ascii="Times New Roman" w:hAnsi="Times New Roman" w:cs="Times New Roman" w:eastAsia="Times New Roman" w:hint="default"/>
        </w:rPr>
        <w:t>4</w:t>
      </w:r>
      <w:r>
        <w:rPr/>
        <w:t>月在广东省茂名市邮电局工作；</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5</w:t>
      </w:r>
      <w:r>
        <w:rPr/>
        <w:t>月至今在公司人事行政部工作，任公司人事行政部经理，现任公司监事会主席。</w:t>
      </w:r>
    </w:p>
    <w:p>
      <w:pPr>
        <w:pStyle w:val="BodyText"/>
        <w:spacing w:line="300" w:lineRule="auto" w:before="133"/>
        <w:ind w:right="190" w:firstLine="360"/>
        <w:jc w:val="both"/>
      </w:pPr>
      <w:r>
        <w:rPr/>
        <w:t>李超女士，中国国籍，</w:t>
      </w:r>
      <w:r>
        <w:rPr>
          <w:rFonts w:ascii="Times New Roman" w:hAnsi="Times New Roman" w:cs="Times New Roman" w:eastAsia="Times New Roman" w:hint="default"/>
        </w:rPr>
        <w:t>1977</w:t>
      </w:r>
      <w:r>
        <w:rPr/>
        <w:t>年出生，汉族，毕业于中国民用航空大学，本科学历，助理工程师。</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spacing w:val="-2"/>
        </w:rPr>
        <w:t>月在北京市政公司第二分公司任测量员；</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11</w:t>
      </w:r>
      <w:r>
        <w:rPr>
          <w:spacing w:val="-2"/>
        </w:rPr>
        <w:t>月至今在公司客户服务部（后改建为运营管理中心）工作，现任公司运营</w:t>
      </w:r>
      <w:r>
        <w:rPr>
          <w:spacing w:val="-59"/>
        </w:rPr>
        <w:t> </w:t>
      </w:r>
      <w:r>
        <w:rPr>
          <w:spacing w:val="-59"/>
        </w:rPr>
      </w:r>
      <w:r>
        <w:rPr/>
        <w:t>管理中心总监、公司监事。</w:t>
      </w:r>
    </w:p>
    <w:p>
      <w:pPr>
        <w:pStyle w:val="BodyText"/>
        <w:spacing w:line="240" w:lineRule="auto" w:before="151"/>
        <w:ind w:left="513" w:right="102"/>
        <w:jc w:val="left"/>
      </w:pPr>
      <w:r>
        <w:rPr/>
        <w:t>王军辉先生，中国国籍，</w:t>
      </w:r>
      <w:r>
        <w:rPr>
          <w:rFonts w:ascii="Times New Roman" w:hAnsi="Times New Roman" w:cs="Times New Roman" w:eastAsia="Times New Roman" w:hint="default"/>
        </w:rPr>
        <w:t>1984</w:t>
      </w:r>
      <w:r>
        <w:rPr/>
        <w:t>年出生，汉族，毕业于北京师范大学，硕士学位。</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月在北京法意科</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00" w:lineRule="auto" w:before="44"/>
        <w:ind w:right="189"/>
        <w:jc w:val="both"/>
      </w:pPr>
      <w:r>
        <w:rPr/>
        <w:t>技有限公司担任法律编辑；</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月在北京市勤道律师事务所担任律师助理；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月至今在光环有云（北 </w:t>
      </w:r>
      <w:r>
        <w:rPr>
          <w:spacing w:val="-2"/>
        </w:rPr>
        <w:t>京）网络服务有限公司担任董事；</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9</w:t>
      </w:r>
      <w:r>
        <w:rPr>
          <w:spacing w:val="-2"/>
        </w:rPr>
        <w:t>月至今在光环传媒股份有限公司担任监事；</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月至今在公司担任总裁法务助</w:t>
      </w:r>
      <w:r>
        <w:rPr>
          <w:spacing w:val="-55"/>
        </w:rPr>
        <w:t> </w:t>
      </w:r>
      <w:r>
        <w:rPr/>
        <w:t>理，现任公司监事。</w:t>
      </w:r>
    </w:p>
    <w:p>
      <w:pPr>
        <w:spacing w:line="415" w:lineRule="auto" w:before="151"/>
        <w:ind w:left="513" w:right="407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、公司现任高级管理人员任职情况</w:t>
      </w:r>
      <w:r>
        <w:rPr>
          <w:rFonts w:ascii="宋体" w:hAnsi="宋体" w:cs="宋体" w:eastAsia="宋体" w:hint="default"/>
          <w:b/>
          <w:bCs/>
          <w:w w:val="99"/>
          <w:sz w:val="18"/>
          <w:szCs w:val="18"/>
        </w:rPr>
        <w:t> </w:t>
      </w:r>
      <w:r>
        <w:rPr>
          <w:rFonts w:ascii="宋体" w:hAnsi="宋体" w:cs="宋体" w:eastAsia="宋体" w:hint="default"/>
          <w:sz w:val="18"/>
          <w:szCs w:val="18"/>
        </w:rPr>
        <w:t>杨宇航先生，现任公司总裁，请参见本节</w:t>
      </w:r>
      <w:r>
        <w:rPr>
          <w:rFonts w:ascii="Times New Roman" w:hAnsi="Times New Roman" w:cs="Times New Roman" w:eastAsia="Times New Roman" w:hint="default"/>
          <w:sz w:val="18"/>
          <w:szCs w:val="18"/>
        </w:rPr>
        <w:t>“</w:t>
      </w:r>
      <w:r>
        <w:rPr>
          <w:rFonts w:ascii="宋体" w:hAnsi="宋体" w:cs="宋体" w:eastAsia="宋体" w:hint="default"/>
          <w:sz w:val="18"/>
          <w:szCs w:val="18"/>
        </w:rPr>
        <w:t>现任公司董事任期情况</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BodyText"/>
        <w:spacing w:line="240" w:lineRule="auto" w:before="37"/>
        <w:ind w:left="513" w:right="102"/>
        <w:jc w:val="left"/>
      </w:pPr>
      <w:r>
        <w:rPr/>
        <w:t>侯焰女士，中国国籍，无永久境外居留权，</w:t>
      </w:r>
      <w:r>
        <w:rPr>
          <w:rFonts w:ascii="Times New Roman" w:hAnsi="Times New Roman" w:cs="Times New Roman" w:eastAsia="Times New Roman" w:hint="default"/>
        </w:rPr>
        <w:t>1966</w:t>
      </w:r>
      <w:r>
        <w:rPr/>
        <w:t>年出生，汉族，毕业于中国科技信息研究所，硕士学历。</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8</w:t>
      </w:r>
      <w:r>
        <w:rPr/>
        <w:t>月至</w:t>
      </w:r>
    </w:p>
    <w:p>
      <w:pPr>
        <w:pStyle w:val="BodyText"/>
        <w:spacing w:line="240" w:lineRule="auto" w:before="63"/>
        <w:ind w:right="0"/>
        <w:jc w:val="both"/>
      </w:pPr>
      <w:r>
        <w:rPr>
          <w:rFonts w:ascii="Times New Roman" w:hAnsi="Times New Roman" w:cs="Times New Roman" w:eastAsia="Times New Roman" w:hint="default"/>
        </w:rPr>
        <w:t>1995</w:t>
      </w:r>
      <w:r>
        <w:rPr/>
        <w:t>年</w:t>
      </w:r>
      <w:r>
        <w:rPr>
          <w:rFonts w:ascii="Times New Roman" w:hAnsi="Times New Roman" w:cs="Times New Roman" w:eastAsia="Times New Roman" w:hint="default"/>
        </w:rPr>
        <w:t>12</w:t>
      </w:r>
      <w:r>
        <w:rPr/>
        <w:t>月在中国科技情报研究所国家科委成果管理办公室工作；</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11</w:t>
      </w:r>
      <w:r>
        <w:rPr/>
        <w:t>月在中国新兴进出口总公司工作；</w:t>
      </w:r>
    </w:p>
    <w:p>
      <w:pPr>
        <w:pStyle w:val="BodyText"/>
        <w:spacing w:line="300" w:lineRule="auto" w:before="63"/>
        <w:ind w:right="190"/>
        <w:jc w:val="both"/>
      </w:pP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10</w:t>
      </w:r>
      <w:r>
        <w:rPr/>
        <w:t>月在北京九瑞科技有限公司任渠道和市场部经理；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月至今在光环云谷科技有限公司担任副总 </w:t>
      </w:r>
      <w:r>
        <w:rPr>
          <w:spacing w:val="-2"/>
        </w:rPr>
        <w:t>经理；</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12</w:t>
      </w:r>
      <w:r>
        <w:rPr>
          <w:spacing w:val="-2"/>
        </w:rPr>
        <w:t>月到</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9</w:t>
      </w:r>
      <w:r>
        <w:rPr>
          <w:spacing w:val="-2"/>
        </w:rPr>
        <w:t>月在公司任总经理助理，</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9</w:t>
      </w:r>
      <w:r>
        <w:rPr>
          <w:spacing w:val="-2"/>
        </w:rPr>
        <w:t>月至今任公司副总裁，负责企业采购管理、人事行政管理和合</w:t>
      </w:r>
      <w:r>
        <w:rPr>
          <w:spacing w:val="-55"/>
        </w:rPr>
        <w:t> </w:t>
      </w:r>
      <w:r>
        <w:rPr>
          <w:spacing w:val="-55"/>
        </w:rPr>
      </w:r>
      <w:r>
        <w:rPr/>
        <w:t>同管理等工作。</w:t>
      </w:r>
    </w:p>
    <w:p>
      <w:pPr>
        <w:pStyle w:val="BodyText"/>
        <w:spacing w:line="300" w:lineRule="auto" w:before="152"/>
        <w:ind w:right="183" w:firstLine="360"/>
        <w:jc w:val="left"/>
      </w:pPr>
      <w:r>
        <w:rPr/>
        <w:t>陈浩先生，中国国籍，无永久境外居留权，</w:t>
      </w:r>
      <w:r>
        <w:rPr>
          <w:rFonts w:ascii="Times New Roman" w:hAnsi="Times New Roman" w:cs="Times New Roman" w:eastAsia="Times New Roman" w:hint="default"/>
        </w:rPr>
        <w:t>1970</w:t>
      </w:r>
      <w:r>
        <w:rPr/>
        <w:t>年出生，汉族，毕业于太原机械学院，本科学历，高级工程师。</w:t>
      </w:r>
      <w:r>
        <w:rPr>
          <w:rFonts w:ascii="Times New Roman" w:hAnsi="Times New Roman" w:cs="Times New Roman" w:eastAsia="Times New Roman" w:hint="default"/>
        </w:rPr>
        <w:t>1993 </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11</w:t>
      </w:r>
      <w:r>
        <w:rPr>
          <w:spacing w:val="-2"/>
        </w:rPr>
        <w:t>月在中信机电公司任总体室工程师；</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w:t>
      </w:r>
      <w:r>
        <w:rPr>
          <w:spacing w:val="-2"/>
        </w:rPr>
        <w:t>月至今在光环云谷科技有限公司担任副总经理；</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11</w:t>
      </w:r>
      <w:r>
        <w:rPr>
          <w:spacing w:val="-2"/>
        </w:rPr>
        <w:t>月至</w:t>
      </w:r>
      <w:r>
        <w:rPr>
          <w:spacing w:val="-57"/>
        </w:rPr>
        <w:t> </w:t>
      </w:r>
      <w:r>
        <w:rPr>
          <w:spacing w:val="-2"/>
        </w:rPr>
        <w:t>今在西安博凯创达数字科技有限公司担任监事；</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11</w:t>
      </w:r>
      <w:r>
        <w:rPr>
          <w:spacing w:val="-2"/>
        </w:rPr>
        <w:t>月至今在公司技术部门工作，现任公司副总裁，负责技术管理及售</w:t>
      </w:r>
      <w:r>
        <w:rPr>
          <w:spacing w:val="-59"/>
        </w:rPr>
        <w:t> </w:t>
      </w:r>
      <w:r>
        <w:rPr>
          <w:spacing w:val="-59"/>
        </w:rPr>
      </w:r>
      <w:r>
        <w:rPr/>
        <w:t>后服务等工作。</w:t>
      </w:r>
    </w:p>
    <w:p>
      <w:pPr>
        <w:pStyle w:val="BodyText"/>
        <w:spacing w:line="300" w:lineRule="auto" w:before="151"/>
        <w:ind w:right="184" w:firstLine="360"/>
        <w:jc w:val="left"/>
      </w:pPr>
      <w:r>
        <w:rPr>
          <w:spacing w:val="-2"/>
        </w:rPr>
        <w:t>齐顺杰先生，中国国籍，无永久境外居留权，</w:t>
      </w:r>
      <w:r>
        <w:rPr>
          <w:rFonts w:ascii="Times New Roman" w:hAnsi="Times New Roman" w:cs="Times New Roman" w:eastAsia="Times New Roman" w:hint="default"/>
          <w:spacing w:val="-2"/>
        </w:rPr>
        <w:t>1968</w:t>
      </w:r>
      <w:r>
        <w:rPr>
          <w:spacing w:val="-2"/>
        </w:rPr>
        <w:t>年出生，汉族，中共党员，毕业于美国德克萨斯阿灵顿商学院，硕士</w:t>
      </w:r>
      <w:r>
        <w:rPr/>
        <w:t> </w:t>
      </w:r>
      <w:r>
        <w:rPr>
          <w:spacing w:val="-1"/>
        </w:rPr>
        <w:t>学历。</w:t>
      </w:r>
      <w:r>
        <w:rPr>
          <w:rFonts w:ascii="Times New Roman" w:hAnsi="Times New Roman" w:cs="Times New Roman" w:eastAsia="Times New Roman" w:hint="default"/>
          <w:spacing w:val="-1"/>
        </w:rPr>
        <w:t>1990</w:t>
      </w:r>
      <w:r>
        <w:rPr>
          <w:spacing w:val="-1"/>
        </w:rPr>
        <w:t>年</w:t>
      </w:r>
      <w:r>
        <w:rPr>
          <w:rFonts w:ascii="Times New Roman" w:hAnsi="Times New Roman" w:cs="Times New Roman" w:eastAsia="Times New Roman" w:hint="default"/>
          <w:spacing w:val="-1"/>
        </w:rPr>
        <w:t>5</w:t>
      </w:r>
      <w:r>
        <w:rPr>
          <w:spacing w:val="-1"/>
        </w:rPr>
        <w:t>至</w:t>
      </w:r>
      <w:r>
        <w:rPr>
          <w:rFonts w:ascii="Times New Roman" w:hAnsi="Times New Roman" w:cs="Times New Roman" w:eastAsia="Times New Roman" w:hint="default"/>
          <w:spacing w:val="-1"/>
        </w:rPr>
        <w:t>1995</w:t>
      </w:r>
      <w:r>
        <w:rPr>
          <w:spacing w:val="-1"/>
        </w:rPr>
        <w:t>年</w:t>
      </w:r>
      <w:r>
        <w:rPr>
          <w:rFonts w:ascii="Times New Roman" w:hAnsi="Times New Roman" w:cs="Times New Roman" w:eastAsia="Times New Roman" w:hint="default"/>
          <w:spacing w:val="-1"/>
        </w:rPr>
        <w:t>2</w:t>
      </w:r>
      <w:r>
        <w:rPr>
          <w:spacing w:val="-1"/>
        </w:rPr>
        <w:t>月在顶新集团下属北京顶好制油有限公司从事销售工作；</w:t>
      </w:r>
      <w:r>
        <w:rPr>
          <w:rFonts w:ascii="Times New Roman" w:hAnsi="Times New Roman" w:cs="Times New Roman" w:eastAsia="Times New Roman" w:hint="default"/>
          <w:spacing w:val="-1"/>
        </w:rPr>
        <w:t>1995</w:t>
      </w:r>
      <w:r>
        <w:rPr>
          <w:spacing w:val="-1"/>
        </w:rPr>
        <w:t>年</w:t>
      </w:r>
      <w:r>
        <w:rPr>
          <w:rFonts w:ascii="Times New Roman" w:hAnsi="Times New Roman" w:cs="Times New Roman" w:eastAsia="Times New Roman" w:hint="default"/>
          <w:spacing w:val="-1"/>
        </w:rPr>
        <w:t>6</w:t>
      </w:r>
      <w:r>
        <w:rPr>
          <w:spacing w:val="-1"/>
        </w:rPr>
        <w:t>月至</w:t>
      </w:r>
      <w:r>
        <w:rPr>
          <w:rFonts w:ascii="Times New Roman" w:hAnsi="Times New Roman" w:cs="Times New Roman" w:eastAsia="Times New Roman" w:hint="default"/>
          <w:spacing w:val="-1"/>
        </w:rPr>
        <w:t>1998</w:t>
      </w:r>
      <w:r>
        <w:rPr>
          <w:spacing w:val="-1"/>
        </w:rPr>
        <w:t>年</w:t>
      </w:r>
      <w:r>
        <w:rPr>
          <w:rFonts w:ascii="Times New Roman" w:hAnsi="Times New Roman" w:cs="Times New Roman" w:eastAsia="Times New Roman" w:hint="default"/>
          <w:spacing w:val="-1"/>
        </w:rPr>
        <w:t>3</w:t>
      </w:r>
      <w:r>
        <w:rPr>
          <w:spacing w:val="-1"/>
        </w:rPr>
        <w:t>月在宝隆洋行</w:t>
      </w:r>
      <w:r>
        <w:rPr>
          <w:rFonts w:ascii="Times New Roman" w:hAnsi="Times New Roman" w:cs="Times New Roman" w:eastAsia="Times New Roman" w:hint="default"/>
          <w:spacing w:val="-1"/>
        </w:rPr>
        <w:t>(</w:t>
      </w:r>
      <w:r>
        <w:rPr>
          <w:spacing w:val="-1"/>
        </w:rPr>
        <w:t>中国</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7"/>
        </w:rPr>
        <w:t> </w:t>
      </w:r>
      <w:r>
        <w:rPr/>
        <w:t>有限公司行销服务部从事销售工作；</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2</w:t>
      </w:r>
      <w:r>
        <w:rPr/>
        <w:t>月在张家口联合利华有限公司任销售经理；</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5 </w:t>
      </w:r>
      <w:r>
        <w:rPr/>
        <w:t>月，在联合利华（中国）有限公司任中国北方区销售经理；</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12</w:t>
      </w:r>
      <w:r>
        <w:rPr/>
        <w:t>月，在意大利帕玛拉特乳品（中国）任中 </w:t>
      </w:r>
      <w:r>
        <w:rPr>
          <w:spacing w:val="-2"/>
        </w:rPr>
        <w:t>国区销售总监；</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月至今在北京华爱光环科技有限公司担任总经理；</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3</w:t>
      </w:r>
      <w:r>
        <w:rPr>
          <w:spacing w:val="-2"/>
        </w:rPr>
        <w:t>月至今担任公司副总裁，目前负责拓展市</w:t>
      </w:r>
      <w:r>
        <w:rPr>
          <w:spacing w:val="-59"/>
        </w:rPr>
        <w:t> </w:t>
      </w:r>
      <w:r>
        <w:rPr>
          <w:spacing w:val="-59"/>
        </w:rPr>
      </w:r>
      <w:r>
        <w:rPr/>
        <w:t>场、开发新业务、企业形象宣传及其它相关外联及协调工作。</w:t>
      </w:r>
    </w:p>
    <w:p>
      <w:pPr>
        <w:pStyle w:val="BodyText"/>
        <w:spacing w:line="300" w:lineRule="auto" w:before="151"/>
        <w:ind w:right="187" w:firstLine="360"/>
        <w:jc w:val="both"/>
      </w:pPr>
      <w:r>
        <w:rPr>
          <w:spacing w:val="-2"/>
        </w:rPr>
        <w:t>耿岩先生，</w:t>
      </w:r>
      <w:r>
        <w:rPr>
          <w:rFonts w:ascii="Times New Roman" w:hAnsi="Times New Roman" w:cs="Times New Roman" w:eastAsia="Times New Roman" w:hint="default"/>
          <w:spacing w:val="-2"/>
        </w:rPr>
        <w:t>1980</w:t>
      </w:r>
      <w:r>
        <w:rPr>
          <w:spacing w:val="-2"/>
        </w:rPr>
        <w:t>年出生，中国国籍，无永久境外居留权，汉族，毕业于中国人民大学商学院，高级管理人员工商管理硕</w:t>
      </w:r>
      <w:r>
        <w:rPr/>
        <w:t> </w:t>
      </w:r>
      <w:r>
        <w:rPr>
          <w:spacing w:val="-1"/>
        </w:rPr>
        <w:t>士（</w:t>
      </w:r>
      <w:r>
        <w:rPr>
          <w:rFonts w:ascii="Times New Roman" w:hAnsi="Times New Roman" w:cs="Times New Roman" w:eastAsia="Times New Roman" w:hint="default"/>
          <w:spacing w:val="-1"/>
        </w:rPr>
        <w:t>EMBA)</w:t>
      </w:r>
      <w:r>
        <w:rPr>
          <w:spacing w:val="-1"/>
        </w:rPr>
        <w:t>。</w:t>
      </w:r>
      <w:r>
        <w:rPr>
          <w:rFonts w:ascii="Times New Roman" w:hAnsi="Times New Roman" w:cs="Times New Roman" w:eastAsia="Times New Roman" w:hint="default"/>
          <w:spacing w:val="-1"/>
        </w:rPr>
        <w:t>2005</w:t>
      </w:r>
      <w:r>
        <w:rPr>
          <w:spacing w:val="-1"/>
        </w:rPr>
        <w:t>年</w:t>
      </w:r>
      <w:r>
        <w:rPr>
          <w:rFonts w:ascii="Times New Roman" w:hAnsi="Times New Roman" w:cs="Times New Roman" w:eastAsia="Times New Roman" w:hint="default"/>
          <w:spacing w:val="-1"/>
        </w:rPr>
        <w:t>8</w:t>
      </w:r>
      <w:r>
        <w:rPr>
          <w:spacing w:val="-1"/>
        </w:rPr>
        <w:t>月至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9</w:t>
      </w:r>
      <w:r>
        <w:rPr>
          <w:spacing w:val="-1"/>
        </w:rPr>
        <w:t>月担任北京光环恒通数字技术有限公司董事长兼总经理，为该公司法定代表人；</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18"/>
        </w:rPr>
        <w:t> </w:t>
      </w:r>
      <w:r>
        <w:rPr>
          <w:spacing w:val="-2"/>
        </w:rPr>
        <w:t>月至今担任光环云谷科技有限公司执行董事，为该公司法定代表人；</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12</w:t>
      </w:r>
      <w:r>
        <w:rPr>
          <w:spacing w:val="-2"/>
        </w:rPr>
        <w:t>月至今担任西安博凯创达数字科技有限公司执</w:t>
      </w:r>
      <w:r>
        <w:rPr>
          <w:spacing w:val="-60"/>
        </w:rPr>
        <w:t> </w:t>
      </w:r>
      <w:r>
        <w:rPr>
          <w:spacing w:val="-60"/>
        </w:rPr>
      </w:r>
      <w:r>
        <w:rPr/>
        <w:t>行董事兼总经理，为该公司法定代表人；</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月至今担任北京瑞科新网科技有限公司执行董事兼总经理；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月至 </w:t>
      </w:r>
      <w:r>
        <w:rPr>
          <w:spacing w:val="-2"/>
        </w:rPr>
        <w:t>今担任光环有云（北京）网络服务有限公司董事；</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月至今担任光环新网（宁夏）云服务有限公司董事；</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9</w:t>
      </w:r>
      <w:r>
        <w:rPr>
          <w:spacing w:val="-2"/>
        </w:rPr>
        <w:t>月至</w:t>
      </w:r>
      <w:r>
        <w:rPr>
          <w:spacing w:val="-61"/>
        </w:rPr>
        <w:t> </w:t>
      </w:r>
      <w:r>
        <w:rPr/>
        <w:t>今在公司市场部工作，现任公司副总裁，全面负责公司各项业务的销售和管理工作。</w:t>
      </w:r>
    </w:p>
    <w:p>
      <w:pPr>
        <w:pStyle w:val="BodyText"/>
        <w:spacing w:line="300" w:lineRule="auto" w:before="151"/>
        <w:ind w:right="94" w:firstLine="360"/>
        <w:jc w:val="left"/>
      </w:pPr>
      <w:r>
        <w:rPr/>
        <w:t>高宏女士，中国国籍，无永久境外居留权，</w:t>
      </w:r>
      <w:r>
        <w:rPr>
          <w:rFonts w:ascii="Times New Roman" w:hAnsi="Times New Roman" w:cs="Times New Roman" w:eastAsia="Times New Roman" w:hint="default"/>
        </w:rPr>
        <w:t>1970</w:t>
      </w:r>
      <w:r>
        <w:rPr/>
        <w:t>年出生，汉族，毕业于南开大学，本科学历。</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8</w:t>
      </w:r>
      <w:r>
        <w:rPr/>
        <w:t>月，</w:t>
      </w:r>
      <w:r>
        <w:rPr>
          <w:spacing w:val="2"/>
        </w:rPr>
        <w:t> </w:t>
      </w:r>
      <w:r>
        <w:rPr>
          <w:spacing w:val="-2"/>
        </w:rPr>
        <w:t>在北京天伦王朝饭店任高级销售经理；</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8</w:t>
      </w:r>
      <w:r>
        <w:rPr>
          <w:spacing w:val="-2"/>
        </w:rPr>
        <w:t>月，在盛世长城国际广告任业务拓展经理；</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6"/>
        </w:rPr>
        <w:t> </w:t>
      </w:r>
      <w:r>
        <w:rPr>
          <w:spacing w:val="-2"/>
        </w:rPr>
        <w:t>月在北京光环恒通数字技术有限公司担任董事；</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w:t>
      </w:r>
      <w:r>
        <w:rPr>
          <w:spacing w:val="-2"/>
        </w:rPr>
        <w:t>月至今在光环云谷科技有限公司担任副总经理；</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2</w:t>
      </w:r>
      <w:r>
        <w:rPr>
          <w:spacing w:val="-2"/>
        </w:rPr>
        <w:t>月至今在中</w:t>
      </w:r>
      <w:r>
        <w:rPr>
          <w:spacing w:val="-60"/>
        </w:rPr>
        <w:t> </w:t>
      </w:r>
      <w:r>
        <w:rPr>
          <w:spacing w:val="-60"/>
        </w:rPr>
      </w:r>
      <w:r>
        <w:rPr>
          <w:spacing w:val="-2"/>
        </w:rPr>
        <w:t>金云网科技有限公司担任董事；</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月至今在北京无双科技有限公司担任董事；</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9</w:t>
      </w:r>
      <w:r>
        <w:rPr>
          <w:spacing w:val="-2"/>
        </w:rPr>
        <w:t>月至今在公司工作，现任公司副</w:t>
      </w:r>
      <w:r>
        <w:rPr>
          <w:spacing w:val="-59"/>
        </w:rPr>
        <w:t> </w:t>
      </w:r>
      <w:r>
        <w:rPr>
          <w:spacing w:val="-59"/>
        </w:rPr>
      </w:r>
      <w:r>
        <w:rPr/>
        <w:t>总裁兼任公司董事会秘书。</w:t>
      </w:r>
    </w:p>
    <w:p>
      <w:pPr>
        <w:pStyle w:val="BodyText"/>
        <w:spacing w:line="300" w:lineRule="auto" w:before="151"/>
        <w:ind w:right="184" w:firstLine="360"/>
        <w:jc w:val="left"/>
      </w:pPr>
      <w:r>
        <w:rPr>
          <w:spacing w:val="-2"/>
        </w:rPr>
        <w:t>张利军先生，中国国籍，无永久境外居留权，</w:t>
      </w:r>
      <w:r>
        <w:rPr>
          <w:rFonts w:ascii="Times New Roman" w:hAnsi="Times New Roman" w:cs="Times New Roman" w:eastAsia="Times New Roman" w:hint="default"/>
          <w:spacing w:val="-2"/>
        </w:rPr>
        <w:t>1979</w:t>
      </w:r>
      <w:r>
        <w:rPr>
          <w:spacing w:val="-2"/>
        </w:rPr>
        <w:t>年出生，汉族，本科学历，中国注册会计师、中国注册税务师、中国</w:t>
      </w:r>
      <w:r>
        <w:rPr/>
        <w:t> 注册评估师、会计师、高级国际财务管理师。</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12</w:t>
      </w:r>
      <w:r>
        <w:rPr/>
        <w:t>月在河北省肥乡县屯庄营乡政府工作，历任团委书记、 农经站长、统计站长等职务；</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月就职于中磊会计师事务所北京分所，任项目经理；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6</w:t>
      </w:r>
      <w:r>
        <w:rPr/>
        <w:t>月就职于亚太（集团）会计师事务所有限公司，任项目经理。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月至今在中金云网科技有限公司担任董事；</w:t>
      </w:r>
      <w:r>
        <w:rPr>
          <w:rFonts w:ascii="Times New Roman" w:hAnsi="Times New Roman" w:cs="Times New Roman" w:eastAsia="Times New Roman" w:hint="default"/>
        </w:rPr>
        <w:t>2016 </w:t>
      </w:r>
      <w:r>
        <w:rPr/>
        <w:t>年</w:t>
      </w:r>
      <w:r>
        <w:rPr>
          <w:rFonts w:ascii="Times New Roman" w:hAnsi="Times New Roman" w:cs="Times New Roman" w:eastAsia="Times New Roman" w:hint="default"/>
        </w:rPr>
        <w:t>3</w:t>
      </w:r>
      <w:r>
        <w:rPr/>
        <w:t>月至今在北京无双科技有限公司担任董事；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月至今任公司财务总监。</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BodyText"/>
        <w:spacing w:line="240" w:lineRule="auto"/>
        <w:ind w:right="0"/>
        <w:jc w:val="both"/>
      </w:pPr>
      <w:r>
        <w:rPr/>
        <w:t>在股东单位任职情况</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240" w:lineRule="auto"/>
        <w:ind w:right="0"/>
        <w:jc w:val="both"/>
      </w:pPr>
      <w:r>
        <w:rPr/>
        <w:t>在其他单位任职情况</w:t>
      </w:r>
    </w:p>
    <w:p>
      <w:pPr>
        <w:spacing w:after="0" w:line="240" w:lineRule="auto"/>
        <w:jc w:val="both"/>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光环金网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光环传媒股份有限公司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4"/>
              <w:jc w:val="left"/>
              <w:rPr>
                <w:rFonts w:ascii="宋体" w:hAnsi="宋体" w:cs="宋体" w:eastAsia="宋体" w:hint="default"/>
                <w:sz w:val="18"/>
                <w:szCs w:val="18"/>
              </w:rPr>
            </w:pPr>
            <w:r>
              <w:rPr>
                <w:rFonts w:ascii="宋体" w:hAnsi="宋体" w:cs="宋体" w:eastAsia="宋体" w:hint="default"/>
                <w:sz w:val="18"/>
                <w:szCs w:val="18"/>
              </w:rPr>
              <w:t>北京光环新网科技股份有限公司东城分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负责人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光环影业有限公司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光环时代影视文化有限公司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霍尔果斯百汇达股权投资管理合伙企业</w:t>
            </w:r>
          </w:p>
          <w:p>
            <w:pPr>
              <w:pStyle w:val="TableParagraph"/>
              <w:spacing w:line="240" w:lineRule="auto" w:before="74"/>
              <w:ind w:left="26"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光环云谷</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光环云谷</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瑞科新网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光环新网（上海）</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德信致远</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科信盛彩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北京亚逊新网科技有限公司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光环新网（宁夏）云服务有限公司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中卫普信宽带通信有限公司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光环新网（上海）</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德信致远</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科信盛彩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蓝沧科技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无双科技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中金云网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94"/>
              <w:jc w:val="left"/>
              <w:rPr>
                <w:rFonts w:ascii="宋体" w:hAnsi="宋体" w:cs="宋体" w:eastAsia="宋体" w:hint="default"/>
                <w:sz w:val="18"/>
                <w:szCs w:val="18"/>
              </w:rPr>
            </w:pPr>
            <w:r>
              <w:rPr>
                <w:rFonts w:ascii="宋体" w:hAnsi="宋体" w:cs="宋体" w:eastAsia="宋体" w:hint="default"/>
                <w:sz w:val="18"/>
                <w:szCs w:val="18"/>
              </w:rPr>
              <w:t>共青城云创投资管理合伙企业（有限合 伙）</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北京华爱光环科技有限公司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光环传媒股份有限公司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北京亚逊新网科技有限公司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光环新网（宁夏）云服务有限公司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光环有云（北京）网络服务有限公司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陕西广电新网云服务有限公司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光环云谷</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西安博凯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光环云谷</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无双科技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中金云网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光环云谷</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西安博凯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瑞科新网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94"/>
              <w:jc w:val="left"/>
              <w:rPr>
                <w:rFonts w:ascii="宋体" w:hAnsi="宋体" w:cs="宋体" w:eastAsia="宋体" w:hint="default"/>
                <w:sz w:val="18"/>
                <w:szCs w:val="18"/>
              </w:rPr>
            </w:pPr>
            <w:r>
              <w:rPr>
                <w:rFonts w:ascii="宋体" w:hAnsi="宋体" w:cs="宋体" w:eastAsia="宋体" w:hint="default"/>
                <w:sz w:val="18"/>
                <w:szCs w:val="18"/>
              </w:rPr>
              <w:t>北京光环新网科技股份有限公司山东分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负责人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329.709991pt;margin-top:465.309998pt;width:59.3pt;height:7.8pt;mso-position-horizontal-relative:page;mso-position-vertical-relative:page;z-index:-1814848" coordorigin="6594,9306" coordsize="1186,156">
            <v:shape style="position:absolute;left:6594;top:9306;width:1186;height:156" coordorigin="6594,9306" coordsize="1186,156" path="m6594,9462l7780,9462,7780,9306,6594,9306,6594,9462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光环新网（宁夏）云服务有限公司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光环有云（北京）网络服务有限公司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齐顺杰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北京华爱光环科技有限公司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张利军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无双科技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张利军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中金云网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王军辉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光环传媒股份有限公司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王军辉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光环有云（北京）网络服务有限公司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王军辉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陕西广电新网云服务有限公司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宋健尔</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中国民生银行北京管理部企业金融八部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宋健尔</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中国民生银行北京管理部投资银行一部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侯成训</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北京市中永律师事务所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高级合伙人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郭莉莉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c>
          <w:tcPr>
            <w:tcW w:w="1064"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51"/>
              <w:ind w:left="23" w:right="120"/>
              <w:jc w:val="both"/>
              <w:rPr>
                <w:rFonts w:ascii="宋体" w:hAnsi="宋体" w:cs="宋体" w:eastAsia="宋体" w:hint="default"/>
                <w:sz w:val="18"/>
                <w:szCs w:val="18"/>
              </w:rPr>
            </w:pPr>
            <w:r>
              <w:rPr>
                <w:rFonts w:ascii="宋体" w:hAnsi="宋体" w:cs="宋体" w:eastAsia="宋体" w:hint="default"/>
                <w:sz w:val="18"/>
                <w:szCs w:val="18"/>
              </w:rPr>
              <w:t>高级合伙人 副主任会计 师</w:t>
            </w:r>
          </w:p>
        </w:tc>
        <w:tc>
          <w:tcPr>
            <w:tcW w:w="1195" w:type="dxa"/>
            <w:tcBorders>
              <w:top w:val="single" w:sz="4" w:space="0" w:color="000000"/>
              <w:left w:val="single" w:sz="10" w:space="0" w:color="FFFFFF"/>
              <w:bottom w:val="single" w:sz="4" w:space="0" w:color="000000"/>
              <w:right w:val="single" w:sz="4" w:space="0" w:color="000000"/>
            </w:tcBorders>
          </w:tcPr>
          <w:p>
            <w:pPr>
              <w:pStyle w:val="TableParagraph"/>
              <w:spacing w:line="196" w:lineRule="exact" w:before="51"/>
              <w:ind w:left="-14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郭莉莉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科迈化工股份有限公司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郭莉莉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保定乐凯新材料股份有限公司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2839"/>
        <w:jc w:val="left"/>
      </w:pPr>
      <w:r>
        <w:rPr/>
        <w:t>公司现任及报告期内离任董事、监事和高级管理人员近三年证券监管机构处罚的情况</w:t>
      </w:r>
    </w:p>
    <w:p>
      <w:pPr>
        <w:pStyle w:val="BodyText"/>
        <w:spacing w:line="240" w:lineRule="auto" w:before="115"/>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2839"/>
        <w:jc w:val="left"/>
        <w:rPr>
          <w:b w:val="0"/>
          <w:bCs w:val="0"/>
        </w:rPr>
      </w:pPr>
      <w:r>
        <w:rPr/>
        <w:t>四、董事、监事、高级管理人员报酬情况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839"/>
        <w:jc w:val="left"/>
      </w:pPr>
      <w:r>
        <w:rPr/>
        <w:t>董事、监事、高级管理人员报酬的决策程序、确定依据、实际支付情况</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4261"/>
        <w:gridCol w:w="5310"/>
      </w:tblGrid>
      <w:tr>
        <w:trPr>
          <w:trHeight w:val="660"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1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0"/>
              <w:jc w:val="left"/>
              <w:rPr>
                <w:rFonts w:ascii="宋体" w:hAnsi="宋体" w:cs="宋体" w:eastAsia="宋体" w:hint="default"/>
                <w:sz w:val="18"/>
                <w:szCs w:val="18"/>
              </w:rPr>
            </w:pPr>
            <w:r>
              <w:rPr>
                <w:rFonts w:ascii="宋体" w:hAnsi="宋体" w:cs="宋体" w:eastAsia="宋体" w:hint="default"/>
                <w:spacing w:val="-1"/>
                <w:sz w:val="18"/>
                <w:szCs w:val="18"/>
              </w:rPr>
              <w:t>经第三届董事会薪酬和考核委员会提议，</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日第三届董事</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会</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年第一次会议审议通过《关于公司董事、监事</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年度薪酬</w:t>
            </w:r>
          </w:p>
        </w:tc>
      </w:tr>
    </w:tbl>
    <w:p>
      <w:pPr>
        <w:spacing w:after="0" w:line="30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BodyText"/>
        <w:spacing w:line="240" w:lineRule="auto" w:before="44"/>
        <w:ind w:left="0" w:right="139"/>
        <w:jc w:val="right"/>
      </w:pPr>
      <w:r>
        <w:rPr/>
        <w:pict>
          <v:shape style="position:absolute;margin-left:56.279999pt;margin-top:-112.228302pt;width:479.65pt;height:162.050pt;mso-position-horizontal-relative:page;mso-position-vertical-relative:paragraph;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61"/>
                    <w:gridCol w:w="5310"/>
                  </w:tblGrid>
                  <w:tr>
                    <w:trPr>
                      <w:trHeight w:val="976"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531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激励制度的议案》和《关于公司高级管理人员</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年度薪酬激励制 </w:t>
                        </w:r>
                        <w:r>
                          <w:rPr>
                            <w:rFonts w:ascii="宋体" w:hAnsi="宋体" w:cs="宋体" w:eastAsia="宋体" w:hint="default"/>
                            <w:spacing w:val="-1"/>
                            <w:sz w:val="18"/>
                            <w:szCs w:val="18"/>
                          </w:rPr>
                          <w:t>度的议案》，</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日公司</w:t>
                        </w:r>
                        <w:r>
                          <w:rPr>
                            <w:rFonts w:ascii="Times New Roman" w:hAnsi="Times New Roman" w:cs="Times New Roman" w:eastAsia="Times New Roman" w:hint="default"/>
                            <w:spacing w:val="-1"/>
                            <w:sz w:val="18"/>
                            <w:szCs w:val="18"/>
                          </w:rPr>
                          <w:t>2016</w:t>
                        </w:r>
                        <w:r>
                          <w:rPr>
                            <w:rFonts w:ascii="宋体" w:hAnsi="宋体" w:cs="宋体" w:eastAsia="宋体" w:hint="default"/>
                            <w:spacing w:val="-1"/>
                            <w:sz w:val="18"/>
                            <w:szCs w:val="18"/>
                          </w:rPr>
                          <w:t>年度股东大会审议通过《关于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公司董事、监事</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年度薪酬激励制度的议案》。</w:t>
                        </w:r>
                      </w:p>
                    </w:tc>
                  </w:tr>
                  <w:tr>
                    <w:trPr>
                      <w:trHeight w:val="1284"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
                          <w:ind w:left="4"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
                          <w:ind w:left="4" w:right="68"/>
                          <w:jc w:val="both"/>
                          <w:rPr>
                            <w:rFonts w:ascii="宋体" w:hAnsi="宋体" w:cs="宋体" w:eastAsia="宋体" w:hint="default"/>
                            <w:sz w:val="18"/>
                            <w:szCs w:val="18"/>
                          </w:rPr>
                        </w:pPr>
                        <w:r>
                          <w:rPr>
                            <w:rFonts w:ascii="宋体" w:hAnsi="宋体" w:cs="宋体" w:eastAsia="宋体" w:hint="default"/>
                            <w:sz w:val="18"/>
                            <w:szCs w:val="18"/>
                          </w:rPr>
                          <w:t>董事、监事和高级管理人员的报酬按照公司相关规章制度，结合公 司实际情况和行业薪酬水平制定，根据公司薪酬体系和岗位职责、 绩效考核体系实施。其中独董领用津贴，不享受公司其他薪金保险 等待遇。外部董事不在本公司领用薪酬。</w:t>
                        </w:r>
                      </w:p>
                    </w:tc>
                  </w:tr>
                  <w:tr>
                    <w:trPr>
                      <w:trHeight w:val="966"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
                          <w:ind w:left="4"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1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4"/>
                          <w:ind w:left="4" w:right="67"/>
                          <w:jc w:val="both"/>
                          <w:rPr>
                            <w:rFonts w:ascii="宋体" w:hAnsi="宋体" w:cs="宋体" w:eastAsia="宋体" w:hint="default"/>
                            <w:sz w:val="18"/>
                            <w:szCs w:val="18"/>
                          </w:rPr>
                        </w:pPr>
                        <w:r>
                          <w:rPr>
                            <w:rFonts w:ascii="宋体" w:hAnsi="宋体" w:cs="宋体" w:eastAsia="宋体" w:hint="default"/>
                            <w:sz w:val="18"/>
                            <w:szCs w:val="18"/>
                          </w:rPr>
                          <w:t>公司现任董事、监事、高级管理人员共计</w:t>
                        </w:r>
                        <w:r>
                          <w:rPr>
                            <w:rFonts w:ascii="Times New Roman" w:hAnsi="Times New Roman" w:cs="Times New Roman" w:eastAsia="Times New Roman" w:hint="default"/>
                            <w:sz w:val="18"/>
                            <w:szCs w:val="18"/>
                          </w:rPr>
                          <w:t>16</w:t>
                        </w:r>
                        <w:r>
                          <w:rPr>
                            <w:rFonts w:ascii="宋体" w:hAnsi="宋体" w:cs="宋体" w:eastAsia="宋体" w:hint="default"/>
                            <w:sz w:val="18"/>
                            <w:szCs w:val="18"/>
                          </w:rPr>
                          <w:t>人，本报告期公司董事 监事、高级管理人员的薪酬已按年度薪酬计划支付，</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年度公司 实际支付的薪酬总计</w:t>
                        </w:r>
                        <w:r>
                          <w:rPr>
                            <w:rFonts w:ascii="Times New Roman" w:hAnsi="Times New Roman" w:cs="Times New Roman" w:eastAsia="Times New Roman" w:hint="default"/>
                            <w:sz w:val="18"/>
                            <w:szCs w:val="18"/>
                          </w:rPr>
                          <w:t>672.27</w:t>
                        </w:r>
                        <w:r>
                          <w:rPr>
                            <w:rFonts w:ascii="宋体" w:hAnsi="宋体" w:cs="宋体" w:eastAsia="宋体" w:hint="default"/>
                            <w:sz w:val="18"/>
                            <w:szCs w:val="18"/>
                          </w:rPr>
                          <w:t>万元。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before="44"/>
        <w:ind w:right="2839"/>
        <w:jc w:val="left"/>
      </w:pPr>
      <w:r>
        <w:rPr/>
        <w:t>公司报告期内董事、监事和高级管理人员报酬情况</w:t>
      </w:r>
    </w:p>
    <w:p>
      <w:pPr>
        <w:pStyle w:val="BodyText"/>
        <w:spacing w:line="240" w:lineRule="auto" w:before="115"/>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42.86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66.56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董事、人事行政 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郑善伟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宋健尔</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侯成训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郭莉莉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庞宝光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监事会主席、人 事行政经理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33.68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监事、运营管理 中心总监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王军辉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监事、总裁法务 助理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39.91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高宏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副总裁、董秘</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63.63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64.33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齐顺杰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张利军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60.03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耿岩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97"/>
              <w:jc w:val="righ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pacing w:val="-1"/>
                <w:sz w:val="18"/>
              </w:rPr>
              <w:t>672.27</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80"/>
        </w:sectPr>
      </w:pPr>
    </w:p>
    <w:p>
      <w:pPr>
        <w:pStyle w:val="BodyText"/>
        <w:spacing w:line="240" w:lineRule="auto" w:before="49"/>
        <w:ind w:right="-20"/>
        <w:jc w:val="left"/>
      </w:pPr>
      <w:r>
        <w:rPr/>
        <w:t>公司董事、高级管理人员报告期内被授予的股权激励情况</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单位：股</w:t>
      </w:r>
    </w:p>
    <w:p>
      <w:pPr>
        <w:spacing w:after="0" w:line="240" w:lineRule="auto"/>
        <w:jc w:val="left"/>
        <w:sectPr>
          <w:type w:val="continuous"/>
          <w:pgSz w:w="11910" w:h="16840"/>
          <w:pgMar w:top="1060" w:bottom="1160" w:left="980" w:right="980"/>
          <w:cols w:num="2" w:equalWidth="0">
            <w:col w:w="4653" w:space="4267"/>
            <w:col w:w="1030"/>
          </w:cols>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69"/>
        <w:gridCol w:w="871"/>
        <w:gridCol w:w="869"/>
        <w:gridCol w:w="871"/>
        <w:gridCol w:w="869"/>
        <w:gridCol w:w="872"/>
        <w:gridCol w:w="869"/>
        <w:gridCol w:w="871"/>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0" w:right="67"/>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71" w:firstLine="45"/>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2" w:lineRule="exact"/>
              <w:ind w:left="45" w:right="43" w:hanging="2"/>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p>
            <w:pPr>
              <w:pStyle w:val="TableParagraph"/>
              <w:spacing w:line="119"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0"/>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45" w:right="41" w:hanging="2"/>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总裁</w:t>
            </w:r>
            <w:r>
              <w:rPr>
                <w:rFonts w:ascii="宋体" w:hAnsi="宋体" w:cs="宋体" w:eastAsia="宋体" w:hint="default"/>
                <w:spacing w:val="-87"/>
                <w:sz w:val="18"/>
                <w:szCs w:val="18"/>
              </w:rPr>
              <w:t>、</w:t>
            </w:r>
            <w:r>
              <w:rPr>
                <w:rFonts w:ascii="宋体" w:hAnsi="宋体" w:cs="宋体" w:eastAsia="宋体" w:hint="default"/>
                <w:sz w:val="18"/>
                <w:szCs w:val="18"/>
              </w:rPr>
              <w:t>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2" w:right="0"/>
              <w:jc w:val="left"/>
              <w:rPr>
                <w:rFonts w:ascii="Times New Roman" w:hAnsi="Times New Roman" w:cs="Times New Roman" w:eastAsia="Times New Roman" w:hint="default"/>
                <w:sz w:val="18"/>
                <w:szCs w:val="18"/>
              </w:rPr>
            </w:pPr>
            <w:r>
              <w:rPr>
                <w:rFonts w:ascii="Times New Roman"/>
                <w:sz w:val="18"/>
              </w:rPr>
              <w:t>13.19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张利军</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13.19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96,000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2" w:right="0"/>
              <w:jc w:val="left"/>
              <w:rPr>
                <w:rFonts w:ascii="Times New Roman" w:hAnsi="Times New Roman" w:cs="Times New Roman" w:eastAsia="Times New Roman" w:hint="default"/>
                <w:sz w:val="18"/>
                <w:szCs w:val="18"/>
              </w:rPr>
            </w:pPr>
            <w:r>
              <w:rPr>
                <w:rFonts w:ascii="Times New Roman"/>
                <w:sz w:val="18"/>
              </w:rPr>
              <w:t>13.19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耿岩</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13.19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高宏</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9"/>
              <w:jc w:val="left"/>
              <w:rPr>
                <w:rFonts w:ascii="宋体" w:hAnsi="宋体" w:cs="宋体" w:eastAsia="宋体" w:hint="default"/>
                <w:sz w:val="18"/>
                <w:szCs w:val="18"/>
              </w:rPr>
            </w:pPr>
            <w:r>
              <w:rPr>
                <w:rFonts w:ascii="宋体" w:hAnsi="宋体" w:cs="宋体" w:eastAsia="宋体" w:hint="default"/>
                <w:spacing w:val="-18"/>
                <w:sz w:val="18"/>
                <w:szCs w:val="18"/>
              </w:rPr>
              <w:t>副总裁、董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事会秘书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96,000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13.19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侯焰</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13.19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齐顺杰</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96,000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2" w:right="0"/>
              <w:jc w:val="left"/>
              <w:rPr>
                <w:rFonts w:ascii="Times New Roman" w:hAnsi="Times New Roman" w:cs="Times New Roman" w:eastAsia="Times New Roman" w:hint="default"/>
                <w:sz w:val="18"/>
                <w:szCs w:val="18"/>
              </w:rPr>
            </w:pPr>
            <w:r>
              <w:rPr>
                <w:rFonts w:ascii="Times New Roman"/>
                <w:sz w:val="18"/>
              </w:rPr>
              <w:t>13.19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袁丁</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18"/>
                <w:sz w:val="18"/>
                <w:szCs w:val="18"/>
              </w:rPr>
              <w:t>董事、人事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行政总监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13.19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69" w:right="0"/>
              <w:jc w:val="left"/>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sz w:val="18"/>
          <w:szCs w:val="18"/>
        </w:rPr>
      </w:pPr>
    </w:p>
    <w:p>
      <w:pPr>
        <w:pStyle w:val="Heading2"/>
        <w:spacing w:line="240" w:lineRule="auto" w:before="26"/>
        <w:ind w:right="2839"/>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2839"/>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5"/>
        <w:gridCol w:w="4794"/>
      </w:tblGrid>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639</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1,059</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1,059</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749</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1,059</w:t>
            </w:r>
          </w:p>
        </w:tc>
      </w:tr>
      <w:tr>
        <w:trPr>
          <w:trHeight w:val="394"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中专及以下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183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1,059</w:t>
            </w:r>
          </w:p>
        </w:tc>
      </w:tr>
    </w:tbl>
    <w:p>
      <w:pPr>
        <w:spacing w:line="240" w:lineRule="auto" w:before="3"/>
        <w:rPr>
          <w:rFonts w:ascii="宋体" w:hAnsi="宋体" w:cs="宋体" w:eastAsia="宋体" w:hint="default"/>
          <w:b/>
          <w:bCs/>
          <w:sz w:val="19"/>
          <w:szCs w:val="19"/>
        </w:rPr>
      </w:pPr>
    </w:p>
    <w:p>
      <w:pPr>
        <w:pStyle w:val="Heading3"/>
        <w:spacing w:line="240" w:lineRule="auto" w:before="36"/>
        <w:ind w:right="2839"/>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0" w:right="0"/>
        <w:jc w:val="left"/>
      </w:pPr>
      <w:r>
        <w:rPr/>
        <w:t>一、薪酬管理 </w:t>
      </w:r>
      <w:r>
        <w:rPr>
          <w:spacing w:val="-2"/>
        </w:rPr>
        <w:t>薪酬管理制度包括公司高管、董事、监事薪酬激励制度、各部门薪酬管理办法等，这些制度将员工的岗责、绩效考核和</w:t>
      </w:r>
    </w:p>
    <w:p>
      <w:pPr>
        <w:pStyle w:val="BodyText"/>
        <w:spacing w:line="316" w:lineRule="auto" w:before="19"/>
        <w:ind w:right="0"/>
        <w:jc w:val="left"/>
      </w:pPr>
      <w:r>
        <w:rPr>
          <w:spacing w:val="-2"/>
        </w:rPr>
        <w:t>薪酬紧密结合，有力的促进员工工作的积极性、主动性、创造性，从而使公司更具凝聚力，顺利实现企业不同阶段经营发展</w:t>
      </w:r>
      <w:r>
        <w:rPr>
          <w:spacing w:val="-67"/>
        </w:rPr>
        <w:t> </w:t>
      </w:r>
      <w:r>
        <w:rPr>
          <w:spacing w:val="-67"/>
        </w:rPr>
      </w:r>
      <w:r>
        <w:rPr/>
        <w:t>的各项目标。</w:t>
      </w:r>
    </w:p>
    <w:p>
      <w:pPr>
        <w:pStyle w:val="BodyText"/>
        <w:spacing w:line="316" w:lineRule="auto" w:before="19"/>
        <w:ind w:right="0" w:firstLine="358"/>
        <w:jc w:val="left"/>
      </w:pPr>
      <w:r>
        <w:rPr>
          <w:spacing w:val="-2"/>
        </w:rPr>
        <w:t>薪酬管理的基本原则是公开、公正、公平、透明；员工的责、权、利相结合，员工薪酬与公司的经济效益及个人岗位责</w:t>
      </w:r>
      <w:r>
        <w:rPr/>
        <w:t> 任目标完成情况相结合。</w:t>
      </w:r>
    </w:p>
    <w:p>
      <w:pPr>
        <w:pStyle w:val="BodyText"/>
        <w:spacing w:line="316" w:lineRule="auto" w:before="19"/>
        <w:ind w:left="510" w:right="0"/>
        <w:jc w:val="left"/>
      </w:pPr>
      <w:r>
        <w:rPr/>
        <w:t>二、基本薪酬的构成、核算及发放 </w:t>
      </w:r>
      <w:r>
        <w:rPr>
          <w:spacing w:val="-2"/>
        </w:rPr>
        <w:t>员工基本薪酬核算均执行各部门当年度的相应薪酬管理办法。员工基本薪酬由年度薪酬、年度奖励构成，年度薪酬按员</w:t>
      </w:r>
    </w:p>
    <w:p>
      <w:pPr>
        <w:pStyle w:val="BodyText"/>
        <w:spacing w:line="316" w:lineRule="auto" w:before="19"/>
        <w:ind w:right="0"/>
        <w:jc w:val="left"/>
      </w:pPr>
      <w:r>
        <w:rPr>
          <w:spacing w:val="-2"/>
        </w:rPr>
        <w:t>工从事的岗位、级别和绩效考核，核算出合计数按月发放。年度奖励主要适用于公司管理人员以及按全年业绩考核来发放奖</w:t>
      </w:r>
      <w:r>
        <w:rPr>
          <w:spacing w:val="-65"/>
        </w:rPr>
        <w:t> </w:t>
      </w:r>
      <w:r>
        <w:rPr>
          <w:spacing w:val="-65"/>
        </w:rPr>
      </w:r>
      <w:r>
        <w:rPr/>
        <w:t>励的个别业务部门。</w:t>
      </w:r>
    </w:p>
    <w:p>
      <w:pPr>
        <w:pStyle w:val="BodyText"/>
        <w:spacing w:line="316" w:lineRule="auto" w:before="19"/>
        <w:ind w:left="510" w:right="0"/>
        <w:jc w:val="left"/>
      </w:pPr>
      <w:r>
        <w:rPr/>
        <w:t>三、员工福利 </w:t>
      </w:r>
      <w:r>
        <w:rPr>
          <w:spacing w:val="-2"/>
        </w:rPr>
        <w:t>公司为员工按国家相关规定办理社会统筹保险和公积金。同时公司为员工提供工作餐、公务交通补贴、通讯补贴、全勤</w:t>
      </w:r>
    </w:p>
    <w:p>
      <w:pPr>
        <w:pStyle w:val="BodyText"/>
        <w:spacing w:line="316" w:lineRule="auto" w:before="19"/>
        <w:ind w:left="510" w:right="4375" w:hanging="359"/>
        <w:jc w:val="left"/>
      </w:pPr>
      <w:r>
        <w:rPr/>
        <w:t>奖励等福利。公司每年不定期组织员工团队建设活动、健康体检等。 四、长期激励</w:t>
      </w:r>
    </w:p>
    <w:p>
      <w:pPr>
        <w:pStyle w:val="BodyText"/>
        <w:spacing w:line="240" w:lineRule="auto" w:before="19"/>
        <w:ind w:left="510" w:right="0"/>
        <w:jc w:val="left"/>
      </w:pPr>
      <w:r>
        <w:rPr/>
        <w:t>公司为管理层及核心技术人员提供不同形式的长期激励，包括但不限于股权、期权等。</w:t>
      </w:r>
    </w:p>
    <w:p>
      <w:pPr>
        <w:spacing w:line="240" w:lineRule="auto" w:before="0"/>
        <w:rPr>
          <w:rFonts w:ascii="宋体" w:hAnsi="宋体" w:cs="宋体" w:eastAsia="宋体" w:hint="default"/>
          <w:sz w:val="18"/>
          <w:szCs w:val="18"/>
        </w:rPr>
      </w:pPr>
    </w:p>
    <w:p>
      <w:pPr>
        <w:pStyle w:val="Heading3"/>
        <w:spacing w:line="240" w:lineRule="auto" w:before="120"/>
        <w:ind w:right="2839"/>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0" w:firstLine="358"/>
        <w:jc w:val="left"/>
      </w:pPr>
      <w:r>
        <w:rPr>
          <w:spacing w:val="-2"/>
        </w:rPr>
        <w:t>一、紧密围绕公司经营发展战略目标，坚持</w:t>
      </w:r>
      <w:r>
        <w:rPr>
          <w:rFonts w:ascii="Times New Roman" w:hAnsi="Times New Roman" w:cs="Times New Roman" w:eastAsia="Times New Roman" w:hint="default"/>
          <w:spacing w:val="-2"/>
        </w:rPr>
        <w:t>“</w:t>
      </w:r>
      <w:r>
        <w:rPr>
          <w:spacing w:val="-2"/>
        </w:rPr>
        <w:t>按需施教，务实求效</w:t>
      </w:r>
      <w:r>
        <w:rPr>
          <w:rFonts w:ascii="Times New Roman" w:hAnsi="Times New Roman" w:cs="Times New Roman" w:eastAsia="Times New Roman" w:hint="default"/>
          <w:spacing w:val="-2"/>
        </w:rPr>
        <w:t>”</w:t>
      </w:r>
      <w:r>
        <w:rPr>
          <w:spacing w:val="-2"/>
        </w:rPr>
        <w:t>的原则，全面开展业务素质能力提升培训，逐步建立</w:t>
      </w:r>
      <w:r>
        <w:rPr/>
        <w:t> 一支高素质、高专业的复合型人才队伍。</w:t>
      </w:r>
    </w:p>
    <w:p>
      <w:pPr>
        <w:pStyle w:val="BodyText"/>
        <w:spacing w:line="316" w:lineRule="auto" w:before="31"/>
        <w:ind w:left="510" w:right="0"/>
        <w:jc w:val="left"/>
      </w:pPr>
      <w:r>
        <w:rPr/>
        <w:t>二、建立健全企业培训体系，从基层培训到业务推广，兼顾各个层级员工业务学习和职业发展。 三、打造内部讲师团队，逐步丰富公司课程资源体系，推动培训工作持续有效发展。 </w:t>
      </w:r>
      <w:r>
        <w:rPr>
          <w:spacing w:val="-2"/>
        </w:rPr>
        <w:t>四、加强与外部合作伙伴的业务学习与交流，不仅对外树立良好的企业形象，增进彼此友谊，也能吸纳很多宝贵的工作</w:t>
      </w:r>
    </w:p>
    <w:p>
      <w:pPr>
        <w:pStyle w:val="BodyText"/>
        <w:spacing w:line="240" w:lineRule="auto" w:before="19"/>
        <w:ind w:right="2839"/>
        <w:jc w:val="left"/>
      </w:pPr>
      <w:r>
        <w:rPr/>
        <w:t>指导经验和管理启发，为公司构建学习型组织奠定坚实基础。</w:t>
      </w:r>
    </w:p>
    <w:p>
      <w:pPr>
        <w:spacing w:line="240" w:lineRule="auto" w:before="0"/>
        <w:rPr>
          <w:rFonts w:ascii="宋体" w:hAnsi="宋体" w:cs="宋体" w:eastAsia="宋体" w:hint="default"/>
          <w:sz w:val="18"/>
          <w:szCs w:val="18"/>
        </w:rPr>
      </w:pPr>
    </w:p>
    <w:p>
      <w:pPr>
        <w:pStyle w:val="Heading3"/>
        <w:spacing w:line="240" w:lineRule="auto" w:before="121"/>
        <w:ind w:right="2839"/>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465"/>
        <w:jc w:val="center"/>
        <w:rPr>
          <w:b w:val="0"/>
          <w:bCs w:val="0"/>
        </w:rPr>
      </w:pPr>
      <w:bookmarkStart w:name="_bookmark8" w:id="9"/>
      <w:bookmarkEnd w:id="9"/>
      <w:r>
        <w:rPr>
          <w:b w:val="0"/>
          <w:bCs w:val="0"/>
        </w:rPr>
      </w:r>
      <w:r>
        <w:rPr/>
        <w:t>第九节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83"/>
        <w:jc w:val="left"/>
      </w:pPr>
      <w:r>
        <w:rPr>
          <w:spacing w:val="-6"/>
        </w:rPr>
        <w:t>报告期内，公司严格按照《公司法》、《证券法》、《上市公司治理准则》、《深圳证券交易所创业板股票上市规则》、</w:t>
      </w:r>
    </w:p>
    <w:p>
      <w:pPr>
        <w:pStyle w:val="BodyText"/>
        <w:spacing w:line="316" w:lineRule="auto" w:before="76"/>
        <w:ind w:right="190"/>
        <w:jc w:val="both"/>
      </w:pPr>
      <w:r>
        <w:rPr>
          <w:spacing w:val="-2"/>
        </w:rPr>
        <w:t>《深圳证券交易所创业板上市公司规范运作指引》和其他有关法律法规、规范性文件的要求，确保公司规范运作，充分发挥</w:t>
      </w:r>
      <w:r>
        <w:rPr>
          <w:spacing w:val="-64"/>
        </w:rPr>
        <w:t> </w:t>
      </w:r>
      <w:r>
        <w:rPr>
          <w:spacing w:val="-64"/>
        </w:rPr>
      </w:r>
      <w:r>
        <w:rPr>
          <w:spacing w:val="-2"/>
        </w:rPr>
        <w:t>董事会及各专门委员会的职能和作用，完善了董事会的专业化程度，保障了董事会决策的科学性和程序性，进一步规范了公</w:t>
      </w:r>
      <w:r>
        <w:rPr>
          <w:spacing w:val="-63"/>
        </w:rPr>
        <w:t> </w:t>
      </w:r>
      <w:r>
        <w:rPr>
          <w:spacing w:val="-63"/>
        </w:rPr>
      </w:r>
      <w:r>
        <w:rPr>
          <w:spacing w:val="-2"/>
        </w:rPr>
        <w:t>司治理结构。截至报告期末，公司治理的实际状况符合《上市公司治理准则》和《深圳证券交易所创业板上市公司规范运作</w:t>
      </w:r>
      <w:r>
        <w:rPr>
          <w:spacing w:val="-66"/>
        </w:rPr>
        <w:t> </w:t>
      </w:r>
      <w:r>
        <w:rPr>
          <w:spacing w:val="-66"/>
        </w:rPr>
      </w:r>
      <w:r>
        <w:rPr/>
        <w:t>指引》的要求。</w:t>
      </w:r>
    </w:p>
    <w:p>
      <w:pPr>
        <w:pStyle w:val="BodyText"/>
        <w:spacing w:line="432" w:lineRule="exact" w:before="4"/>
        <w:ind w:left="513" w:right="183"/>
        <w:jc w:val="left"/>
      </w:pPr>
      <w:r>
        <w:rPr>
          <w:rFonts w:ascii="Times New Roman" w:hAnsi="Times New Roman" w:cs="Times New Roman" w:eastAsia="Times New Roman" w:hint="default"/>
        </w:rPr>
        <w:t>1</w:t>
      </w:r>
      <w:r>
        <w:rPr/>
        <w:t>、关于股东与股东大会 </w:t>
      </w:r>
      <w:r>
        <w:rPr>
          <w:spacing w:val="-2"/>
        </w:rPr>
        <w:t>公司严格按照《公司法》、《上市公司股东大会规则》以及公司《章程》、《股东大会议事规则》和深圳证券交易所创</w:t>
      </w:r>
    </w:p>
    <w:p>
      <w:pPr>
        <w:pStyle w:val="BodyText"/>
        <w:spacing w:line="316" w:lineRule="auto" w:before="15"/>
        <w:ind w:right="109"/>
        <w:jc w:val="both"/>
      </w:pPr>
      <w:r>
        <w:rPr>
          <w:spacing w:val="-5"/>
        </w:rPr>
        <w:t>业板的相关规定和要求，规范股东大会的召集、召开和表决程序。报告期内，公司召开的股东大会均由公司董事会召集召开，</w:t>
      </w:r>
      <w:r>
        <w:rPr>
          <w:spacing w:val="-78"/>
        </w:rPr>
        <w:t> </w:t>
      </w:r>
      <w:r>
        <w:rPr>
          <w:spacing w:val="-78"/>
        </w:rPr>
      </w:r>
      <w:r>
        <w:rPr>
          <w:spacing w:val="-2"/>
        </w:rPr>
        <w:t>董事长主持，在股东大会上能够保证各位股东有充分的发言权，确保全体股东特别是中小股东享有平等地位，充分行使自己</w:t>
      </w:r>
      <w:r>
        <w:rPr>
          <w:spacing w:val="-63"/>
        </w:rPr>
        <w:t> </w:t>
      </w:r>
      <w:r>
        <w:rPr>
          <w:spacing w:val="-63"/>
        </w:rPr>
      </w:r>
      <w:r>
        <w:rPr/>
        <w:t>的权利。</w:t>
      </w:r>
      <w:r>
        <w:rPr>
          <w:spacing w:val="-18"/>
        </w:rPr>
        <w:t> </w:t>
      </w:r>
      <w:r>
        <w:rPr/>
        <w:t>报告期内，本公司召开的股东大会不存在违反《上市公司股东大会规则》的情形，公司未发生单独或合并持有本</w:t>
      </w:r>
      <w:r>
        <w:rPr/>
        <w:t> 公司有表决权股份总数</w:t>
      </w:r>
      <w:r>
        <w:rPr>
          <w:rFonts w:ascii="Times New Roman" w:hAnsi="Times New Roman" w:cs="Times New Roman" w:eastAsia="Times New Roman" w:hint="default"/>
        </w:rPr>
        <w:t>10%</w:t>
      </w:r>
      <w:r>
        <w:rPr/>
        <w:t>以上的股东请求召开临时股东大会的情形，无应监事会提议召开的股东大会。按照《公司法》、</w:t>
      </w:r>
    </w:p>
    <w:p>
      <w:pPr>
        <w:pStyle w:val="BodyText"/>
        <w:spacing w:line="235" w:lineRule="exact"/>
        <w:ind w:right="0"/>
        <w:jc w:val="both"/>
      </w:pPr>
      <w:r>
        <w:rPr/>
        <w:t>《公司章程》的规定应由股东大会审议的重大事项，本公司均通过股东大会审议，不存在先实施后审议的情况。</w:t>
      </w:r>
    </w:p>
    <w:p>
      <w:pPr>
        <w:pStyle w:val="BodyText"/>
        <w:spacing w:line="430" w:lineRule="atLeast" w:before="15"/>
        <w:ind w:left="513" w:right="183"/>
        <w:jc w:val="left"/>
      </w:pPr>
      <w:r>
        <w:rPr>
          <w:rFonts w:ascii="Times New Roman" w:hAnsi="Times New Roman" w:cs="Times New Roman" w:eastAsia="Times New Roman" w:hint="default"/>
        </w:rPr>
        <w:t>2</w:t>
      </w:r>
      <w:r>
        <w:rPr/>
        <w:t>、关于董事与董事会 </w:t>
      </w:r>
      <w:r>
        <w:rPr>
          <w:spacing w:val="-5"/>
        </w:rPr>
        <w:t>公司董事会设董事</w:t>
      </w:r>
      <w:r>
        <w:rPr>
          <w:rFonts w:ascii="Times New Roman" w:hAnsi="Times New Roman" w:cs="Times New Roman" w:eastAsia="Times New Roman" w:hint="default"/>
          <w:spacing w:val="-5"/>
        </w:rPr>
        <w:t>7</w:t>
      </w:r>
      <w:r>
        <w:rPr>
          <w:spacing w:val="-5"/>
        </w:rPr>
        <w:t>名，其中独立董事</w:t>
      </w:r>
      <w:r>
        <w:rPr>
          <w:rFonts w:ascii="Times New Roman" w:hAnsi="Times New Roman" w:cs="Times New Roman" w:eastAsia="Times New Roman" w:hint="default"/>
          <w:spacing w:val="-5"/>
        </w:rPr>
        <w:t>3</w:t>
      </w:r>
      <w:r>
        <w:rPr>
          <w:spacing w:val="-5"/>
        </w:rPr>
        <w:t>名，董事会的人数及人员构成符合法律、法规和《公司章程》的要求。报告期内，</w:t>
      </w:r>
    </w:p>
    <w:p>
      <w:pPr>
        <w:pStyle w:val="BodyText"/>
        <w:spacing w:line="316" w:lineRule="auto" w:before="63"/>
        <w:ind w:right="191"/>
        <w:jc w:val="both"/>
      </w:pPr>
      <w:r>
        <w:rPr>
          <w:spacing w:val="-2"/>
        </w:rPr>
        <w:t>公司第二届董事会、第三届董事会各位董事均能够依据《董事会议事规则》、《独立董事工作制度》、《深圳证券交易所创</w:t>
      </w:r>
      <w:r>
        <w:rPr>
          <w:spacing w:val="-68"/>
        </w:rPr>
        <w:t> </w:t>
      </w:r>
      <w:r>
        <w:rPr>
          <w:spacing w:val="-68"/>
        </w:rPr>
      </w:r>
      <w:r>
        <w:rPr>
          <w:spacing w:val="-2"/>
        </w:rPr>
        <w:t>业板上市公司规范运作指引》等开展工作，出席董事会、董事会专门委员会和股东大会，勤勉尽责地履行职责和义务，同时</w:t>
      </w:r>
      <w:r>
        <w:rPr>
          <w:spacing w:val="-66"/>
        </w:rPr>
        <w:t> </w:t>
      </w:r>
      <w:r>
        <w:rPr>
          <w:spacing w:val="-66"/>
        </w:rPr>
      </w:r>
      <w:r>
        <w:rPr/>
        <w:t>积极参加相关培训，熟悉相关法律法规。</w:t>
      </w:r>
      <w:r>
        <w:rPr>
          <w:spacing w:val="-17"/>
        </w:rPr>
        <w:t> </w:t>
      </w:r>
      <w:r>
        <w:rPr/>
        <w:t>按照《深圳证券交易所创业板上市公司规范运作指引》的要求，董事会下设战略</w:t>
      </w:r>
      <w:r>
        <w:rPr/>
        <w:t> </w:t>
      </w:r>
      <w:r>
        <w:rPr>
          <w:spacing w:val="-2"/>
        </w:rPr>
        <w:t>委员会、薪酬和考核委员会、审计委员会和提名委员会四个专门委员会。专门委员会成员全部由董事组成，除战略委员会由</w:t>
      </w:r>
      <w:r>
        <w:rPr>
          <w:spacing w:val="-64"/>
        </w:rPr>
        <w:t> </w:t>
      </w:r>
      <w:r>
        <w:rPr>
          <w:spacing w:val="-64"/>
        </w:rPr>
      </w:r>
      <w:r>
        <w:rPr>
          <w:spacing w:val="-2"/>
        </w:rPr>
        <w:t>董事长担任主任委员以外，其他专门委员会均由独立董事担任主任委员，且独立董事人数占其他专门委员会委员的比例均达</w:t>
      </w:r>
      <w:r>
        <w:rPr>
          <w:spacing w:val="-64"/>
        </w:rPr>
        <w:t> </w:t>
      </w:r>
      <w:r>
        <w:rPr>
          <w:spacing w:val="-64"/>
        </w:rPr>
      </w:r>
      <w:r>
        <w:rPr>
          <w:spacing w:val="-2"/>
        </w:rPr>
        <w:t>到三分之二，为董事会的决策提供了科学和专业的意见和参考。各委员会依据《公司章程》和各委员会议事规则的规定履行</w:t>
      </w:r>
      <w:r>
        <w:rPr>
          <w:spacing w:val="-64"/>
        </w:rPr>
        <w:t> </w:t>
      </w:r>
      <w:r>
        <w:rPr>
          <w:spacing w:val="-64"/>
        </w:rPr>
      </w:r>
      <w:r>
        <w:rPr/>
        <w:t>职权，不受公司任何其他部门和个人的干预。</w:t>
      </w:r>
    </w:p>
    <w:p>
      <w:pPr>
        <w:pStyle w:val="BodyText"/>
        <w:spacing w:line="432" w:lineRule="exact" w:before="3"/>
        <w:ind w:left="513" w:right="183"/>
        <w:jc w:val="left"/>
      </w:pPr>
      <w:r>
        <w:rPr>
          <w:rFonts w:ascii="Times New Roman" w:hAnsi="Times New Roman" w:cs="Times New Roman" w:eastAsia="Times New Roman" w:hint="default"/>
        </w:rPr>
        <w:t>3</w:t>
      </w:r>
      <w:r>
        <w:rPr/>
        <w:t>、关于监事与监事会 </w:t>
      </w:r>
      <w:r>
        <w:rPr>
          <w:spacing w:val="-5"/>
        </w:rPr>
        <w:t>公司监事会设监事</w:t>
      </w:r>
      <w:r>
        <w:rPr>
          <w:rFonts w:ascii="Times New Roman" w:hAnsi="Times New Roman" w:cs="Times New Roman" w:eastAsia="Times New Roman" w:hint="default"/>
          <w:spacing w:val="-5"/>
        </w:rPr>
        <w:t>3</w:t>
      </w:r>
      <w:r>
        <w:rPr>
          <w:spacing w:val="-5"/>
        </w:rPr>
        <w:t>名，其中职工监事</w:t>
      </w:r>
      <w:r>
        <w:rPr>
          <w:rFonts w:ascii="Times New Roman" w:hAnsi="Times New Roman" w:cs="Times New Roman" w:eastAsia="Times New Roman" w:hint="default"/>
          <w:spacing w:val="-5"/>
        </w:rPr>
        <w:t>1</w:t>
      </w:r>
      <w:r>
        <w:rPr>
          <w:spacing w:val="-5"/>
        </w:rPr>
        <w:t>名，监事会的人数和构成符合法律、法规的要求。报告期内，公司第二届监事会、</w:t>
      </w:r>
    </w:p>
    <w:p>
      <w:pPr>
        <w:pStyle w:val="BodyText"/>
        <w:spacing w:line="316" w:lineRule="auto" w:before="16"/>
        <w:ind w:right="193"/>
        <w:jc w:val="both"/>
      </w:pPr>
      <w:r>
        <w:rPr>
          <w:spacing w:val="-2"/>
        </w:rPr>
        <w:t>第三届监事会各位监事均能够按照《公司章程》、《监事会议事规则》等规定的要求，认真履行自己的职责，对公司重大事</w:t>
      </w:r>
      <w:r>
        <w:rPr>
          <w:spacing w:val="-69"/>
        </w:rPr>
        <w:t> </w:t>
      </w:r>
      <w:r>
        <w:rPr>
          <w:spacing w:val="-69"/>
        </w:rPr>
      </w:r>
      <w:r>
        <w:rPr>
          <w:spacing w:val="-5"/>
        </w:rPr>
        <w:t>项、财务状况以及董事、高管人员履行职责的合法合规性进行监督。报告期内，公司监事参加了相关培训，通过进一步学习、</w:t>
      </w:r>
      <w:r>
        <w:rPr>
          <w:spacing w:val="-80"/>
        </w:rPr>
        <w:t> </w:t>
      </w:r>
      <w:r>
        <w:rPr>
          <w:spacing w:val="-80"/>
        </w:rPr>
      </w:r>
      <w:r>
        <w:rPr/>
        <w:t>熟悉有关法律法规，切实提高了履行监事职责的能力。</w:t>
      </w:r>
    </w:p>
    <w:p>
      <w:pPr>
        <w:pStyle w:val="BodyText"/>
        <w:spacing w:line="432" w:lineRule="exact" w:before="3"/>
        <w:ind w:left="513" w:right="178"/>
        <w:jc w:val="left"/>
      </w:pPr>
      <w:r>
        <w:rPr>
          <w:rFonts w:ascii="Times New Roman" w:hAnsi="Times New Roman" w:cs="Times New Roman" w:eastAsia="Times New Roman" w:hint="default"/>
        </w:rPr>
        <w:t>4</w:t>
      </w:r>
      <w:r>
        <w:rPr/>
        <w:t>、关于绩效评价与激励约束机制 </w:t>
      </w:r>
      <w:r>
        <w:rPr>
          <w:spacing w:val="-5"/>
        </w:rPr>
        <w:t>公司已建立较公正、透明的高级管理人员的绩效考核标准和激励约束机制。高级管理人员的聘任公开、透明，符合法律、</w:t>
      </w:r>
    </w:p>
    <w:p>
      <w:pPr>
        <w:pStyle w:val="BodyText"/>
        <w:spacing w:line="240" w:lineRule="auto" w:before="15"/>
        <w:ind w:right="0"/>
        <w:jc w:val="both"/>
      </w:pPr>
      <w:r>
        <w:rPr/>
        <w:t>法规的规定。</w:t>
      </w:r>
    </w:p>
    <w:p>
      <w:pPr>
        <w:pStyle w:val="BodyText"/>
        <w:spacing w:line="420" w:lineRule="atLeast" w:before="25"/>
        <w:ind w:left="513" w:right="93"/>
        <w:jc w:val="left"/>
      </w:pPr>
      <w:r>
        <w:rPr>
          <w:rFonts w:ascii="Times New Roman" w:hAnsi="Times New Roman" w:cs="Times New Roman" w:eastAsia="Times New Roman" w:hint="default"/>
        </w:rPr>
        <w:t>5</w:t>
      </w:r>
      <w:r>
        <w:rPr/>
        <w:t>、关于信息披露与透明度 公司严格按照有关法律法规以及《信息披露事务管理制度》、《投资者关系管理制度》等的要求，真实、准确、及时、</w:t>
      </w:r>
    </w:p>
    <w:p>
      <w:pPr>
        <w:pStyle w:val="BodyText"/>
        <w:spacing w:line="309" w:lineRule="auto" w:before="76"/>
        <w:ind w:right="183"/>
        <w:jc w:val="left"/>
      </w:pPr>
      <w:r>
        <w:rPr>
          <w:spacing w:val="-2"/>
        </w:rPr>
        <w:t>公平、完整地披露有关信息；公司高度重视投资者关系管理工作，由公司董事会秘书负责信息披露工作，协调公司与投资者</w:t>
      </w:r>
      <w:r>
        <w:rPr>
          <w:spacing w:val="-64"/>
        </w:rPr>
        <w:t> </w:t>
      </w:r>
      <w:r>
        <w:rPr>
          <w:spacing w:val="-64"/>
        </w:rPr>
      </w:r>
      <w:r>
        <w:rPr/>
        <w:t>的关系，接待投资者来访，回答投资者咨询，向投资者提供公司已披露的资料；并指定巨潮资讯网（</w:t>
      </w:r>
      <w:hyperlink r:id="rId11">
        <w:r>
          <w:rPr>
            <w:rFonts w:ascii="Times New Roman" w:hAnsi="Times New Roman" w:cs="Times New Roman" w:eastAsia="Times New Roman" w:hint="default"/>
          </w:rPr>
          <w:t>www.cninfo.com.cn</w:t>
        </w:r>
      </w:hyperlink>
      <w:r>
        <w:rPr/>
        <w:t>） </w:t>
      </w:r>
      <w:r>
        <w:rPr>
          <w:spacing w:val="-2"/>
        </w:rPr>
        <w:t>为公司信息披露的指定网站，《证券时报》为公司</w:t>
      </w:r>
      <w:r>
        <w:rPr>
          <w:rFonts w:ascii="Times New Roman" w:hAnsi="Times New Roman" w:cs="Times New Roman" w:eastAsia="Times New Roman" w:hint="default"/>
          <w:spacing w:val="-2"/>
        </w:rPr>
        <w:t>2017</w:t>
      </w:r>
      <w:r>
        <w:rPr>
          <w:spacing w:val="-2"/>
        </w:rPr>
        <w:t>年度定期报告披露的指定报刊，确保公司所有股东能够平等的机会获</w:t>
      </w:r>
    </w:p>
    <w:p>
      <w:pPr>
        <w:spacing w:after="0" w:line="309"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right="2839"/>
        <w:jc w:val="left"/>
      </w:pPr>
      <w:r>
        <w:rPr/>
        <w:t>得信息。</w:t>
      </w:r>
    </w:p>
    <w:p>
      <w:pPr>
        <w:pStyle w:val="BodyText"/>
        <w:spacing w:line="420" w:lineRule="atLeast" w:before="25"/>
        <w:ind w:left="513" w:right="0"/>
        <w:jc w:val="left"/>
      </w:pPr>
      <w:r>
        <w:rPr>
          <w:rFonts w:ascii="Times New Roman" w:hAnsi="Times New Roman" w:cs="Times New Roman" w:eastAsia="Times New Roman" w:hint="default"/>
        </w:rPr>
        <w:t>6</w:t>
      </w:r>
      <w:r>
        <w:rPr/>
        <w:t>、关于相关利益者 </w:t>
      </w:r>
      <w:r>
        <w:rPr>
          <w:spacing w:val="-2"/>
        </w:rPr>
        <w:t>公司充分尊重和维护相关利益者的合法权益，实现股东、员工、社会等各方利益的协调平衡，共同推动公司持续、健康</w:t>
      </w:r>
    </w:p>
    <w:p>
      <w:pPr>
        <w:pStyle w:val="BodyText"/>
        <w:spacing w:line="240" w:lineRule="auto" w:before="76"/>
        <w:ind w:right="2839"/>
        <w:jc w:val="left"/>
      </w:pPr>
      <w:r>
        <w:rPr/>
        <w:t>的发展。</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240" w:lineRule="auto"/>
        <w:ind w:right="0"/>
        <w:jc w:val="left"/>
      </w:pPr>
      <w:r>
        <w:rPr/>
        <w:t>公司治理的实际状况与中国证监会发布的有关上市公司治理的规范性文件是否存在重大差异</w:t>
      </w:r>
    </w:p>
    <w:p>
      <w:pPr>
        <w:pStyle w:val="BodyText"/>
        <w:spacing w:line="340" w:lineRule="auto" w:before="117"/>
        <w:ind w:right="25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51" w:firstLine="360"/>
        <w:jc w:val="both"/>
      </w:pPr>
      <w:r>
        <w:rPr>
          <w:spacing w:val="-2"/>
        </w:rPr>
        <w:t>公司控股股东百汇达严格按照《上市公司治理准则》、《深圳证券交易所创业板股票上市规则》、《深圳证券交易所创</w:t>
      </w:r>
      <w:r>
        <w:rPr/>
        <w:t> </w:t>
      </w:r>
      <w:r>
        <w:rPr>
          <w:spacing w:val="-2"/>
        </w:rPr>
        <w:t>业板上市公司规范运作指引》、《公司章程》等规定和要求，不存在超越公司股东大会直接或间接干预公司的决策和经营活</w:t>
      </w:r>
      <w:r>
        <w:rPr>
          <w:spacing w:val="-65"/>
        </w:rPr>
        <w:t> </w:t>
      </w:r>
      <w:r>
        <w:rPr>
          <w:spacing w:val="-65"/>
        </w:rPr>
      </w:r>
      <w:r>
        <w:rPr>
          <w:spacing w:val="-2"/>
        </w:rPr>
        <w:t>动的行为，未损害公司及其他股东的利益，不存在控股股东占用公司资金的现象，公司亦无为控股股东提供担保的情形。公</w:t>
      </w:r>
      <w:r>
        <w:rPr>
          <w:spacing w:val="-64"/>
        </w:rPr>
        <w:t> </w:t>
      </w:r>
      <w:r>
        <w:rPr>
          <w:spacing w:val="-64"/>
        </w:rPr>
      </w:r>
      <w:r>
        <w:rPr>
          <w:spacing w:val="-2"/>
        </w:rPr>
        <w:t>司拥有独立完整的业务和自主经营能力，在业务、资产、人员、机构、财务上独立于控股股东，公司董事会、监事会和内部</w:t>
      </w:r>
      <w:r>
        <w:rPr>
          <w:spacing w:val="-73"/>
        </w:rPr>
        <w:t> </w:t>
      </w:r>
      <w:r>
        <w:rPr>
          <w:spacing w:val="-73"/>
        </w:rPr>
      </w:r>
      <w:r>
        <w:rPr/>
        <w:t>机构独立运作。</w:t>
      </w:r>
    </w:p>
    <w:p>
      <w:pPr>
        <w:spacing w:line="240" w:lineRule="auto" w:before="11"/>
        <w:rPr>
          <w:rFonts w:ascii="宋体" w:hAnsi="宋体" w:cs="宋体" w:eastAsia="宋体" w:hint="default"/>
          <w:sz w:val="20"/>
          <w:szCs w:val="20"/>
        </w:rPr>
      </w:pPr>
    </w:p>
    <w:p>
      <w:pPr>
        <w:pStyle w:val="Heading2"/>
        <w:spacing w:line="240" w:lineRule="auto"/>
        <w:ind w:right="2839"/>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2839"/>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2839"/>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40.92%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4"/>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37.87%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84"/>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line="240" w:lineRule="auto" w:before="3"/>
        <w:rPr>
          <w:rFonts w:ascii="宋体" w:hAnsi="宋体" w:cs="宋体" w:eastAsia="宋体" w:hint="default"/>
          <w:b/>
          <w:bCs/>
          <w:sz w:val="19"/>
          <w:szCs w:val="19"/>
        </w:rPr>
      </w:pPr>
    </w:p>
    <w:p>
      <w:pPr>
        <w:pStyle w:val="Heading3"/>
        <w:spacing w:line="240" w:lineRule="auto" w:before="36"/>
        <w:ind w:right="2839"/>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2839"/>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2839"/>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5"/>
        <w:gridCol w:w="1162"/>
        <w:gridCol w:w="1164"/>
        <w:gridCol w:w="1162"/>
        <w:gridCol w:w="1165"/>
        <w:gridCol w:w="1164"/>
      </w:tblGrid>
      <w:tr>
        <w:trPr>
          <w:trHeight w:val="403" w:hRule="exact"/>
        </w:trPr>
        <w:tc>
          <w:tcPr>
            <w:tcW w:w="957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67"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宋健尔</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侯成训</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郭莉莉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0"/>
        <w:jc w:val="both"/>
      </w:pPr>
      <w:r>
        <w:rPr/>
        <w:t>连续两次未亲自出席董事会的说明</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独立董事对公司有关事项是否提出异议</w:t>
      </w:r>
    </w:p>
    <w:p>
      <w:pPr>
        <w:pStyle w:val="BodyText"/>
        <w:spacing w:line="338" w:lineRule="auto" w:before="117"/>
        <w:ind w:right="60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8"/>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独立董事对公司有关建议是否被采纳</w:t>
      </w:r>
    </w:p>
    <w:p>
      <w:pPr>
        <w:pStyle w:val="BodyText"/>
        <w:spacing w:line="340" w:lineRule="auto" w:before="115"/>
        <w:ind w:right="58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00" w:lineRule="auto" w:before="123"/>
        <w:ind w:right="188" w:firstLine="480"/>
        <w:jc w:val="both"/>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20</w:t>
      </w:r>
      <w:r>
        <w:rPr>
          <w:spacing w:val="-1"/>
        </w:rPr>
        <w:t>日第三届董事会</w:t>
      </w:r>
      <w:r>
        <w:rPr>
          <w:rFonts w:ascii="Times New Roman" w:hAnsi="Times New Roman" w:cs="Times New Roman" w:eastAsia="Times New Roman" w:hint="default"/>
          <w:spacing w:val="-1"/>
        </w:rPr>
        <w:t>2017</w:t>
      </w:r>
      <w:r>
        <w:rPr>
          <w:spacing w:val="-1"/>
        </w:rPr>
        <w:t>年第一次会议，本人对公司《</w:t>
      </w:r>
      <w:r>
        <w:rPr>
          <w:rFonts w:ascii="Times New Roman" w:hAnsi="Times New Roman" w:cs="Times New Roman" w:eastAsia="Times New Roman" w:hint="default"/>
          <w:spacing w:val="-1"/>
        </w:rPr>
        <w:t>2016</w:t>
      </w:r>
      <w:r>
        <w:rPr>
          <w:spacing w:val="-1"/>
        </w:rPr>
        <w:t>年度财务决算报告》、公司</w:t>
      </w:r>
      <w:r>
        <w:rPr>
          <w:rFonts w:ascii="Times New Roman" w:hAnsi="Times New Roman" w:cs="Times New Roman" w:eastAsia="Times New Roman" w:hint="default"/>
          <w:spacing w:val="-1"/>
        </w:rPr>
        <w:t>2016</w:t>
      </w:r>
      <w:r>
        <w:rPr>
          <w:spacing w:val="-1"/>
        </w:rPr>
        <w:t>年度利润分配</w:t>
      </w:r>
      <w:r>
        <w:rPr/>
        <w:t> </w:t>
      </w:r>
      <w:r>
        <w:rPr>
          <w:spacing w:val="-2"/>
        </w:rPr>
        <w:t>方案、《</w:t>
      </w:r>
      <w:r>
        <w:rPr>
          <w:rFonts w:ascii="Times New Roman" w:hAnsi="Times New Roman" w:cs="Times New Roman" w:eastAsia="Times New Roman" w:hint="default"/>
          <w:spacing w:val="-2"/>
        </w:rPr>
        <w:t>2016</w:t>
      </w:r>
      <w:r>
        <w:rPr>
          <w:spacing w:val="-2"/>
        </w:rPr>
        <w:t>年度募集资金存放与使用情况的专项报告》、公司董事、监事和高级管理人员</w:t>
      </w:r>
      <w:r>
        <w:rPr>
          <w:rFonts w:ascii="Times New Roman" w:hAnsi="Times New Roman" w:cs="Times New Roman" w:eastAsia="Times New Roman" w:hint="default"/>
          <w:spacing w:val="-2"/>
        </w:rPr>
        <w:t>2017</w:t>
      </w:r>
      <w:r>
        <w:rPr>
          <w:spacing w:val="-2"/>
        </w:rPr>
        <w:t>年度薪酬激励制度、《</w:t>
      </w:r>
      <w:r>
        <w:rPr>
          <w:rFonts w:ascii="Times New Roman" w:hAnsi="Times New Roman" w:cs="Times New Roman" w:eastAsia="Times New Roman" w:hint="default"/>
          <w:spacing w:val="-2"/>
        </w:rPr>
        <w:t>2016</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spacing w:val="-2"/>
        </w:rPr>
        <w:t>年度内部控制评价报告》、聘请公司</w:t>
      </w:r>
      <w:r>
        <w:rPr>
          <w:rFonts w:ascii="Times New Roman" w:hAnsi="Times New Roman" w:cs="Times New Roman" w:eastAsia="Times New Roman" w:hint="default"/>
          <w:spacing w:val="-2"/>
        </w:rPr>
        <w:t>2017</w:t>
      </w:r>
      <w:r>
        <w:rPr>
          <w:spacing w:val="-2"/>
        </w:rPr>
        <w:t>年度审计机构、</w:t>
      </w:r>
      <w:r>
        <w:rPr>
          <w:rFonts w:ascii="Times New Roman" w:hAnsi="Times New Roman" w:cs="Times New Roman" w:eastAsia="Times New Roman" w:hint="default"/>
          <w:spacing w:val="-2"/>
        </w:rPr>
        <w:t>2016</w:t>
      </w:r>
      <w:r>
        <w:rPr>
          <w:spacing w:val="-2"/>
        </w:rPr>
        <w:t>年度公司控股股东及其他关联方占用资金和违规担保情况、公</w:t>
      </w:r>
      <w:r>
        <w:rPr>
          <w:spacing w:val="-57"/>
        </w:rPr>
        <w:t> </w:t>
      </w:r>
      <w:r>
        <w:rPr>
          <w:spacing w:val="-57"/>
        </w:rPr>
      </w:r>
      <w:r>
        <w:rPr/>
        <w:t>司对外担保及关联交易情况、公司首期股票期权激励计划有关事项发表了独立意见。</w:t>
      </w:r>
    </w:p>
    <w:p>
      <w:pPr>
        <w:pStyle w:val="BodyText"/>
        <w:spacing w:line="300" w:lineRule="auto" w:before="152"/>
        <w:ind w:right="183" w:firstLine="480"/>
        <w:jc w:val="left"/>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19</w:t>
      </w:r>
      <w:r>
        <w:rPr>
          <w:spacing w:val="-1"/>
        </w:rPr>
        <w:t>日第三届董事会</w:t>
      </w:r>
      <w:r>
        <w:rPr>
          <w:rFonts w:ascii="Times New Roman" w:hAnsi="Times New Roman" w:cs="Times New Roman" w:eastAsia="Times New Roman" w:hint="default"/>
          <w:spacing w:val="-1"/>
        </w:rPr>
        <w:t>2017</w:t>
      </w:r>
      <w:r>
        <w:rPr>
          <w:spacing w:val="-1"/>
        </w:rPr>
        <w:t>年第三次会议，本人对调整首期股票期权激励计划股票期权数量及行权价格发表</w:t>
      </w:r>
      <w:r>
        <w:rPr/>
        <w:t> 了独立意见。</w:t>
      </w:r>
    </w:p>
    <w:p>
      <w:pPr>
        <w:pStyle w:val="BodyText"/>
        <w:spacing w:line="300" w:lineRule="auto" w:before="151"/>
        <w:ind w:right="183" w:firstLine="48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日第三届董事会</w:t>
      </w:r>
      <w:r>
        <w:rPr>
          <w:rFonts w:ascii="Times New Roman" w:hAnsi="Times New Roman" w:cs="Times New Roman" w:eastAsia="Times New Roman" w:hint="default"/>
        </w:rPr>
        <w:t>2017</w:t>
      </w:r>
      <w:r>
        <w:rPr/>
        <w:t>年第四次会议，本人对公司继续使用部分闲置募集资金暂时补充流动资金、补充 审议关联交易及子公司向关联方借款暨关联交易的事项发表了独立意见。</w:t>
      </w:r>
    </w:p>
    <w:p>
      <w:pPr>
        <w:pStyle w:val="BodyText"/>
        <w:spacing w:line="300" w:lineRule="auto" w:before="151"/>
        <w:ind w:right="94" w:firstLine="48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日第三届董事会</w:t>
      </w:r>
      <w:r>
        <w:rPr>
          <w:rFonts w:ascii="Times New Roman" w:hAnsi="Times New Roman" w:cs="Times New Roman" w:eastAsia="Times New Roman" w:hint="default"/>
        </w:rPr>
        <w:t>2017</w:t>
      </w:r>
      <w:r>
        <w:rPr/>
        <w:t>年第五次会议，本人对公司放弃对中金花桥数据系统有限公司优先购买权等相关 权利发表了事前认可意见及独立意见，对</w:t>
      </w:r>
      <w:r>
        <w:rPr>
          <w:rFonts w:ascii="Times New Roman" w:hAnsi="Times New Roman" w:cs="Times New Roman" w:eastAsia="Times New Roman" w:hint="default"/>
        </w:rPr>
        <w:t>2017</w:t>
      </w:r>
      <w:r>
        <w:rPr/>
        <w:t>年半年度财务报告、《</w:t>
      </w:r>
      <w:r>
        <w:rPr>
          <w:rFonts w:ascii="Times New Roman" w:hAnsi="Times New Roman" w:cs="Times New Roman" w:eastAsia="Times New Roman" w:hint="default"/>
        </w:rPr>
        <w:t>2017</w:t>
      </w:r>
      <w:r>
        <w:rPr/>
        <w:t>年半年度募集资金存放与使用情况的专项报告》、</w:t>
      </w:r>
      <w:r>
        <w:rPr>
          <w:spacing w:val="-84"/>
        </w:rPr>
        <w:t> </w:t>
      </w:r>
      <w:r>
        <w:rPr>
          <w:spacing w:val="-84"/>
        </w:rPr>
      </w:r>
      <w:r>
        <w:rPr>
          <w:spacing w:val="-2"/>
        </w:rPr>
        <w:t>继续使用闲置募集资金进行现金管理、</w:t>
      </w:r>
      <w:r>
        <w:rPr>
          <w:rFonts w:ascii="Times New Roman" w:hAnsi="Times New Roman" w:cs="Times New Roman" w:eastAsia="Times New Roman" w:hint="default"/>
          <w:spacing w:val="-2"/>
        </w:rPr>
        <w:t>2017</w:t>
      </w:r>
      <w:r>
        <w:rPr>
          <w:spacing w:val="-2"/>
        </w:rPr>
        <w:t>年半年度公司控股股东及其他关联方占用资金和违规担保情况、公司对外担保及</w:t>
      </w:r>
      <w:r>
        <w:rPr>
          <w:spacing w:val="-61"/>
        </w:rPr>
        <w:t> </w:t>
      </w:r>
      <w:r>
        <w:rPr>
          <w:spacing w:val="-61"/>
        </w:rPr>
      </w:r>
      <w:r>
        <w:rPr/>
        <w:t>关联交易情况发表了独立意见。</w:t>
      </w:r>
    </w:p>
    <w:p>
      <w:pPr>
        <w:pStyle w:val="BodyText"/>
        <w:spacing w:line="300" w:lineRule="auto" w:before="151"/>
        <w:ind w:right="183" w:firstLine="480"/>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日第三届董事会</w:t>
      </w:r>
      <w:r>
        <w:rPr>
          <w:rFonts w:ascii="Times New Roman" w:hAnsi="Times New Roman" w:cs="Times New Roman" w:eastAsia="Times New Roman" w:hint="default"/>
        </w:rPr>
        <w:t>2017</w:t>
      </w:r>
      <w:r>
        <w:rPr/>
        <w:t>年第八次会议，本人对公司放弃北京科信盛彩云计算有限公司股权转让优先购 买权暨关联交易发表了事前认可意见及独立意见，对使用募集资金向全资子公司继续增资发表了独立意见。</w:t>
      </w:r>
    </w:p>
    <w:p>
      <w:pPr>
        <w:spacing w:line="240" w:lineRule="auto" w:before="11"/>
        <w:rPr>
          <w:rFonts w:ascii="宋体" w:hAnsi="宋体" w:cs="宋体" w:eastAsia="宋体" w:hint="default"/>
          <w:sz w:val="21"/>
          <w:szCs w:val="21"/>
        </w:rPr>
      </w:pPr>
    </w:p>
    <w:p>
      <w:pPr>
        <w:pStyle w:val="Heading2"/>
        <w:spacing w:line="240" w:lineRule="auto"/>
        <w:ind w:right="0"/>
        <w:jc w:val="both"/>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3" w:right="102"/>
        <w:jc w:val="left"/>
      </w:pPr>
      <w:r>
        <w:rPr>
          <w:rFonts w:ascii="Times New Roman" w:hAnsi="Times New Roman" w:cs="Times New Roman" w:eastAsia="Times New Roman" w:hint="default"/>
        </w:rPr>
        <w:t>1</w:t>
      </w:r>
      <w:r>
        <w:rPr/>
        <w:t>、审计委员会：报告期内，审计委员会根据《公司法》、《证券法》、《上市公司治理准则》、《内部审计制度》及</w:t>
      </w:r>
    </w:p>
    <w:p>
      <w:pPr>
        <w:pStyle w:val="BodyText"/>
        <w:spacing w:line="312" w:lineRule="auto" w:before="63"/>
        <w:ind w:right="190"/>
        <w:jc w:val="both"/>
      </w:pPr>
      <w:r>
        <w:rPr/>
        <w:t>《董事会审计委员会工作制度》等有关规定，积极履行职责。报告期内，审计委员会共召开了</w:t>
      </w:r>
      <w:r>
        <w:rPr>
          <w:rFonts w:ascii="Times New Roman" w:hAnsi="Times New Roman" w:cs="Times New Roman" w:eastAsia="Times New Roman" w:hint="default"/>
        </w:rPr>
        <w:t>6</w:t>
      </w:r>
      <w:r>
        <w:rPr/>
        <w:t>次会议，分别对报告期内公 </w:t>
      </w:r>
      <w:r>
        <w:rPr>
          <w:spacing w:val="-2"/>
        </w:rPr>
        <w:t>司定期报告、募集资金存放与使用情况、年度内部控制评价报告、聘请外部审计机构、公司审计部工作情况、关联交易等事</w:t>
      </w:r>
      <w:r>
        <w:rPr>
          <w:spacing w:val="-67"/>
        </w:rPr>
        <w:t> </w:t>
      </w:r>
      <w:r>
        <w:rPr>
          <w:spacing w:val="-67"/>
        </w:rPr>
      </w:r>
      <w:r>
        <w:rPr>
          <w:spacing w:val="-2"/>
        </w:rPr>
        <w:t>项进行了审议并形成决议，就公司内部审计部门工作和审计质量进行沟通和指导，审查公司内控制度建设及完善情况，并提</w:t>
      </w:r>
      <w:r>
        <w:rPr>
          <w:spacing w:val="-63"/>
        </w:rPr>
        <w:t> </w:t>
      </w:r>
      <w:r>
        <w:rPr>
          <w:spacing w:val="-63"/>
        </w:rPr>
      </w:r>
      <w:r>
        <w:rPr/>
        <w:t>出合理化建议，切实履行了独立董事的职责，发挥了审计委员会委员的作用。</w:t>
      </w:r>
    </w:p>
    <w:p>
      <w:pPr>
        <w:pStyle w:val="BodyText"/>
        <w:spacing w:line="300" w:lineRule="auto" w:before="142"/>
        <w:ind w:right="191" w:firstLine="360"/>
        <w:jc w:val="both"/>
      </w:pPr>
      <w:r>
        <w:rPr>
          <w:rFonts w:ascii="Times New Roman" w:hAnsi="Times New Roman" w:cs="Times New Roman" w:eastAsia="Times New Roman" w:hint="default"/>
        </w:rPr>
        <w:t>2</w:t>
      </w:r>
      <w:r>
        <w:rPr/>
        <w:t>、战略委员会：报告期内，战略委员会积极了解公司的经营情况及行业发展状况，结合公司战略规划及实际情况，向 </w:t>
      </w:r>
      <w:r>
        <w:rPr>
          <w:spacing w:val="-4"/>
        </w:rPr>
        <w:t>公司董事会就研发方向、市场开拓重点、未来发展规划等战略决策提出专业意见。报告期内，战略委员会共召开了</w:t>
      </w:r>
      <w:r>
        <w:rPr>
          <w:rFonts w:ascii="Times New Roman" w:hAnsi="Times New Roman" w:cs="Times New Roman" w:eastAsia="Times New Roman" w:hint="default"/>
          <w:spacing w:val="-4"/>
        </w:rPr>
        <w:t>2</w:t>
      </w:r>
      <w:r>
        <w:rPr>
          <w:spacing w:val="-4"/>
        </w:rPr>
        <w:t>次会议，</w:t>
      </w:r>
      <w:r>
        <w:rPr>
          <w:spacing w:val="-43"/>
        </w:rPr>
        <w:t> </w:t>
      </w:r>
      <w:r>
        <w:rPr/>
        <w:t>对公司放弃优先购买权等相关权利及对外投资等事项发表了意见并形成了决议。</w:t>
      </w:r>
    </w:p>
    <w:p>
      <w:pPr>
        <w:spacing w:after="0" w:line="300" w:lineRule="auto"/>
        <w:jc w:val="both"/>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09" w:lineRule="auto" w:before="44"/>
        <w:ind w:right="149" w:firstLine="360"/>
        <w:jc w:val="both"/>
      </w:pPr>
      <w:r>
        <w:rPr>
          <w:rFonts w:ascii="Times New Roman" w:hAnsi="Times New Roman" w:cs="Times New Roman" w:eastAsia="Times New Roman" w:hint="default"/>
          <w:spacing w:val="-5"/>
        </w:rPr>
        <w:t>3</w:t>
      </w:r>
      <w:r>
        <w:rPr>
          <w:spacing w:val="-5"/>
        </w:rPr>
        <w:t>、薪酬与考核委员会：报告期内，薪酬与考核委员会召开了</w:t>
      </w:r>
      <w:r>
        <w:rPr>
          <w:rFonts w:ascii="Times New Roman" w:hAnsi="Times New Roman" w:cs="Times New Roman" w:eastAsia="Times New Roman" w:hint="default"/>
          <w:spacing w:val="-5"/>
        </w:rPr>
        <w:t>2</w:t>
      </w:r>
      <w:r>
        <w:rPr>
          <w:spacing w:val="-5"/>
        </w:rPr>
        <w:t>次会议，对公司</w:t>
      </w:r>
      <w:r>
        <w:rPr>
          <w:rFonts w:ascii="Times New Roman" w:hAnsi="Times New Roman" w:cs="Times New Roman" w:eastAsia="Times New Roman" w:hint="default"/>
          <w:spacing w:val="-5"/>
        </w:rPr>
        <w:t>2016</w:t>
      </w:r>
      <w:r>
        <w:rPr>
          <w:spacing w:val="-5"/>
        </w:rPr>
        <w:t>年主要财务指标和经营目标完成情况、</w:t>
      </w:r>
      <w:r>
        <w:rPr/>
        <w:t> </w:t>
      </w:r>
      <w:r>
        <w:rPr>
          <w:spacing w:val="-2"/>
        </w:rPr>
        <w:t>董事和高级管理人员绩效评价总结，对公司首期股票期权激励计划第一个行权期行权、激励对象名单、股票期权数量调整及</w:t>
      </w:r>
      <w:r>
        <w:rPr>
          <w:spacing w:val="-62"/>
        </w:rPr>
        <w:t> </w:t>
      </w:r>
      <w:r>
        <w:rPr>
          <w:spacing w:val="-62"/>
        </w:rPr>
      </w:r>
      <w:r>
        <w:rPr/>
        <w:t>部分股票期权注销发表了意见并形成决议。</w:t>
      </w:r>
    </w:p>
    <w:p>
      <w:pPr>
        <w:pStyle w:val="BodyText"/>
        <w:spacing w:line="240" w:lineRule="auto" w:before="144"/>
        <w:ind w:left="513" w:right="2839"/>
        <w:jc w:val="left"/>
      </w:pPr>
      <w:r>
        <w:rPr>
          <w:rFonts w:ascii="Times New Roman" w:hAnsi="Times New Roman" w:cs="Times New Roman" w:eastAsia="Times New Roman" w:hint="default"/>
        </w:rPr>
        <w:t>4</w:t>
      </w:r>
      <w:r>
        <w:rPr/>
        <w:t>、提名委员会：报告期内，未发生需提交董事会提名委员会审议的事项。</w:t>
      </w:r>
    </w:p>
    <w:p>
      <w:pPr>
        <w:spacing w:line="240" w:lineRule="auto" w:before="3"/>
        <w:rPr>
          <w:rFonts w:ascii="宋体" w:hAnsi="宋体" w:cs="宋体" w:eastAsia="宋体" w:hint="default"/>
          <w:sz w:val="24"/>
          <w:szCs w:val="24"/>
        </w:rPr>
      </w:pPr>
    </w:p>
    <w:p>
      <w:pPr>
        <w:pStyle w:val="Heading2"/>
        <w:spacing w:line="240" w:lineRule="auto"/>
        <w:ind w:right="2839"/>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2839"/>
        <w:jc w:val="left"/>
      </w:pPr>
      <w:r>
        <w:rPr/>
        <w:t>监事会在报告期内的监督活动中发现公司是否存在风险</w:t>
      </w:r>
    </w:p>
    <w:p>
      <w:pPr>
        <w:pStyle w:val="BodyText"/>
        <w:spacing w:line="340" w:lineRule="auto" w:before="115"/>
        <w:ind w:right="63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7"/>
        <w:rPr>
          <w:rFonts w:ascii="宋体" w:hAnsi="宋体" w:cs="宋体" w:eastAsia="宋体" w:hint="default"/>
          <w:sz w:val="19"/>
          <w:szCs w:val="19"/>
        </w:rPr>
      </w:pPr>
    </w:p>
    <w:p>
      <w:pPr>
        <w:pStyle w:val="Heading2"/>
        <w:spacing w:line="240" w:lineRule="auto"/>
        <w:ind w:right="2839"/>
        <w:jc w:val="left"/>
        <w:rPr>
          <w:b w:val="0"/>
          <w:bCs w:val="0"/>
        </w:rPr>
      </w:pPr>
      <w:r>
        <w:rPr/>
        <w:t>八、高级管理人员的考评及激励情况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60"/>
        <w:jc w:val="left"/>
      </w:pPr>
      <w:r>
        <w:rPr>
          <w:spacing w:val="-2"/>
        </w:rPr>
        <w:t>公司高级管理人员的薪酬分配与考核以企业经济效益为出发点，根据公司年度经营计划和高级管理人员分管工作的工作</w:t>
      </w:r>
      <w:r>
        <w:rPr/>
        <w:t> 目标，进行综合考核，根据考核结果确定高级管理人员的薪酬分配。</w:t>
      </w:r>
    </w:p>
    <w:p>
      <w:pPr>
        <w:pStyle w:val="BodyText"/>
        <w:spacing w:line="240" w:lineRule="auto" w:before="139"/>
        <w:ind w:left="513" w:right="2839"/>
        <w:jc w:val="left"/>
      </w:pPr>
      <w:r>
        <w:rPr/>
        <w:t>公司高级管理人员薪酬的确定应遵循以下原则：</w:t>
      </w:r>
    </w:p>
    <w:p>
      <w:pPr>
        <w:spacing w:line="240" w:lineRule="auto" w:before="0"/>
        <w:rPr>
          <w:rFonts w:ascii="宋体" w:hAnsi="宋体" w:cs="宋体" w:eastAsia="宋体" w:hint="default"/>
          <w:sz w:val="15"/>
          <w:szCs w:val="15"/>
        </w:rPr>
      </w:pPr>
    </w:p>
    <w:p>
      <w:pPr>
        <w:pStyle w:val="BodyText"/>
        <w:spacing w:line="240" w:lineRule="auto"/>
        <w:ind w:left="513" w:right="2839"/>
        <w:jc w:val="left"/>
      </w:pPr>
      <w:r>
        <w:rPr>
          <w:rFonts w:ascii="Times New Roman" w:hAnsi="Times New Roman" w:cs="Times New Roman" w:eastAsia="Times New Roman" w:hint="default"/>
        </w:rPr>
        <w:t>1</w:t>
      </w:r>
      <w:r>
        <w:rPr/>
        <w:t>、公开、公正、公平、透明的基本原则；</w:t>
      </w:r>
    </w:p>
    <w:p>
      <w:pPr>
        <w:spacing w:line="240" w:lineRule="auto" w:before="13"/>
        <w:rPr>
          <w:rFonts w:ascii="宋体" w:hAnsi="宋体" w:cs="宋体" w:eastAsia="宋体" w:hint="default"/>
          <w:sz w:val="13"/>
          <w:szCs w:val="13"/>
        </w:rPr>
      </w:pPr>
    </w:p>
    <w:p>
      <w:pPr>
        <w:pStyle w:val="BodyText"/>
        <w:spacing w:line="240" w:lineRule="auto"/>
        <w:ind w:left="513" w:right="0"/>
        <w:jc w:val="left"/>
      </w:pPr>
      <w:r>
        <w:rPr>
          <w:rFonts w:ascii="Times New Roman" w:hAnsi="Times New Roman" w:cs="Times New Roman" w:eastAsia="Times New Roman" w:hint="default"/>
        </w:rPr>
        <w:t>2</w:t>
      </w:r>
      <w:r>
        <w:rPr/>
        <w:t>、责、权、利相结合，与公司的经济效益及个人岗位责任目标相结合为主要原则，辅以行为规范；</w:t>
      </w:r>
    </w:p>
    <w:p>
      <w:pPr>
        <w:spacing w:line="240" w:lineRule="auto" w:before="13"/>
        <w:rPr>
          <w:rFonts w:ascii="宋体" w:hAnsi="宋体" w:cs="宋体" w:eastAsia="宋体" w:hint="default"/>
          <w:sz w:val="13"/>
          <w:szCs w:val="13"/>
        </w:rPr>
      </w:pPr>
    </w:p>
    <w:p>
      <w:pPr>
        <w:pStyle w:val="BodyText"/>
        <w:spacing w:line="240" w:lineRule="auto"/>
        <w:ind w:left="513" w:right="0"/>
        <w:jc w:val="left"/>
      </w:pPr>
      <w:r>
        <w:rPr>
          <w:rFonts w:ascii="Times New Roman" w:hAnsi="Times New Roman" w:cs="Times New Roman" w:eastAsia="Times New Roman" w:hint="default"/>
        </w:rPr>
        <w:t>3</w:t>
      </w:r>
      <w:r>
        <w:rPr/>
        <w:t>、与公司普通员工薪酬增长相适应；与外部市场同等职位薪酬相适应，保持公司薪酬的吸引力及市场竞争力；</w:t>
      </w:r>
    </w:p>
    <w:p>
      <w:pPr>
        <w:spacing w:line="240" w:lineRule="auto" w:before="0"/>
        <w:rPr>
          <w:rFonts w:ascii="宋体" w:hAnsi="宋体" w:cs="宋体" w:eastAsia="宋体" w:hint="default"/>
          <w:sz w:val="14"/>
          <w:szCs w:val="14"/>
        </w:rPr>
      </w:pPr>
    </w:p>
    <w:p>
      <w:pPr>
        <w:pStyle w:val="BodyText"/>
        <w:spacing w:line="240" w:lineRule="auto"/>
        <w:ind w:left="513" w:right="2839"/>
        <w:jc w:val="left"/>
      </w:pPr>
      <w:r>
        <w:rPr>
          <w:rFonts w:ascii="Times New Roman" w:hAnsi="Times New Roman" w:cs="Times New Roman" w:eastAsia="Times New Roman" w:hint="default"/>
        </w:rPr>
        <w:t>4</w:t>
      </w:r>
      <w:r>
        <w:rPr/>
        <w:t>、短期与长期激励相结合的原则；</w:t>
      </w:r>
    </w:p>
    <w:p>
      <w:pPr>
        <w:spacing w:line="240" w:lineRule="auto" w:before="13"/>
        <w:rPr>
          <w:rFonts w:ascii="宋体" w:hAnsi="宋体" w:cs="宋体" w:eastAsia="宋体" w:hint="default"/>
          <w:sz w:val="13"/>
          <w:szCs w:val="13"/>
        </w:rPr>
      </w:pPr>
    </w:p>
    <w:p>
      <w:pPr>
        <w:pStyle w:val="BodyText"/>
        <w:spacing w:line="415" w:lineRule="auto"/>
        <w:ind w:left="513" w:right="6263"/>
        <w:jc w:val="left"/>
      </w:pPr>
      <w:r>
        <w:rPr>
          <w:rFonts w:ascii="Times New Roman" w:hAnsi="Times New Roman" w:cs="Times New Roman" w:eastAsia="Times New Roman" w:hint="default"/>
        </w:rPr>
        <w:t>5</w:t>
      </w:r>
      <w:r>
        <w:rPr/>
        <w:t>、薪酬与公司长远利益相结合的原则。 高级管理人员的薪酬考核标准如下：</w:t>
      </w:r>
    </w:p>
    <w:p>
      <w:pPr>
        <w:pStyle w:val="BodyText"/>
        <w:spacing w:line="240" w:lineRule="auto" w:before="65"/>
        <w:ind w:left="513" w:right="0"/>
        <w:jc w:val="left"/>
      </w:pPr>
      <w:r>
        <w:rPr>
          <w:rFonts w:ascii="Times New Roman" w:hAnsi="Times New Roman" w:cs="Times New Roman" w:eastAsia="Times New Roman" w:hint="default"/>
        </w:rPr>
        <w:t>1</w:t>
      </w:r>
      <w:r>
        <w:rPr/>
        <w:t>、高级管理人员的薪酬由年度薪酬和年度奖励两部分构成，其中年度薪酬包括年度固定薪酬和年度绩效薪酬。</w:t>
      </w:r>
    </w:p>
    <w:p>
      <w:pPr>
        <w:spacing w:line="240" w:lineRule="auto" w:before="13"/>
        <w:rPr>
          <w:rFonts w:ascii="宋体" w:hAnsi="宋体" w:cs="宋体" w:eastAsia="宋体" w:hint="default"/>
          <w:sz w:val="13"/>
          <w:szCs w:val="13"/>
        </w:rPr>
      </w:pPr>
    </w:p>
    <w:p>
      <w:pPr>
        <w:pStyle w:val="BodyText"/>
        <w:spacing w:line="240" w:lineRule="auto"/>
        <w:ind w:left="513" w:right="0"/>
        <w:jc w:val="left"/>
      </w:pPr>
      <w:r>
        <w:rPr>
          <w:rFonts w:ascii="Times New Roman" w:hAnsi="Times New Roman" w:cs="Times New Roman" w:eastAsia="Times New Roman" w:hint="default"/>
        </w:rPr>
        <w:t>2</w:t>
      </w:r>
      <w:r>
        <w:rPr/>
        <w:t>、年度固定薪酬部分主要根据职位、责任、能力、市场薪资行情等因素确定，不进行考核，按月发放；</w:t>
      </w:r>
    </w:p>
    <w:p>
      <w:pPr>
        <w:spacing w:line="240" w:lineRule="auto" w:before="13"/>
        <w:rPr>
          <w:rFonts w:ascii="宋体" w:hAnsi="宋体" w:cs="宋体" w:eastAsia="宋体" w:hint="default"/>
          <w:sz w:val="13"/>
          <w:szCs w:val="13"/>
        </w:rPr>
      </w:pPr>
    </w:p>
    <w:p>
      <w:pPr>
        <w:pStyle w:val="BodyText"/>
        <w:spacing w:line="300" w:lineRule="auto"/>
        <w:ind w:right="0" w:firstLine="360"/>
        <w:jc w:val="left"/>
      </w:pPr>
      <w:r>
        <w:rPr>
          <w:rFonts w:ascii="Times New Roman" w:hAnsi="Times New Roman" w:cs="Times New Roman" w:eastAsia="Times New Roman" w:hint="default"/>
          <w:spacing w:val="-4"/>
        </w:rPr>
        <w:t>3</w:t>
      </w:r>
      <w:r>
        <w:rPr>
          <w:spacing w:val="-4"/>
        </w:rPr>
        <w:t>、年度绩效薪酬主要考核公司目标完成情况、个人目标完成情况及个人行为规范等。年度绩效薪酬的考核周期为季度，</w:t>
      </w:r>
      <w:r>
        <w:rPr/>
        <w:t> 本季度按上一季度的绩效目标达成情况评定公司绩效考核系数及个人评价考核系数，从而核算薪酬并按月发放。</w:t>
      </w:r>
    </w:p>
    <w:p>
      <w:pPr>
        <w:pStyle w:val="BodyText"/>
        <w:spacing w:line="300" w:lineRule="auto" w:before="151"/>
        <w:ind w:right="144" w:firstLine="360"/>
        <w:jc w:val="left"/>
      </w:pPr>
      <w:r>
        <w:rPr>
          <w:rFonts w:ascii="Times New Roman" w:hAnsi="Times New Roman" w:cs="Times New Roman" w:eastAsia="Times New Roman" w:hint="default"/>
        </w:rPr>
        <w:t>4</w:t>
      </w:r>
      <w:r>
        <w:rPr/>
        <w:t>、年度奖励主要考核全年度公司收入及利润目标的完成情况，高级管理人员依岗责分管业务目标及重点项目、重大措 施的完成情况及其它管理要求指标的完成情况、特别贡献等情况。</w:t>
      </w:r>
    </w:p>
    <w:p>
      <w:pPr>
        <w:spacing w:line="240" w:lineRule="auto" w:before="11"/>
        <w:rPr>
          <w:rFonts w:ascii="宋体" w:hAnsi="宋体" w:cs="宋体" w:eastAsia="宋体" w:hint="default"/>
          <w:sz w:val="21"/>
          <w:szCs w:val="21"/>
        </w:rPr>
      </w:pPr>
    </w:p>
    <w:p>
      <w:pPr>
        <w:pStyle w:val="Heading2"/>
        <w:spacing w:line="240" w:lineRule="auto"/>
        <w:ind w:right="2839"/>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2839"/>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283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2839"/>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327"/>
        <w:gridCol w:w="3053"/>
      </w:tblGrid>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345"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4" w:space="0" w:color="000000"/>
            </w:tcBorders>
          </w:tcPr>
          <w:p>
            <w:pPr>
              <w:pStyle w:val="TableParagraph"/>
              <w:spacing w:line="316" w:lineRule="auto" w:before="49"/>
              <w:ind w:left="23" w:right="47"/>
              <w:jc w:val="left"/>
              <w:rPr>
                <w:rFonts w:ascii="宋体" w:hAnsi="宋体" w:cs="宋体" w:eastAsia="宋体" w:hint="default"/>
                <w:sz w:val="18"/>
                <w:szCs w:val="18"/>
              </w:rPr>
            </w:pPr>
            <w:r>
              <w:rPr>
                <w:rFonts w:ascii="宋体" w:hAnsi="宋体" w:cs="宋体" w:eastAsia="宋体" w:hint="default"/>
                <w:sz w:val="18"/>
                <w:szCs w:val="18"/>
              </w:rPr>
              <w:t>重大缺陷认定标准：①董事、监事、高级 管理人员舞弊。②对已经公告的财务报告 出现重大差错而进行的差错更正。③当期 财务报告存在重大差错，而内部控制运行 过程中未发现该差错。④公司审计委员会 和审计部门对财务报告内部控制监督无 效。重要缺陷认定标准：①未建立反舞弊 程序和控制措施。②对于非常规或特殊交 易的账务处理没有建立相应控制机制。③ 对于财务报告编制过程中存在一项或多项 缺陷不能保证编制的财务报表达到真实、 准确的目标。一般缺陷认定标准：①当期 财务报告存在小额差错，而内部控制运行 过程中未发现该差错。②公司审计委员会 和审计部门对内部控制的监督存在一般缺 陷。</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9" w:lineRule="auto"/>
              <w:ind w:left="26" w:right="-43"/>
              <w:jc w:val="both"/>
              <w:rPr>
                <w:rFonts w:ascii="宋体" w:hAnsi="宋体" w:cs="宋体" w:eastAsia="宋体" w:hint="default"/>
                <w:sz w:val="18"/>
                <w:szCs w:val="18"/>
              </w:rPr>
            </w:pPr>
            <w:r>
              <w:rPr>
                <w:rFonts w:ascii="宋体" w:hAnsi="宋体" w:cs="宋体" w:eastAsia="宋体" w:hint="default"/>
                <w:sz w:val="18"/>
                <w:szCs w:val="18"/>
              </w:rPr>
              <w:t>重大缺陷认定标准：</w:t>
            </w:r>
            <w:r>
              <w:rPr>
                <w:rFonts w:ascii="宋体" w:hAnsi="宋体" w:cs="宋体" w:eastAsia="宋体" w:hint="default"/>
                <w:spacing w:val="1"/>
                <w:sz w:val="18"/>
                <w:szCs w:val="18"/>
              </w:rPr>
              <w:t> </w:t>
            </w:r>
            <w:r>
              <w:rPr>
                <w:rFonts w:ascii="宋体" w:hAnsi="宋体" w:cs="宋体" w:eastAsia="宋体" w:hint="default"/>
                <w:sz w:val="18"/>
                <w:szCs w:val="18"/>
              </w:rPr>
              <w:t>①公司经营活动</w:t>
            </w:r>
            <w:r>
              <w:rPr>
                <w:rFonts w:ascii="宋体" w:hAnsi="宋体" w:cs="宋体" w:eastAsia="宋体" w:hint="default"/>
                <w:sz w:val="18"/>
                <w:szCs w:val="18"/>
              </w:rPr>
              <w:t> </w:t>
            </w:r>
            <w:r>
              <w:rPr>
                <w:rFonts w:ascii="宋体" w:hAnsi="宋体" w:cs="宋体" w:eastAsia="宋体" w:hint="default"/>
                <w:spacing w:val="-4"/>
                <w:sz w:val="18"/>
                <w:szCs w:val="18"/>
              </w:rPr>
              <w:t>违反国家法律、法规。②媒体负面新闻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频频曝光，对公司声誉造成重大影响。</w:t>
            </w:r>
          </w:p>
          <w:p>
            <w:pPr>
              <w:pStyle w:val="TableParagraph"/>
              <w:spacing w:line="316" w:lineRule="auto" w:before="17"/>
              <w:ind w:left="26" w:right="19"/>
              <w:jc w:val="left"/>
              <w:rPr>
                <w:rFonts w:ascii="宋体" w:hAnsi="宋体" w:cs="宋体" w:eastAsia="宋体" w:hint="default"/>
                <w:sz w:val="18"/>
                <w:szCs w:val="18"/>
              </w:rPr>
            </w:pPr>
            <w:r>
              <w:rPr>
                <w:rFonts w:ascii="宋体" w:hAnsi="宋体" w:cs="宋体" w:eastAsia="宋体" w:hint="default"/>
                <w:sz w:val="18"/>
                <w:szCs w:val="18"/>
              </w:rPr>
              <w:t>③</w:t>
            </w:r>
            <w:r>
              <w:rPr>
                <w:rFonts w:ascii="宋体" w:hAnsi="宋体" w:cs="宋体" w:eastAsia="宋体" w:hint="default"/>
                <w:spacing w:val="1"/>
                <w:sz w:val="18"/>
                <w:szCs w:val="18"/>
              </w:rPr>
              <w:t> </w:t>
            </w:r>
            <w:r>
              <w:rPr>
                <w:rFonts w:ascii="宋体" w:hAnsi="宋体" w:cs="宋体" w:eastAsia="宋体" w:hint="default"/>
                <w:sz w:val="18"/>
                <w:szCs w:val="18"/>
              </w:rPr>
              <w:t>高级管理人员和核心技术人员严重</w:t>
            </w:r>
            <w:r>
              <w:rPr>
                <w:rFonts w:ascii="宋体" w:hAnsi="宋体" w:cs="宋体" w:eastAsia="宋体" w:hint="default"/>
                <w:sz w:val="18"/>
                <w:szCs w:val="18"/>
              </w:rPr>
              <w:t> 流失。④内部控制重大缺陷未得到整 改。重要缺陷认定标准：</w:t>
            </w:r>
            <w:r>
              <w:rPr>
                <w:rFonts w:ascii="宋体" w:hAnsi="宋体" w:cs="宋体" w:eastAsia="宋体" w:hint="default"/>
                <w:spacing w:val="1"/>
                <w:sz w:val="18"/>
                <w:szCs w:val="18"/>
              </w:rPr>
              <w:t> </w:t>
            </w:r>
            <w:r>
              <w:rPr>
                <w:rFonts w:ascii="宋体" w:hAnsi="宋体" w:cs="宋体" w:eastAsia="宋体" w:hint="default"/>
                <w:sz w:val="18"/>
                <w:szCs w:val="18"/>
              </w:rPr>
              <w:t>①公司违反</w:t>
            </w:r>
            <w:r>
              <w:rPr>
                <w:rFonts w:ascii="宋体" w:hAnsi="宋体" w:cs="宋体" w:eastAsia="宋体" w:hint="default"/>
                <w:sz w:val="18"/>
                <w:szCs w:val="18"/>
              </w:rPr>
              <w:t> </w:t>
            </w:r>
            <w:r>
              <w:rPr>
                <w:rFonts w:ascii="宋体" w:hAnsi="宋体" w:cs="宋体" w:eastAsia="宋体" w:hint="default"/>
                <w:spacing w:val="-4"/>
                <w:sz w:val="18"/>
                <w:szCs w:val="18"/>
              </w:rPr>
              <w:t>国家法律、法规活动受到轻微处罚。②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媒体出现负面新闻，对公司声誉造成影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响。③关键岗位人员严重流失。</w:t>
            </w:r>
            <w:r>
              <w:rPr>
                <w:rFonts w:ascii="宋体" w:hAnsi="宋体" w:cs="宋体" w:eastAsia="宋体" w:hint="default"/>
                <w:spacing w:val="1"/>
                <w:sz w:val="18"/>
                <w:szCs w:val="18"/>
              </w:rPr>
              <w:t> </w:t>
            </w:r>
            <w:r>
              <w:rPr>
                <w:rFonts w:ascii="宋体" w:hAnsi="宋体" w:cs="宋体" w:eastAsia="宋体" w:hint="default"/>
                <w:sz w:val="18"/>
                <w:szCs w:val="18"/>
              </w:rPr>
              <w:t>④内</w:t>
            </w:r>
            <w:r>
              <w:rPr>
                <w:rFonts w:ascii="宋体" w:hAnsi="宋体" w:cs="宋体" w:eastAsia="宋体" w:hint="default"/>
                <w:sz w:val="18"/>
                <w:szCs w:val="18"/>
              </w:rPr>
              <w:t> </w:t>
            </w:r>
            <w:r>
              <w:rPr>
                <w:rFonts w:ascii="宋体" w:hAnsi="宋体" w:cs="宋体" w:eastAsia="宋体" w:hint="default"/>
                <w:spacing w:val="-4"/>
                <w:sz w:val="18"/>
                <w:szCs w:val="18"/>
              </w:rPr>
              <w:t>部控制重要缺陷未得到整改。一般缺陷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认定标准：①媒体出现负面新闻，但影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响不大。②一般岗位人员流失严重。③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内部控制一般缺陷未得到整改。</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2345"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63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3" w:right="19"/>
              <w:jc w:val="both"/>
              <w:rPr>
                <w:rFonts w:ascii="宋体" w:hAnsi="宋体" w:cs="宋体" w:eastAsia="宋体" w:hint="default"/>
                <w:sz w:val="18"/>
                <w:szCs w:val="18"/>
              </w:rPr>
            </w:pPr>
            <w:r>
              <w:rPr>
                <w:rFonts w:ascii="宋体" w:hAnsi="宋体" w:cs="宋体" w:eastAsia="宋体" w:hint="default"/>
                <w:sz w:val="18"/>
                <w:szCs w:val="18"/>
              </w:rPr>
              <w:t>重大缺陷：错报 </w:t>
            </w:r>
            <w:r>
              <w:rPr>
                <w:rFonts w:ascii="Times New Roman" w:hAnsi="Times New Roman" w:cs="Times New Roman" w:eastAsia="Times New Roman" w:hint="default"/>
                <w:sz w:val="18"/>
                <w:szCs w:val="18"/>
              </w:rPr>
              <w:t>≥</w:t>
            </w:r>
            <w:r>
              <w:rPr>
                <w:rFonts w:ascii="宋体" w:hAnsi="宋体" w:cs="宋体" w:eastAsia="宋体" w:hint="default"/>
                <w:sz w:val="18"/>
                <w:szCs w:val="18"/>
              </w:rPr>
              <w:t>税前利润</w:t>
            </w:r>
            <w:r>
              <w:rPr>
                <w:rFonts w:ascii="宋体" w:hAnsi="宋体" w:cs="宋体" w:eastAsia="宋体" w:hint="default"/>
                <w:spacing w:val="88"/>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；重要 </w:t>
            </w:r>
            <w:r>
              <w:rPr>
                <w:rFonts w:ascii="宋体" w:hAnsi="宋体" w:cs="宋体" w:eastAsia="宋体" w:hint="default"/>
                <w:spacing w:val="-6"/>
                <w:sz w:val="18"/>
                <w:szCs w:val="18"/>
              </w:rPr>
              <w:t>缺陷：税前利润的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0.25%≤</w:t>
            </w:r>
            <w:r>
              <w:rPr>
                <w:rFonts w:ascii="宋体" w:hAnsi="宋体" w:cs="宋体" w:eastAsia="宋体" w:hint="default"/>
                <w:sz w:val="18"/>
                <w:szCs w:val="18"/>
              </w:rPr>
              <w:t>错报＜税前利润 </w:t>
            </w:r>
            <w:r>
              <w:rPr>
                <w:rFonts w:ascii="Times New Roman" w:hAnsi="Times New Roman" w:cs="Times New Roman" w:eastAsia="Times New Roman" w:hint="default"/>
                <w:sz w:val="18"/>
                <w:szCs w:val="18"/>
              </w:rPr>
              <w:t>3%</w:t>
            </w:r>
            <w:r>
              <w:rPr>
                <w:rFonts w:ascii="宋体" w:hAnsi="宋体" w:cs="宋体" w:eastAsia="宋体" w:hint="default"/>
                <w:sz w:val="18"/>
                <w:szCs w:val="18"/>
              </w:rPr>
              <w:t>； 一般缺陷：错报＜税前利润的</w:t>
            </w:r>
          </w:p>
          <w:p>
            <w:pPr>
              <w:pStyle w:val="TableParagraph"/>
              <w:spacing w:line="240" w:lineRule="auto" w:before="1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0.25%</w:t>
            </w:r>
            <w:r>
              <w:rPr>
                <w:rFonts w:ascii="宋体" w:hAnsi="宋体" w:cs="宋体" w:eastAsia="宋体" w:hint="default"/>
                <w:sz w:val="18"/>
                <w:szCs w:val="18"/>
              </w:rPr>
              <w:t>。</w:t>
            </w:r>
          </w:p>
        </w:tc>
        <w:tc>
          <w:tcPr>
            <w:tcW w:w="3053" w:type="dxa"/>
            <w:vMerge w:val="restart"/>
            <w:tcBorders>
              <w:top w:val="single" w:sz="4" w:space="0" w:color="000000"/>
              <w:left w:val="single" w:sz="4" w:space="0" w:color="000000"/>
              <w:right w:val="single" w:sz="4" w:space="0" w:color="000000"/>
            </w:tcBorders>
          </w:tcPr>
          <w:p>
            <w:pPr>
              <w:pStyle w:val="TableParagraph"/>
              <w:spacing w:line="300" w:lineRule="auto" w:before="51"/>
              <w:ind w:left="26" w:right="20"/>
              <w:jc w:val="both"/>
              <w:rPr>
                <w:rFonts w:ascii="宋体" w:hAnsi="宋体" w:cs="宋体" w:eastAsia="宋体" w:hint="default"/>
                <w:sz w:val="18"/>
                <w:szCs w:val="18"/>
              </w:rPr>
            </w:pPr>
            <w:r>
              <w:rPr>
                <w:rFonts w:ascii="宋体" w:hAnsi="宋体" w:cs="宋体" w:eastAsia="宋体" w:hint="default"/>
                <w:sz w:val="18"/>
                <w:szCs w:val="18"/>
              </w:rPr>
              <w:t>重大缺陷：重大缺陷：直接损失金额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资产总额的 </w:t>
            </w:r>
            <w:r>
              <w:rPr>
                <w:rFonts w:ascii="Times New Roman" w:hAnsi="Times New Roman" w:cs="Times New Roman" w:eastAsia="Times New Roman" w:hint="default"/>
                <w:sz w:val="18"/>
                <w:szCs w:val="18"/>
              </w:rPr>
              <w:t>0.5%</w:t>
            </w:r>
            <w:r>
              <w:rPr>
                <w:rFonts w:ascii="宋体" w:hAnsi="宋体" w:cs="宋体" w:eastAsia="宋体" w:hint="default"/>
                <w:sz w:val="18"/>
                <w:szCs w:val="18"/>
              </w:rPr>
              <w:t>；重要缺陷：资产 总额的</w:t>
            </w:r>
            <w:r>
              <w:rPr>
                <w:rFonts w:ascii="宋体" w:hAnsi="宋体" w:cs="宋体" w:eastAsia="宋体" w:hint="default"/>
                <w:spacing w:val="88"/>
                <w:sz w:val="18"/>
                <w:szCs w:val="18"/>
              </w:rPr>
              <w:t> </w:t>
            </w:r>
            <w:r>
              <w:rPr>
                <w:rFonts w:ascii="Times New Roman" w:hAnsi="Times New Roman" w:cs="Times New Roman" w:eastAsia="Times New Roman" w:hint="default"/>
                <w:sz w:val="18"/>
                <w:szCs w:val="18"/>
              </w:rPr>
              <w:t>0.05%</w:t>
            </w:r>
            <w:r>
              <w:rPr>
                <w:rFonts w:ascii="宋体" w:hAnsi="宋体" w:cs="宋体" w:eastAsia="宋体" w:hint="default"/>
                <w:sz w:val="18"/>
                <w:szCs w:val="18"/>
              </w:rPr>
              <w:t>＜直接损失金额＜资产 总的 </w:t>
            </w:r>
            <w:r>
              <w:rPr>
                <w:rFonts w:ascii="宋体" w:hAnsi="宋体" w:cs="宋体" w:eastAsia="宋体" w:hint="default"/>
                <w:spacing w:val="14"/>
                <w:sz w:val="18"/>
                <w:szCs w:val="18"/>
              </w:rPr>
              <w:t> </w:t>
            </w:r>
            <w:r>
              <w:rPr>
                <w:rFonts w:ascii="Times New Roman" w:hAnsi="Times New Roman" w:cs="Times New Roman" w:eastAsia="Times New Roman" w:hint="default"/>
                <w:spacing w:val="-6"/>
                <w:sz w:val="18"/>
                <w:szCs w:val="18"/>
              </w:rPr>
              <w:t>0.5%</w:t>
            </w:r>
            <w:r>
              <w:rPr>
                <w:rFonts w:ascii="宋体" w:hAnsi="宋体" w:cs="宋体" w:eastAsia="宋体" w:hint="default"/>
                <w:spacing w:val="-6"/>
                <w:sz w:val="18"/>
                <w:szCs w:val="18"/>
              </w:rPr>
              <w:t>；一般缺陷：直接损失金额</w:t>
            </w:r>
          </w:p>
          <w:p>
            <w:pPr>
              <w:pStyle w:val="TableParagraph"/>
              <w:spacing w:line="240" w:lineRule="auto" w:before="13"/>
              <w:ind w:left="2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0.05%</w:t>
            </w:r>
            <w:r>
              <w:rPr>
                <w:rFonts w:ascii="宋体" w:hAnsi="宋体" w:cs="宋体" w:eastAsia="宋体" w:hint="default"/>
                <w:sz w:val="18"/>
                <w:szCs w:val="18"/>
              </w:rPr>
              <w:t>。</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7"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629"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right="2839"/>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2839"/>
        <w:jc w:val="left"/>
      </w:pPr>
      <w:r>
        <w:rPr/>
        <w:t>内部控制鉴证报告</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639"/>
        <w:gridCol w:w="6920"/>
      </w:tblGrid>
      <w:tr>
        <w:trPr>
          <w:trHeight w:val="40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3"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2"/>
              <w:jc w:val="left"/>
              <w:rPr>
                <w:rFonts w:ascii="宋体" w:hAnsi="宋体" w:cs="宋体" w:eastAsia="宋体" w:hint="default"/>
                <w:sz w:val="18"/>
                <w:szCs w:val="18"/>
              </w:rPr>
            </w:pPr>
            <w:r>
              <w:rPr>
                <w:rFonts w:ascii="宋体" w:hAnsi="宋体" w:cs="宋体" w:eastAsia="宋体" w:hint="default"/>
                <w:sz w:val="18"/>
                <w:szCs w:val="18"/>
              </w:rPr>
              <w:t>我们认为，光环新网按照《企业内部控制基本规范》和相关规定于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日在所有重大方面保持了与财务报表 相关的有效的内部控制。</w:t>
            </w:r>
          </w:p>
        </w:tc>
      </w:tr>
      <w:tr>
        <w:trPr>
          <w:trHeight w:val="404" w:hRule="exact"/>
        </w:trPr>
        <w:tc>
          <w:tcPr>
            <w:tcW w:w="2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2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1" w:hRule="exact"/>
        </w:trPr>
        <w:tc>
          <w:tcPr>
            <w:tcW w:w="2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2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无保留结论。</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2839"/>
        <w:jc w:val="left"/>
      </w:pPr>
      <w:r>
        <w:rPr/>
        <w:t>会计师事务所是否出具非标准意见的内部控制鉴证报告</w:t>
      </w:r>
    </w:p>
    <w:p>
      <w:pPr>
        <w:pStyle w:val="BodyText"/>
        <w:spacing w:line="340" w:lineRule="auto" w:before="115"/>
        <w:ind w:right="36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会计师事务所出具的内部控制鉴证报告与董事会的自我评价报告意见是否一致</w:t>
      </w:r>
    </w:p>
    <w:p>
      <w:pPr>
        <w:pStyle w:val="BodyText"/>
        <w:spacing w:line="240" w:lineRule="auto" w:before="39"/>
        <w:ind w:right="283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25" w:right="2839"/>
        <w:jc w:val="left"/>
        <w:rPr>
          <w:b w:val="0"/>
          <w:bCs w:val="0"/>
        </w:rPr>
      </w:pPr>
      <w:bookmarkStart w:name="_bookmark9" w:id="10"/>
      <w:bookmarkEnd w:id="10"/>
      <w:r>
        <w:rPr>
          <w:b w:val="0"/>
          <w:bCs w:val="0"/>
        </w:rPr>
      </w:r>
      <w:r>
        <w:rPr/>
        <w:t>第十节</w:t>
      </w:r>
      <w:r>
        <w:rPr>
          <w:spacing w:val="-6"/>
        </w:rPr>
        <w:t> </w:t>
      </w:r>
      <w:r>
        <w:rPr/>
        <w:t>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113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470"/>
        <w:jc w:val="center"/>
        <w:rPr>
          <w:b w:val="0"/>
          <w:bCs w:val="0"/>
        </w:rPr>
      </w:pPr>
      <w:bookmarkStart w:name="_bookmark10" w:id="11"/>
      <w:bookmarkEnd w:id="11"/>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83"/>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中兴华会计师事务所（特殊普通合伙）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中兴华审字（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010297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谢维、白秀荣</w:t>
            </w:r>
          </w:p>
        </w:tc>
      </w:tr>
    </w:tbl>
    <w:p>
      <w:pPr>
        <w:pStyle w:val="BodyText"/>
        <w:spacing w:line="240" w:lineRule="auto" w:before="49"/>
        <w:ind w:left="3429" w:right="3467"/>
        <w:jc w:val="center"/>
      </w:pPr>
      <w:r>
        <w:rPr/>
        <w:t>审计报告正文</w:t>
      </w:r>
    </w:p>
    <w:p>
      <w:pPr>
        <w:spacing w:line="240" w:lineRule="auto" w:before="3"/>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5" w:footer="979" w:top="1060" w:bottom="1160" w:left="980" w:right="940"/>
        </w:sectPr>
      </w:pPr>
    </w:p>
    <w:p>
      <w:pPr>
        <w:spacing w:line="240" w:lineRule="auto" w:before="0"/>
        <w:rPr>
          <w:rFonts w:ascii="宋体" w:hAnsi="宋体" w:cs="宋体" w:eastAsia="宋体" w:hint="default"/>
          <w:sz w:val="18"/>
          <w:szCs w:val="18"/>
        </w:rPr>
      </w:pPr>
    </w:p>
    <w:p>
      <w:pPr>
        <w:pStyle w:val="BodyText"/>
        <w:spacing w:line="316" w:lineRule="auto" w:before="121"/>
        <w:ind w:left="513" w:right="-20" w:hanging="361"/>
        <w:jc w:val="left"/>
      </w:pPr>
      <w:r>
        <w:rPr/>
        <w:t>北京光环新网科技股份有限公司全体股东： 一、审计意见</w:t>
      </w:r>
    </w:p>
    <w:p>
      <w:pPr>
        <w:pStyle w:val="BodyText"/>
        <w:spacing w:line="240" w:lineRule="auto" w:before="44"/>
        <w:ind w:right="0"/>
        <w:jc w:val="left"/>
      </w:pPr>
      <w:r>
        <w:rPr/>
        <w:br w:type="column"/>
      </w:r>
      <w:r>
        <w:rPr/>
        <w:t>审  计  报</w:t>
      </w:r>
      <w:r>
        <w:rPr>
          <w:spacing w:val="-18"/>
        </w:rPr>
        <w:t> </w:t>
      </w:r>
      <w:r>
        <w:rPr/>
        <w:t>告</w:t>
      </w:r>
    </w:p>
    <w:p>
      <w:pPr>
        <w:spacing w:after="0" w:line="240" w:lineRule="auto"/>
        <w:jc w:val="left"/>
        <w:sectPr>
          <w:type w:val="continuous"/>
          <w:pgSz w:w="11910" w:h="16840"/>
          <w:pgMar w:top="1060" w:bottom="1160" w:left="980" w:right="940"/>
          <w:cols w:num="2" w:equalWidth="0">
            <w:col w:w="3573" w:space="671"/>
            <w:col w:w="5746"/>
          </w:cols>
        </w:sectPr>
      </w:pPr>
    </w:p>
    <w:p>
      <w:pPr>
        <w:pStyle w:val="BodyText"/>
        <w:spacing w:line="300" w:lineRule="auto" w:before="19"/>
        <w:ind w:right="188" w:firstLine="360"/>
        <w:jc w:val="both"/>
      </w:pPr>
      <w:r>
        <w:rPr>
          <w:spacing w:val="-2"/>
        </w:rPr>
        <w:t>我们审计了北京光环新网科技股份有限公司（以下简称</w:t>
      </w:r>
      <w:r>
        <w:rPr>
          <w:rFonts w:ascii="Times New Roman" w:hAnsi="Times New Roman" w:cs="Times New Roman" w:eastAsia="Times New Roman" w:hint="default"/>
          <w:spacing w:val="-2"/>
        </w:rPr>
        <w:t>“</w:t>
      </w:r>
      <w:r>
        <w:rPr>
          <w:spacing w:val="-2"/>
        </w:rPr>
        <w:t>光环新网公司</w:t>
      </w:r>
      <w:r>
        <w:rPr>
          <w:rFonts w:ascii="Times New Roman" w:hAnsi="Times New Roman" w:cs="Times New Roman" w:eastAsia="Times New Roman" w:hint="default"/>
          <w:spacing w:val="-2"/>
        </w:rPr>
        <w:t>”</w:t>
      </w:r>
      <w:r>
        <w:rPr>
          <w:spacing w:val="-2"/>
        </w:rPr>
        <w:t>）财务报表，包括</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w:t>
      </w:r>
      <w:r>
        <w:rPr/>
        <w:t> </w:t>
      </w:r>
      <w:r>
        <w:rPr>
          <w:spacing w:val="-2"/>
        </w:rPr>
        <w:t>司资产负债表，</w:t>
      </w:r>
      <w:r>
        <w:rPr>
          <w:rFonts w:ascii="Times New Roman" w:hAnsi="Times New Roman" w:cs="Times New Roman" w:eastAsia="Times New Roman" w:hint="default"/>
          <w:spacing w:val="-2"/>
        </w:rPr>
        <w:t>2017</w:t>
      </w:r>
      <w:r>
        <w:rPr>
          <w:spacing w:val="-2"/>
        </w:rPr>
        <w:t>年度的合并及母公司利润表、合并及母公司现金流量表、合并及母公司股东权益变动表以及相关财务报</w:t>
      </w:r>
      <w:r>
        <w:rPr>
          <w:spacing w:val="-60"/>
        </w:rPr>
        <w:t> </w:t>
      </w:r>
      <w:r>
        <w:rPr>
          <w:spacing w:val="-60"/>
        </w:rPr>
      </w:r>
      <w:r>
        <w:rPr/>
        <w:t>表附注。</w:t>
      </w:r>
    </w:p>
    <w:p>
      <w:pPr>
        <w:pStyle w:val="BodyText"/>
        <w:spacing w:line="300" w:lineRule="auto" w:before="32"/>
        <w:ind w:right="188" w:firstLine="360"/>
        <w:jc w:val="both"/>
      </w:pPr>
      <w:r>
        <w:rPr>
          <w:spacing w:val="-2"/>
        </w:rPr>
        <w:t>我们认为，后附的财务报表在所有重大方面按照企业会计准则的规定编制，公允反映了光环新网公司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日合</w:t>
      </w:r>
      <w:r>
        <w:rPr/>
        <w:t> 并及母公司的财务状况以及</w:t>
      </w:r>
      <w:r>
        <w:rPr>
          <w:rFonts w:ascii="Times New Roman" w:hAnsi="Times New Roman" w:cs="Times New Roman" w:eastAsia="Times New Roman" w:hint="default"/>
        </w:rPr>
        <w:t>2017</w:t>
      </w:r>
      <w:r>
        <w:rPr/>
        <w:t>年度合并及母公司的经营成果和现金流量。</w:t>
      </w:r>
    </w:p>
    <w:p>
      <w:pPr>
        <w:pStyle w:val="BodyText"/>
        <w:spacing w:line="316" w:lineRule="auto" w:before="13"/>
        <w:ind w:left="513" w:right="183"/>
        <w:jc w:val="left"/>
      </w:pPr>
      <w:r>
        <w:rPr/>
        <w:t>二、形成审计意见的基础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316" w:lineRule="auto"/>
        <w:ind w:right="183"/>
        <w:jc w:val="left"/>
      </w:pPr>
      <w:r>
        <w:rPr>
          <w:spacing w:val="-2"/>
        </w:rPr>
        <w:t>阐述了我们在这些准则下的责任。按照中国注册会计师职业道德守则，我们独立于光环新网公司，并履行了职业道德方面的</w:t>
      </w:r>
      <w:r>
        <w:rPr>
          <w:spacing w:val="-63"/>
        </w:rPr>
        <w:t> </w:t>
      </w:r>
      <w:r>
        <w:rPr>
          <w:spacing w:val="-63"/>
        </w:rPr>
      </w:r>
      <w:r>
        <w:rPr/>
        <w:t>其他责任。我们相信，我们获取的审计证据是充分、适当的，为发表审计意见提供了基础。</w:t>
      </w:r>
    </w:p>
    <w:p>
      <w:pPr>
        <w:pStyle w:val="BodyText"/>
        <w:spacing w:line="316" w:lineRule="auto" w:before="19"/>
        <w:ind w:left="513" w:right="183"/>
        <w:jc w:val="left"/>
      </w:pPr>
      <w:r>
        <w:rPr/>
        <w:t>三、关键审计事项 </w:t>
      </w:r>
      <w:r>
        <w:rPr>
          <w:spacing w:val="-2"/>
        </w:rPr>
        <w:t>关键审计事项是我们根据职业判断，认为对本期财务报表审计最为重要的事项。这些事项的应对以对财务报表整体进行</w:t>
      </w:r>
    </w:p>
    <w:p>
      <w:pPr>
        <w:pStyle w:val="BodyText"/>
        <w:spacing w:line="240" w:lineRule="auto" w:before="19"/>
        <w:ind w:right="183"/>
        <w:jc w:val="left"/>
      </w:pPr>
      <w:r>
        <w:rPr/>
        <w:t>审计并形成意见为背景，我们不对这些事项单独发表意见。我们确定下列事项是需要在审计报告中沟通的关键审计事项。</w:t>
      </w:r>
    </w:p>
    <w:p>
      <w:pPr>
        <w:pStyle w:val="BodyText"/>
        <w:spacing w:line="240" w:lineRule="auto" w:before="76"/>
        <w:ind w:left="513" w:right="183"/>
        <w:jc w:val="left"/>
      </w:pPr>
      <w:r>
        <w:rPr/>
        <w:t>（一）收入的确认</w:t>
      </w:r>
    </w:p>
    <w:p>
      <w:pPr>
        <w:pStyle w:val="BodyText"/>
        <w:spacing w:line="300" w:lineRule="auto" w:before="76"/>
        <w:ind w:left="513" w:right="183"/>
        <w:jc w:val="left"/>
        <w:rPr>
          <w:rFonts w:ascii="Times New Roman" w:hAnsi="Times New Roman" w:cs="Times New Roman" w:eastAsia="Times New Roman" w:hint="default"/>
        </w:rPr>
      </w:pPr>
      <w:r>
        <w:rPr>
          <w:rFonts w:ascii="Times New Roman" w:hAnsi="Times New Roman" w:cs="Times New Roman" w:eastAsia="Times New Roman" w:hint="default"/>
        </w:rPr>
        <w:t>1</w:t>
      </w:r>
      <w:r>
        <w:rPr/>
        <w:t>、事项描述 </w:t>
      </w:r>
      <w:r>
        <w:rPr>
          <w:spacing w:val="-3"/>
        </w:rPr>
        <w:t>光环新网公司及其子公司主要从事云计算、</w:t>
      </w:r>
      <w:r>
        <w:rPr>
          <w:rFonts w:ascii="Times New Roman" w:hAnsi="Times New Roman" w:cs="Times New Roman" w:eastAsia="Times New Roman" w:hint="default"/>
          <w:spacing w:val="-3"/>
        </w:rPr>
        <w:t>IDC</w:t>
      </w:r>
      <w:r>
        <w:rPr>
          <w:spacing w:val="-3"/>
        </w:rPr>
        <w:t>及其增值服务等。</w:t>
      </w:r>
      <w:r>
        <w:rPr>
          <w:rFonts w:ascii="Times New Roman" w:hAnsi="Times New Roman" w:cs="Times New Roman" w:eastAsia="Times New Roman" w:hint="default"/>
          <w:spacing w:val="-3"/>
        </w:rPr>
        <w:t>2017</w:t>
      </w:r>
      <w:r>
        <w:rPr>
          <w:spacing w:val="-3"/>
        </w:rPr>
        <w:t>年度，光环新网公司营业收入为人民币</w:t>
      </w:r>
      <w:r>
        <w:rPr>
          <w:rFonts w:ascii="Times New Roman" w:hAnsi="Times New Roman" w:cs="Times New Roman" w:eastAsia="Times New Roman" w:hint="default"/>
          <w:spacing w:val="-3"/>
        </w:rPr>
        <w:t>407,716.87</w:t>
      </w:r>
    </w:p>
    <w:p>
      <w:pPr>
        <w:pStyle w:val="BodyText"/>
        <w:spacing w:line="314" w:lineRule="auto" w:before="13"/>
        <w:ind w:right="94"/>
        <w:jc w:val="left"/>
      </w:pPr>
      <w:r>
        <w:rPr/>
        <w:t>万元，同期增长</w:t>
      </w:r>
      <w:r>
        <w:rPr>
          <w:rFonts w:ascii="Times New Roman" w:hAnsi="Times New Roman" w:cs="Times New Roman" w:eastAsia="Times New Roman" w:hint="default"/>
        </w:rPr>
        <w:t>75.92%</w:t>
      </w:r>
      <w:r>
        <w:rPr/>
        <w:t>，公司收入主要来源于国内。根据公司与客户签订的合同提供相应服务，一般来说合同分为固定合 同与敞口合同，固定合同即合同明确约定服务提供量，敞口合同仅约定单价，主要约定带宽与电费的单价；对于固定合同，</w:t>
      </w:r>
      <w:r>
        <w:rPr>
          <w:spacing w:val="-86"/>
        </w:rPr>
        <w:t> </w:t>
      </w:r>
      <w:r>
        <w:rPr>
          <w:spacing w:val="-86"/>
        </w:rPr>
      </w:r>
      <w:r>
        <w:rPr>
          <w:spacing w:val="-2"/>
        </w:rPr>
        <w:t>在合同服务期限内按月平均确认；对于敞口合同，按照公司统计客户的使用量得到客户确认后，即相关的成本能够可靠计量</w:t>
      </w:r>
      <w:r>
        <w:rPr>
          <w:spacing w:val="-66"/>
        </w:rPr>
        <w:t> </w:t>
      </w:r>
      <w:r>
        <w:rPr>
          <w:spacing w:val="-66"/>
        </w:rPr>
      </w:r>
      <w:r>
        <w:rPr>
          <w:spacing w:val="-2"/>
        </w:rPr>
        <w:t>时确认收入。由于收入是光环新网公司的关键业绩指标之一且对公司经营成果影响重大，从而存在管理层为了达到特定目标</w:t>
      </w:r>
      <w:r>
        <w:rPr>
          <w:spacing w:val="-64"/>
        </w:rPr>
        <w:t> </w:t>
      </w:r>
      <w:r>
        <w:rPr>
          <w:spacing w:val="-64"/>
        </w:rPr>
      </w:r>
      <w:r>
        <w:rPr/>
        <w:t>或期望而操纵收入确认时点的固有风险，我们将贵公司收入确认识别为关键审计事项。</w:t>
      </w:r>
    </w:p>
    <w:p>
      <w:pPr>
        <w:pStyle w:val="BodyText"/>
        <w:spacing w:line="300" w:lineRule="auto" w:before="20"/>
        <w:ind w:left="513" w:right="5853"/>
        <w:jc w:val="left"/>
      </w:pPr>
      <w:r>
        <w:rPr>
          <w:rFonts w:ascii="Times New Roman" w:hAnsi="Times New Roman" w:cs="Times New Roman" w:eastAsia="Times New Roman" w:hint="default"/>
        </w:rPr>
        <w:t>2</w:t>
      </w:r>
      <w:r>
        <w:rPr/>
        <w:t>、审计应对 我们针对收入确认执行的相关审计程序如下：</w:t>
      </w:r>
    </w:p>
    <w:p>
      <w:pPr>
        <w:pStyle w:val="BodyText"/>
        <w:spacing w:line="240" w:lineRule="auto" w:before="31"/>
        <w:ind w:left="513" w:right="183"/>
        <w:jc w:val="left"/>
      </w:pPr>
      <w:r>
        <w:rPr/>
        <w:t>（</w:t>
      </w:r>
      <w:r>
        <w:rPr>
          <w:rFonts w:ascii="Times New Roman" w:hAnsi="Times New Roman" w:cs="Times New Roman" w:eastAsia="Times New Roman" w:hint="default"/>
        </w:rPr>
        <w:t>1</w:t>
      </w:r>
      <w:r>
        <w:rPr/>
        <w:t>）了解和评价管理层与收入确认相关的关键内部控制的设计和运行有效性；</w:t>
      </w:r>
    </w:p>
    <w:p>
      <w:pPr>
        <w:pStyle w:val="BodyText"/>
        <w:spacing w:line="300" w:lineRule="auto" w:before="63"/>
        <w:ind w:right="199" w:firstLine="360"/>
        <w:jc w:val="both"/>
      </w:pPr>
      <w:r>
        <w:rPr/>
        <w:t>（</w:t>
      </w:r>
      <w:r>
        <w:rPr>
          <w:rFonts w:ascii="Times New Roman" w:hAnsi="Times New Roman" w:cs="Times New Roman" w:eastAsia="Times New Roman" w:hint="default"/>
        </w:rPr>
        <w:t>2</w:t>
      </w:r>
      <w:r>
        <w:rPr/>
        <w:t>）针对主要客户和本年度新增客户，采取抽样方式检查与收入确认相关的支持性文件，包括合同、费用挂账单、费 用确认单、付款通知书等；</w:t>
      </w:r>
    </w:p>
    <w:p>
      <w:pPr>
        <w:pStyle w:val="BodyText"/>
        <w:spacing w:line="240" w:lineRule="auto" w:before="31"/>
        <w:ind w:left="513" w:right="102"/>
        <w:jc w:val="left"/>
      </w:pPr>
      <w:r>
        <w:rPr/>
        <w:t>（</w:t>
      </w:r>
      <w:r>
        <w:rPr>
          <w:rFonts w:ascii="Times New Roman" w:hAnsi="Times New Roman" w:cs="Times New Roman" w:eastAsia="Times New Roman" w:hint="default"/>
        </w:rPr>
        <w:t>3</w:t>
      </w:r>
      <w:r>
        <w:rPr/>
        <w:t>）针对新增及当期收入发生额较大的客户，选取样本执行函证程序，以确认本期销售金额及期末应收账款余额。同</w:t>
      </w:r>
    </w:p>
    <w:p>
      <w:pPr>
        <w:spacing w:after="0" w:line="240" w:lineRule="auto"/>
        <w:jc w:val="left"/>
        <w:sectPr>
          <w:type w:val="continuous"/>
          <w:pgSz w:w="11910" w:h="16840"/>
          <w:pgMar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right="183"/>
        <w:jc w:val="left"/>
      </w:pPr>
      <w:r>
        <w:rPr/>
        <w:t>时</w:t>
      </w:r>
      <w:r>
        <w:rPr>
          <w:rFonts w:ascii="Times New Roman" w:hAnsi="Times New Roman" w:cs="Times New Roman" w:eastAsia="Times New Roman" w:hint="default"/>
        </w:rPr>
        <w:t>,</w:t>
      </w:r>
      <w:r>
        <w:rPr/>
        <w:t>查询了部分客户工商信息</w:t>
      </w:r>
      <w:r>
        <w:rPr>
          <w:rFonts w:ascii="Times New Roman" w:hAnsi="Times New Roman" w:cs="Times New Roman" w:eastAsia="Times New Roman" w:hint="default"/>
        </w:rPr>
        <w:t>,</w:t>
      </w:r>
      <w:r>
        <w:rPr/>
        <w:t>进一步确认与客户交易的真实性；</w:t>
      </w:r>
    </w:p>
    <w:p>
      <w:pPr>
        <w:pStyle w:val="BodyText"/>
        <w:spacing w:line="300" w:lineRule="auto" w:before="63"/>
        <w:ind w:right="184" w:firstLine="360"/>
        <w:jc w:val="left"/>
      </w:pPr>
      <w:r>
        <w:rPr/>
        <w:t>（</w:t>
      </w:r>
      <w:r>
        <w:rPr>
          <w:rFonts w:ascii="Times New Roman" w:hAnsi="Times New Roman" w:cs="Times New Roman" w:eastAsia="Times New Roman" w:hint="default"/>
        </w:rPr>
        <w:t>4</w:t>
      </w:r>
      <w:r>
        <w:rPr/>
        <w:t>）对资产负债表日前后确认的销售收入核对合同、费用挂账单、费用确认单、付款通知书等支持性文件，以评估销 售收入是否在恰当的期间确认；</w:t>
      </w:r>
    </w:p>
    <w:p>
      <w:pPr>
        <w:pStyle w:val="BodyText"/>
        <w:spacing w:line="240" w:lineRule="auto" w:before="31"/>
        <w:ind w:left="513" w:right="183"/>
        <w:jc w:val="left"/>
      </w:pPr>
      <w:r>
        <w:rPr/>
        <w:t>（</w:t>
      </w:r>
      <w:r>
        <w:rPr>
          <w:rFonts w:ascii="Times New Roman" w:hAnsi="Times New Roman" w:cs="Times New Roman" w:eastAsia="Times New Roman" w:hint="default"/>
        </w:rPr>
        <w:t>5</w:t>
      </w:r>
      <w:r>
        <w:rPr/>
        <w:t>）分客户和分产品对销售收入及毛利率执行分析程序，判断变动的合理性；</w:t>
      </w:r>
    </w:p>
    <w:p>
      <w:pPr>
        <w:pStyle w:val="BodyText"/>
        <w:spacing w:line="240" w:lineRule="auto" w:before="63"/>
        <w:ind w:left="513" w:right="183"/>
        <w:jc w:val="left"/>
      </w:pPr>
      <w:r>
        <w:rPr/>
        <w:t>（</w:t>
      </w:r>
      <w:r>
        <w:rPr>
          <w:rFonts w:ascii="Times New Roman" w:hAnsi="Times New Roman" w:cs="Times New Roman" w:eastAsia="Times New Roman" w:hint="default"/>
        </w:rPr>
        <w:t>6</w:t>
      </w:r>
      <w:r>
        <w:rPr/>
        <w:t>）采取抽样方式检查本年度销售回款的银行单据。</w:t>
      </w:r>
    </w:p>
    <w:p>
      <w:pPr>
        <w:pStyle w:val="BodyText"/>
        <w:spacing w:line="240" w:lineRule="auto" w:before="63"/>
        <w:ind w:left="513" w:right="183"/>
        <w:jc w:val="left"/>
      </w:pPr>
      <w:r>
        <w:rPr/>
        <w:t>（二）商誉的减值</w:t>
      </w:r>
    </w:p>
    <w:p>
      <w:pPr>
        <w:pStyle w:val="BodyText"/>
        <w:spacing w:line="300" w:lineRule="auto" w:before="76"/>
        <w:ind w:left="513" w:right="183"/>
        <w:jc w:val="left"/>
      </w:pPr>
      <w:r>
        <w:rPr>
          <w:rFonts w:ascii="Times New Roman" w:hAnsi="Times New Roman" w:cs="Times New Roman" w:eastAsia="Times New Roman" w:hint="default"/>
        </w:rPr>
        <w:t>1</w:t>
      </w:r>
      <w:r>
        <w:rPr/>
        <w:t>、事项描述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日，光环新网公司账面商誉为</w:t>
      </w:r>
      <w:r>
        <w:rPr>
          <w:rFonts w:ascii="Times New Roman" w:hAnsi="Times New Roman" w:cs="Times New Roman" w:eastAsia="Times New Roman" w:hint="default"/>
        </w:rPr>
        <w:t>239,790.43</w:t>
      </w:r>
      <w:r>
        <w:rPr/>
        <w:t>万元，主要是以前年度收购子公司形成的，商誉减值准备为</w:t>
      </w:r>
    </w:p>
    <w:p>
      <w:pPr>
        <w:pStyle w:val="BodyText"/>
        <w:spacing w:line="309" w:lineRule="auto" w:before="13"/>
        <w:ind w:right="192"/>
        <w:jc w:val="both"/>
      </w:pPr>
      <w:r>
        <w:rPr>
          <w:rFonts w:ascii="Times New Roman" w:hAnsi="Times New Roman" w:cs="Times New Roman" w:eastAsia="Times New Roman" w:hint="default"/>
          <w:spacing w:val="-1"/>
        </w:rPr>
        <w:t>0.00</w:t>
      </w:r>
      <w:r>
        <w:rPr>
          <w:spacing w:val="-1"/>
        </w:rPr>
        <w:t>元。管理层确定资产组的预计可收回金额时作出了重大判断。预计可收回金额计算中采用的关键假设包括：子公司为了</w:t>
      </w:r>
      <w:r>
        <w:rPr>
          <w:spacing w:val="-75"/>
        </w:rPr>
        <w:t> </w:t>
      </w:r>
      <w:r>
        <w:rPr>
          <w:spacing w:val="-75"/>
        </w:rPr>
      </w:r>
      <w:r>
        <w:rPr>
          <w:spacing w:val="-2"/>
        </w:rPr>
        <w:t>现金流量预测及预测期后的现金流量增长率、毛利率、折现率。由于商誉金额重大，如果商誉有发生减值的情况，对光环新</w:t>
      </w:r>
      <w:r>
        <w:rPr>
          <w:spacing w:val="-66"/>
        </w:rPr>
        <w:t> </w:t>
      </w:r>
      <w:r>
        <w:rPr>
          <w:spacing w:val="-66"/>
        </w:rPr>
      </w:r>
      <w:r>
        <w:rPr/>
        <w:t>网公司财务报表可能产生重大影响，且管理层需要作出重大判断，由此我们将商誉的减值确定为关键审计事项。</w:t>
      </w:r>
    </w:p>
    <w:p>
      <w:pPr>
        <w:pStyle w:val="BodyText"/>
        <w:spacing w:line="300" w:lineRule="auto" w:before="25"/>
        <w:ind w:left="513" w:right="5853"/>
        <w:jc w:val="left"/>
      </w:pPr>
      <w:r>
        <w:rPr>
          <w:rFonts w:ascii="Times New Roman" w:hAnsi="Times New Roman" w:cs="Times New Roman" w:eastAsia="Times New Roman" w:hint="default"/>
        </w:rPr>
        <w:t>2</w:t>
      </w:r>
      <w:r>
        <w:rPr/>
        <w:t>、审计应对 我们针对商誉减值执行的主要审计程序如下：</w:t>
      </w:r>
    </w:p>
    <w:p>
      <w:pPr>
        <w:pStyle w:val="BodyText"/>
        <w:spacing w:line="300" w:lineRule="auto" w:before="31"/>
        <w:ind w:left="513" w:right="183"/>
        <w:jc w:val="left"/>
      </w:pPr>
      <w:r>
        <w:rPr/>
        <w:t>（</w:t>
      </w:r>
      <w:r>
        <w:rPr>
          <w:rFonts w:ascii="Times New Roman" w:hAnsi="Times New Roman" w:cs="Times New Roman" w:eastAsia="Times New Roman" w:hint="default"/>
        </w:rPr>
        <w:t>1</w:t>
      </w:r>
      <w:r>
        <w:rPr/>
        <w:t>）</w:t>
      </w:r>
      <w:r>
        <w:rPr>
          <w:spacing w:val="-19"/>
        </w:rPr>
        <w:t> </w:t>
      </w:r>
      <w:r>
        <w:rPr/>
        <w:t>我们通过实施下列程序对商誉减值测试的关键假设进行了评估：</w:t>
      </w:r>
      <w:r>
        <w:rPr/>
        <w:t> </w:t>
      </w:r>
      <w:r>
        <w:rPr>
          <w:spacing w:val="-2"/>
        </w:rPr>
        <w:t>包括将现金流量增长率与历史现金流量增长率以及行业历史数据进行比较，将毛利率与以往业绩进行比较，并考虑市场</w:t>
      </w:r>
    </w:p>
    <w:p>
      <w:pPr>
        <w:pStyle w:val="BodyText"/>
        <w:spacing w:line="240" w:lineRule="auto" w:before="31"/>
        <w:ind w:right="183"/>
        <w:jc w:val="left"/>
      </w:pPr>
      <w:r>
        <w:rPr/>
        <w:t>趋势，复核现金流量预测水平和所采用折现率的合理性等；</w:t>
      </w:r>
    </w:p>
    <w:p>
      <w:pPr>
        <w:pStyle w:val="BodyText"/>
        <w:spacing w:line="300" w:lineRule="auto" w:before="76"/>
        <w:ind w:right="184" w:firstLine="360"/>
        <w:jc w:val="left"/>
      </w:pPr>
      <w:r>
        <w:rPr/>
        <w:t>（</w:t>
      </w:r>
      <w:r>
        <w:rPr>
          <w:rFonts w:ascii="Times New Roman" w:hAnsi="Times New Roman" w:cs="Times New Roman" w:eastAsia="Times New Roman" w:hint="default"/>
        </w:rPr>
        <w:t>2</w:t>
      </w:r>
      <w:r>
        <w:rPr/>
        <w:t>）我们与管理层聘请的外部评估专家讨论，以了解对于减值测试结果最为敏感的假设是否合理，评估管理层商誉减 值测试的合理性；</w:t>
      </w:r>
    </w:p>
    <w:p>
      <w:pPr>
        <w:pStyle w:val="BodyText"/>
        <w:spacing w:line="300" w:lineRule="auto" w:before="31"/>
        <w:ind w:left="513" w:right="3783"/>
        <w:jc w:val="left"/>
      </w:pPr>
      <w:r>
        <w:rPr/>
        <w:t>（</w:t>
      </w:r>
      <w:r>
        <w:rPr>
          <w:rFonts w:ascii="Times New Roman" w:hAnsi="Times New Roman" w:cs="Times New Roman" w:eastAsia="Times New Roman" w:hint="default"/>
        </w:rPr>
        <w:t>3</w:t>
      </w:r>
      <w:r>
        <w:rPr/>
        <w:t>）评估管理层对商誉及其减值估计结果、财务报表的披露是否恰当。 四、其他信息</w:t>
      </w:r>
    </w:p>
    <w:p>
      <w:pPr>
        <w:pStyle w:val="BodyText"/>
        <w:spacing w:line="300" w:lineRule="auto" w:before="31"/>
        <w:ind w:right="183" w:firstLine="360"/>
        <w:jc w:val="left"/>
      </w:pPr>
      <w:r>
        <w:rPr>
          <w:spacing w:val="-2"/>
        </w:rPr>
        <w:t>光环新网公司管理层（以下简称管理层）对其他信息负责。其他信息包括光环新网公司</w:t>
      </w:r>
      <w:r>
        <w:rPr>
          <w:rFonts w:ascii="Times New Roman" w:hAnsi="Times New Roman" w:cs="Times New Roman" w:eastAsia="Times New Roman" w:hint="default"/>
          <w:spacing w:val="-2"/>
        </w:rPr>
        <w:t>2017</w:t>
      </w:r>
      <w:r>
        <w:rPr>
          <w:spacing w:val="-2"/>
        </w:rPr>
        <w:t>年度报告中涵盖的信息，但</w:t>
      </w:r>
      <w:r>
        <w:rPr/>
        <w:t> 不包括财务报表和我们的审计报告。</w:t>
      </w:r>
    </w:p>
    <w:p>
      <w:pPr>
        <w:pStyle w:val="BodyText"/>
        <w:spacing w:line="316" w:lineRule="auto" w:before="31"/>
        <w:ind w:left="513" w:right="183"/>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16" w:lineRule="auto" w:before="19"/>
        <w:ind w:left="513" w:right="183" w:hanging="361"/>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before="19"/>
        <w:ind w:right="183"/>
        <w:jc w:val="left"/>
      </w:pPr>
      <w:r>
        <w:rPr/>
        <w:t>报告。</w:t>
      </w:r>
    </w:p>
    <w:p>
      <w:pPr>
        <w:pStyle w:val="BodyText"/>
        <w:spacing w:line="316" w:lineRule="auto" w:before="76"/>
        <w:ind w:left="513" w:right="183"/>
        <w:jc w:val="left"/>
      </w:pPr>
      <w:r>
        <w:rPr/>
        <w:t>五、管理层和治理层对财务报表的责任 </w:t>
      </w:r>
      <w:r>
        <w:rPr>
          <w:spacing w:val="-2"/>
        </w:rPr>
        <w:t>管理层负责按照企业会计准则的规定编制财务报表，使其实现公允反映，并设计、执行和维护必要的内部控制，以使财</w:t>
      </w:r>
    </w:p>
    <w:p>
      <w:pPr>
        <w:pStyle w:val="BodyText"/>
        <w:spacing w:line="316" w:lineRule="auto" w:before="19"/>
        <w:ind w:left="513" w:right="178" w:hanging="361"/>
        <w:jc w:val="left"/>
      </w:pPr>
      <w:r>
        <w:rPr/>
        <w:t>务报表不存在由于舞弊或错误导致的重大错报。 </w:t>
      </w:r>
      <w:r>
        <w:rPr>
          <w:spacing w:val="-5"/>
        </w:rPr>
        <w:t>在编制财务报表时，管理层负责评估光环新网公司的持续经营能力，披露与持续经营相关的事项，并运用持续经营假设，</w:t>
      </w:r>
    </w:p>
    <w:p>
      <w:pPr>
        <w:pStyle w:val="BodyText"/>
        <w:spacing w:line="319" w:lineRule="auto" w:before="19"/>
        <w:ind w:left="513" w:right="4234" w:hanging="361"/>
        <w:jc w:val="left"/>
      </w:pPr>
      <w:r>
        <w:rPr/>
        <w:t>除非管理层计划清算光环新网公司、终止运营或别无其他现实的选择。 治理层负责监督光环新网公司的财务报告过程。 六、注册会计师对财务报表审计的责任</w:t>
      </w:r>
    </w:p>
    <w:p>
      <w:pPr>
        <w:pStyle w:val="BodyText"/>
        <w:spacing w:line="316" w:lineRule="auto" w:before="17"/>
        <w:ind w:right="190"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告。合理保证是高水平的保证，但并不能保证按照审计准则执行的审计在某一重大错报存在时总能发现。错报可能由舞弊或</w:t>
      </w:r>
      <w:r>
        <w:rPr>
          <w:spacing w:val="-63"/>
        </w:rPr>
        <w:t> </w:t>
      </w:r>
      <w:r>
        <w:rPr>
          <w:spacing w:val="-63"/>
        </w:rPr>
      </w:r>
      <w:r>
        <w:rPr>
          <w:spacing w:val="-2"/>
        </w:rPr>
        <w:t>错误导致，如果合理预期错报单独或汇总起来可能影响财务报表使用者依据财务报表作出的经济决策，则通常认为错报是重</w:t>
      </w:r>
      <w:r>
        <w:rPr>
          <w:spacing w:val="-64"/>
        </w:rPr>
        <w:t> </w:t>
      </w:r>
      <w:r>
        <w:rPr>
          <w:spacing w:val="-64"/>
        </w:rPr>
      </w:r>
      <w:r>
        <w:rPr/>
        <w:t>大的。</w:t>
      </w:r>
    </w:p>
    <w:p>
      <w:pPr>
        <w:pStyle w:val="BodyText"/>
        <w:spacing w:line="240" w:lineRule="auto" w:before="19"/>
        <w:ind w:left="513" w:right="183"/>
        <w:jc w:val="left"/>
      </w:pPr>
      <w:r>
        <w:rPr/>
        <w:t>在按照审计准则执行审计的过程中，我们运用了职业判断，保持了职业怀疑。同时，我们也执行以下工作：</w:t>
      </w:r>
    </w:p>
    <w:p>
      <w:pPr>
        <w:pStyle w:val="BodyText"/>
        <w:spacing w:line="309" w:lineRule="auto" w:before="76"/>
        <w:ind w:right="94" w:firstLine="360"/>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w:t>
      </w:r>
      <w:r>
        <w:rPr>
          <w:spacing w:val="-86"/>
        </w:rPr>
        <w:t> </w:t>
      </w:r>
      <w:r>
        <w:rPr>
          <w:spacing w:val="-86"/>
        </w:rPr>
      </w:r>
      <w:r>
        <w:rPr/>
        <w:t>未能发现由于舞弊导致的重大错报的风险高于未能发现由于错误导致的重大错报的风险。</w:t>
      </w:r>
    </w:p>
    <w:p>
      <w:pPr>
        <w:pStyle w:val="BodyText"/>
        <w:spacing w:line="240" w:lineRule="auto" w:before="24"/>
        <w:ind w:left="513" w:right="183"/>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pStyle w:val="BodyText"/>
        <w:spacing w:line="240" w:lineRule="auto" w:before="63"/>
        <w:ind w:left="513" w:right="183"/>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2" w:lineRule="auto" w:before="44"/>
        <w:ind w:right="153" w:firstLine="360"/>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）对管理层使用持续经营假设的恰当性得出结论。同时，根据获取的审计证据，就可能导致对光环新网公司持续经 </w:t>
      </w:r>
      <w:r>
        <w:rPr>
          <w:spacing w:val="-2"/>
        </w:rPr>
        <w:t>营能力产生重大疑虑的事项或情况是否存在重大不确定性得出结论。如果我们得出结论认为存在重大不确定性，审计准则要</w:t>
      </w:r>
      <w:r>
        <w:rPr>
          <w:spacing w:val="-64"/>
        </w:rPr>
        <w:t> </w:t>
      </w:r>
      <w:r>
        <w:rPr>
          <w:spacing w:val="-64"/>
        </w:rPr>
      </w:r>
      <w:r>
        <w:rPr>
          <w:spacing w:val="-2"/>
        </w:rPr>
        <w:t>求我们在审计报告中提请报表使用者注意财务报表中的相关披露；如果披露不充分，我们应当发表非无保留意见。我们的结</w:t>
      </w:r>
      <w:r>
        <w:rPr>
          <w:spacing w:val="-66"/>
        </w:rPr>
        <w:t> </w:t>
      </w:r>
      <w:r>
        <w:rPr>
          <w:spacing w:val="-66"/>
        </w:rPr>
      </w:r>
      <w:r>
        <w:rPr/>
        <w:t>论基于截至审计报告日可获得的信息。然而，未来的事项或情况可能导致光环新网公司不能持续经营。</w:t>
      </w:r>
    </w:p>
    <w:p>
      <w:pPr>
        <w:pStyle w:val="BodyText"/>
        <w:spacing w:line="240" w:lineRule="auto" w:before="22"/>
        <w:ind w:left="513" w:right="0"/>
        <w:jc w:val="left"/>
      </w:pPr>
      <w:r>
        <w:rPr/>
        <w:t>（</w:t>
      </w:r>
      <w:r>
        <w:rPr>
          <w:rFonts w:ascii="Times New Roman" w:hAnsi="Times New Roman" w:cs="Times New Roman" w:eastAsia="Times New Roman" w:hint="default"/>
        </w:rPr>
        <w:t>5</w:t>
      </w:r>
      <w:r>
        <w:rPr/>
        <w:t>）评价财务报表的总体列报、结构和内容（包括披露），并评价财务报表是否公允反映相关交易和事项。</w:t>
      </w:r>
    </w:p>
    <w:p>
      <w:pPr>
        <w:pStyle w:val="BodyText"/>
        <w:spacing w:line="300" w:lineRule="auto" w:before="63"/>
        <w:ind w:right="158" w:firstLine="360"/>
        <w:jc w:val="both"/>
      </w:pPr>
      <w:r>
        <w:rPr/>
        <w:t>（</w:t>
      </w:r>
      <w:r>
        <w:rPr>
          <w:rFonts w:ascii="Times New Roman" w:hAnsi="Times New Roman" w:cs="Times New Roman" w:eastAsia="Times New Roman" w:hint="default"/>
        </w:rPr>
        <w:t>6</w:t>
      </w:r>
      <w:r>
        <w:rPr/>
        <w:t>）就光环新网公司中实体或业务活动的财务信息获取充分、适当的审计证据，以对财务报表发表意见。我们负责指 导、监督和执行集团审计。我们对审计意见承担全部责任。</w:t>
      </w:r>
    </w:p>
    <w:p>
      <w:pPr>
        <w:pStyle w:val="BodyText"/>
        <w:spacing w:line="316" w:lineRule="auto" w:before="31"/>
        <w:ind w:right="152"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16" w:lineRule="auto" w:before="19"/>
        <w:ind w:right="152"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w:t>
      </w:r>
    </w:p>
    <w:p>
      <w:pPr>
        <w:pStyle w:val="BodyText"/>
        <w:spacing w:line="316" w:lineRule="auto" w:before="19"/>
        <w:ind w:right="149"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2"/>
        </w:rPr>
        <w:t> </w:t>
      </w:r>
      <w:r>
        <w:rPr>
          <w:spacing w:val="-62"/>
        </w:rPr>
      </w:r>
      <w:r>
        <w:rPr/>
        <w:t>的负面后果超过在公众利益方面产生的益处，我们确定不应在审计报告中沟通该事项。</w:t>
      </w:r>
    </w:p>
    <w:p>
      <w:pPr>
        <w:spacing w:line="240" w:lineRule="auto" w:before="1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745" w:footer="979" w:top="1060" w:bottom="1160" w:left="980" w:right="980"/>
        </w:sectPr>
      </w:pPr>
    </w:p>
    <w:p>
      <w:pPr>
        <w:pStyle w:val="BodyText"/>
        <w:tabs>
          <w:tab w:pos="4080" w:val="left" w:leader="none"/>
        </w:tabs>
        <w:spacing w:line="316" w:lineRule="auto" w:before="44"/>
        <w:ind w:left="1053" w:right="0" w:hanging="901"/>
        <w:jc w:val="left"/>
      </w:pPr>
      <w:r>
        <w:rPr/>
        <w:t>中兴华会计师事务所（特殊普通合伙）</w:t>
        <w:tab/>
      </w:r>
      <w:r>
        <w:rPr>
          <w:spacing w:val="-1"/>
        </w:rPr>
        <w:t>中国注册会计师（项目合伙人）：谢维</w:t>
      </w:r>
      <w:r>
        <w:rPr>
          <w:spacing w:val="-76"/>
        </w:rPr>
        <w:t> </w:t>
      </w:r>
      <w:r>
        <w:rPr>
          <w:spacing w:val="-76"/>
        </w:rPr>
      </w:r>
      <w:r>
        <w:rPr>
          <w:spacing w:val="-1"/>
        </w:rPr>
        <w:t>中国</w:t>
      </w:r>
      <w:r>
        <w:rPr>
          <w:rFonts w:ascii="Times New Roman" w:hAnsi="Times New Roman" w:cs="Times New Roman" w:eastAsia="Times New Roman" w:hint="default"/>
          <w:spacing w:val="-1"/>
        </w:rPr>
        <w:t>•</w:t>
      </w:r>
      <w:r>
        <w:rPr>
          <w:spacing w:val="-1"/>
        </w:rPr>
        <w:t>北京</w:t>
        <w:tab/>
        <w:t>中国注册会计师：白秀荣</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spacing w:line="240" w:lineRule="auto"/>
        <w:ind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w:t>
      </w:r>
    </w:p>
    <w:p>
      <w:pPr>
        <w:spacing w:after="0" w:line="240" w:lineRule="auto"/>
        <w:jc w:val="left"/>
        <w:sectPr>
          <w:type w:val="continuous"/>
          <w:pgSz w:w="11910" w:h="16840"/>
          <w:pgMar w:top="1060" w:bottom="1160" w:left="980" w:right="980"/>
          <w:cols w:num="2" w:equalWidth="0">
            <w:col w:w="7139" w:space="706"/>
            <w:col w:w="2105"/>
          </w:cols>
        </w:sectPr>
      </w:pPr>
    </w:p>
    <w:p>
      <w:pPr>
        <w:spacing w:line="240" w:lineRule="auto" w:before="3"/>
        <w:rPr>
          <w:rFonts w:ascii="宋体" w:hAnsi="宋体" w:cs="宋体" w:eastAsia="宋体" w:hint="default"/>
          <w:sz w:val="22"/>
          <w:szCs w:val="22"/>
        </w:rPr>
      </w:pPr>
    </w:p>
    <w:p>
      <w:pPr>
        <w:pStyle w:val="Heading2"/>
        <w:spacing w:line="240" w:lineRule="auto" w:before="26"/>
        <w:ind w:right="2839"/>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839"/>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2839"/>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2839"/>
        <w:jc w:val="left"/>
      </w:pPr>
      <w:r>
        <w:rPr/>
        <w:t>编制单位：北京光环新网科技股份有限公司</w:t>
      </w:r>
    </w:p>
    <w:p>
      <w:pPr>
        <w:pStyle w:val="BodyText"/>
        <w:spacing w:line="240" w:lineRule="auto" w:before="117"/>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494,246,688.16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264,654,041.76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986,724,852.84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2"/>
                <w:sz w:val="18"/>
              </w:rPr>
              <w:t>560,111,605.56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228,258,731.46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218,635,928.65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5,955,157.91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11,338,527.91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134,649,620.57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87,197,314.78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4,732,138.88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3,115,655.78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1,067,093,065.79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1,592,340,654.64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2,921,660,255.61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2,737,393,729.08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55,290,000.00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45,290,000.00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8,760,282.55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10,432,420.19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3,854,190,075.31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2,724,524,691.52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748,411,116.06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425,571,828.57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405,031,994.36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410,158,744.69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2,397,904,262.39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2,397,904,262.39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134,940,155.24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86,253,685.04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12,295,585.82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2,945,159.19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75,082,477.85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77,149,685.41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7,691,905,949.58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6,180,230,477.00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10,613,566,205.19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8,917,624,206.08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919,349,828.70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555,767,307.07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141,282,094.75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243,730,598.84</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15,823,531.56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11,978,127.84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102,928,888.80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56,449,763.30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2,376,927.21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2,221,777.80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90,605,228.57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97,162,590.62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1,352,366,499.59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1,027,310,165.47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1,544,924,128.91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1,386,189,912.80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867,672,820.79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39,384,259.85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672,000.00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864,000.00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20,528,938.30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20,158,377.51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2,433,797,888.00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1,446,596,550.16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3,786,164,387.59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2,473,906,715.63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1,446,351,388.00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723,175,694.00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4,091,614,701.68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4,803,086,026.53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61,155,420.96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51,437,323.68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831,929,868.93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478,084,255.82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6,431,051,379.57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6,055,783,300.03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396,350,438.03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387,934,190.42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6,827,401,817.60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6,443,717,490.45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10,613,566,205.19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8,917,624,206.08</w:t>
            </w:r>
          </w:p>
        </w:tc>
      </w:tr>
    </w:tbl>
    <w:p>
      <w:pPr>
        <w:spacing w:line="240" w:lineRule="auto" w:before="11"/>
        <w:rPr>
          <w:rFonts w:ascii="Times New Roman" w:hAnsi="Times New Roman" w:cs="Times New Roman" w:eastAsia="Times New Roman" w:hint="default"/>
          <w:sz w:val="22"/>
          <w:szCs w:val="22"/>
        </w:rPr>
      </w:pPr>
    </w:p>
    <w:p>
      <w:pPr>
        <w:pStyle w:val="BodyText"/>
        <w:tabs>
          <w:tab w:pos="3425" w:val="left" w:leader="none"/>
          <w:tab w:pos="7568" w:val="left" w:leader="none"/>
        </w:tabs>
        <w:spacing w:line="240" w:lineRule="auto" w:before="44"/>
        <w:ind w:left="0" w:right="243"/>
        <w:jc w:val="right"/>
      </w:pPr>
      <w:r>
        <w:rPr/>
        <w:t>法定代表人：耿殿根</w:t>
        <w:tab/>
      </w:r>
      <w:r>
        <w:rPr>
          <w:spacing w:val="-1"/>
        </w:rPr>
        <w:t>主管会计工作负责人：张利军</w:t>
        <w:tab/>
      </w:r>
      <w:r>
        <w:rPr/>
        <w:t>会计机构负责人：张利军</w:t>
      </w:r>
    </w:p>
    <w:p>
      <w:pPr>
        <w:spacing w:line="240" w:lineRule="auto" w:before="0"/>
        <w:rPr>
          <w:rFonts w:ascii="宋体" w:hAnsi="宋体" w:cs="宋体" w:eastAsia="宋体" w:hint="default"/>
          <w:sz w:val="18"/>
          <w:szCs w:val="18"/>
        </w:rPr>
      </w:pPr>
    </w:p>
    <w:p>
      <w:pPr>
        <w:pStyle w:val="Heading3"/>
        <w:spacing w:line="240" w:lineRule="auto" w:before="118"/>
        <w:ind w:right="2839"/>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185,568,337.40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62,048,352.86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444,249,298.95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327,166,485.75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135,361,387.24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94,506,299.47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5,844,863.39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10,612,113.23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321,582,100.73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190,870,312.47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2,397,436.88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1,523,350.14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857,655,981.48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1,274,542,385.52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1,952,659,406.07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1,961,269,299.44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55,290,000.00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45,290,000.00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4,287,789,801.51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4,050,491,374.15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988,043,152.47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156,828,915.30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87,572,637.60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51,989,054.84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2,230,120.73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1,862,471.95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42,451,075.93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41,530,584.03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1,146,886.85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660,025.61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75,082,477.85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77,149,685.41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5,539,606,152.94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4,425,802,111.29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7,492,265,559.01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6,387,071,410.73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633,109,440.66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362,434,904.05</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83,367,703.13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136,448,089.98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8,042,779.00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7,679,883.62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2,924,963.56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13,238,114.89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73,104.17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9,888,772.28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43,043,073.14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787,406,762.80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562,844,065.68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858,617,286.28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14,380,827.30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864,000.00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859,289,286.28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15,244,827.30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1,646,696,049.08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578,088,892.98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1,446,351,388.00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723,175,694.00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4,090,617,380.08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4,802,088,704.93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61,155,420.96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51,437,323.68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247,445,320.89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232,280,795.14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685.119995pt;width:158.9pt;height:20.65pt;mso-position-horizontal-relative:page;mso-position-vertical-relative:page;z-index:-1814800" coordorigin="4220,13702" coordsize="3178,413">
            <v:group style="position:absolute;left:4231;top:13713;width:2;height:392" coordorigin="4231,13713" coordsize="2,392">
              <v:shape style="position:absolute;left:4231;top:13713;width:2;height:392" coordorigin="4231,13713" coordsize="0,392" path="m4231,13713l4231,14104e" filled="false" stroked="true" strokeweight="1.08pt" strokecolor="#ffffff">
                <v:path arrowok="t"/>
              </v:shape>
            </v:group>
            <v:group style="position:absolute;left:4242;top:13713;width:3157;height:392" coordorigin="4242,13713" coordsize="3157,392">
              <v:shape style="position:absolute;left:4242;top:13713;width:3157;height:392" coordorigin="4242,13713" coordsize="3157,392" path="m4242,14104l7398,14104,7398,13713,4242,13713,4242,1410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5,845,569,509.93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5,808,982,517.75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7,492,265,559.01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6,387,071,410.73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2839"/>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4,077,168,684.62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2,317,626,641.04</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4,077,168,684.62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2,317,626,641.04</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3,614,996,848.15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1,995,725,191.27</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3,227,873,163.40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1,677,492,211.96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26,772,487.71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12,080,404.54</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51,937,354.50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22,421,060.99</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236,741,719.59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218,258,330.10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67,676,213.73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63,398,563.27</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3,995,909.22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2,074,620.41</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43,471,077.63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20,479,084.95</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-1,672,137.64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-950,722.20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2"/>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-1,574,720.06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-941,498.91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174,845.84</w:t>
            </w: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132.319977pt;width:158.9pt;height:20.65pt;mso-position-horizontal-relative:page;mso-position-vertical-relative:page;z-index:-1814776" coordorigin="4220,2646" coordsize="3178,413">
            <v:group style="position:absolute;left:4231;top:2657;width:2;height:392" coordorigin="4231,2657" coordsize="2,392">
              <v:shape style="position:absolute;left:4231;top:2657;width:2;height:392" coordorigin="4231,2657" coordsize="0,392" path="m4231,2657l4231,3048e" filled="false" stroked="true" strokeweight="1.08pt" strokecolor="#ffffff">
                <v:path arrowok="t"/>
              </v:shape>
            </v:group>
            <v:group style="position:absolute;left:4242;top:2657;width:3157;height:392" coordorigin="4242,2657" coordsize="3157,392">
              <v:shape style="position:absolute;left:4242;top:2657;width:3157;height:392" coordorigin="4242,2657" coordsize="3157,392" path="m4242,3048l7398,3048,7398,2657,4242,2657,4242,3048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68"/>
        <w:gridCol w:w="1071"/>
        <w:gridCol w:w="2151"/>
        <w:gridCol w:w="3277"/>
      </w:tblGrid>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504,243,039.88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341,439,035.81</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6,396,606.93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50,108,499.57</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188,679.08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335,067.53</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71"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996" w:right="0"/>
              <w:jc w:val="left"/>
              <w:rPr>
                <w:rFonts w:ascii="Times New Roman" w:hAnsi="Times New Roman" w:cs="Times New Roman" w:eastAsia="Times New Roman" w:hint="default"/>
                <w:sz w:val="18"/>
                <w:szCs w:val="18"/>
              </w:rPr>
            </w:pPr>
            <w:r>
              <w:rPr>
                <w:rFonts w:ascii="Times New Roman"/>
                <w:sz w:val="18"/>
              </w:rPr>
              <w:t>510,450,967.73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391,212,467.85</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66,172,659.97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59,999,043.51</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55" w:right="0"/>
              <w:jc w:val="left"/>
              <w:rPr>
                <w:rFonts w:ascii="Times New Roman" w:hAnsi="Times New Roman" w:cs="Times New Roman" w:eastAsia="Times New Roman" w:hint="default"/>
                <w:sz w:val="18"/>
                <w:szCs w:val="18"/>
              </w:rPr>
            </w:pPr>
            <w:r>
              <w:rPr>
                <w:rFonts w:ascii="Times New Roman"/>
                <w:sz w:val="18"/>
              </w:rPr>
              <w:t>444,278,307.76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331,213,424.34</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5" w:right="0"/>
              <w:jc w:val="left"/>
              <w:rPr>
                <w:rFonts w:ascii="Times New Roman" w:hAnsi="Times New Roman" w:cs="Times New Roman" w:eastAsia="Times New Roman" w:hint="default"/>
                <w:sz w:val="18"/>
                <w:szCs w:val="18"/>
              </w:rPr>
            </w:pPr>
            <w:r>
              <w:rPr>
                <w:rFonts w:ascii="Times New Roman"/>
                <w:sz w:val="18"/>
              </w:rPr>
              <w:t>444,278,307.76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331,213,424.34</w:t>
            </w:r>
          </w:p>
        </w:tc>
      </w:tr>
      <w:tr>
        <w:trPr>
          <w:trHeight w:val="716"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435,862,060.15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335,159,778.67</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8,416,247.61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-3,946,354.33</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 w:firstLine="341"/>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 w:firstLine="341"/>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444,278,307.76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331,213,424.34</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435,862,060.15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335,159,778.67</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8,416,247.61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-3,946,354.33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0.25</w:t>
            </w:r>
          </w:p>
        </w:tc>
      </w:tr>
    </w:tbl>
    <w:p>
      <w:pPr>
        <w:pStyle w:val="BodyText"/>
        <w:tabs>
          <w:tab w:pos="3578" w:val="left" w:leader="none"/>
          <w:tab w:pos="7721" w:val="left" w:leader="none"/>
        </w:tabs>
        <w:spacing w:line="595" w:lineRule="auto" w:before="49"/>
        <w:ind w:right="243"/>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 </w:t>
      </w:r>
      <w:r>
        <w:rPr>
          <w:spacing w:val="-3"/>
        </w:rPr>
        <w:t>元。 </w:t>
      </w:r>
      <w:r>
        <w:rPr/>
        <w:t>法定代表人：耿殿根</w:t>
        <w:tab/>
      </w:r>
      <w:r>
        <w:rPr>
          <w:spacing w:val="-1"/>
        </w:rPr>
        <w:t>主管会计工作负责人：张利军</w:t>
        <w:tab/>
      </w:r>
      <w:r>
        <w:rPr/>
        <w:t>会计机构负责人：张利军</w:t>
      </w:r>
      <w:r>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2,049,932,210.93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1,011,206,712.35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1,806,292,287.94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771,543,406.43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1,929,143.56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1,284,225.08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42,542,084.70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17,987,512.60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135,747,557.92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140,866,590.66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670,390.15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3,117,396.96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3,245,741.63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1,253,484.05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38,370,532.39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16,994,154.31</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-1,672,137.64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-950,722.20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-63,344.58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15,582.59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95,015.67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97,907,208.51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92,163,833.47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6,396,601.34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49,985,548.26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164,850.00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211,777.90</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104,138,959.85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141,937,603.83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6,957,987.06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23,392,750.47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97,180,972.79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118,544,853.36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97,180,972.79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118,544,853.36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97,180,972.79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118,544,853.36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57"/>
        <w:gridCol w:w="3299"/>
        <w:gridCol w:w="3303"/>
      </w:tblGrid>
      <w:tr>
        <w:trPr>
          <w:trHeight w:val="403"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2"/>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29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001" w:right="0"/>
              <w:jc w:val="left"/>
              <w:rPr>
                <w:rFonts w:ascii="Times New Roman" w:hAnsi="Times New Roman" w:cs="Times New Roman" w:eastAsia="Times New Roman" w:hint="default"/>
                <w:sz w:val="18"/>
                <w:szCs w:val="18"/>
              </w:rPr>
            </w:pPr>
            <w:r>
              <w:rPr>
                <w:rFonts w:ascii="Times New Roman"/>
                <w:sz w:val="18"/>
              </w:rPr>
              <w:t>3,862,775,513.21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9" w:right="0"/>
              <w:jc w:val="left"/>
              <w:rPr>
                <w:rFonts w:ascii="Times New Roman" w:hAnsi="Times New Roman" w:cs="Times New Roman" w:eastAsia="Times New Roman" w:hint="default"/>
                <w:sz w:val="18"/>
                <w:szCs w:val="18"/>
              </w:rPr>
            </w:pPr>
            <w:r>
              <w:rPr>
                <w:rFonts w:ascii="Times New Roman"/>
                <w:sz w:val="18"/>
              </w:rPr>
              <w:t>2,031,626,532.46</w:t>
            </w:r>
          </w:p>
        </w:tc>
      </w:tr>
      <w:tr>
        <w:trPr>
          <w:trHeight w:val="401"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52"/>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w:t>
            </w:r>
          </w:p>
        </w:tc>
        <w:tc>
          <w:tcPr>
            <w:tcW w:w="3299"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169,342,094.47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267,413,811.40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4,032,117,607.68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2,299,040,343.86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3,080,725,507.12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1,375,977,780.42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155,503,484.88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117,758,812.40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108,236,462.53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62,443,923.43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281,954,702.56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263,343,745.89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3,626,420,157.09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1,819,524,262.14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405,697,450.59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479,516,081.72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5,866,846,000.00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2,247,190,000.00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53,403,400.15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10,731,851.86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96,718.35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485,215.00</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5,920,346,118.50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2,258,407,066.86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816,418,333.59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678,249,446.76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5,278,436,000.00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3,829,600,000.00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15,388,756.65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890,574,968.86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6,110,243,090.24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5,398,424,415.62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-189,896,971.74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-3,140,017,348.76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2,881,499,576.00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727,931,161.12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289,188,211.20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6,426,095.00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727,931,161.12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3,177,113,882.20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549,196,945.01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323,850,210.87</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149,396,463.56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84,219,606.89</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15,545,585.00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22,296,409.17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714,138,993.57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430,366,226.93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13,792,167.55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2,746,747,655.27</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229,592,646.40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86,246,388.23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264,654,041.76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178,407,653.53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494,246,688.16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264,654,041.76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2839"/>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291"/>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0"/>
        <w:gridCol w:w="3316"/>
        <w:gridCol w:w="3303"/>
      </w:tblGrid>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2,005,636,647.74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751,041,872.80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160,939,357.96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199,282,521.18</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2,166,576,005.70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950,324,393.98</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1,632,144,945.00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526,578,826.45</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75,457,151.41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68,099,570.93</w:t>
            </w:r>
          </w:p>
        </w:tc>
      </w:tr>
      <w:tr>
        <w:trPr>
          <w:trHeight w:val="40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35,093,547.17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19,703,515.70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412,706,271.27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206,257,831.65</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2,155,401,914.85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820,639,744.73</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11,174,090.85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129,684,649.25</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5,103,250,000.00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1,079,700,000.00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47,860,489.96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7,820,140.58</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427.35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5,151,110,917.31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1,087,520,140.58</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66,439,486.62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94,341,854.52</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4,933,230,565.00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2,969,440,000.00</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15,388,756.65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913,924,226.85</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5,015,058,808.27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3,977,706,081.37</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136,052,109.04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-2,890,185,940.79</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2,879,999,576.00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87,998,298.40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6,426,095.00</w:t>
            </w:r>
          </w:p>
        </w:tc>
      </w:tr>
      <w:tr>
        <w:trPr>
          <w:trHeight w:val="40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400,000,000.00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2,974,423,969.40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268,850,210.87</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73,706,215.35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14,031,873.36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2,870,294.17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423,706,215.35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285,752,378.40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-23,706,215.35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2,688,671,591.00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123,519,984.54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-71,829,700.54</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62,048,352.86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133,878,053.40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185,568,337.40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62,048,352.86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2839"/>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2839"/>
        <w:jc w:val="left"/>
      </w:pPr>
      <w:r>
        <w:rPr/>
        <w:t>本期金额</w:t>
      </w:r>
    </w:p>
    <w:p>
      <w:pPr>
        <w:pStyle w:val="BodyText"/>
        <w:spacing w:line="240" w:lineRule="auto" w:before="117"/>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3"/>
        <w:gridCol w:w="531"/>
        <w:gridCol w:w="530"/>
        <w:gridCol w:w="665"/>
        <w:gridCol w:w="665"/>
        <w:gridCol w:w="665"/>
        <w:gridCol w:w="665"/>
        <w:gridCol w:w="665"/>
        <w:gridCol w:w="665"/>
        <w:gridCol w:w="665"/>
        <w:gridCol w:w="665"/>
        <w:gridCol w:w="660"/>
      </w:tblGrid>
      <w:tr>
        <w:trPr>
          <w:trHeight w:val="401"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813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2" w:hRule="exact"/>
        </w:trPr>
        <w:tc>
          <w:tcPr>
            <w:tcW w:w="1426"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4" w:hRule="exact"/>
        </w:trPr>
        <w:tc>
          <w:tcPr>
            <w:tcW w:w="1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4"/>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2D2D2"/>
          </w:tcPr>
          <w:p>
            <w:pPr/>
          </w:p>
        </w:tc>
      </w:tr>
      <w:tr>
        <w:trPr>
          <w:trHeight w:val="174"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69" w:hRule="exact"/>
        </w:trPr>
        <w:tc>
          <w:tcPr>
            <w:tcW w:w="1426"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56" w:hRule="exact"/>
        </w:trPr>
        <w:tc>
          <w:tcPr>
            <w:tcW w:w="1426"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0"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723,17</w:t>
            </w:r>
          </w:p>
          <w:p>
            <w:pPr>
              <w:pStyle w:val="TableParagraph"/>
              <w:spacing w:line="240" w:lineRule="auto" w:before="102"/>
              <w:ind w:left="71" w:right="0"/>
              <w:jc w:val="left"/>
              <w:rPr>
                <w:rFonts w:ascii="Times New Roman" w:hAnsi="Times New Roman" w:cs="Times New Roman" w:eastAsia="Times New Roman" w:hint="default"/>
                <w:sz w:val="18"/>
                <w:szCs w:val="18"/>
              </w:rPr>
            </w:pPr>
            <w:r>
              <w:rPr>
                <w:rFonts w:ascii="Times New Roman"/>
                <w:sz w:val="18"/>
              </w:rPr>
              <w:t>5,694.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4,803,0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86,026.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51,437,</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323.68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478,084</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,255.82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387,934</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,190.42</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6,443,7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17,490.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45</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723,17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5,694.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86,026.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51,437,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323.68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478,084</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,255.82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387,934</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,190.42</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17,490.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45</w:t>
            </w:r>
          </w:p>
        </w:tc>
      </w:tr>
      <w:tr>
        <w:trPr>
          <w:trHeight w:val="394"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02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723,17</w:t>
            </w:r>
          </w:p>
          <w:p>
            <w:pPr>
              <w:pStyle w:val="TableParagraph"/>
              <w:spacing w:line="240" w:lineRule="auto" w:before="102"/>
              <w:ind w:left="71" w:right="0"/>
              <w:jc w:val="left"/>
              <w:rPr>
                <w:rFonts w:ascii="Times New Roman" w:hAnsi="Times New Roman" w:cs="Times New Roman" w:eastAsia="Times New Roman" w:hint="default"/>
                <w:sz w:val="18"/>
                <w:szCs w:val="18"/>
              </w:rPr>
            </w:pPr>
            <w:r>
              <w:rPr>
                <w:rFonts w:ascii="Times New Roman"/>
                <w:sz w:val="18"/>
              </w:rPr>
              <w:t>5,694.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-711,47</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1,324.8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9,718,0</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97.28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353,845</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,613.11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8,416,2</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47.61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383,684</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,327.15</w:t>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21"/>
              <w:jc w:val="right"/>
              <w:rPr>
                <w:rFonts w:ascii="宋体" w:hAnsi="宋体" w:cs="宋体" w:eastAsia="宋体" w:hint="default"/>
                <w:sz w:val="18"/>
                <w:szCs w:val="18"/>
              </w:rPr>
            </w:pPr>
            <w:r>
              <w:rPr>
                <w:rFonts w:ascii="宋体" w:hAnsi="宋体" w:cs="宋体" w:eastAsia="宋体" w:hint="default"/>
                <w:spacing w:val="-8"/>
                <w:sz w:val="18"/>
                <w:szCs w:val="18"/>
              </w:rPr>
              <w:t>（一）综合收益总</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7" w:right="0"/>
              <w:jc w:val="left"/>
              <w:rPr>
                <w:rFonts w:ascii="Times New Roman" w:hAnsi="Times New Roman" w:cs="Times New Roman" w:eastAsia="Times New Roman" w:hint="default"/>
                <w:sz w:val="18"/>
                <w:szCs w:val="18"/>
              </w:rPr>
            </w:pPr>
            <w:r>
              <w:rPr>
                <w:rFonts w:ascii="Times New Roman"/>
                <w:sz w:val="18"/>
              </w:rPr>
              <w:t>435,862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3" w:right="0"/>
              <w:jc w:val="left"/>
              <w:rPr>
                <w:rFonts w:ascii="Times New Roman" w:hAnsi="Times New Roman" w:cs="Times New Roman" w:eastAsia="Times New Roman" w:hint="default"/>
                <w:sz w:val="18"/>
                <w:szCs w:val="18"/>
              </w:rPr>
            </w:pPr>
            <w:r>
              <w:rPr>
                <w:rFonts w:ascii="Times New Roman"/>
                <w:sz w:val="18"/>
              </w:rPr>
              <w:t>8,416,2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0" w:right="0"/>
              <w:jc w:val="left"/>
              <w:rPr>
                <w:rFonts w:ascii="Times New Roman" w:hAnsi="Times New Roman" w:cs="Times New Roman" w:eastAsia="Times New Roman" w:hint="default"/>
                <w:sz w:val="18"/>
                <w:szCs w:val="18"/>
              </w:rPr>
            </w:pPr>
            <w:r>
              <w:rPr>
                <w:rFonts w:ascii="Times New Roman"/>
                <w:sz w:val="18"/>
              </w:rPr>
              <w:t>444,278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36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3" w:right="0"/>
              <w:jc w:val="left"/>
              <w:rPr>
                <w:rFonts w:ascii="Times New Roman" w:hAnsi="Times New Roman" w:cs="Times New Roman" w:eastAsia="Times New Roman" w:hint="default"/>
                <w:sz w:val="18"/>
                <w:szCs w:val="18"/>
              </w:rPr>
            </w:pPr>
            <w:r>
              <w:rPr>
                <w:rFonts w:ascii="Times New Roman"/>
                <w:sz w:val="18"/>
              </w:rPr>
              <w:t>,060.15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8" w:right="0"/>
              <w:jc w:val="left"/>
              <w:rPr>
                <w:rFonts w:ascii="Times New Roman" w:hAnsi="Times New Roman" w:cs="Times New Roman" w:eastAsia="Times New Roman" w:hint="default"/>
                <w:sz w:val="18"/>
                <w:szCs w:val="18"/>
              </w:rPr>
            </w:pPr>
            <w:r>
              <w:rPr>
                <w:rFonts w:ascii="Times New Roman"/>
                <w:sz w:val="18"/>
              </w:rPr>
              <w:t>47.61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6" w:right="0"/>
              <w:jc w:val="left"/>
              <w:rPr>
                <w:rFonts w:ascii="Times New Roman" w:hAnsi="Times New Roman" w:cs="Times New Roman" w:eastAsia="Times New Roman" w:hint="default"/>
                <w:sz w:val="18"/>
                <w:szCs w:val="18"/>
              </w:rPr>
            </w:pPr>
            <w:r>
              <w:rPr>
                <w:rFonts w:ascii="Times New Roman"/>
                <w:sz w:val="18"/>
              </w:rPr>
              <w:t>,307.76</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11,704,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369.15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11,704,</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369.15</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11,704,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369.15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11,704,</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369.15</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9,718,0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97.28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-82,016,</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447.04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-72,298,</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349.76</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9,718,0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97.28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-9,718,0</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97.28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-72,298,</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349.76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-72,298,</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349.76</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723,17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5,694.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-723,17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5,694.0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723,17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5,694.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-723,17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5,694.0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1,446,</w:t>
            </w:r>
          </w:p>
          <w:p>
            <w:pPr>
              <w:pStyle w:val="TableParagraph"/>
              <w:spacing w:line="240" w:lineRule="auto" w:before="105"/>
              <w:ind w:left="15" w:right="0"/>
              <w:jc w:val="center"/>
              <w:rPr>
                <w:rFonts w:ascii="Times New Roman" w:hAnsi="Times New Roman" w:cs="Times New Roman" w:eastAsia="Times New Roman" w:hint="default"/>
                <w:sz w:val="18"/>
                <w:szCs w:val="18"/>
              </w:rPr>
            </w:pPr>
            <w:r>
              <w:rPr>
                <w:rFonts w:ascii="Times New Roman"/>
                <w:sz w:val="18"/>
              </w:rPr>
              <w:t>351,38</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8.00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14,701.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61,155,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420.96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831,929</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,868.93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396,350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,438.03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01,817.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3"/>
        <w:rPr>
          <w:rFonts w:ascii="Times New Roman" w:hAnsi="Times New Roman" w:cs="Times New Roman" w:eastAsia="Times New Roman" w:hint="default"/>
          <w:sz w:val="29"/>
          <w:szCs w:val="29"/>
        </w:rPr>
      </w:pPr>
    </w:p>
    <w:p>
      <w:pPr>
        <w:pStyle w:val="BodyText"/>
        <w:spacing w:line="240" w:lineRule="auto" w:before="44"/>
        <w:ind w:right="2839"/>
        <w:jc w:val="left"/>
      </w:pPr>
      <w:r>
        <w:rPr/>
        <w:t>上期金额</w:t>
      </w:r>
    </w:p>
    <w:p>
      <w:pPr>
        <w:pStyle w:val="BodyText"/>
        <w:spacing w:line="240" w:lineRule="auto" w:before="117"/>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5"/>
        <w:gridCol w:w="572"/>
        <w:gridCol w:w="530"/>
        <w:gridCol w:w="531"/>
        <w:gridCol w:w="533"/>
        <w:gridCol w:w="662"/>
        <w:gridCol w:w="665"/>
        <w:gridCol w:w="668"/>
        <w:gridCol w:w="665"/>
        <w:gridCol w:w="662"/>
        <w:gridCol w:w="665"/>
        <w:gridCol w:w="680"/>
        <w:gridCol w:w="653"/>
        <w:gridCol w:w="658"/>
      </w:tblGrid>
      <w:tr>
        <w:trPr>
          <w:trHeight w:val="403"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0" w:hRule="exact"/>
        </w:trPr>
        <w:tc>
          <w:tcPr>
            <w:tcW w:w="1415" w:type="dxa"/>
            <w:vMerge/>
            <w:tcBorders>
              <w:left w:val="single" w:sz="4" w:space="0" w:color="000000"/>
              <w:right w:val="single" w:sz="4" w:space="0" w:color="000000"/>
            </w:tcBorders>
            <w:shd w:val="clear" w:color="auto" w:fill="D2D2D2"/>
          </w:tcPr>
          <w:p>
            <w:pPr/>
          </w:p>
        </w:tc>
        <w:tc>
          <w:tcPr>
            <w:tcW w:w="6833"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33" w:type="dxa"/>
            <w:gridSpan w:val="11"/>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8"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2D2D2"/>
          </w:tcPr>
          <w:p>
            <w:pPr/>
          </w:p>
        </w:tc>
      </w:tr>
      <w:tr>
        <w:trPr>
          <w:trHeight w:val="174"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53" w:right="63"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10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8"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80"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
        </w:tc>
        <w:tc>
          <w:tcPr>
            <w:tcW w:w="658" w:type="dxa"/>
            <w:vMerge/>
            <w:tcBorders>
              <w:left w:val="single" w:sz="4" w:space="0" w:color="000000"/>
              <w:bottom w:val="nil" w:sz="6" w:space="0" w:color="auto"/>
              <w:right w:val="single" w:sz="4" w:space="0" w:color="000000"/>
            </w:tcBorders>
            <w:shd w:val="clear" w:color="auto" w:fill="D2D2D2"/>
          </w:tcPr>
          <w:p>
            <w:pPr/>
          </w:p>
        </w:tc>
      </w:tr>
      <w:tr>
        <w:trPr>
          <w:trHeight w:val="227"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8"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545,80</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10,973,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183.83</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39,582,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838.34</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165,694</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,962.49</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390,380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,544.75</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1,152,4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31,529.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41</w:t>
            </w:r>
          </w:p>
        </w:tc>
      </w:tr>
      <w:tr>
        <w:trPr>
          <w:trHeight w:val="39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545,80</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10,973,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183.83</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39,582,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838.34</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165,694</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,962.49</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390,380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,544.75</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1,152,4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31,529.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41</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027"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7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177,37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5,694.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4,792,1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12,842.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11,854,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485.34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312,389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,293.33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-2,446,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354.33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5,291,2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85,961.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335,159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,778.67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-3,946,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354.33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331,213</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,424.34</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177,37</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5,694.</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4,792,1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12,842.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70</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00.00</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4,970,9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88,536.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70</w:t>
            </w:r>
          </w:p>
        </w:tc>
      </w:tr>
      <w:tr>
        <w:trPr>
          <w:trHeight w:val="706"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177,37</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5,694.</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4,778,3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53,642.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70</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00.00</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4,957,2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29,336.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70</w:t>
            </w:r>
          </w:p>
        </w:tc>
      </w:tr>
      <w:tr>
        <w:trPr>
          <w:trHeight w:val="703"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0" w:lineRule="auto" w:before="49"/>
              <w:ind w:left="1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13,759,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13,759,</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200.00</w:t>
            </w: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11,854,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485.34</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-22,770,</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485.34</w:t>
            </w: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-10,916,</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000.00</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11,854,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485.34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-11,854,</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485.34</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-10,916,</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000.00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-10,916,</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000.00</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723,17</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5,694.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4,803,0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86,026.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51,437,</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323.68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478,084</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,255.82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387,934</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,190.42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6,443,7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17,490.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45</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2839"/>
        <w:jc w:val="left"/>
      </w:pPr>
      <w:r>
        <w:rPr/>
        <w:t>本期金额</w:t>
      </w:r>
    </w:p>
    <w:p>
      <w:pPr>
        <w:pStyle w:val="BodyText"/>
        <w:spacing w:line="240" w:lineRule="auto" w:before="115"/>
        <w:ind w:left="0" w:right="15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7"/>
        <w:gridCol w:w="665"/>
        <w:gridCol w:w="797"/>
        <w:gridCol w:w="797"/>
        <w:gridCol w:w="797"/>
        <w:gridCol w:w="799"/>
        <w:gridCol w:w="797"/>
        <w:gridCol w:w="677"/>
        <w:gridCol w:w="780"/>
      </w:tblGrid>
      <w:tr>
        <w:trPr>
          <w:trHeight w:val="398"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09"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723,175,</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694.00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4,802,088</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,704.93</w:t>
            </w:r>
          </w:p>
        </w:tc>
        <w:tc>
          <w:tcPr>
            <w:tcW w:w="797" w:type="dxa"/>
            <w:vMerge w:val="restart"/>
            <w:tcBorders>
              <w:top w:val="single" w:sz="22" w:space="0" w:color="D2D2D2"/>
              <w:left w:val="single" w:sz="4" w:space="0" w:color="000000"/>
              <w:right w:val="single" w:sz="4" w:space="0" w:color="000000"/>
            </w:tcBorders>
          </w:tcPr>
          <w:p>
            <w:pPr/>
          </w:p>
        </w:tc>
        <w:tc>
          <w:tcPr>
            <w:tcW w:w="797" w:type="dxa"/>
            <w:vMerge w:val="restart"/>
            <w:tcBorders>
              <w:top w:val="single" w:sz="22"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51,437,32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3.68</w:t>
            </w:r>
          </w:p>
        </w:tc>
        <w:tc>
          <w:tcPr>
            <w:tcW w:w="677" w:type="dxa"/>
            <w:vMerge w:val="restart"/>
            <w:tcBorders>
              <w:top w:val="single" w:sz="22" w:space="0" w:color="D2D2D2"/>
              <w:left w:val="single" w:sz="4" w:space="0" w:color="000000"/>
              <w:right w:val="single" w:sz="4" w:space="0" w:color="000000"/>
            </w:tcBorders>
          </w:tcPr>
          <w:p>
            <w:pPr>
              <w:pStyle w:val="TableParagraph"/>
              <w:spacing w:line="240" w:lineRule="auto" w:before="68"/>
              <w:ind w:left="57" w:right="0"/>
              <w:jc w:val="left"/>
              <w:rPr>
                <w:rFonts w:ascii="Times New Roman" w:hAnsi="Times New Roman" w:cs="Times New Roman" w:eastAsia="Times New Roman" w:hint="default"/>
                <w:sz w:val="18"/>
                <w:szCs w:val="18"/>
              </w:rPr>
            </w:pPr>
            <w:r>
              <w:rPr>
                <w:rFonts w:ascii="Times New Roman"/>
                <w:sz w:val="18"/>
              </w:rPr>
              <w:t>232,280</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,795.14</w:t>
            </w:r>
          </w:p>
        </w:tc>
        <w:tc>
          <w:tcPr>
            <w:tcW w:w="780" w:type="dxa"/>
            <w:vMerge w:val="restart"/>
            <w:tcBorders>
              <w:top w:val="single" w:sz="22" w:space="0" w:color="D2D2D2"/>
              <w:left w:val="single" w:sz="4" w:space="0" w:color="000000"/>
              <w:right w:val="single" w:sz="4" w:space="0" w:color="000000"/>
            </w:tcBorders>
          </w:tcPr>
          <w:p>
            <w:pPr>
              <w:pStyle w:val="TableParagraph"/>
              <w:spacing w:line="240" w:lineRule="auto" w:before="68"/>
              <w:ind w:left="7" w:right="0"/>
              <w:jc w:val="center"/>
              <w:rPr>
                <w:rFonts w:ascii="Times New Roman" w:hAnsi="Times New Roman" w:cs="Times New Roman" w:eastAsia="Times New Roman" w:hint="default"/>
                <w:sz w:val="18"/>
                <w:szCs w:val="18"/>
              </w:rPr>
            </w:pPr>
            <w:r>
              <w:rPr>
                <w:rFonts w:ascii="Times New Roman"/>
                <w:sz w:val="18"/>
              </w:rPr>
              <w:t>5,808,982</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,517.75</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723,175,</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694.00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4,802,088</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,704.93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51,437,32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3.68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232,280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,795.14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5,808,982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,517.75</w:t>
            </w: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723,175,</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694.00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-711,471,</w:t>
            </w:r>
          </w:p>
          <w:p>
            <w:pPr>
              <w:pStyle w:val="TableParagraph"/>
              <w:spacing w:line="240" w:lineRule="auto" w:before="102"/>
              <w:ind w:left="250" w:right="0"/>
              <w:jc w:val="center"/>
              <w:rPr>
                <w:rFonts w:ascii="Times New Roman" w:hAnsi="Times New Roman" w:cs="Times New Roman" w:eastAsia="Times New Roman" w:hint="default"/>
                <w:sz w:val="18"/>
                <w:szCs w:val="18"/>
              </w:rPr>
            </w:pPr>
            <w:r>
              <w:rPr>
                <w:rFonts w:ascii="Times New Roman"/>
                <w:sz w:val="18"/>
              </w:rPr>
              <w:t>324.85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9,718,097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15,164,</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525.75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36,586,99</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2.18</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97,180,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972.79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97,180,97</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2.79</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11,704,36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9.15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11,704,36</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9.15</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11,704,36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9.15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11,704,36</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9.15</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9,718,097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-82,016,</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447.04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-72,298,3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49.76</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9,718,097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-9,718,0</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97.28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-72,298,</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349.76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-72,298,3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49.76</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723,175,</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694.00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-723,175,</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694.00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723,175,</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694.00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 w:right="0"/>
              <w:jc w:val="center"/>
              <w:rPr>
                <w:rFonts w:ascii="Times New Roman" w:hAnsi="Times New Roman" w:cs="Times New Roman" w:eastAsia="Times New Roman" w:hint="default"/>
                <w:sz w:val="18"/>
                <w:szCs w:val="18"/>
              </w:rPr>
            </w:pPr>
            <w:r>
              <w:rPr>
                <w:rFonts w:ascii="Times New Roman"/>
                <w:sz w:val="18"/>
              </w:rPr>
              <w:t>-723,175,</w:t>
            </w:r>
          </w:p>
          <w:p>
            <w:pPr>
              <w:pStyle w:val="TableParagraph"/>
              <w:spacing w:line="240" w:lineRule="auto" w:before="102"/>
              <w:ind w:left="250" w:right="0"/>
              <w:jc w:val="center"/>
              <w:rPr>
                <w:rFonts w:ascii="Times New Roman" w:hAnsi="Times New Roman" w:cs="Times New Roman" w:eastAsia="Times New Roman" w:hint="default"/>
                <w:sz w:val="18"/>
                <w:szCs w:val="18"/>
              </w:rPr>
            </w:pPr>
            <w:r>
              <w:rPr>
                <w:rFonts w:ascii="Times New Roman"/>
                <w:sz w:val="18"/>
              </w:rPr>
              <w:t>694.00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1" w:right="0"/>
              <w:jc w:val="left"/>
              <w:rPr>
                <w:rFonts w:ascii="Times New Roman" w:hAnsi="Times New Roman" w:cs="Times New Roman" w:eastAsia="Times New Roman" w:hint="default"/>
                <w:sz w:val="18"/>
                <w:szCs w:val="18"/>
              </w:rPr>
            </w:pPr>
            <w:r>
              <w:rPr>
                <w:rFonts w:ascii="Times New Roman"/>
                <w:sz w:val="18"/>
              </w:rPr>
              <w:t>1,446,35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4,090,617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61,155,42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7" w:right="0"/>
              <w:jc w:val="left"/>
              <w:rPr>
                <w:rFonts w:ascii="Times New Roman" w:hAnsi="Times New Roman" w:cs="Times New Roman" w:eastAsia="Times New Roman" w:hint="default"/>
                <w:sz w:val="18"/>
                <w:szCs w:val="18"/>
              </w:rPr>
            </w:pPr>
            <w:r>
              <w:rPr>
                <w:rFonts w:ascii="Times New Roman"/>
                <w:sz w:val="18"/>
              </w:rPr>
              <w:t>247,445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5,845,569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2"/>
      </w:tblGrid>
      <w:tr>
        <w:trPr>
          <w:trHeight w:val="36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1" w:right="0"/>
              <w:jc w:val="left"/>
              <w:rPr>
                <w:rFonts w:ascii="Times New Roman" w:hAnsi="Times New Roman" w:cs="Times New Roman" w:eastAsia="Times New Roman" w:hint="default"/>
                <w:sz w:val="18"/>
                <w:szCs w:val="18"/>
              </w:rPr>
            </w:pPr>
            <w:r>
              <w:rPr>
                <w:rFonts w:ascii="Times New Roman"/>
                <w:sz w:val="18"/>
              </w:rPr>
              <w:t>1,388.00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5" w:right="0"/>
              <w:jc w:val="left"/>
              <w:rPr>
                <w:rFonts w:ascii="Times New Roman" w:hAnsi="Times New Roman" w:cs="Times New Roman" w:eastAsia="Times New Roman" w:hint="default"/>
                <w:sz w:val="18"/>
                <w:szCs w:val="18"/>
              </w:rPr>
            </w:pPr>
            <w:r>
              <w:rPr>
                <w:rFonts w:ascii="Times New Roman"/>
                <w:sz w:val="18"/>
              </w:rPr>
              <w:t>,380.08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0.96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,320.89</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8" w:right="0"/>
              <w:jc w:val="left"/>
              <w:rPr>
                <w:rFonts w:ascii="Times New Roman" w:hAnsi="Times New Roman" w:cs="Times New Roman" w:eastAsia="Times New Roman" w:hint="default"/>
                <w:sz w:val="18"/>
                <w:szCs w:val="18"/>
              </w:rPr>
            </w:pPr>
            <w:r>
              <w:rPr>
                <w:rFonts w:ascii="Times New Roman"/>
                <w:sz w:val="18"/>
              </w:rPr>
              <w:t>,509.93</w:t>
            </w:r>
          </w:p>
        </w:tc>
      </w:tr>
    </w:tbl>
    <w:p>
      <w:pPr>
        <w:pStyle w:val="BodyText"/>
        <w:spacing w:line="240" w:lineRule="auto" w:before="49"/>
        <w:ind w:right="2839"/>
        <w:jc w:val="left"/>
      </w:pPr>
      <w:r>
        <w:rPr/>
        <w:t>上期金额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7"/>
        <w:gridCol w:w="665"/>
        <w:gridCol w:w="797"/>
        <w:gridCol w:w="797"/>
        <w:gridCol w:w="797"/>
        <w:gridCol w:w="799"/>
        <w:gridCol w:w="797"/>
        <w:gridCol w:w="677"/>
        <w:gridCol w:w="780"/>
      </w:tblGrid>
      <w:tr>
        <w:trPr>
          <w:trHeight w:val="396"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4"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545,800,</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9,975,862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.23</w:t>
            </w:r>
          </w:p>
        </w:tc>
        <w:tc>
          <w:tcPr>
            <w:tcW w:w="797" w:type="dxa"/>
            <w:vMerge w:val="restart"/>
            <w:tcBorders>
              <w:top w:val="single" w:sz="17" w:space="0" w:color="D2D2D2"/>
              <w:left w:val="single" w:sz="4" w:space="0" w:color="000000"/>
              <w:right w:val="single" w:sz="4" w:space="0" w:color="000000"/>
            </w:tcBorders>
          </w:tcPr>
          <w:p>
            <w:pPr/>
          </w:p>
        </w:tc>
        <w:tc>
          <w:tcPr>
            <w:tcW w:w="797" w:type="dxa"/>
            <w:vMerge w:val="restart"/>
            <w:tcBorders>
              <w:top w:val="single" w:sz="17"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39,582,83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8.34</w:t>
            </w:r>
          </w:p>
        </w:tc>
        <w:tc>
          <w:tcPr>
            <w:tcW w:w="677" w:type="dxa"/>
            <w:vMerge w:val="restart"/>
            <w:tcBorders>
              <w:top w:val="single" w:sz="17" w:space="0" w:color="D2D2D2"/>
              <w:left w:val="single" w:sz="4" w:space="0" w:color="000000"/>
              <w:right w:val="single" w:sz="4" w:space="0" w:color="000000"/>
            </w:tcBorders>
          </w:tcPr>
          <w:p>
            <w:pPr>
              <w:pStyle w:val="TableParagraph"/>
              <w:spacing w:line="240" w:lineRule="auto" w:before="76"/>
              <w:ind w:left="57" w:right="0"/>
              <w:jc w:val="left"/>
              <w:rPr>
                <w:rFonts w:ascii="Times New Roman" w:hAnsi="Times New Roman" w:cs="Times New Roman" w:eastAsia="Times New Roman" w:hint="default"/>
                <w:sz w:val="18"/>
                <w:szCs w:val="18"/>
              </w:rPr>
            </w:pPr>
            <w:r>
              <w:rPr>
                <w:rFonts w:ascii="Times New Roman"/>
                <w:sz w:val="18"/>
              </w:rPr>
              <w:t>136,506</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,427.12</w:t>
            </w:r>
          </w:p>
        </w:tc>
        <w:tc>
          <w:tcPr>
            <w:tcW w:w="780" w:type="dxa"/>
            <w:vMerge w:val="restart"/>
            <w:tcBorders>
              <w:top w:val="single" w:sz="17" w:space="0" w:color="D2D2D2"/>
              <w:left w:val="single" w:sz="4" w:space="0" w:color="000000"/>
              <w:right w:val="single" w:sz="4" w:space="0" w:color="000000"/>
            </w:tcBorders>
          </w:tcPr>
          <w:p>
            <w:pPr>
              <w:pStyle w:val="TableParagraph"/>
              <w:spacing w:line="240" w:lineRule="auto" w:before="76"/>
              <w:ind w:left="28" w:right="0"/>
              <w:jc w:val="left"/>
              <w:rPr>
                <w:rFonts w:ascii="Times New Roman" w:hAnsi="Times New Roman" w:cs="Times New Roman" w:eastAsia="Times New Roman" w:hint="default"/>
                <w:sz w:val="18"/>
                <w:szCs w:val="18"/>
              </w:rPr>
            </w:pPr>
            <w:r>
              <w:rPr>
                <w:rFonts w:ascii="Times New Roman"/>
                <w:sz w:val="18"/>
              </w:rPr>
              <w:t>731,865,1</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27.69</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545,800,</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9,975,862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.23</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39,582,83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8.34</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136,506</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,427.12</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731,865,1</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27.69</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177,375,</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694.00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4,792,112</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,842.70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11,854,48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5.34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95,774,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368.02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5,077,117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,390.06</w:t>
            </w:r>
          </w:p>
        </w:tc>
      </w:tr>
      <w:tr>
        <w:trPr>
          <w:trHeight w:val="716"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4" w:right="0"/>
              <w:jc w:val="left"/>
              <w:rPr>
                <w:rFonts w:ascii="Times New Roman" w:hAnsi="Times New Roman" w:cs="Times New Roman" w:eastAsia="Times New Roman" w:hint="default"/>
                <w:sz w:val="18"/>
                <w:szCs w:val="18"/>
              </w:rPr>
            </w:pPr>
            <w:r>
              <w:rPr>
                <w:rFonts w:ascii="Times New Roman"/>
                <w:sz w:val="18"/>
              </w:rPr>
              <w:t>118,544</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,853.36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5" w:right="0"/>
              <w:jc w:val="left"/>
              <w:rPr>
                <w:rFonts w:ascii="Times New Roman" w:hAnsi="Times New Roman" w:cs="Times New Roman" w:eastAsia="Times New Roman" w:hint="default"/>
                <w:sz w:val="18"/>
                <w:szCs w:val="18"/>
              </w:rPr>
            </w:pPr>
            <w:r>
              <w:rPr>
                <w:rFonts w:ascii="Times New Roman"/>
                <w:sz w:val="18"/>
              </w:rPr>
              <w:t>118,544,8</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53.36</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177,375,</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694.00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4,792,112</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,842.70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4,969,488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,536.70</w:t>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177,375,</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694.00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4,778,353</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,642.70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4,955,729</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,336.70</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13,759,20</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13,759,20</w:t>
            </w:r>
          </w:p>
          <w:p>
            <w:pPr>
              <w:pStyle w:val="TableParagraph"/>
              <w:spacing w:line="240" w:lineRule="auto" w:before="103"/>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11,854,48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5.34</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-22,770,</w:t>
            </w:r>
          </w:p>
          <w:p>
            <w:pPr>
              <w:pStyle w:val="TableParagraph"/>
              <w:spacing w:line="240" w:lineRule="auto" w:before="102"/>
              <w:ind w:left="125" w:right="0"/>
              <w:jc w:val="center"/>
              <w:rPr>
                <w:rFonts w:ascii="Times New Roman" w:hAnsi="Times New Roman" w:cs="Times New Roman" w:eastAsia="Times New Roman" w:hint="default"/>
                <w:sz w:val="18"/>
                <w:szCs w:val="18"/>
              </w:rPr>
            </w:pPr>
            <w:r>
              <w:rPr>
                <w:rFonts w:ascii="Times New Roman"/>
                <w:sz w:val="18"/>
              </w:rPr>
              <w:t>485.34</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-10,916,0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11,854,48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5.34</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-11,854,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485.34</w:t>
            </w:r>
          </w:p>
        </w:tc>
        <w:tc>
          <w:tcPr>
            <w:tcW w:w="780" w:type="dxa"/>
            <w:vMerge w:val="restart"/>
            <w:tcBorders>
              <w:top w:val="single" w:sz="4" w:space="0" w:color="000000"/>
              <w:left w:val="single" w:sz="4" w:space="0" w:color="000000"/>
              <w:right w:val="single" w:sz="4" w:space="0" w:color="000000"/>
            </w:tcBorders>
          </w:tcPr>
          <w:p>
            <w:pP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-10,916,</w:t>
            </w:r>
          </w:p>
          <w:p>
            <w:pPr>
              <w:pStyle w:val="TableParagraph"/>
              <w:spacing w:line="240" w:lineRule="auto" w:before="102"/>
              <w:ind w:left="125" w:right="0"/>
              <w:jc w:val="center"/>
              <w:rPr>
                <w:rFonts w:ascii="Times New Roman" w:hAnsi="Times New Roman" w:cs="Times New Roman" w:eastAsia="Times New Roman" w:hint="default"/>
                <w:sz w:val="18"/>
                <w:szCs w:val="18"/>
              </w:rPr>
            </w:pPr>
            <w:r>
              <w:rPr>
                <w:rFonts w:ascii="Times New Roman"/>
                <w:sz w:val="18"/>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-10,916,0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pacing w:val="-7"/>
                <w:sz w:val="18"/>
                <w:szCs w:val="18"/>
              </w:rPr>
              <w:t>（四）所有者权益</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6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723,175,</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694.00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4,802,088</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,704.93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51,437,32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3.68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232,280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,795.14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5,808,982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,517.75</w:t>
            </w:r>
          </w:p>
        </w:tc>
      </w:tr>
    </w:tbl>
    <w:p>
      <w:pPr>
        <w:spacing w:line="240" w:lineRule="auto" w:before="1"/>
        <w:rPr>
          <w:rFonts w:ascii="宋体" w:hAnsi="宋体" w:cs="宋体" w:eastAsia="宋体" w:hint="default"/>
          <w:sz w:val="18"/>
          <w:szCs w:val="18"/>
        </w:rPr>
      </w:pPr>
    </w:p>
    <w:p>
      <w:pPr>
        <w:pStyle w:val="Heading2"/>
        <w:spacing w:line="240" w:lineRule="auto" w:before="26"/>
        <w:ind w:right="0"/>
        <w:jc w:val="both"/>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513" w:right="4053"/>
        <w:jc w:val="left"/>
      </w:pPr>
      <w:r>
        <w:rPr>
          <w:rFonts w:ascii="Times New Roman" w:hAnsi="Times New Roman" w:cs="Times New Roman" w:eastAsia="Times New Roman" w:hint="default"/>
        </w:rPr>
        <w:t>1</w:t>
      </w:r>
      <w:r>
        <w:rPr/>
        <w:t>、公司注册登记情况： 名称：北京光环新网科技股份有限公司（以下简称</w:t>
      </w:r>
      <w:r>
        <w:rPr>
          <w:rFonts w:ascii="Times New Roman" w:hAnsi="Times New Roman" w:cs="Times New Roman" w:eastAsia="Times New Roman" w:hint="default"/>
        </w:rPr>
        <w:t>“</w:t>
      </w:r>
      <w:r>
        <w:rPr/>
        <w:t>公司或本公司</w:t>
      </w:r>
      <w:r>
        <w:rPr>
          <w:rFonts w:ascii="Times New Roman" w:hAnsi="Times New Roman" w:cs="Times New Roman" w:eastAsia="Times New Roman" w:hint="default"/>
        </w:rPr>
        <w:t>”</w:t>
      </w:r>
      <w:r>
        <w:rPr/>
        <w:t>） 住所：北京市门头沟区石龙经济开发区永安路</w:t>
      </w:r>
      <w:r>
        <w:rPr>
          <w:rFonts w:ascii="Times New Roman" w:hAnsi="Times New Roman" w:cs="Times New Roman" w:eastAsia="Times New Roman" w:hint="default"/>
        </w:rPr>
        <w:t>20</w:t>
      </w:r>
      <w:r>
        <w:rPr/>
        <w:t>号</w:t>
      </w:r>
      <w:r>
        <w:rPr>
          <w:rFonts w:ascii="Times New Roman" w:hAnsi="Times New Roman" w:cs="Times New Roman" w:eastAsia="Times New Roman" w:hint="default"/>
        </w:rPr>
        <w:t>3</w:t>
      </w:r>
      <w:r>
        <w:rPr/>
        <w:t>号楼二层</w:t>
      </w:r>
      <w:r>
        <w:rPr>
          <w:rFonts w:ascii="Times New Roman" w:hAnsi="Times New Roman" w:cs="Times New Roman" w:eastAsia="Times New Roman" w:hint="default"/>
        </w:rPr>
        <w:t>202</w:t>
      </w:r>
      <w:r>
        <w:rPr/>
        <w:t>室。</w:t>
      </w:r>
      <w:r>
        <w:rPr>
          <w:spacing w:val="-87"/>
        </w:rPr>
        <w:t> </w:t>
      </w:r>
      <w:r>
        <w:rPr/>
        <w:t>法定代表人姓名：耿殿根</w:t>
      </w:r>
    </w:p>
    <w:p>
      <w:pPr>
        <w:pStyle w:val="BodyText"/>
        <w:spacing w:line="300" w:lineRule="auto" w:before="31"/>
        <w:ind w:left="513" w:right="183"/>
        <w:jc w:val="left"/>
      </w:pPr>
      <w:r>
        <w:rPr/>
        <w:t>注册资本：</w:t>
      </w:r>
      <w:r>
        <w:rPr>
          <w:rFonts w:ascii="Times New Roman" w:hAnsi="Times New Roman" w:cs="Times New Roman" w:eastAsia="Times New Roman" w:hint="default"/>
        </w:rPr>
        <w:t>144,635.1388</w:t>
      </w:r>
      <w:r>
        <w:rPr/>
        <w:t>万元 </w:t>
      </w:r>
      <w:r>
        <w:rPr>
          <w:spacing w:val="-2"/>
        </w:rPr>
        <w:t>获准经营的业务种类、服务项目和业务覆盖范围如下：一、第一类增值电信业务中的互联网数据中心业务，业务覆盖范</w:t>
      </w:r>
    </w:p>
    <w:p>
      <w:pPr>
        <w:pStyle w:val="BodyText"/>
        <w:spacing w:line="316" w:lineRule="auto" w:before="31"/>
        <w:ind w:right="191"/>
        <w:jc w:val="both"/>
      </w:pPr>
      <w:r>
        <w:rPr>
          <w:spacing w:val="-2"/>
        </w:rPr>
        <w:t>围：互联网数据中心业务的机房所在地为北京以及廊坊。不含互联网资源协作服务的机房所在地为上海。二、第一类增值电</w:t>
      </w:r>
      <w:r>
        <w:rPr>
          <w:spacing w:val="-64"/>
        </w:rPr>
        <w:t> </w:t>
      </w:r>
      <w:r>
        <w:rPr>
          <w:spacing w:val="-64"/>
        </w:rPr>
      </w:r>
      <w:r>
        <w:rPr>
          <w:spacing w:val="-2"/>
        </w:rPr>
        <w:t>信业务中的互联网接入服务业务，业务覆盖范围：北京、上海以及廊坊含网站接入。天津、重庆以及广州、深圳、西安不含</w:t>
      </w:r>
      <w:r>
        <w:rPr>
          <w:spacing w:val="-73"/>
        </w:rPr>
        <w:t> </w:t>
      </w:r>
      <w:r>
        <w:rPr>
          <w:spacing w:val="-73"/>
        </w:rPr>
      </w:r>
      <w:r>
        <w:rPr/>
        <w:t>网站接入。</w:t>
      </w:r>
    </w:p>
    <w:p>
      <w:pPr>
        <w:pStyle w:val="BodyText"/>
        <w:spacing w:line="316" w:lineRule="auto" w:before="19"/>
        <w:ind w:right="194" w:firstLine="360"/>
        <w:jc w:val="both"/>
      </w:pPr>
      <w:r>
        <w:rPr>
          <w:spacing w:val="-2"/>
        </w:rPr>
        <w:t>经营范围：因特网接入服务业务；因特网数据中心业务；因特网信息服务业务；专业承包；信息系统集成；三维多媒体</w:t>
      </w:r>
      <w:r>
        <w:rPr/>
        <w:t> </w:t>
      </w:r>
      <w:r>
        <w:rPr>
          <w:spacing w:val="-2"/>
        </w:rPr>
        <w:t>集成；承接网络工程、智能大厦弱电系统集成；研发数字网络应用软件；从事计算机信息网络国际联网经营业务；销售通讯</w:t>
      </w:r>
      <w:r>
        <w:rPr>
          <w:spacing w:val="-67"/>
        </w:rPr>
        <w:t> </w:t>
      </w:r>
      <w:r>
        <w:rPr>
          <w:spacing w:val="-67"/>
        </w:rPr>
      </w:r>
      <w:r>
        <w:rPr/>
        <w:t>设备、计算机、软件及辅助设备。</w:t>
      </w:r>
    </w:p>
    <w:p>
      <w:pPr>
        <w:pStyle w:val="BodyText"/>
        <w:spacing w:line="240" w:lineRule="auto" w:before="19"/>
        <w:ind w:left="513" w:right="183"/>
        <w:jc w:val="left"/>
      </w:pPr>
      <w:r>
        <w:rPr>
          <w:rFonts w:ascii="Times New Roman" w:hAnsi="Times New Roman" w:cs="Times New Roman" w:eastAsia="Times New Roman" w:hint="default"/>
        </w:rPr>
        <w:t>2</w:t>
      </w:r>
      <w:r>
        <w:rPr/>
        <w:t>、行业性质</w:t>
      </w:r>
    </w:p>
    <w:p>
      <w:pPr>
        <w:pStyle w:val="BodyText"/>
        <w:spacing w:line="300" w:lineRule="auto" w:before="63"/>
        <w:ind w:right="215" w:firstLine="360"/>
        <w:jc w:val="both"/>
      </w:pPr>
      <w:r>
        <w:rPr/>
        <w:t>本公司经营业务属于中国证监会行业分类 </w:t>
      </w:r>
      <w:r>
        <w:rPr>
          <w:rFonts w:ascii="Times New Roman" w:hAnsi="Times New Roman" w:cs="Times New Roman" w:eastAsia="Times New Roman" w:hint="default"/>
        </w:rPr>
        <w:t>I </w:t>
      </w:r>
      <w:r>
        <w:rPr/>
        <w:t>类信息传输、软件和信息技术服务业之 </w:t>
      </w:r>
      <w:r>
        <w:rPr>
          <w:rFonts w:ascii="Times New Roman" w:hAnsi="Times New Roman" w:cs="Times New Roman" w:eastAsia="Times New Roman" w:hint="default"/>
        </w:rPr>
        <w:t>I64 </w:t>
      </w:r>
      <w:r>
        <w:rPr/>
        <w:t>互联网和相关服务及 </w:t>
      </w:r>
      <w:r>
        <w:rPr>
          <w:rFonts w:ascii="Times New Roman" w:hAnsi="Times New Roman" w:cs="Times New Roman" w:eastAsia="Times New Roman" w:hint="default"/>
        </w:rPr>
        <w:t>I65</w:t>
      </w:r>
      <w:r>
        <w:rPr>
          <w:rFonts w:ascii="Times New Roman" w:hAnsi="Times New Roman" w:cs="Times New Roman" w:eastAsia="Times New Roman" w:hint="default"/>
          <w:spacing w:val="-17"/>
        </w:rPr>
        <w:t> </w:t>
      </w:r>
      <w:r>
        <w:rPr/>
        <w:t>软件 和信息技术服务业。</w:t>
      </w:r>
    </w:p>
    <w:p>
      <w:pPr>
        <w:pStyle w:val="BodyText"/>
        <w:spacing w:line="300" w:lineRule="auto" w:before="31"/>
        <w:ind w:left="513" w:right="4683"/>
        <w:jc w:val="left"/>
      </w:pPr>
      <w:r>
        <w:rPr>
          <w:rFonts w:ascii="Times New Roman" w:hAnsi="Times New Roman" w:cs="Times New Roman" w:eastAsia="Times New Roman" w:hint="default"/>
        </w:rPr>
        <w:t>3</w:t>
      </w:r>
      <w:r>
        <w:rPr/>
        <w:t>、财务报告的批准报出 本公司财务报表于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日已经公司董事会批准报出。</w:t>
      </w:r>
    </w:p>
    <w:p>
      <w:pPr>
        <w:pStyle w:val="BodyText"/>
        <w:spacing w:line="300" w:lineRule="auto" w:before="13"/>
        <w:ind w:right="184" w:firstLine="360"/>
        <w:jc w:val="both"/>
      </w:pPr>
      <w:r>
        <w:rPr/>
        <w:t>本公司 </w:t>
      </w:r>
      <w:r>
        <w:rPr>
          <w:rFonts w:ascii="Times New Roman" w:hAnsi="Times New Roman" w:cs="Times New Roman" w:eastAsia="Times New Roman" w:hint="default"/>
        </w:rPr>
        <w:t>2017</w:t>
      </w:r>
      <w:r>
        <w:rPr/>
        <w:t>年度纳入合并集团范围的子公司共 </w:t>
      </w:r>
      <w:r>
        <w:rPr>
          <w:rFonts w:ascii="Times New Roman" w:hAnsi="Times New Roman" w:cs="Times New Roman" w:eastAsia="Times New Roman" w:hint="default"/>
        </w:rPr>
        <w:t>15</w:t>
      </w:r>
      <w:r>
        <w:rPr>
          <w:rFonts w:ascii="Times New Roman" w:hAnsi="Times New Roman" w:cs="Times New Roman" w:eastAsia="Times New Roman" w:hint="default"/>
          <w:spacing w:val="18"/>
        </w:rPr>
        <w:t> </w:t>
      </w:r>
      <w:r>
        <w:rPr/>
        <w:t>家，各家子公司情况详见本节</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。本公司</w:t>
      </w:r>
      <w:r>
        <w:rPr>
          <w:spacing w:val="2"/>
        </w:rPr>
        <w:t> </w:t>
      </w:r>
      <w:r>
        <w:rPr/>
        <w:t>本年度合并范围较上年度增加</w:t>
      </w:r>
      <w:r>
        <w:rPr>
          <w:rFonts w:ascii="Times New Roman" w:hAnsi="Times New Roman" w:cs="Times New Roman" w:eastAsia="Times New Roman" w:hint="default"/>
        </w:rPr>
        <w:t>2</w:t>
      </w:r>
      <w:r>
        <w:rPr/>
        <w:t>家子公司，合并范围的变化情况详见本节</w:t>
      </w:r>
      <w:r>
        <w:rPr>
          <w:rFonts w:ascii="Times New Roman" w:hAnsi="Times New Roman" w:cs="Times New Roman" w:eastAsia="Times New Roman" w:hint="default"/>
        </w:rPr>
        <w:t>“</w:t>
      </w:r>
      <w:r>
        <w:rPr/>
        <w:t>八、合并范围的变动</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20"/>
          <w:szCs w:val="20"/>
        </w:rPr>
      </w:pPr>
    </w:p>
    <w:p>
      <w:pPr>
        <w:pStyle w:val="Heading2"/>
        <w:spacing w:line="240" w:lineRule="auto"/>
        <w:ind w:right="0"/>
        <w:jc w:val="both"/>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0"/>
        <w:jc w:val="left"/>
      </w:pPr>
      <w:r>
        <w:rPr/>
        <w:t>本公司财务报表以持续经营假设为基础，根据实际发生的交易和事项，按照财政部颁布的企业会计准则及其应用指南、</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0"/>
        <w:jc w:val="left"/>
      </w:pPr>
      <w:r>
        <w:rPr>
          <w:spacing w:val="-2"/>
        </w:rPr>
        <w:t>解释及其他有关规定（统称“企业会计准则”）编制。此外，本公司还按照中国证监会《公开发行证券的公司信息披露编报</w:t>
      </w:r>
      <w:r>
        <w:rPr>
          <w:spacing w:val="-71"/>
        </w:rPr>
        <w:t> </w:t>
      </w:r>
      <w:r>
        <w:rPr>
          <w:spacing w:val="-71"/>
        </w:rPr>
      </w:r>
      <w:r>
        <w:rPr/>
        <w:t>规则第</w:t>
      </w:r>
      <w:r>
        <w:rPr>
          <w:rFonts w:ascii="宋体" w:hAnsi="宋体" w:cs="宋体" w:eastAsia="宋体" w:hint="default"/>
        </w:rPr>
        <w:t>15</w:t>
      </w:r>
      <w:r>
        <w:rPr/>
        <w:t>号——财务报告的一般规定》（</w:t>
      </w:r>
      <w:r>
        <w:rPr>
          <w:rFonts w:ascii="宋体" w:hAnsi="宋体" w:cs="宋体" w:eastAsia="宋体" w:hint="default"/>
        </w:rPr>
        <w:t>2014</w:t>
      </w:r>
      <w:r>
        <w:rPr/>
        <w:t>年修订）披露有关财务信息。</w:t>
      </w:r>
    </w:p>
    <w:p>
      <w:pPr>
        <w:pStyle w:val="BodyText"/>
        <w:spacing w:line="316" w:lineRule="auto" w:before="19"/>
        <w:ind w:right="0" w:firstLine="360"/>
        <w:jc w:val="left"/>
      </w:pPr>
      <w:r>
        <w:rPr>
          <w:spacing w:val="-2"/>
        </w:rPr>
        <w:t>根据企业会计准则的相关规定，本公司会计核算以权责发生制为基础。除某些金融工具外，本财务报表均以历史成本为</w:t>
      </w:r>
      <w:r>
        <w:rPr/>
        <w:t> 计量基础。资产如果发生减值，则按照相关规定计提相应的减值准备。</w:t>
      </w:r>
    </w:p>
    <w:p>
      <w:pPr>
        <w:spacing w:line="240" w:lineRule="auto" w:before="10"/>
        <w:rPr>
          <w:rFonts w:ascii="宋体" w:hAnsi="宋体" w:cs="宋体" w:eastAsia="宋体" w:hint="default"/>
          <w:sz w:val="22"/>
          <w:szCs w:val="22"/>
        </w:rPr>
      </w:pPr>
    </w:p>
    <w:p>
      <w:pPr>
        <w:pStyle w:val="Heading3"/>
        <w:spacing w:line="240" w:lineRule="auto"/>
        <w:ind w:right="2839"/>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839"/>
        <w:jc w:val="left"/>
      </w:pPr>
      <w:r>
        <w:rPr/>
        <w:t>本财务报表以持续经营为基础列报，自报告期末起</w:t>
      </w:r>
      <w:r>
        <w:rPr>
          <w:rFonts w:ascii="Times New Roman" w:hAnsi="Times New Roman" w:cs="Times New Roman" w:eastAsia="Times New Roman" w:hint="default"/>
        </w:rPr>
        <w:t>12</w:t>
      </w:r>
      <w:r>
        <w:rPr/>
        <w:t>个月内具有持续经营能力。</w:t>
      </w:r>
    </w:p>
    <w:p>
      <w:pPr>
        <w:spacing w:line="240" w:lineRule="auto" w:before="3"/>
        <w:rPr>
          <w:rFonts w:ascii="宋体" w:hAnsi="宋体" w:cs="宋体" w:eastAsia="宋体" w:hint="default"/>
          <w:sz w:val="24"/>
          <w:szCs w:val="24"/>
        </w:rPr>
      </w:pPr>
    </w:p>
    <w:p>
      <w:pPr>
        <w:pStyle w:val="Heading2"/>
        <w:spacing w:line="240" w:lineRule="auto"/>
        <w:ind w:right="2839"/>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714"/>
        <w:jc w:val="left"/>
      </w:pPr>
      <w:r>
        <w:rPr/>
        <w:t>公司是否需要遵守特殊行业的披露要求 否</w:t>
      </w:r>
    </w:p>
    <w:p>
      <w:pPr>
        <w:pStyle w:val="BodyText"/>
        <w:spacing w:line="316" w:lineRule="auto" w:before="25"/>
        <w:ind w:left="513" w:right="0"/>
        <w:jc w:val="left"/>
      </w:pPr>
      <w:r>
        <w:rPr/>
        <w:t>具体会计政策和会计估计提示： </w:t>
      </w:r>
      <w:r>
        <w:rPr>
          <w:spacing w:val="-2"/>
        </w:rPr>
        <w:t>公司根据实际生产经营特点制定的具体会计政策和会计估计包括：应收款项、存货、固定资产、无形资产、长期待摊费</w:t>
      </w:r>
    </w:p>
    <w:p>
      <w:pPr>
        <w:pStyle w:val="BodyText"/>
        <w:spacing w:line="240" w:lineRule="auto" w:before="19"/>
        <w:ind w:right="2839"/>
        <w:jc w:val="left"/>
      </w:pPr>
      <w:r>
        <w:rPr/>
        <w:t>用、收入等。</w:t>
      </w:r>
    </w:p>
    <w:p>
      <w:pPr>
        <w:spacing w:line="240" w:lineRule="auto" w:before="0"/>
        <w:rPr>
          <w:rFonts w:ascii="宋体" w:hAnsi="宋体" w:cs="宋体" w:eastAsia="宋体" w:hint="default"/>
          <w:sz w:val="18"/>
          <w:szCs w:val="18"/>
        </w:rPr>
      </w:pPr>
    </w:p>
    <w:p>
      <w:pPr>
        <w:pStyle w:val="Heading3"/>
        <w:spacing w:line="240" w:lineRule="auto" w:before="120"/>
        <w:ind w:right="2839"/>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0" w:firstLine="360"/>
        <w:jc w:val="both"/>
      </w:pPr>
      <w:r>
        <w:rPr/>
        <w:t>本财务报表符合企业会计准则的要求，真实、完整地反映了本公司</w:t>
      </w:r>
      <w:r>
        <w:rPr>
          <w:rFonts w:ascii="宋体" w:hAnsi="宋体" w:cs="宋体" w:eastAsia="宋体" w:hint="default"/>
        </w:rPr>
        <w:t>2017 </w:t>
      </w:r>
      <w:r>
        <w:rPr/>
        <w:t>年</w:t>
      </w:r>
      <w:r>
        <w:rPr>
          <w:rFonts w:ascii="宋体" w:hAnsi="宋体" w:cs="宋体" w:eastAsia="宋体" w:hint="default"/>
        </w:rPr>
        <w:t>12</w:t>
      </w:r>
      <w:r>
        <w:rPr/>
        <w:t>月</w:t>
      </w:r>
      <w:r>
        <w:rPr>
          <w:rFonts w:ascii="宋体" w:hAnsi="宋体" w:cs="宋体" w:eastAsia="宋体" w:hint="default"/>
        </w:rPr>
        <w:t>31</w:t>
      </w:r>
      <w:r>
        <w:rPr>
          <w:rFonts w:ascii="宋体" w:hAnsi="宋体" w:cs="宋体" w:eastAsia="宋体" w:hint="default"/>
          <w:spacing w:val="75"/>
        </w:rPr>
        <w:t> </w:t>
      </w:r>
      <w:r>
        <w:rPr/>
        <w:t>日的合并及公司财务状况以及</w:t>
      </w:r>
      <w:r>
        <w:rPr>
          <w:rFonts w:ascii="宋体" w:hAnsi="宋体" w:cs="宋体" w:eastAsia="宋体" w:hint="default"/>
        </w:rPr>
        <w:t>2017 </w:t>
      </w:r>
      <w:r>
        <w:rPr/>
        <w:t>年度的合并及公司经营成果和合并及公司现金流量等有关信息。</w:t>
      </w:r>
    </w:p>
    <w:p>
      <w:pPr>
        <w:spacing w:line="240" w:lineRule="auto" w:before="11"/>
        <w:rPr>
          <w:rFonts w:ascii="宋体" w:hAnsi="宋体" w:cs="宋体" w:eastAsia="宋体" w:hint="default"/>
          <w:sz w:val="22"/>
          <w:szCs w:val="22"/>
        </w:rPr>
      </w:pPr>
    </w:p>
    <w:p>
      <w:pPr>
        <w:pStyle w:val="Heading3"/>
        <w:spacing w:line="240" w:lineRule="auto"/>
        <w:ind w:right="2839"/>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2839"/>
        <w:jc w:val="left"/>
      </w:pPr>
      <w:r>
        <w:rPr/>
        <w:t>本公司会计期间采用公历年度，即每年自</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0"/>
        <w:rPr>
          <w:rFonts w:ascii="宋体" w:hAnsi="宋体" w:cs="宋体" w:eastAsia="宋体" w:hint="default"/>
          <w:sz w:val="18"/>
          <w:szCs w:val="18"/>
        </w:rPr>
      </w:pPr>
    </w:p>
    <w:p>
      <w:pPr>
        <w:pStyle w:val="Heading3"/>
        <w:spacing w:line="240" w:lineRule="auto" w:before="120"/>
        <w:ind w:right="2839"/>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839"/>
        <w:jc w:val="left"/>
      </w:pPr>
      <w:r>
        <w:rPr/>
        <w:t>本公司以</w:t>
      </w:r>
      <w:r>
        <w:rPr>
          <w:rFonts w:ascii="宋体" w:hAnsi="宋体" w:cs="宋体" w:eastAsia="宋体" w:hint="default"/>
        </w:rPr>
        <w:t>12</w:t>
      </w:r>
      <w:r>
        <w:rPr/>
        <w:t>个月作为一个营业周期，并以其作为资产和负债的流动性划分标准。</w:t>
      </w:r>
    </w:p>
    <w:p>
      <w:pPr>
        <w:spacing w:line="240" w:lineRule="auto" w:before="0"/>
        <w:rPr>
          <w:rFonts w:ascii="宋体" w:hAnsi="宋体" w:cs="宋体" w:eastAsia="宋体" w:hint="default"/>
          <w:sz w:val="18"/>
          <w:szCs w:val="18"/>
        </w:rPr>
      </w:pPr>
    </w:p>
    <w:p>
      <w:pPr>
        <w:pStyle w:val="Heading3"/>
        <w:spacing w:line="240" w:lineRule="auto" w:before="120"/>
        <w:ind w:right="2839"/>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2839"/>
        <w:jc w:val="left"/>
      </w:pPr>
      <w:r>
        <w:rPr/>
        <w:t>本公司及子公司以人民币为记账本位币。</w:t>
      </w:r>
    </w:p>
    <w:p>
      <w:pPr>
        <w:spacing w:line="240" w:lineRule="auto" w:before="0"/>
        <w:rPr>
          <w:rFonts w:ascii="宋体" w:hAnsi="宋体" w:cs="宋体" w:eastAsia="宋体" w:hint="default"/>
          <w:sz w:val="18"/>
          <w:szCs w:val="18"/>
        </w:rPr>
      </w:pPr>
    </w:p>
    <w:p>
      <w:pPr>
        <w:pStyle w:val="Heading3"/>
        <w:spacing w:line="240" w:lineRule="auto" w:before="120"/>
        <w:ind w:right="2839"/>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1" w:firstLine="360"/>
        <w:jc w:val="both"/>
      </w:pPr>
      <w:r>
        <w:rPr>
          <w:spacing w:val="-2"/>
        </w:rPr>
        <w:t>企业合并，是指将两个或两个以上单独的企业合并形成一个报告主体的交易或事项。企业合并分为同一控制下企业合并</w:t>
      </w:r>
      <w:r>
        <w:rPr/>
        <w:t> 和非同一控制下企业合并。</w:t>
      </w:r>
    </w:p>
    <w:p>
      <w:pPr>
        <w:pStyle w:val="BodyText"/>
        <w:spacing w:line="300" w:lineRule="auto" w:before="19"/>
        <w:ind w:left="513" w:right="0"/>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）同一控制下企业合并</w:t>
      </w:r>
      <w:r>
        <w:rPr>
          <w:rFonts w:ascii="宋体" w:hAnsi="宋体" w:cs="宋体" w:eastAsia="宋体" w:hint="default"/>
          <w:b/>
          <w:bCs/>
          <w:w w:val="99"/>
        </w:rPr>
        <w:t> </w:t>
      </w:r>
      <w:r>
        <w:rPr>
          <w:spacing w:val="-2"/>
        </w:rPr>
        <w:t>合并方在企业合并中取得的资产和负债，按合并日在被合并方的账面价值计量。合并方取得的净资产账面价值与支付的</w:t>
      </w:r>
    </w:p>
    <w:p>
      <w:pPr>
        <w:pStyle w:val="BodyText"/>
        <w:spacing w:line="316" w:lineRule="auto" w:before="31"/>
        <w:ind w:right="0"/>
        <w:jc w:val="left"/>
      </w:pPr>
      <w:r>
        <w:rPr>
          <w:spacing w:val="-2"/>
        </w:rPr>
        <w:t>合并对价的账面价值（或发行股份面值总额）的差额，调整资本公积中的股本溢价，不足冲减的则调整留存收益。合并方为</w:t>
      </w:r>
      <w:r>
        <w:rPr>
          <w:spacing w:val="-67"/>
        </w:rPr>
        <w:t> </w:t>
      </w:r>
      <w:r>
        <w:rPr>
          <w:spacing w:val="-67"/>
        </w:rPr>
      </w:r>
      <w:r>
        <w:rPr/>
        <w:t>进行企业合并发生的各项直接费用，于发生时计入当期损益。</w:t>
      </w:r>
    </w:p>
    <w:p>
      <w:pPr>
        <w:pStyle w:val="BodyText"/>
        <w:spacing w:line="319" w:lineRule="auto" w:before="19"/>
        <w:ind w:right="150" w:firstLine="360"/>
        <w:jc w:val="both"/>
      </w:pPr>
      <w:r>
        <w:rPr>
          <w:spacing w:val="-2"/>
        </w:rPr>
        <w:t>公司编制财务报表时，在被合并方是最终控制方以前年度从第三方收购来的情况下，视同合并后形成的报告主体自最终</w:t>
      </w:r>
      <w:r>
        <w:rPr/>
        <w:t> </w:t>
      </w:r>
      <w:r>
        <w:rPr>
          <w:spacing w:val="-2"/>
        </w:rPr>
        <w:t>控制方开始实施控制时起，一直是一体化存续下来的，以被合并方的资产、负债（包括最终控制方收购被合并方而形成的商</w:t>
      </w:r>
      <w:r>
        <w:rPr>
          <w:spacing w:val="-64"/>
        </w:rPr>
        <w:t> </w:t>
      </w:r>
      <w:r>
        <w:rPr>
          <w:spacing w:val="-64"/>
        </w:rPr>
      </w:r>
      <w:r>
        <w:rPr>
          <w:spacing w:val="-2"/>
        </w:rPr>
        <w:t>誉）在最终控制方财务报表中的账面价值为基础，进行相关会计处理。公司财务报表比较数据追溯调整的期间不早于双方处</w:t>
      </w:r>
    </w:p>
    <w:p>
      <w:pPr>
        <w:spacing w:after="0" w:line="319" w:lineRule="auto"/>
        <w:jc w:val="both"/>
        <w:sectPr>
          <w:footerReference w:type="default" r:id="rId23"/>
          <w:pgSz w:w="11910" w:h="16840"/>
          <w:pgMar w:footer="979" w:header="745" w:top="1060" w:bottom="1160" w:left="980" w:right="980"/>
          <w:pgNumType w:start="173"/>
        </w:sectPr>
      </w:pPr>
    </w:p>
    <w:p>
      <w:pPr>
        <w:spacing w:line="240" w:lineRule="auto" w:before="10"/>
        <w:rPr>
          <w:rFonts w:ascii="宋体" w:hAnsi="宋体" w:cs="宋体" w:eastAsia="宋体" w:hint="default"/>
          <w:sz w:val="25"/>
          <w:szCs w:val="25"/>
        </w:rPr>
      </w:pPr>
    </w:p>
    <w:p>
      <w:pPr>
        <w:pStyle w:val="BodyText"/>
        <w:spacing w:line="240" w:lineRule="auto" w:before="44"/>
        <w:ind w:right="0"/>
        <w:jc w:val="both"/>
      </w:pPr>
      <w:r>
        <w:rPr/>
        <w:t>于最终控制方的控制之下孰晚的时间。</w:t>
      </w:r>
    </w:p>
    <w:p>
      <w:pPr>
        <w:spacing w:line="300" w:lineRule="auto" w:before="76"/>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）非同一控制下企业合并</w:t>
      </w:r>
      <w:r>
        <w:rPr>
          <w:rFonts w:ascii="宋体" w:hAnsi="宋体" w:cs="宋体" w:eastAsia="宋体" w:hint="default"/>
          <w:b/>
          <w:bCs/>
          <w:w w:val="99"/>
          <w:sz w:val="18"/>
          <w:szCs w:val="18"/>
        </w:rPr>
        <w:t> </w:t>
      </w:r>
      <w:r>
        <w:rPr>
          <w:rFonts w:ascii="宋体" w:hAnsi="宋体" w:cs="宋体" w:eastAsia="宋体" w:hint="default"/>
          <w:spacing w:val="-2"/>
          <w:sz w:val="18"/>
          <w:szCs w:val="18"/>
        </w:rPr>
        <w:t>参与合并的企业在合并前后不受同一方或相同的多方最终控制的，为非同一控制下的企业合并。非同一控制下的企业合</w:t>
      </w:r>
    </w:p>
    <w:p>
      <w:pPr>
        <w:pStyle w:val="BodyText"/>
        <w:spacing w:line="316" w:lineRule="auto" w:before="31"/>
        <w:ind w:right="151"/>
        <w:jc w:val="both"/>
      </w:pPr>
      <w:r>
        <w:rPr>
          <w:spacing w:val="-2"/>
        </w:rPr>
        <w:t>并，在购买日取得对其他参与合并企业控制权的一方为购买方，参与合并的其他企业为被购买方。购买日，是指为购买方实</w:t>
      </w:r>
      <w:r>
        <w:rPr>
          <w:spacing w:val="-64"/>
        </w:rPr>
        <w:t> </w:t>
      </w:r>
      <w:r>
        <w:rPr>
          <w:spacing w:val="-64"/>
        </w:rPr>
      </w:r>
      <w:r>
        <w:rPr/>
        <w:t>际取得对被购买方控制权的日期。</w:t>
      </w:r>
    </w:p>
    <w:p>
      <w:pPr>
        <w:pStyle w:val="BodyText"/>
        <w:spacing w:line="316" w:lineRule="auto" w:before="19"/>
        <w:ind w:right="151" w:firstLine="360"/>
        <w:jc w:val="both"/>
      </w:pPr>
      <w:r>
        <w:rPr>
          <w:spacing w:val="-2"/>
        </w:rPr>
        <w:t>对于非同一控制下的企业合并，合并成本包含购买日购买方为取得对被购买方的控制权而付出的资产、发生或承担的负</w:t>
      </w:r>
      <w:r>
        <w:rPr/>
        <w:t> </w:t>
      </w:r>
      <w:r>
        <w:rPr>
          <w:spacing w:val="-2"/>
        </w:rPr>
        <w:t>债以及发行的权益性证券的公允价值，为企业合并发生的审计、法律服务、评估咨询等中介费用以及其他管理费用于发生时</w:t>
      </w:r>
      <w:r>
        <w:rPr>
          <w:spacing w:val="-66"/>
        </w:rPr>
        <w:t> </w:t>
      </w:r>
      <w:r>
        <w:rPr>
          <w:spacing w:val="-66"/>
        </w:rPr>
      </w:r>
      <w:r>
        <w:rPr>
          <w:spacing w:val="-2"/>
        </w:rPr>
        <w:t>计入当期损益。购买方作为合并对价发行的权益性证券或债务性证券的交易费用，计入权益性证券或债务性证券的初始确认</w:t>
      </w:r>
      <w:r>
        <w:rPr>
          <w:spacing w:val="-64"/>
        </w:rPr>
        <w:t> </w:t>
      </w:r>
      <w:r>
        <w:rPr>
          <w:spacing w:val="-64"/>
        </w:rPr>
      </w:r>
      <w:r>
        <w:rPr>
          <w:spacing w:val="-2"/>
        </w:rPr>
        <w:t>金额。所涉及的或有对价按其在购买日的公允价值计入合并成本，购买日后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个月内出现对购买日已存在情况的新的或进一</w:t>
      </w:r>
      <w:r>
        <w:rPr>
          <w:spacing w:val="-62"/>
        </w:rPr>
        <w:t> </w:t>
      </w:r>
      <w:r>
        <w:rPr>
          <w:spacing w:val="-62"/>
        </w:rPr>
      </w:r>
      <w:r>
        <w:rPr>
          <w:spacing w:val="-2"/>
        </w:rPr>
        <w:t>步证据而需要调整或有对价的，相应调整合并商誉。购买方发生的合并成本及在合并中取得的可辨认净资产按购买日的公允</w:t>
      </w:r>
      <w:r>
        <w:rPr>
          <w:spacing w:val="-64"/>
        </w:rPr>
        <w:t> </w:t>
      </w:r>
      <w:r>
        <w:rPr>
          <w:spacing w:val="-64"/>
        </w:rPr>
      </w:r>
      <w:r>
        <w:rPr>
          <w:spacing w:val="-2"/>
        </w:rPr>
        <w:t>价值计量。合并成本大于合并中取得的被购买方于购买日可辨认净资产公允价值份额的差额，确认为商誉。合并成本小于合</w:t>
      </w:r>
      <w:r>
        <w:rPr>
          <w:spacing w:val="-66"/>
        </w:rPr>
        <w:t> </w:t>
      </w:r>
      <w:r>
        <w:rPr>
          <w:spacing w:val="-66"/>
        </w:rPr>
      </w:r>
      <w:r>
        <w:rPr>
          <w:spacing w:val="-2"/>
        </w:rPr>
        <w:t>并中取得的被购买方可辨认净资产公允价值份额的，首先对取得的被购买方各项可辨认资产、负债及或有负债的公允价值以</w:t>
      </w:r>
      <w:r>
        <w:rPr>
          <w:spacing w:val="-64"/>
        </w:rPr>
        <w:t> </w:t>
      </w:r>
      <w:r>
        <w:rPr>
          <w:spacing w:val="-64"/>
        </w:rPr>
      </w:r>
      <w:r>
        <w:rPr>
          <w:spacing w:val="-2"/>
        </w:rPr>
        <w:t>及合并成本的计量进行复核，复核后合并成本仍小于合并中取得的被购买方可辨认净资产公允价值份额的，其差额计入当期</w:t>
      </w:r>
      <w:r>
        <w:rPr>
          <w:spacing w:val="-64"/>
        </w:rPr>
        <w:t> </w:t>
      </w:r>
      <w:r>
        <w:rPr>
          <w:spacing w:val="-64"/>
        </w:rPr>
      </w:r>
      <w:r>
        <w:rPr/>
        <w:t>损益。</w:t>
      </w:r>
    </w:p>
    <w:p>
      <w:pPr>
        <w:pStyle w:val="BodyText"/>
        <w:spacing w:line="312" w:lineRule="auto" w:before="19"/>
        <w:ind w:right="148" w:firstLine="360"/>
        <w:jc w:val="both"/>
      </w:pPr>
      <w:r>
        <w:rPr/>
        <w:t>购买方取得被购买方的可抵扣暂时性差异，在购买日因不符合递延所得税资产确认条件而未予确认的，在购买日后</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7"/>
        </w:rPr>
        <w:t> </w:t>
      </w:r>
      <w:r>
        <w:rPr>
          <w:spacing w:val="-67"/>
        </w:rPr>
      </w:r>
      <w:r>
        <w:rPr/>
        <w:t>以外，确认与企业合并相关的递延所得税资产的，计入当期损益。</w:t>
      </w:r>
    </w:p>
    <w:p>
      <w:pPr>
        <w:pStyle w:val="BodyText"/>
        <w:spacing w:line="240" w:lineRule="auto" w:before="22"/>
        <w:ind w:left="513" w:right="2839"/>
        <w:jc w:val="left"/>
      </w:pP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的判断原则：</w:t>
      </w:r>
    </w:p>
    <w:p>
      <w:pPr>
        <w:pStyle w:val="BodyText"/>
        <w:spacing w:line="240" w:lineRule="auto" w:before="63"/>
        <w:ind w:left="513" w:right="2839"/>
        <w:jc w:val="left"/>
      </w:pPr>
      <w:r>
        <w:rPr/>
        <w:t>①这些交易是同时或者在考虑了彼此影响的情况下订立的；</w:t>
      </w:r>
    </w:p>
    <w:p>
      <w:pPr>
        <w:pStyle w:val="BodyText"/>
        <w:spacing w:line="240" w:lineRule="auto" w:before="76"/>
        <w:ind w:left="513" w:right="2839"/>
        <w:jc w:val="left"/>
      </w:pPr>
      <w:r>
        <w:rPr/>
        <w:t>②这些交易整体才能达成一项完整的商业结果；</w:t>
      </w:r>
    </w:p>
    <w:p>
      <w:pPr>
        <w:pStyle w:val="BodyText"/>
        <w:spacing w:line="240" w:lineRule="auto" w:before="77"/>
        <w:ind w:left="513" w:right="2839"/>
        <w:jc w:val="left"/>
      </w:pPr>
      <w:r>
        <w:rPr/>
        <w:t>③一项交易的发生取决于其他至少一项交易的发生；</w:t>
      </w:r>
    </w:p>
    <w:p>
      <w:pPr>
        <w:pStyle w:val="BodyText"/>
        <w:spacing w:line="316" w:lineRule="auto" w:before="76"/>
        <w:ind w:left="513" w:right="0"/>
        <w:jc w:val="left"/>
      </w:pPr>
      <w:r>
        <w:rPr/>
        <w:t>④一项交易单独看是不经济的，但是和其他交易一并考虑时是经济的。 </w:t>
      </w:r>
      <w:r>
        <w:rPr>
          <w:spacing w:val="-2"/>
        </w:rPr>
        <w:t>通过多次交易分步实现的非同一控制下企业合并，属于一揽子交易的，合并方应当将各项交易作为一项取得控制权的交</w:t>
      </w:r>
    </w:p>
    <w:p>
      <w:pPr>
        <w:pStyle w:val="BodyText"/>
        <w:spacing w:line="300" w:lineRule="auto" w:before="19"/>
        <w:ind w:left="513" w:right="0" w:hanging="361"/>
        <w:jc w:val="left"/>
      </w:pPr>
      <w:r>
        <w:rPr/>
        <w:t>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的，区分个别财务报表和合并财务报表进行相关会计处理： </w:t>
      </w:r>
      <w:r>
        <w:rPr>
          <w:spacing w:val="-2"/>
        </w:rPr>
        <w:t>在个别财务报表中，以购买日之前所持被购买方的股权投资的账面价值与购买日新增投资成本之和，作为该项投资的初</w:t>
      </w:r>
    </w:p>
    <w:p>
      <w:pPr>
        <w:pStyle w:val="BodyText"/>
        <w:spacing w:line="316" w:lineRule="auto" w:before="31"/>
        <w:ind w:right="151"/>
        <w:jc w:val="both"/>
      </w:pPr>
      <w:r>
        <w:rPr>
          <w:spacing w:val="-2"/>
        </w:rPr>
        <w:t>始投资成本；购买日之前持有的被购买方的股权涉及其他综合收益的，在处置该项投资时将与其相关的其他综合收益采用与</w:t>
      </w:r>
      <w:r>
        <w:rPr>
          <w:spacing w:val="-62"/>
        </w:rPr>
        <w:t> </w:t>
      </w:r>
      <w:r>
        <w:rPr>
          <w:spacing w:val="-62"/>
        </w:rPr>
      </w:r>
      <w:r>
        <w:rPr>
          <w:spacing w:val="-2"/>
        </w:rPr>
        <w:t>被购买方直接处置相关资产或负债相同的基础进行会计处理（即，除了按照权益法核算的在被购买方重新计量设定受益计划</w:t>
      </w:r>
      <w:r>
        <w:rPr>
          <w:spacing w:val="-64"/>
        </w:rPr>
        <w:t> </w:t>
      </w:r>
      <w:r>
        <w:rPr>
          <w:spacing w:val="-64"/>
        </w:rPr>
      </w:r>
      <w:r>
        <w:rPr/>
        <w:t>净负债或净资产导致的变动中的相应份额以外，其余转入当期投资收益）。</w:t>
      </w:r>
    </w:p>
    <w:p>
      <w:pPr>
        <w:pStyle w:val="BodyText"/>
        <w:spacing w:line="319" w:lineRule="auto" w:before="19"/>
        <w:ind w:right="150" w:firstLine="360"/>
        <w:jc w:val="both"/>
      </w:pPr>
      <w:r>
        <w:rPr>
          <w:spacing w:val="-2"/>
        </w:rPr>
        <w:t>在合并财务报表中，对于购买日之前持有的被购买方的股权，按照该股权在购买日的公允价值进行重新计量，公允价值</w:t>
      </w:r>
      <w:r>
        <w:rPr/>
        <w:t> </w:t>
      </w:r>
      <w:r>
        <w:rPr>
          <w:spacing w:val="-2"/>
        </w:rPr>
        <w:t>与其账面价值的差额计入当期投资收益；购买日之前持有的被购买方的股权涉及其他综合收益的，与其相关的其他综合收益</w:t>
      </w:r>
      <w:r>
        <w:rPr>
          <w:spacing w:val="-64"/>
        </w:rPr>
        <w:t> </w:t>
      </w:r>
      <w:r>
        <w:rPr>
          <w:spacing w:val="-64"/>
        </w:rPr>
      </w:r>
      <w:r>
        <w:rPr>
          <w:spacing w:val="-2"/>
        </w:rPr>
        <w:t>应当采用与被购买方直接处置相关资产或负债相同的基础进行会计处理（即，除了按照权益法核算的在被购买方重新计量设</w:t>
      </w:r>
      <w:r>
        <w:rPr>
          <w:spacing w:val="-64"/>
        </w:rPr>
        <w:t> </w:t>
      </w:r>
      <w:r>
        <w:rPr>
          <w:spacing w:val="-64"/>
        </w:rPr>
      </w:r>
      <w:r>
        <w:rPr/>
        <w:t>定受益计划净负债或净资产导致的变动中的相应份额以外，其余转为购买日所属当期投资收益）。</w:t>
      </w:r>
    </w:p>
    <w:p>
      <w:pPr>
        <w:spacing w:line="240" w:lineRule="auto" w:before="9"/>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2"/>
        <w:rPr>
          <w:rFonts w:ascii="宋体" w:hAnsi="宋体" w:cs="宋体" w:eastAsia="宋体" w:hint="default"/>
          <w:b/>
          <w:bCs/>
          <w:sz w:val="26"/>
          <w:szCs w:val="26"/>
        </w:rPr>
      </w:pPr>
    </w:p>
    <w:p>
      <w:pPr>
        <w:spacing w:line="300" w:lineRule="auto" w:before="0"/>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）合并财务报表范围的确定原则</w:t>
      </w:r>
      <w:r>
        <w:rPr>
          <w:rFonts w:ascii="宋体" w:hAnsi="宋体" w:cs="宋体" w:eastAsia="宋体" w:hint="default"/>
          <w:b/>
          <w:bCs/>
          <w:w w:val="99"/>
          <w:sz w:val="18"/>
          <w:szCs w:val="18"/>
        </w:rPr>
        <w:t> </w:t>
      </w:r>
      <w:r>
        <w:rPr>
          <w:rFonts w:ascii="宋体" w:hAnsi="宋体" w:cs="宋体" w:eastAsia="宋体" w:hint="default"/>
          <w:spacing w:val="-2"/>
          <w:sz w:val="18"/>
          <w:szCs w:val="18"/>
        </w:rPr>
        <w:t>合并财务报表的合并范围以控制为基础予以确定。控制是指本公司拥有对被投资方的权力，通过参与被投资方的相关活</w:t>
      </w:r>
    </w:p>
    <w:p>
      <w:pPr>
        <w:pStyle w:val="BodyText"/>
        <w:spacing w:line="316" w:lineRule="auto" w:before="31"/>
        <w:ind w:right="151"/>
        <w:jc w:val="both"/>
      </w:pPr>
      <w:r>
        <w:rPr>
          <w:spacing w:val="-2"/>
        </w:rPr>
        <w:t>动而享有可变回报，并且有能力运用对被投资方的权力影响该回报金额。合并范围包括本公司及全部子公司。子公司，是指</w:t>
      </w:r>
      <w:r>
        <w:rPr>
          <w:spacing w:val="-64"/>
        </w:rPr>
        <w:t> </w:t>
      </w:r>
      <w:r>
        <w:rPr>
          <w:spacing w:val="-64"/>
        </w:rPr>
      </w:r>
      <w:r>
        <w:rPr/>
        <w:t>被本公司控制的主体。</w:t>
      </w:r>
    </w:p>
    <w:p>
      <w:pPr>
        <w:pStyle w:val="BodyText"/>
        <w:spacing w:line="240" w:lineRule="auto" w:before="19"/>
        <w:ind w:left="513" w:right="0"/>
        <w:jc w:val="left"/>
      </w:pPr>
      <w:r>
        <w:rPr/>
        <w:t>一旦相关事实和情况的变化导致上述控制定义涉及的相关要素发生了变化，本公司将进行重新评估。</w:t>
      </w:r>
    </w:p>
    <w:p>
      <w:pPr>
        <w:spacing w:line="300" w:lineRule="auto" w:before="76"/>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）合并财务报表编制的方法</w:t>
      </w:r>
      <w:r>
        <w:rPr>
          <w:rFonts w:ascii="宋体" w:hAnsi="宋体" w:cs="宋体" w:eastAsia="宋体" w:hint="default"/>
          <w:b/>
          <w:bCs/>
          <w:w w:val="99"/>
          <w:sz w:val="18"/>
          <w:szCs w:val="18"/>
        </w:rPr>
        <w:t> </w:t>
      </w:r>
      <w:r>
        <w:rPr>
          <w:rFonts w:ascii="宋体" w:hAnsi="宋体" w:cs="宋体" w:eastAsia="宋体" w:hint="default"/>
          <w:spacing w:val="-2"/>
          <w:sz w:val="18"/>
          <w:szCs w:val="18"/>
        </w:rPr>
        <w:t>本公司以母公司和纳入合并范围的子公司的个别会计报表及其他相关资料为依据，在抵销母公司与子公司、子公司相互</w:t>
      </w:r>
    </w:p>
    <w:p>
      <w:pPr>
        <w:pStyle w:val="BodyText"/>
        <w:spacing w:line="240" w:lineRule="auto" w:before="31"/>
        <w:ind w:right="0"/>
        <w:jc w:val="both"/>
      </w:pPr>
      <w:r>
        <w:rPr/>
        <w:t>间的债权与债务项目、内部销售收入和未实现的内部销售利润等项目，以及母公司对子公司权益性资本投资项目的数额与子</w:t>
      </w:r>
    </w:p>
    <w:p>
      <w:pPr>
        <w:spacing w:after="0" w:line="240"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16" w:lineRule="auto" w:before="44"/>
        <w:ind w:left="513" w:right="183" w:hanging="361"/>
        <w:jc w:val="left"/>
      </w:pPr>
      <w:r>
        <w:rPr/>
        <w:t>公司所有者权益中母公司所持有的份额的基础上，合并各报表项目数额编制。 </w:t>
      </w:r>
      <w:r>
        <w:rPr>
          <w:spacing w:val="-2"/>
        </w:rPr>
        <w:t>在编制合并财务报表时，子公司与本公司采用的会计政策或会计期间不一致的，按照本公司的会计政策和会计期间对子</w:t>
      </w:r>
    </w:p>
    <w:p>
      <w:pPr>
        <w:pStyle w:val="BodyText"/>
        <w:spacing w:line="316" w:lineRule="auto" w:before="19"/>
        <w:ind w:right="183"/>
        <w:jc w:val="left"/>
      </w:pPr>
      <w:r>
        <w:rPr>
          <w:spacing w:val="-2"/>
        </w:rPr>
        <w:t>公司财务报表进行必要的调整。对于非同一控制下企业合并取得的子公司，以购买日可辨认净资产公允价值为基础对其财务</w:t>
      </w:r>
      <w:r>
        <w:rPr>
          <w:spacing w:val="-64"/>
        </w:rPr>
        <w:t> </w:t>
      </w:r>
      <w:r>
        <w:rPr>
          <w:spacing w:val="-64"/>
        </w:rPr>
      </w:r>
      <w:r>
        <w:rPr/>
        <w:t>报表进行调整。</w:t>
      </w:r>
    </w:p>
    <w:p>
      <w:pPr>
        <w:spacing w:line="300" w:lineRule="auto" w:before="19"/>
        <w:ind w:left="513" w:right="18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）少数股东权益和损益的列报</w:t>
      </w:r>
      <w:r>
        <w:rPr>
          <w:rFonts w:ascii="宋体" w:hAnsi="宋体" w:cs="宋体" w:eastAsia="宋体" w:hint="default"/>
          <w:b/>
          <w:bCs/>
          <w:w w:val="99"/>
          <w:sz w:val="18"/>
          <w:szCs w:val="18"/>
        </w:rPr>
        <w:t> </w:t>
      </w:r>
      <w:r>
        <w:rPr>
          <w:rFonts w:ascii="宋体" w:hAnsi="宋体" w:cs="宋体" w:eastAsia="宋体" w:hint="default"/>
          <w:spacing w:val="-2"/>
          <w:sz w:val="18"/>
          <w:szCs w:val="18"/>
        </w:rPr>
        <w:t>子公司的股东权益中不属于本公司所拥有的部分作为少数股东权益在合并资产负债表中股东权益项下单独列示。子公司</w:t>
      </w:r>
    </w:p>
    <w:p>
      <w:pPr>
        <w:pStyle w:val="BodyText"/>
        <w:spacing w:line="300" w:lineRule="auto" w:before="31"/>
        <w:ind w:right="183"/>
        <w:jc w:val="left"/>
      </w:pPr>
      <w:r>
        <w:rPr>
          <w:spacing w:val="-2"/>
        </w:rPr>
        <w:t>当期净损益中属于少数股东权益的份额，在合并利润表中净利润项目下以</w:t>
      </w:r>
      <w:r>
        <w:rPr>
          <w:rFonts w:ascii="Times New Roman" w:hAnsi="Times New Roman" w:cs="Times New Roman" w:eastAsia="Times New Roman" w:hint="default"/>
          <w:spacing w:val="-2"/>
        </w:rPr>
        <w:t>“</w:t>
      </w:r>
      <w:r>
        <w:rPr>
          <w:spacing w:val="-2"/>
        </w:rPr>
        <w:t>少数股东损益</w:t>
      </w:r>
      <w:r>
        <w:rPr>
          <w:rFonts w:ascii="Times New Roman" w:hAnsi="Times New Roman" w:cs="Times New Roman" w:eastAsia="Times New Roman" w:hint="default"/>
          <w:spacing w:val="-2"/>
        </w:rPr>
        <w:t>”</w:t>
      </w:r>
      <w:r>
        <w:rPr>
          <w:spacing w:val="-2"/>
        </w:rPr>
        <w:t>项目列示。少数股东分担的子公司</w:t>
      </w:r>
      <w:r>
        <w:rPr>
          <w:spacing w:val="-43"/>
        </w:rPr>
        <w:t> </w:t>
      </w:r>
      <w:r>
        <w:rPr>
          <w:spacing w:val="-43"/>
        </w:rPr>
      </w:r>
      <w:r>
        <w:rPr/>
        <w:t>的亏损超过了少数股东在该子公司期初所有者权益中所享有的份额，其余额仍冲减少数股东权益。</w:t>
      </w:r>
    </w:p>
    <w:p>
      <w:pPr>
        <w:spacing w:line="300" w:lineRule="auto" w:before="31"/>
        <w:ind w:left="513" w:right="18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）当期增加减少子公司的合并报表处理</w:t>
      </w:r>
      <w:r>
        <w:rPr>
          <w:rFonts w:ascii="宋体" w:hAnsi="宋体" w:cs="宋体" w:eastAsia="宋体" w:hint="default"/>
          <w:b/>
          <w:bCs/>
          <w:w w:val="99"/>
          <w:sz w:val="18"/>
          <w:szCs w:val="18"/>
        </w:rPr>
        <w:t> </w:t>
      </w:r>
      <w:r>
        <w:rPr>
          <w:rFonts w:ascii="宋体" w:hAnsi="宋体" w:cs="宋体" w:eastAsia="宋体" w:hint="default"/>
          <w:spacing w:val="-2"/>
          <w:sz w:val="18"/>
          <w:szCs w:val="18"/>
        </w:rPr>
        <w:t>在报告期内因同一控制下企业合并增加的子公司以及业务，调整合并资产负债表的期初数，并将该子公司以及业务合并</w:t>
      </w:r>
    </w:p>
    <w:p>
      <w:pPr>
        <w:pStyle w:val="BodyText"/>
        <w:spacing w:line="319" w:lineRule="auto" w:before="31"/>
        <w:ind w:right="183"/>
        <w:jc w:val="left"/>
      </w:pPr>
      <w:r>
        <w:rPr>
          <w:spacing w:val="-2"/>
        </w:rPr>
        <w:t>当期期初至报告期末的收入、费用、利润纳入合并利润表，将该子公司以及业务合并当期期初至报告期末的现金流量纳入合</w:t>
      </w:r>
      <w:r>
        <w:rPr>
          <w:spacing w:val="-64"/>
        </w:rPr>
        <w:t> </w:t>
      </w:r>
      <w:r>
        <w:rPr>
          <w:spacing w:val="-64"/>
        </w:rPr>
      </w:r>
      <w:r>
        <w:rPr/>
        <w:t>并现金流量表，同时对比较报表的相关项目进行调整，视同合并后的报告主体自最终控制方开始控制时点起一直存在。</w:t>
      </w:r>
    </w:p>
    <w:p>
      <w:pPr>
        <w:pStyle w:val="BodyText"/>
        <w:spacing w:line="316" w:lineRule="auto" w:before="17"/>
        <w:ind w:right="190" w:firstLine="360"/>
        <w:jc w:val="both"/>
      </w:pPr>
      <w:r>
        <w:rPr>
          <w:spacing w:val="-2"/>
        </w:rPr>
        <w:t>因非同一控制下企业合并或其他方式增加的子公司以及业务，不调整合并资产负债表的期初数，将该子公司以及业务购</w:t>
      </w:r>
      <w:r>
        <w:rPr/>
        <w:t> </w:t>
      </w:r>
      <w:r>
        <w:rPr>
          <w:spacing w:val="-2"/>
        </w:rPr>
        <w:t>买日至报告期末的收入、费用、利润纳入合并利润表，将该子公司以及业务购买日至报告期末的现金流量纳入合并现金流量</w:t>
      </w:r>
      <w:r>
        <w:rPr>
          <w:spacing w:val="-66"/>
        </w:rPr>
        <w:t> </w:t>
      </w:r>
      <w:r>
        <w:rPr>
          <w:spacing w:val="-66"/>
        </w:rPr>
      </w:r>
      <w:r>
        <w:rPr>
          <w:spacing w:val="-2"/>
        </w:rPr>
        <w:t>表。通过多次交易分步实现非同一控制下企业合并时，对于购买日之前持有的被购买方股权，本公司按照该股权在购买日的</w:t>
      </w:r>
      <w:r>
        <w:rPr>
          <w:spacing w:val="-63"/>
        </w:rPr>
        <w:t> </w:t>
      </w:r>
      <w:r>
        <w:rPr>
          <w:spacing w:val="-63"/>
        </w:rPr>
      </w:r>
      <w:r>
        <w:rPr>
          <w:spacing w:val="-2"/>
        </w:rPr>
        <w:t>公允价值进行重新计量，公允价值与其账面价值的差额计入当期投资收益。购买日之前持有的被购买方的股权涉及其他综合</w:t>
      </w:r>
      <w:r>
        <w:rPr>
          <w:spacing w:val="-64"/>
        </w:rPr>
        <w:t> </w:t>
      </w:r>
      <w:r>
        <w:rPr>
          <w:spacing w:val="-64"/>
        </w:rPr>
      </w:r>
      <w:r>
        <w:rPr>
          <w:spacing w:val="-2"/>
        </w:rPr>
        <w:t>收益以及其他所有者权益变动的，与其相关的其他综合收益、其他所有者权益转为购买日所属当期投资收益，由于被投资方</w:t>
      </w:r>
      <w:r>
        <w:rPr>
          <w:spacing w:val="-63"/>
        </w:rPr>
        <w:t> </w:t>
      </w:r>
      <w:r>
        <w:rPr>
          <w:spacing w:val="-63"/>
        </w:rPr>
      </w:r>
      <w:r>
        <w:rPr/>
        <w:t>重新计量设定受益计划净负债或净资产变动而产生的其他综合收益除外。</w:t>
      </w:r>
    </w:p>
    <w:p>
      <w:pPr>
        <w:pStyle w:val="BodyText"/>
        <w:spacing w:line="316" w:lineRule="auto" w:before="19"/>
        <w:ind w:right="104" w:firstLine="360"/>
        <w:jc w:val="both"/>
      </w:pPr>
      <w:r>
        <w:rPr/>
        <w:t>本公司在报告期内处置子公司以及业务，不调整合并资产负债表的期初数；将该子公司以及业务期初至处置日的收入、 费用、利润纳入合并利润表；将该子公司期初至处置日的现金流量纳入合并现金流量表。</w:t>
      </w:r>
    </w:p>
    <w:p>
      <w:pPr>
        <w:pStyle w:val="BodyText"/>
        <w:spacing w:line="312" w:lineRule="auto" w:before="19"/>
        <w:ind w:right="191" w:firstLine="360"/>
        <w:jc w:val="both"/>
      </w:pPr>
      <w:r>
        <w:rPr>
          <w:spacing w:val="-2"/>
        </w:rPr>
        <w:t>本公司通过多次交易分步处置对子公司股权投资直至丧失控制权的，需区分处置对子公司股权投资直至丧失控制权的各</w:t>
      </w:r>
      <w:r>
        <w:rPr/>
        <w:t> 项交易是否属于一揽子交易。不属于一揽子交易的，对其中的每一项交易视情况分别按照</w:t>
      </w:r>
      <w:r>
        <w:rPr>
          <w:rFonts w:ascii="Times New Roman" w:hAnsi="Times New Roman" w:cs="Times New Roman" w:eastAsia="Times New Roman" w:hint="default"/>
        </w:rPr>
        <w:t>“</w:t>
      </w:r>
      <w:r>
        <w:rPr/>
        <w:t>不丧失控制权的情况下部分处置</w:t>
      </w:r>
      <w:r>
        <w:rPr>
          <w:spacing w:val="-74"/>
        </w:rPr>
        <w:t> </w:t>
      </w:r>
      <w:r>
        <w:rPr>
          <w:spacing w:val="-74"/>
        </w:rPr>
      </w:r>
      <w:r>
        <w:rPr/>
        <w:t>对子公司的长期股权投资</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因处置部分股权投资或其他原因丧失了对原有子公司的控制权</w:t>
      </w:r>
      <w:r>
        <w:rPr>
          <w:rFonts w:ascii="Times New Roman" w:hAnsi="Times New Roman" w:cs="Times New Roman" w:eastAsia="Times New Roman" w:hint="default"/>
        </w:rPr>
        <w:t>”</w:t>
      </w:r>
      <w:r>
        <w:rPr/>
        <w:t>适用的原则进行会计处理。处</w:t>
      </w:r>
      <w:r>
        <w:rPr>
          <w:spacing w:val="-57"/>
        </w:rPr>
        <w:t> </w:t>
      </w:r>
      <w:r>
        <w:rPr>
          <w:spacing w:val="-57"/>
        </w:rPr>
      </w:r>
      <w:r>
        <w:rPr>
          <w:spacing w:val="-2"/>
        </w:rPr>
        <w:t>置对子公司股权投资直至丧失控制权的各项交易属于一揽子交易的，将各项交易作为一项处置子公司并丧失控制权的交易进</w:t>
      </w:r>
      <w:r>
        <w:rPr>
          <w:spacing w:val="-64"/>
        </w:rPr>
        <w:t> </w:t>
      </w:r>
      <w:r>
        <w:rPr>
          <w:spacing w:val="-64"/>
        </w:rPr>
      </w:r>
      <w:r>
        <w:rPr>
          <w:spacing w:val="-2"/>
        </w:rPr>
        <w:t>行会计处理；但是，在丧失控制权之前每一次处置价款与处置投资对应的享有该子公司净资产份额的差额，在合并财务报表</w:t>
      </w:r>
      <w:r>
        <w:rPr>
          <w:spacing w:val="-66"/>
        </w:rPr>
        <w:t> </w:t>
      </w:r>
      <w:r>
        <w:rPr>
          <w:spacing w:val="-66"/>
        </w:rPr>
      </w:r>
      <w:r>
        <w:rPr/>
        <w:t>中确认为其他综合收益，在丧失控制权时一并转入丧失控制权当期的损益。</w:t>
      </w:r>
    </w:p>
    <w:p>
      <w:pPr>
        <w:pStyle w:val="BodyText"/>
        <w:spacing w:line="309" w:lineRule="auto" w:before="22"/>
        <w:ind w:right="188" w:firstLine="360"/>
        <w:jc w:val="both"/>
      </w:pPr>
      <w:r>
        <w:rPr>
          <w:spacing w:val="-2"/>
        </w:rPr>
        <w:t>对于购买子公司少数股权或因处置部分股权投资但没有丧失对该子公司控制权的交易，作为权益性交易核算，调整归属</w:t>
      </w:r>
      <w:r>
        <w:rPr/>
        <w:t> 于母公司所有者权益和少数股东权益的账面价值以反映其在子公司中相关权益的变化。少数股东权益的调整额与支付</w:t>
      </w:r>
      <w:r>
        <w:rPr>
          <w:rFonts w:ascii="Times New Roman" w:hAnsi="Times New Roman" w:cs="Times New Roman" w:eastAsia="Times New Roman" w:hint="default"/>
        </w:rPr>
        <w:t>/</w:t>
      </w:r>
      <w:r>
        <w:rPr/>
        <w:t>收到</w:t>
      </w:r>
      <w:r>
        <w:rPr>
          <w:spacing w:val="-43"/>
        </w:rPr>
        <w:t> </w:t>
      </w:r>
      <w:r>
        <w:rPr/>
        <w:t>对价的公允价值之间的差额调整资本公积，资本公积不足冲减的，调整留存收益。</w:t>
      </w:r>
    </w:p>
    <w:p>
      <w:pPr>
        <w:spacing w:line="240" w:lineRule="auto" w:before="3"/>
        <w:rPr>
          <w:rFonts w:ascii="宋体" w:hAnsi="宋体" w:cs="宋体" w:eastAsia="宋体" w:hint="default"/>
          <w:sz w:val="23"/>
          <w:szCs w:val="23"/>
        </w:rPr>
      </w:pPr>
    </w:p>
    <w:p>
      <w:pPr>
        <w:pStyle w:val="Heading3"/>
        <w:spacing w:line="240" w:lineRule="auto"/>
        <w:ind w:right="183"/>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94" w:firstLine="360"/>
        <w:jc w:val="left"/>
      </w:pPr>
      <w:r>
        <w:rPr/>
        <w:t>合营安排，是指一项由两个或两个以上的参与方共同控制的安排。本公司根据在合营安排中享有的权利和承担的义务， </w:t>
      </w:r>
      <w:r>
        <w:rPr>
          <w:spacing w:val="-2"/>
        </w:rPr>
        <w:t>将合营安排分为共同经营和合营企业。共同经营，是指本公司享有该安排相关资产且承担该安排相关负债的合营安排。合营</w:t>
      </w:r>
      <w:r>
        <w:rPr>
          <w:spacing w:val="-66"/>
        </w:rPr>
        <w:t> </w:t>
      </w:r>
      <w:r>
        <w:rPr>
          <w:spacing w:val="-66"/>
        </w:rPr>
      </w:r>
      <w:r>
        <w:rPr/>
        <w:t>企业，是指本公司仅对该安排的净资产享有权利的合营安排。</w:t>
      </w:r>
    </w:p>
    <w:p>
      <w:pPr>
        <w:pStyle w:val="BodyText"/>
        <w:spacing w:line="297" w:lineRule="auto" w:before="19"/>
        <w:ind w:right="192" w:firstLine="360"/>
        <w:jc w:val="both"/>
      </w:pPr>
      <w:r>
        <w:rPr>
          <w:spacing w:val="-2"/>
        </w:rPr>
        <w:t>本公司对合营企业的投资采用权益法核算，按照</w:t>
      </w:r>
      <w:r>
        <w:rPr>
          <w:rFonts w:ascii="Times New Roman" w:hAnsi="Times New Roman" w:cs="Times New Roman" w:eastAsia="Times New Roman" w:hint="default"/>
          <w:spacing w:val="-2"/>
        </w:rPr>
        <w:t>“</w:t>
      </w:r>
      <w:r>
        <w:rPr>
          <w:spacing w:val="-2"/>
        </w:rPr>
        <w:t>对被投资单位具有共同控制或重大影响的长期股权，采用权益法核算</w:t>
      </w:r>
      <w:r>
        <w:rPr>
          <w:rFonts w:ascii="Times New Roman" w:hAnsi="Times New Roman" w:cs="Times New Roman" w:eastAsia="Times New Roman" w:hint="default"/>
          <w:spacing w:val="-2"/>
        </w:rPr>
        <w:t>”</w:t>
      </w:r>
      <w:r>
        <w:rPr>
          <w:rFonts w:ascii="Times New Roman" w:hAnsi="Times New Roman" w:cs="Times New Roman" w:eastAsia="Times New Roman" w:hint="default"/>
          <w:w w:val="100"/>
        </w:rPr>
        <w:t> </w:t>
      </w:r>
      <w:r>
        <w:rPr/>
        <w:t>中所述的会计政策处理。</w:t>
      </w:r>
    </w:p>
    <w:p>
      <w:pPr>
        <w:spacing w:line="240" w:lineRule="auto" w:before="12"/>
        <w:rPr>
          <w:rFonts w:ascii="宋体" w:hAnsi="宋体" w:cs="宋体" w:eastAsia="宋体" w:hint="default"/>
          <w:sz w:val="23"/>
          <w:szCs w:val="23"/>
        </w:rPr>
      </w:pPr>
    </w:p>
    <w:p>
      <w:pPr>
        <w:pStyle w:val="Heading3"/>
        <w:spacing w:line="240" w:lineRule="auto"/>
        <w:ind w:right="183"/>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5" w:firstLine="360"/>
        <w:jc w:val="both"/>
      </w:pPr>
      <w:r>
        <w:rPr>
          <w:spacing w:val="-2"/>
        </w:rPr>
        <w:t>公司持有的期限短、流动性强、易于转换为已知金额现金、价值变动风险很小的投资。包括：现金、银行存款以及可在</w:t>
      </w:r>
      <w:r>
        <w:rPr/>
        <w:t> 证券市场上流通的三个月内到期的短期债券投资等。</w:t>
      </w:r>
    </w:p>
    <w:p>
      <w:pPr>
        <w:spacing w:after="0" w:line="316" w:lineRule="auto"/>
        <w:jc w:val="both"/>
        <w:sectPr>
          <w:pgSz w:w="11910" w:h="16840"/>
          <w:pgMar w:header="745" w:footer="979"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3693"/>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）外币业务</w:t>
      </w:r>
      <w:r>
        <w:rPr>
          <w:rFonts w:ascii="宋体" w:hAnsi="宋体" w:cs="宋体" w:eastAsia="宋体" w:hint="default"/>
          <w:b/>
          <w:bCs/>
          <w:w w:val="99"/>
        </w:rPr>
        <w:t> </w:t>
      </w:r>
      <w:r>
        <w:rPr/>
        <w:t>本公司发生外币业务，按交易发生日的即期汇率折算为记账本位币金额。</w:t>
      </w:r>
    </w:p>
    <w:p>
      <w:pPr>
        <w:pStyle w:val="BodyText"/>
        <w:spacing w:line="316" w:lineRule="auto" w:before="19"/>
        <w:ind w:left="513" w:right="183"/>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）外币财务报表的折算</w:t>
      </w:r>
      <w:r>
        <w:rPr>
          <w:rFonts w:ascii="宋体" w:hAnsi="宋体" w:cs="宋体" w:eastAsia="宋体" w:hint="default"/>
          <w:b/>
          <w:bCs/>
          <w:w w:val="99"/>
        </w:rPr>
        <w:t> </w:t>
      </w:r>
      <w:r>
        <w:rPr>
          <w:spacing w:val="-2"/>
        </w:rPr>
        <w:t>资产负债表日，对外币货币性项目，采用资产负债表日即期汇率折算。因资产负债表日即期汇率与初始确认时或者前一</w:t>
      </w:r>
    </w:p>
    <w:p>
      <w:pPr>
        <w:pStyle w:val="BodyText"/>
        <w:spacing w:line="316" w:lineRule="auto" w:before="19"/>
        <w:ind w:right="190"/>
        <w:jc w:val="both"/>
      </w:pPr>
      <w:r>
        <w:rPr>
          <w:spacing w:val="-2"/>
        </w:rPr>
        <w:t>资产负债表日即期汇率不同而产生的汇兑差额，计入当期损益；对以历史成本计量的外币非货币性项目，仍采用交易发生日</w:t>
      </w:r>
      <w:r>
        <w:rPr>
          <w:spacing w:val="-63"/>
        </w:rPr>
        <w:t> </w:t>
      </w:r>
      <w:r>
        <w:rPr>
          <w:spacing w:val="-63"/>
        </w:rPr>
      </w:r>
      <w:r>
        <w:rPr>
          <w:spacing w:val="-2"/>
        </w:rPr>
        <w:t>的即期汇率折算；对以公允价值计量的外币非货币性项目，采用公允价值确定日的即期汇率折算，折算后的记账本位币金额</w:t>
      </w:r>
      <w:r>
        <w:rPr>
          <w:spacing w:val="-63"/>
        </w:rPr>
        <w:t> </w:t>
      </w:r>
      <w:r>
        <w:rPr>
          <w:spacing w:val="-63"/>
        </w:rPr>
      </w:r>
      <w:r>
        <w:rPr/>
        <w:t>与原记账本位币金额的差额，计入当期损益。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83"/>
        <w:jc w:val="left"/>
      </w:pPr>
      <w:r>
        <w:rPr/>
        <w:t>金融工具是指形成一个企业的金融资产、并形成其他单位的金融负债或权益工具的合同。</w:t>
      </w:r>
    </w:p>
    <w:p>
      <w:pPr>
        <w:pStyle w:val="Heading5"/>
        <w:spacing w:line="240" w:lineRule="auto" w:before="76"/>
        <w:ind w:right="183"/>
        <w:jc w:val="left"/>
        <w:rPr>
          <w:b w:val="0"/>
          <w:bCs w:val="0"/>
        </w:rPr>
      </w:pPr>
      <w:r>
        <w:rPr/>
        <w:t>（</w:t>
      </w:r>
      <w:r>
        <w:rPr>
          <w:rFonts w:ascii="宋体" w:hAnsi="宋体" w:cs="宋体" w:eastAsia="宋体" w:hint="default"/>
        </w:rPr>
        <w:t>1</w:t>
      </w:r>
      <w:r>
        <w:rPr/>
        <w:t>）</w:t>
      </w:r>
      <w:r>
        <w:rPr>
          <w:spacing w:val="-49"/>
        </w:rPr>
        <w:t> </w:t>
      </w:r>
      <w:r>
        <w:rPr/>
        <w:t>金融工具的分类</w:t>
      </w:r>
      <w:r>
        <w:rPr>
          <w:b w:val="0"/>
          <w:bCs w:val="0"/>
        </w:rPr>
      </w:r>
    </w:p>
    <w:p>
      <w:pPr>
        <w:pStyle w:val="BodyText"/>
        <w:spacing w:line="316" w:lineRule="auto" w:before="76"/>
        <w:ind w:left="873" w:right="173" w:hanging="360"/>
        <w:jc w:val="left"/>
      </w:pPr>
      <w:r>
        <w:rPr/>
        <w:t>①</w:t>
      </w:r>
      <w:r>
        <w:rPr>
          <w:spacing w:val="10"/>
        </w:rPr>
        <w:t> </w:t>
      </w:r>
      <w:r>
        <w:rPr/>
        <w:t>融资产划分为：以公允价值计量且其变动计入当期损益的金融资产、持有至到期投资、贷款和应收款项以及可供出</w:t>
      </w:r>
      <w:r>
        <w:rPr/>
        <w:t> 售金融资产。</w:t>
      </w:r>
    </w:p>
    <w:p>
      <w:pPr>
        <w:pStyle w:val="BodyText"/>
        <w:spacing w:line="240" w:lineRule="auto" w:before="19"/>
        <w:ind w:left="513" w:right="183"/>
        <w:jc w:val="left"/>
      </w:pPr>
      <w:r>
        <w:rPr/>
        <w:t>②  金融负债划分为：以公允价值计量且其变动计入当期损益的金融负债和其他金融负债。</w:t>
      </w:r>
    </w:p>
    <w:p>
      <w:pPr>
        <w:spacing w:line="316" w:lineRule="auto" w:before="76"/>
        <w:ind w:left="513" w:right="405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w:t>
      </w:r>
      <w:r>
        <w:rPr>
          <w:rFonts w:ascii="宋体" w:hAnsi="宋体" w:cs="宋体" w:eastAsia="宋体" w:hint="default"/>
          <w:b/>
          <w:bCs/>
          <w:spacing w:val="-47"/>
          <w:sz w:val="18"/>
          <w:szCs w:val="18"/>
        </w:rPr>
        <w:t> </w:t>
      </w:r>
      <w:r>
        <w:rPr>
          <w:rFonts w:ascii="宋体" w:hAnsi="宋体" w:cs="宋体" w:eastAsia="宋体" w:hint="default"/>
          <w:b/>
          <w:bCs/>
          <w:sz w:val="18"/>
          <w:szCs w:val="18"/>
        </w:rPr>
        <w:t>金融工具的确认依据和计量方法</w:t>
      </w:r>
      <w:r>
        <w:rPr>
          <w:rFonts w:ascii="宋体" w:hAnsi="宋体" w:cs="宋体" w:eastAsia="宋体" w:hint="default"/>
          <w:b/>
          <w:bCs/>
          <w:w w:val="99"/>
          <w:sz w:val="18"/>
          <w:szCs w:val="18"/>
        </w:rPr>
        <w:t> </w:t>
      </w:r>
      <w:r>
        <w:rPr>
          <w:rFonts w:ascii="宋体" w:hAnsi="宋体" w:cs="宋体" w:eastAsia="宋体" w:hint="default"/>
          <w:sz w:val="18"/>
          <w:szCs w:val="18"/>
        </w:rPr>
        <w:t>本公司于成为金融工具合同的一方时确认一项金融资产或金融负债。</w:t>
      </w:r>
    </w:p>
    <w:p>
      <w:pPr>
        <w:pStyle w:val="BodyText"/>
        <w:spacing w:line="316" w:lineRule="auto" w:before="19"/>
        <w:ind w:right="183" w:firstLine="360"/>
        <w:jc w:val="left"/>
      </w:pPr>
      <w:r>
        <w:rPr>
          <w:spacing w:val="-2"/>
        </w:rPr>
        <w:t>金融资产在初始确认时以公允价值计量。对于以公允价值计量且其变动计入当期损益的金融资产，相关交易费用直接计</w:t>
      </w:r>
      <w:r>
        <w:rPr/>
        <w:t> 入当期损益，其他类别的金融资产相关交易费用计入其初始确认金额。</w:t>
      </w:r>
    </w:p>
    <w:p>
      <w:pPr>
        <w:pStyle w:val="BodyText"/>
        <w:spacing w:line="316" w:lineRule="auto" w:before="19"/>
        <w:ind w:left="513" w:right="183"/>
        <w:jc w:val="left"/>
      </w:pPr>
      <w:r>
        <w:rPr/>
        <w:t>①以公允价值计量且其变动计入当期损益的金融资产 </w:t>
      </w:r>
      <w:r>
        <w:rPr>
          <w:spacing w:val="-2"/>
        </w:rPr>
        <w:t>以公允价值计量且其变动计入当期损益的金融资产，包括交易性金融资产和初始确认时指定为以公允价值计量且其变动</w:t>
      </w:r>
    </w:p>
    <w:p>
      <w:pPr>
        <w:pStyle w:val="BodyText"/>
        <w:spacing w:line="316" w:lineRule="auto" w:before="19"/>
        <w:ind w:right="190"/>
        <w:jc w:val="both"/>
      </w:pPr>
      <w:r>
        <w:rPr>
          <w:spacing w:val="-2"/>
        </w:rPr>
        <w:t>计入当期损益的金融资产。对于此类金融资产，采用公允价值进行后续计量，公允价值变动形成的利得或损失以及与该等金</w:t>
      </w:r>
      <w:r>
        <w:rPr>
          <w:spacing w:val="-63"/>
        </w:rPr>
        <w:t> </w:t>
      </w:r>
      <w:r>
        <w:rPr>
          <w:spacing w:val="-63"/>
        </w:rPr>
      </w:r>
      <w:r>
        <w:rPr/>
        <w:t>融资产相关的股利和利息收入计入当期损益。</w:t>
      </w:r>
    </w:p>
    <w:p>
      <w:pPr>
        <w:pStyle w:val="BodyText"/>
        <w:spacing w:line="316" w:lineRule="auto" w:before="19"/>
        <w:ind w:left="513" w:right="178"/>
        <w:jc w:val="left"/>
      </w:pPr>
      <w:r>
        <w:rPr/>
        <w:t>②持有至到期投资 </w:t>
      </w:r>
      <w:r>
        <w:rPr>
          <w:spacing w:val="-5"/>
        </w:rPr>
        <w:t>持有至到期投资，是指到期日固定、回收金额固定或可确定，且本公司有明确意图和能力持有至到期的非衍生金融资产。</w:t>
      </w:r>
    </w:p>
    <w:p>
      <w:pPr>
        <w:pStyle w:val="BodyText"/>
        <w:spacing w:line="316" w:lineRule="auto" w:before="19"/>
        <w:ind w:right="191"/>
        <w:jc w:val="both"/>
      </w:pPr>
      <w:r>
        <w:rPr>
          <w:spacing w:val="-2"/>
        </w:rPr>
        <w:t>持有至到期投资采用实际利率法，按照摊余成本进行后续计量，其终止确认、发生减值或摊销产生的利得或损失，均计入当</w:t>
      </w:r>
      <w:r>
        <w:rPr>
          <w:spacing w:val="-64"/>
        </w:rPr>
        <w:t> </w:t>
      </w:r>
      <w:r>
        <w:rPr>
          <w:spacing w:val="-64"/>
        </w:rPr>
      </w:r>
      <w:r>
        <w:rPr/>
        <w:t>期损益。</w:t>
      </w:r>
    </w:p>
    <w:p>
      <w:pPr>
        <w:pStyle w:val="BodyText"/>
        <w:spacing w:line="316" w:lineRule="auto" w:before="19"/>
        <w:ind w:left="513" w:right="183"/>
        <w:jc w:val="left"/>
      </w:pPr>
      <w:r>
        <w:rPr/>
        <w:t>③贷款和应收款项 </w:t>
      </w:r>
      <w:r>
        <w:rPr>
          <w:spacing w:val="-2"/>
        </w:rPr>
        <w:t>是指在活跃市场中没有报价、回收金额固定或可确定的非衍生金融资产。本公司划分为贷款和应收款的金融资产包括应</w:t>
      </w:r>
    </w:p>
    <w:p>
      <w:pPr>
        <w:pStyle w:val="BodyText"/>
        <w:spacing w:line="319" w:lineRule="auto" w:before="19"/>
        <w:ind w:left="513" w:right="183" w:hanging="361"/>
        <w:jc w:val="left"/>
      </w:pPr>
      <w:r>
        <w:rPr/>
        <w:t>收票据、应收账款、应收利息、应收股利及其他应收款等。 </w:t>
      </w:r>
      <w:r>
        <w:rPr>
          <w:spacing w:val="-2"/>
        </w:rPr>
        <w:t>贷款和应收款项采用实际利率法，按摊余成本进行后续计量，在终止确认、发生减值或摊销时产生的利得或损失，计入</w:t>
      </w:r>
    </w:p>
    <w:p>
      <w:pPr>
        <w:pStyle w:val="BodyText"/>
        <w:spacing w:line="240" w:lineRule="auto" w:before="17"/>
        <w:ind w:right="0"/>
        <w:jc w:val="both"/>
      </w:pPr>
      <w:r>
        <w:rPr/>
        <w:t>当期损益。</w:t>
      </w:r>
    </w:p>
    <w:p>
      <w:pPr>
        <w:pStyle w:val="BodyText"/>
        <w:spacing w:line="316" w:lineRule="auto" w:before="76"/>
        <w:ind w:left="513" w:right="93"/>
        <w:jc w:val="left"/>
      </w:pPr>
      <w:r>
        <w:rPr/>
        <w:t>④可供出售金融资产 包括初始确认时即被指定为可供出售的非衍生金融资产，以及除了以公允价值计量且其变动计入当期损益的金融资产、</w:t>
      </w:r>
    </w:p>
    <w:p>
      <w:pPr>
        <w:pStyle w:val="BodyText"/>
        <w:spacing w:line="316" w:lineRule="auto" w:before="19"/>
        <w:ind w:left="513" w:right="183" w:hanging="361"/>
        <w:jc w:val="left"/>
      </w:pPr>
      <w:r>
        <w:rPr/>
        <w:t>贷款和应收款项、持有至到期投资以外的金融资产。 </w:t>
      </w:r>
      <w:r>
        <w:rPr>
          <w:spacing w:val="-2"/>
        </w:rPr>
        <w:t>可供出售金融资产采用公允价值进行后续计量，公允价值变动形成的利得或损失，除减值损失和外币货币性金融资产与</w:t>
      </w:r>
    </w:p>
    <w:p>
      <w:pPr>
        <w:pStyle w:val="BodyText"/>
        <w:spacing w:line="316" w:lineRule="auto" w:before="19"/>
        <w:ind w:right="191"/>
        <w:jc w:val="both"/>
      </w:pPr>
      <w:r>
        <w:rPr>
          <w:spacing w:val="-2"/>
        </w:rPr>
        <w:t>摊余成本相关的汇兑差额计入当期损益外，确认为其他综合收益，在该金融资产终止确认时转出，计入当期损益。但是，在</w:t>
      </w:r>
      <w:r>
        <w:rPr>
          <w:spacing w:val="-67"/>
        </w:rPr>
        <w:t> </w:t>
      </w:r>
      <w:r>
        <w:rPr>
          <w:spacing w:val="-67"/>
        </w:rPr>
      </w:r>
      <w:r>
        <w:rPr>
          <w:spacing w:val="-2"/>
        </w:rPr>
        <w:t>活跃市场中没有报价且其公允价值不能可靠计量的权益工具投资，以及与该权益工具挂钩并须通过交付该权益工具结算的衍</w:t>
      </w:r>
      <w:r>
        <w:rPr>
          <w:spacing w:val="-63"/>
        </w:rPr>
        <w:t> </w:t>
      </w:r>
      <w:r>
        <w:rPr>
          <w:spacing w:val="-63"/>
        </w:rPr>
      </w:r>
      <w:r>
        <w:rPr/>
        <w:t>生金融资产，按照成本进行后续计量。</w:t>
      </w:r>
    </w:p>
    <w:p>
      <w:pPr>
        <w:pStyle w:val="BodyText"/>
        <w:spacing w:line="319" w:lineRule="auto" w:before="19"/>
        <w:ind w:left="513" w:right="93"/>
        <w:jc w:val="left"/>
      </w:pPr>
      <w:r>
        <w:rPr/>
        <w:t>可供出售金融资产持有期间取得的利息及被投资单位宣告发放的现金股利，计入投资收益。 金融负债在初始确认时划分为以公允价值计量且其变动计入当期损益的金融负债和其他金融负债。初始确认金融负债，</w:t>
      </w:r>
    </w:p>
    <w:p>
      <w:pPr>
        <w:pStyle w:val="BodyText"/>
        <w:spacing w:line="240" w:lineRule="auto" w:before="17"/>
        <w:ind w:right="0"/>
        <w:jc w:val="both"/>
      </w:pPr>
      <w:r>
        <w:rPr/>
        <w:t>以公允价值计量。对于以公允价值计量且其变动计入当期损益的金融负债，相关的交易费用直接计入当期损益，对于其他金</w:t>
      </w:r>
    </w:p>
    <w:p>
      <w:pPr>
        <w:spacing w:after="0" w:line="240" w:lineRule="auto"/>
        <w:jc w:val="both"/>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right="110"/>
        <w:jc w:val="left"/>
      </w:pPr>
      <w:r>
        <w:rPr/>
        <w:t>融负债，相关交易费用计入初始确认金额。</w:t>
      </w:r>
    </w:p>
    <w:p>
      <w:pPr>
        <w:pStyle w:val="BodyText"/>
        <w:spacing w:line="316" w:lineRule="auto" w:before="76"/>
        <w:ind w:left="513" w:right="110"/>
        <w:jc w:val="left"/>
      </w:pPr>
      <w:r>
        <w:rPr/>
        <w:t>①以公允价值计量且其变动计入当期损益的金融负债 </w:t>
      </w:r>
      <w:r>
        <w:rPr>
          <w:spacing w:val="-2"/>
        </w:rPr>
        <w:t>以公允价值计量且其变动计入当期损益的金融负债，包括交易性金融负债和初始确认时指定为以公允价值计量且其变动</w:t>
      </w:r>
    </w:p>
    <w:p>
      <w:pPr>
        <w:pStyle w:val="BodyText"/>
        <w:spacing w:line="316" w:lineRule="auto" w:before="19"/>
        <w:ind w:right="110"/>
        <w:jc w:val="left"/>
      </w:pPr>
      <w:r>
        <w:rPr>
          <w:spacing w:val="-2"/>
        </w:rPr>
        <w:t>计入当期损益的金融负债。对于此类金融负债，按照公允价值进行后续计量，公允价值变动形成的利得或损失以及与该等金</w:t>
      </w:r>
      <w:r>
        <w:rPr>
          <w:spacing w:val="-63"/>
        </w:rPr>
        <w:t> </w:t>
      </w:r>
      <w:r>
        <w:rPr>
          <w:spacing w:val="-63"/>
        </w:rPr>
      </w:r>
      <w:r>
        <w:rPr/>
        <w:t>融负债相关的股利和利息支出计入当期损益。</w:t>
      </w:r>
    </w:p>
    <w:p>
      <w:pPr>
        <w:pStyle w:val="BodyText"/>
        <w:spacing w:line="316" w:lineRule="auto" w:before="19"/>
        <w:ind w:left="513" w:right="110"/>
        <w:jc w:val="left"/>
      </w:pPr>
      <w:r>
        <w:rPr/>
        <w:t>②其他金融负债 </w:t>
      </w:r>
      <w:r>
        <w:rPr>
          <w:spacing w:val="-2"/>
        </w:rPr>
        <w:t>与在活跃市场中没有报价、公允价值不能可靠计量的权益工具挂钩并须通过交付该权益工具结算的衍生金融负债，按照</w:t>
      </w:r>
    </w:p>
    <w:p>
      <w:pPr>
        <w:pStyle w:val="BodyText"/>
        <w:spacing w:line="316" w:lineRule="auto" w:before="19"/>
        <w:ind w:right="110"/>
        <w:jc w:val="left"/>
      </w:pPr>
      <w:r>
        <w:rPr>
          <w:spacing w:val="-2"/>
        </w:rPr>
        <w:t>成本进行后续计量。其他金融负债采用实际利率法，按摊余成本进行后续计量，终止确认或摊销产生的利得或损失计入当期</w:t>
      </w:r>
      <w:r>
        <w:rPr>
          <w:spacing w:val="-63"/>
        </w:rPr>
        <w:t> </w:t>
      </w:r>
      <w:r>
        <w:rPr>
          <w:spacing w:val="-63"/>
        </w:rPr>
      </w:r>
      <w:r>
        <w:rPr/>
        <w:t>损益。</w:t>
      </w:r>
    </w:p>
    <w:p>
      <w:pPr>
        <w:pStyle w:val="BodyText"/>
        <w:spacing w:line="319" w:lineRule="auto" w:before="19"/>
        <w:ind w:left="513" w:right="110"/>
        <w:jc w:val="left"/>
      </w:pPr>
      <w:r>
        <w:rPr>
          <w:rFonts w:ascii="宋体" w:hAnsi="宋体" w:cs="宋体" w:eastAsia="宋体" w:hint="default"/>
          <w:b/>
          <w:bCs/>
        </w:rPr>
        <w:t>（</w:t>
      </w:r>
      <w:r>
        <w:rPr>
          <w:rFonts w:ascii="宋体" w:hAnsi="宋体" w:cs="宋体" w:eastAsia="宋体" w:hint="default"/>
          <w:b/>
          <w:bCs/>
        </w:rPr>
        <w:t>3</w:t>
      </w:r>
      <w:r>
        <w:rPr>
          <w:rFonts w:ascii="宋体" w:hAnsi="宋体" w:cs="宋体" w:eastAsia="宋体" w:hint="default"/>
          <w:b/>
          <w:bCs/>
        </w:rPr>
        <w:t>）</w:t>
      </w:r>
      <w:r>
        <w:rPr>
          <w:rFonts w:ascii="宋体" w:hAnsi="宋体" w:cs="宋体" w:eastAsia="宋体" w:hint="default"/>
          <w:b/>
          <w:bCs/>
          <w:spacing w:val="-46"/>
        </w:rPr>
        <w:t> </w:t>
      </w:r>
      <w:r>
        <w:rPr>
          <w:rFonts w:ascii="宋体" w:hAnsi="宋体" w:cs="宋体" w:eastAsia="宋体" w:hint="default"/>
          <w:b/>
          <w:bCs/>
        </w:rPr>
        <w:t>金融资产转移的确认依据和计量方法</w:t>
      </w:r>
      <w:r>
        <w:rPr>
          <w:rFonts w:ascii="宋体" w:hAnsi="宋体" w:cs="宋体" w:eastAsia="宋体" w:hint="default"/>
          <w:b/>
          <w:bCs/>
          <w:w w:val="99"/>
        </w:rPr>
        <w:t> </w:t>
      </w:r>
      <w:r>
        <w:rPr/>
        <w:t>金融资产转移，是指将金融资产让与或交付给该金融资产发行方以外的另一方（转入方）。 </w:t>
      </w:r>
      <w:r>
        <w:rPr>
          <w:spacing w:val="-2"/>
        </w:rPr>
        <w:t>本公司已将金融资产所有权上几乎所有的风险和报酬转移给转入方的，终止确认该金融资产；保留了金融资产所有权上</w:t>
      </w:r>
    </w:p>
    <w:p>
      <w:pPr>
        <w:pStyle w:val="BodyText"/>
        <w:spacing w:line="316" w:lineRule="auto" w:before="17"/>
        <w:ind w:left="513" w:right="110" w:hanging="361"/>
        <w:jc w:val="left"/>
      </w:pPr>
      <w:r>
        <w:rPr/>
        <w:t>几乎所有的风险和报酬的，不终止确认该金融资产。 </w:t>
      </w:r>
      <w:r>
        <w:rPr>
          <w:spacing w:val="-2"/>
        </w:rPr>
        <w:t>本公司既没有转移也没有保留金融资产所有权上几乎所有的风险和报酬的，分别下列情况处理：放弃了对该金融资产控</w:t>
      </w:r>
    </w:p>
    <w:p>
      <w:pPr>
        <w:pStyle w:val="BodyText"/>
        <w:spacing w:line="316" w:lineRule="auto" w:before="19"/>
        <w:ind w:right="110"/>
        <w:jc w:val="left"/>
      </w:pPr>
      <w:r>
        <w:rPr>
          <w:spacing w:val="-2"/>
        </w:rPr>
        <w:t>制的，终止确认该金融资产并确认产生的资产和负债；未放弃对该金融资产控制的，按照其继续涉入所转移金融资产的程度</w:t>
      </w:r>
      <w:r>
        <w:rPr>
          <w:spacing w:val="-63"/>
        </w:rPr>
        <w:t> </w:t>
      </w:r>
      <w:r>
        <w:rPr>
          <w:spacing w:val="-63"/>
        </w:rPr>
      </w:r>
      <w:r>
        <w:rPr/>
        <w:t>确认有关金融资产，并相应确认有关负债。</w:t>
      </w:r>
    </w:p>
    <w:p>
      <w:pPr>
        <w:spacing w:line="316" w:lineRule="auto" w:before="19"/>
        <w:ind w:left="513" w:right="11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4</w:t>
      </w:r>
      <w:r>
        <w:rPr>
          <w:rFonts w:ascii="宋体" w:hAnsi="宋体" w:cs="宋体" w:eastAsia="宋体" w:hint="default"/>
          <w:b/>
          <w:bCs/>
          <w:sz w:val="18"/>
          <w:szCs w:val="18"/>
        </w:rPr>
        <w:t>）</w:t>
      </w:r>
      <w:r>
        <w:rPr>
          <w:rFonts w:ascii="宋体" w:hAnsi="宋体" w:cs="宋体" w:eastAsia="宋体" w:hint="default"/>
          <w:b/>
          <w:bCs/>
          <w:spacing w:val="-46"/>
          <w:sz w:val="18"/>
          <w:szCs w:val="18"/>
        </w:rPr>
        <w:t> </w:t>
      </w:r>
      <w:r>
        <w:rPr>
          <w:rFonts w:ascii="宋体" w:hAnsi="宋体" w:cs="宋体" w:eastAsia="宋体" w:hint="default"/>
          <w:b/>
          <w:bCs/>
          <w:sz w:val="18"/>
          <w:szCs w:val="18"/>
        </w:rPr>
        <w:t>金融负债终止确认条件</w:t>
      </w:r>
      <w:r>
        <w:rPr>
          <w:rFonts w:ascii="宋体" w:hAnsi="宋体" w:cs="宋体" w:eastAsia="宋体" w:hint="default"/>
          <w:b/>
          <w:bCs/>
          <w:w w:val="99"/>
          <w:sz w:val="18"/>
          <w:szCs w:val="18"/>
        </w:rPr>
        <w:t> </w:t>
      </w:r>
      <w:r>
        <w:rPr>
          <w:rFonts w:ascii="宋体" w:hAnsi="宋体" w:cs="宋体" w:eastAsia="宋体" w:hint="default"/>
          <w:spacing w:val="-2"/>
          <w:sz w:val="18"/>
          <w:szCs w:val="18"/>
        </w:rPr>
        <w:t>金融负债的现实义务全部或部分已经解除的，才能终止确认该金融负债或其一部分。公司将用于偿付金融负债的资产转</w:t>
      </w:r>
    </w:p>
    <w:p>
      <w:pPr>
        <w:pStyle w:val="BodyText"/>
        <w:spacing w:line="316" w:lineRule="auto" w:before="19"/>
        <w:ind w:left="513" w:right="110" w:hanging="361"/>
        <w:jc w:val="left"/>
      </w:pPr>
      <w:r>
        <w:rPr/>
        <w:t>入某个机构或设立信托，偿付债务的现实义务仍存在的，不应当终止确认该金融负债，也不能终止确认转出的资产。 </w:t>
      </w:r>
      <w:r>
        <w:rPr>
          <w:spacing w:val="-2"/>
        </w:rPr>
        <w:t>公司与债权人之间签订协议，以承担新金融负债方式替换现存金融负债，且新金融负债与现存金融负债的合同条款实质</w:t>
      </w:r>
    </w:p>
    <w:p>
      <w:pPr>
        <w:pStyle w:val="BodyText"/>
        <w:spacing w:line="319" w:lineRule="auto" w:before="19"/>
        <w:ind w:right="110"/>
        <w:jc w:val="left"/>
      </w:pPr>
      <w:r>
        <w:rPr>
          <w:spacing w:val="-2"/>
        </w:rPr>
        <w:t>上不同的，应当终止确认现存金融负债，并同时确认新金融负债。公司对现存金融负债全部或部分的合同条款做出实质性修</w:t>
      </w:r>
      <w:r>
        <w:rPr>
          <w:spacing w:val="-63"/>
        </w:rPr>
        <w:t> </w:t>
      </w:r>
      <w:r>
        <w:rPr>
          <w:spacing w:val="-63"/>
        </w:rPr>
      </w:r>
      <w:r>
        <w:rPr/>
        <w:t>改的，应当终止确认现存金融负债或其一部分，同时将修改条款后的金融负债确认为一项新金融负债。</w:t>
      </w:r>
    </w:p>
    <w:p>
      <w:pPr>
        <w:pStyle w:val="BodyText"/>
        <w:spacing w:line="316" w:lineRule="auto" w:before="17"/>
        <w:ind w:right="292" w:firstLine="360"/>
        <w:jc w:val="both"/>
      </w:pPr>
      <w:r>
        <w:rPr>
          <w:spacing w:val="-2"/>
        </w:rPr>
        <w:t>金融负债全部或部分终止确认的，公司应当将终止确认部分的账面价值于支付的对价（包括转出的非现金资产或承担的</w:t>
      </w:r>
      <w:r>
        <w:rPr/>
        <w:t> 新金融负债）之间的差额，计入当期损益。</w:t>
      </w:r>
    </w:p>
    <w:p>
      <w:pPr>
        <w:pStyle w:val="BodyText"/>
        <w:spacing w:line="316" w:lineRule="auto" w:before="19"/>
        <w:ind w:right="290" w:firstLine="360"/>
        <w:jc w:val="both"/>
      </w:pPr>
      <w:r>
        <w:rPr>
          <w:spacing w:val="-2"/>
        </w:rPr>
        <w:t>公司回购金融负债一部分的，应当在回购日按照继续确认部分或终止确认部分的相对公允价值，将该金融负债整体的账</w:t>
      </w:r>
      <w:r>
        <w:rPr/>
        <w:t> </w:t>
      </w:r>
      <w:r>
        <w:rPr>
          <w:spacing w:val="-5"/>
        </w:rPr>
        <w:t>面价值进行分配。分配给终止确认部分的账面价值与支付的对价（包括转出的非现金资产或承担的新金融负债）之间的差额，</w:t>
      </w:r>
      <w:r>
        <w:rPr>
          <w:spacing w:val="-76"/>
        </w:rPr>
        <w:t> </w:t>
      </w:r>
      <w:r>
        <w:rPr>
          <w:spacing w:val="-76"/>
        </w:rPr>
      </w:r>
      <w:r>
        <w:rPr/>
        <w:t>计入当期损益。</w:t>
      </w:r>
    </w:p>
    <w:p>
      <w:pPr>
        <w:pStyle w:val="BodyText"/>
        <w:spacing w:line="316" w:lineRule="auto" w:before="19"/>
        <w:ind w:left="513" w:right="110"/>
        <w:jc w:val="left"/>
      </w:pPr>
      <w:r>
        <w:rPr>
          <w:rFonts w:ascii="宋体" w:hAnsi="宋体" w:cs="宋体" w:eastAsia="宋体" w:hint="default"/>
          <w:b/>
          <w:bCs/>
        </w:rPr>
        <w:t>（</w:t>
      </w:r>
      <w:r>
        <w:rPr>
          <w:rFonts w:ascii="宋体" w:hAnsi="宋体" w:cs="宋体" w:eastAsia="宋体" w:hint="default"/>
          <w:b/>
          <w:bCs/>
        </w:rPr>
        <w:t>5</w:t>
      </w:r>
      <w:r>
        <w:rPr>
          <w:rFonts w:ascii="宋体" w:hAnsi="宋体" w:cs="宋体" w:eastAsia="宋体" w:hint="default"/>
          <w:b/>
          <w:bCs/>
        </w:rPr>
        <w:t>）</w:t>
      </w:r>
      <w:r>
        <w:rPr>
          <w:rFonts w:ascii="宋体" w:hAnsi="宋体" w:cs="宋体" w:eastAsia="宋体" w:hint="default"/>
          <w:b/>
          <w:bCs/>
          <w:spacing w:val="-47"/>
        </w:rPr>
        <w:t> </w:t>
      </w:r>
      <w:r>
        <w:rPr>
          <w:rFonts w:ascii="宋体" w:hAnsi="宋体" w:cs="宋体" w:eastAsia="宋体" w:hint="default"/>
          <w:b/>
          <w:bCs/>
        </w:rPr>
        <w:t>金融资产和金融负债的公允价值确定方法</w:t>
      </w:r>
      <w:r>
        <w:rPr>
          <w:rFonts w:ascii="宋体" w:hAnsi="宋体" w:cs="宋体" w:eastAsia="宋体" w:hint="default"/>
          <w:b/>
          <w:bCs/>
          <w:w w:val="99"/>
        </w:rPr>
        <w:t> </w:t>
      </w:r>
      <w:r>
        <w:rPr/>
        <w:t>公允价值，指在公平交易中，熟悉情况的交易双方自愿进行资产交换或债务清偿的金额。 存在活跃市场的金融资产或金融负债，本公司采用活跃市场中的报价确定其公允价值。 </w:t>
      </w:r>
      <w:r>
        <w:rPr>
          <w:spacing w:val="-2"/>
        </w:rPr>
        <w:t>金融工具不存在活跃市场的，本公司采用估值技术确定其公允价值。采用估值技术得出的结果，反映估值日在公平交易</w:t>
      </w:r>
    </w:p>
    <w:p>
      <w:pPr>
        <w:pStyle w:val="BodyText"/>
        <w:spacing w:line="319" w:lineRule="auto" w:before="19"/>
        <w:ind w:right="110"/>
        <w:jc w:val="left"/>
      </w:pPr>
      <w:r>
        <w:rPr>
          <w:spacing w:val="-2"/>
        </w:rPr>
        <w:t>中可能采用的交易价格。估值技术包括参考熟悉情况并自愿交易的各方最近进行的市场交易中使用的价格、参照实质上相同</w:t>
      </w:r>
      <w:r>
        <w:rPr>
          <w:spacing w:val="-64"/>
        </w:rPr>
        <w:t> </w:t>
      </w:r>
      <w:r>
        <w:rPr>
          <w:spacing w:val="-64"/>
        </w:rPr>
      </w:r>
      <w:r>
        <w:rPr/>
        <w:t>的其他金融工具的当前公允价值、现金流量折现法和期权定价模型等。</w:t>
      </w:r>
    </w:p>
    <w:p>
      <w:pPr>
        <w:pStyle w:val="BodyText"/>
        <w:spacing w:line="316" w:lineRule="auto" w:before="17"/>
        <w:ind w:right="291" w:firstLine="360"/>
        <w:jc w:val="both"/>
      </w:pPr>
      <w:r>
        <w:rPr>
          <w:spacing w:val="-2"/>
        </w:rPr>
        <w:t>本公司选择市场参与者普遍认同，且被以往市场实际交易价格验证具有可靠性的估值技术确定金融工具的公允价值。采</w:t>
      </w:r>
      <w:r>
        <w:rPr/>
        <w:t> </w:t>
      </w:r>
      <w:r>
        <w:rPr>
          <w:spacing w:val="-2"/>
        </w:rPr>
        <w:t>用估值技术确定金融工具的公允价值时，本公司尽可能使用市场参与者在金融工具定价时考虑的所有市场参数和相同金融工</w:t>
      </w:r>
      <w:r>
        <w:rPr>
          <w:spacing w:val="-63"/>
        </w:rPr>
        <w:t> </w:t>
      </w:r>
      <w:r>
        <w:rPr>
          <w:spacing w:val="-63"/>
        </w:rPr>
      </w:r>
      <w:r>
        <w:rPr/>
        <w:t>具当前市场的可观察到的交易价格来测试估值技术的有效性。</w:t>
      </w:r>
    </w:p>
    <w:p>
      <w:pPr>
        <w:pStyle w:val="BodyText"/>
        <w:spacing w:line="316" w:lineRule="auto" w:before="19"/>
        <w:ind w:left="513" w:right="110"/>
        <w:jc w:val="left"/>
      </w:pPr>
      <w:r>
        <w:rPr>
          <w:rFonts w:ascii="宋体" w:hAnsi="宋体" w:cs="宋体" w:eastAsia="宋体" w:hint="default"/>
          <w:b/>
          <w:bCs/>
        </w:rPr>
        <w:t>（</w:t>
      </w:r>
      <w:r>
        <w:rPr>
          <w:rFonts w:ascii="宋体" w:hAnsi="宋体" w:cs="宋体" w:eastAsia="宋体" w:hint="default"/>
          <w:b/>
          <w:bCs/>
        </w:rPr>
        <w:t>6</w:t>
      </w:r>
      <w:r>
        <w:rPr>
          <w:rFonts w:ascii="宋体" w:hAnsi="宋体" w:cs="宋体" w:eastAsia="宋体" w:hint="default"/>
          <w:b/>
          <w:bCs/>
        </w:rPr>
        <w:t>）</w:t>
      </w:r>
      <w:r>
        <w:rPr>
          <w:rFonts w:ascii="宋体" w:hAnsi="宋体" w:cs="宋体" w:eastAsia="宋体" w:hint="default"/>
          <w:b/>
          <w:bCs/>
          <w:spacing w:val="-46"/>
        </w:rPr>
        <w:t> </w:t>
      </w:r>
      <w:r>
        <w:rPr>
          <w:rFonts w:ascii="宋体" w:hAnsi="宋体" w:cs="宋体" w:eastAsia="宋体" w:hint="default"/>
          <w:b/>
          <w:bCs/>
        </w:rPr>
        <w:t>金融资产减值</w:t>
      </w:r>
      <w:r>
        <w:rPr>
          <w:rFonts w:ascii="宋体" w:hAnsi="宋体" w:cs="宋体" w:eastAsia="宋体" w:hint="default"/>
          <w:b/>
          <w:bCs/>
          <w:w w:val="99"/>
        </w:rPr>
        <w:t> </w:t>
      </w:r>
      <w:r>
        <w:rPr>
          <w:spacing w:val="-2"/>
        </w:rPr>
        <w:t>除了以公允价值计量且其变动计入当期损益的金融资产外，本公司于资产负债表日对其他金融资产的账面价值进行检查，</w:t>
      </w:r>
    </w:p>
    <w:p>
      <w:pPr>
        <w:pStyle w:val="BodyText"/>
        <w:spacing w:line="316" w:lineRule="auto" w:before="19"/>
        <w:ind w:right="110"/>
        <w:jc w:val="left"/>
      </w:pPr>
      <w:r>
        <w:rPr>
          <w:spacing w:val="-2"/>
        </w:rPr>
        <w:t>有客观证据表明该金融资产发生减值的，计提减值准备。表明金融资产发生减值的客观证据，是指金融资产初始确认后实际</w:t>
      </w:r>
      <w:r>
        <w:rPr>
          <w:spacing w:val="-66"/>
        </w:rPr>
        <w:t> </w:t>
      </w:r>
      <w:r>
        <w:rPr>
          <w:spacing w:val="-66"/>
        </w:rPr>
      </w:r>
      <w:r>
        <w:rPr/>
        <w:t>发生的、对该金融资产的预计未来现金流量有影响，且企业能够对该影响进行可靠计量的事项。</w:t>
      </w:r>
    </w:p>
    <w:p>
      <w:pPr>
        <w:pStyle w:val="BodyText"/>
        <w:spacing w:line="240" w:lineRule="auto" w:before="19"/>
        <w:ind w:left="513" w:right="110"/>
        <w:jc w:val="left"/>
      </w:pPr>
      <w:r>
        <w:rPr/>
        <w:t>金融资产发生减值的客观证据，包括下列可观察到的情形：</w:t>
      </w:r>
    </w:p>
    <w:p>
      <w:pPr>
        <w:pStyle w:val="BodyText"/>
        <w:spacing w:line="240" w:lineRule="auto" w:before="76"/>
        <w:ind w:left="513" w:right="110"/>
        <w:jc w:val="left"/>
      </w:pPr>
      <w:r>
        <w:rPr/>
        <w:t>①行方或债务人发生严重财务困难；</w:t>
      </w:r>
    </w:p>
    <w:p>
      <w:pPr>
        <w:pStyle w:val="BodyText"/>
        <w:spacing w:line="240" w:lineRule="auto" w:before="77"/>
        <w:ind w:left="513" w:right="110"/>
        <w:jc w:val="left"/>
      </w:pPr>
      <w:r>
        <w:rPr/>
        <w:t>②债务人违反了合同条款，如偿付利息或本金发生违约或逾期等；</w:t>
      </w:r>
    </w:p>
    <w:p>
      <w:pPr>
        <w:pStyle w:val="BodyText"/>
        <w:spacing w:line="240" w:lineRule="auto" w:before="76"/>
        <w:ind w:left="513" w:right="110"/>
        <w:jc w:val="left"/>
      </w:pPr>
      <w:r>
        <w:rPr/>
        <w:t>③本公司出于经济或法律等方面因素的考虑，对发生财务困难的债务人作出让步；</w:t>
      </w:r>
    </w:p>
    <w:p>
      <w:pPr>
        <w:spacing w:after="0" w:line="240" w:lineRule="auto"/>
        <w:jc w:val="left"/>
        <w:sectPr>
          <w:pgSz w:w="11910" w:h="16840"/>
          <w:pgMar w:header="745" w:footer="979" w:top="1060" w:bottom="1160" w:left="980" w:right="840"/>
        </w:sectPr>
      </w:pPr>
    </w:p>
    <w:p>
      <w:pPr>
        <w:spacing w:line="240" w:lineRule="auto" w:before="10"/>
        <w:rPr>
          <w:rFonts w:ascii="宋体" w:hAnsi="宋体" w:cs="宋体" w:eastAsia="宋体" w:hint="default"/>
          <w:sz w:val="25"/>
          <w:szCs w:val="25"/>
        </w:rPr>
      </w:pPr>
    </w:p>
    <w:p>
      <w:pPr>
        <w:pStyle w:val="BodyText"/>
        <w:spacing w:line="240" w:lineRule="auto" w:before="44"/>
        <w:ind w:left="513" w:right="2839"/>
        <w:jc w:val="left"/>
      </w:pPr>
      <w:r>
        <w:rPr/>
        <w:t>④债务人很可能倒闭或者进行其他财务重组；</w:t>
      </w:r>
    </w:p>
    <w:p>
      <w:pPr>
        <w:pStyle w:val="BodyText"/>
        <w:spacing w:line="240" w:lineRule="auto" w:before="76"/>
        <w:ind w:left="513" w:right="2839"/>
        <w:jc w:val="left"/>
      </w:pPr>
      <w:r>
        <w:rPr/>
        <w:t>⑤因发行方发生重大财务困难，导致金融资产无法在活跃市场继续交易；</w:t>
      </w:r>
    </w:p>
    <w:p>
      <w:pPr>
        <w:pStyle w:val="BodyText"/>
        <w:spacing w:line="316" w:lineRule="auto" w:before="76"/>
        <w:ind w:right="152" w:firstLine="360"/>
        <w:jc w:val="both"/>
      </w:pPr>
      <w:r>
        <w:rPr>
          <w:spacing w:val="-2"/>
        </w:rPr>
        <w:t>⑥无法辨认一组金融资产中的某项资产的现金流量是否已经减少，但根据公开的数据对其进行总体评价后发现，该组金</w:t>
      </w:r>
      <w:r>
        <w:rPr/>
        <w:t> 融资产自初始确认以来的预计未来现金流量确已减少且可计量，包括：</w:t>
      </w:r>
    </w:p>
    <w:p>
      <w:pPr>
        <w:pStyle w:val="BodyText"/>
        <w:spacing w:line="240" w:lineRule="auto" w:before="19"/>
        <w:ind w:left="513" w:right="2839"/>
        <w:jc w:val="left"/>
      </w:pPr>
      <w:r>
        <w:rPr>
          <w:rFonts w:ascii="宋体" w:hAnsi="宋体" w:cs="宋体" w:eastAsia="宋体" w:hint="default"/>
        </w:rPr>
        <w:t>-</w:t>
      </w:r>
      <w:r>
        <w:rPr/>
        <w:t>该组金融资产的债务人支付能力逐步恶化；</w:t>
      </w:r>
    </w:p>
    <w:p>
      <w:pPr>
        <w:pStyle w:val="BodyText"/>
        <w:spacing w:line="240" w:lineRule="auto" w:before="76"/>
        <w:ind w:left="513" w:right="2839"/>
        <w:jc w:val="left"/>
      </w:pPr>
      <w:r>
        <w:rPr>
          <w:rFonts w:ascii="宋体" w:hAnsi="宋体" w:cs="宋体" w:eastAsia="宋体" w:hint="default"/>
        </w:rPr>
        <w:t>-</w:t>
      </w:r>
      <w:r>
        <w:rPr/>
        <w:t>债务人所在国家或地区经济出现了可能导致该组金融资产无法支付的状况；</w:t>
      </w:r>
    </w:p>
    <w:p>
      <w:pPr>
        <w:pStyle w:val="BodyText"/>
        <w:spacing w:line="240" w:lineRule="auto" w:before="76"/>
        <w:ind w:left="513" w:right="0"/>
        <w:jc w:val="left"/>
      </w:pPr>
      <w:r>
        <w:rPr/>
        <w:t>⑦债务人经营所处的技术、市场、经济或法律环境等发生重大不利变化，使权益工具投资人可能无法收回投资成本；</w:t>
      </w:r>
    </w:p>
    <w:p>
      <w:pPr>
        <w:pStyle w:val="BodyText"/>
        <w:spacing w:line="316" w:lineRule="auto" w:before="76"/>
        <w:ind w:right="152" w:firstLine="360"/>
        <w:jc w:val="both"/>
      </w:pPr>
      <w:r>
        <w:rPr>
          <w:spacing w:val="-2"/>
        </w:rPr>
        <w:t>⑧权益工具投资的公允价值发生严重或非暂时性下跌，如权益工具投资于资产负债表日的公允价值低于其初始投资成本</w:t>
      </w:r>
      <w:r>
        <w:rPr/>
        <w:t> 超过</w:t>
      </w:r>
      <w:r>
        <w:rPr>
          <w:rFonts w:ascii="宋体" w:hAnsi="宋体" w:cs="宋体" w:eastAsia="宋体" w:hint="default"/>
        </w:rPr>
        <w:t>50%</w:t>
      </w:r>
      <w:r>
        <w:rPr/>
        <w:t>（含</w:t>
      </w:r>
      <w:r>
        <w:rPr>
          <w:rFonts w:ascii="宋体" w:hAnsi="宋体" w:cs="宋体" w:eastAsia="宋体" w:hint="default"/>
        </w:rPr>
        <w:t>50%</w:t>
      </w:r>
      <w:r>
        <w:rPr/>
        <w:t>）或低于其初始投资成本持续时间超过</w:t>
      </w:r>
      <w:r>
        <w:rPr>
          <w:rFonts w:ascii="宋体" w:hAnsi="宋体" w:cs="宋体" w:eastAsia="宋体" w:hint="default"/>
        </w:rPr>
        <w:t>12</w:t>
      </w:r>
      <w:r>
        <w:rPr/>
        <w:t>个月（含</w:t>
      </w:r>
      <w:r>
        <w:rPr>
          <w:rFonts w:ascii="宋体" w:hAnsi="宋体" w:cs="宋体" w:eastAsia="宋体" w:hint="default"/>
        </w:rPr>
        <w:t>12</w:t>
      </w:r>
      <w:r>
        <w:rPr/>
        <w:t>个月）。</w:t>
      </w:r>
    </w:p>
    <w:p>
      <w:pPr>
        <w:pStyle w:val="BodyText"/>
        <w:spacing w:line="316" w:lineRule="auto" w:before="19"/>
        <w:ind w:right="148" w:firstLine="360"/>
        <w:jc w:val="both"/>
      </w:pPr>
      <w:r>
        <w:rPr>
          <w:spacing w:val="-2"/>
        </w:rPr>
        <w:t>低于其初始投资成本持续时间超过</w:t>
      </w:r>
      <w:r>
        <w:rPr>
          <w:rFonts w:ascii="宋体" w:hAnsi="宋体" w:cs="宋体" w:eastAsia="宋体" w:hint="default"/>
          <w:spacing w:val="-2"/>
        </w:rPr>
        <w:t>12</w:t>
      </w:r>
      <w:r>
        <w:rPr>
          <w:spacing w:val="-2"/>
        </w:rPr>
        <w:t>个月（含</w:t>
      </w:r>
      <w:r>
        <w:rPr>
          <w:rFonts w:ascii="宋体" w:hAnsi="宋体" w:cs="宋体" w:eastAsia="宋体" w:hint="default"/>
          <w:spacing w:val="-2"/>
        </w:rPr>
        <w:t>12</w:t>
      </w:r>
      <w:r>
        <w:rPr>
          <w:spacing w:val="-2"/>
        </w:rPr>
        <w:t>个月）是指，权益工具投资公允价值月度均值连续</w:t>
      </w:r>
      <w:r>
        <w:rPr>
          <w:rFonts w:ascii="宋体" w:hAnsi="宋体" w:cs="宋体" w:eastAsia="宋体" w:hint="default"/>
          <w:spacing w:val="-2"/>
        </w:rPr>
        <w:t>12</w:t>
      </w:r>
      <w:r>
        <w:rPr>
          <w:spacing w:val="-2"/>
        </w:rPr>
        <w:t>个月均低于其初始</w:t>
      </w:r>
      <w:r>
        <w:rPr/>
        <w:t> 投资成本。</w:t>
      </w:r>
    </w:p>
    <w:p>
      <w:pPr>
        <w:pStyle w:val="BodyText"/>
        <w:spacing w:line="316" w:lineRule="auto" w:before="19"/>
        <w:ind w:left="513" w:right="0"/>
        <w:jc w:val="left"/>
      </w:pPr>
      <w:r>
        <w:rPr/>
        <w:t>⑨其他表明金融资产发生减值的客观证据。 </w:t>
      </w:r>
      <w:r>
        <w:rPr>
          <w:spacing w:val="-2"/>
        </w:rPr>
        <w:t>本公司对可供出售权益工具投资的公允价值下跌“严重”的标准为：如果单项可供出售金融资产的公允价值出现较大幅</w:t>
      </w:r>
    </w:p>
    <w:p>
      <w:pPr>
        <w:pStyle w:val="BodyText"/>
        <w:spacing w:line="316" w:lineRule="auto" w:before="19"/>
        <w:ind w:left="513" w:right="0" w:hanging="361"/>
        <w:jc w:val="left"/>
      </w:pPr>
      <w:r>
        <w:rPr/>
        <w:t>度下降，超过其持有成本的</w:t>
      </w:r>
      <w:r>
        <w:rPr>
          <w:rFonts w:ascii="宋体" w:hAnsi="宋体" w:cs="宋体" w:eastAsia="宋体" w:hint="default"/>
        </w:rPr>
        <w:t>50%</w:t>
      </w:r>
      <w:r>
        <w:rPr/>
        <w:t>，认定该可供出售金融资产已发生减值为严重的，应计提减值准备，确认减值损失。 </w:t>
      </w:r>
      <w:r>
        <w:rPr>
          <w:spacing w:val="-2"/>
        </w:rPr>
        <w:t>本公司对可供出售权益工具投资的公允价值下跌“非暂时性”的标准为：如果单项可供出售金融资产的公允价值出现较</w:t>
      </w:r>
    </w:p>
    <w:p>
      <w:pPr>
        <w:pStyle w:val="BodyText"/>
        <w:spacing w:line="316" w:lineRule="auto" w:before="19"/>
        <w:ind w:right="0"/>
        <w:jc w:val="left"/>
      </w:pPr>
      <w:r>
        <w:rPr>
          <w:spacing w:val="-2"/>
        </w:rPr>
        <w:t>大幅度下降，预期这种下降趋势属于非暂时性的，持续时间超过一年，且在整个持有期间得不到根本改变时，认定该可供出</w:t>
      </w:r>
      <w:r>
        <w:rPr>
          <w:spacing w:val="-65"/>
        </w:rPr>
        <w:t> </w:t>
      </w:r>
      <w:r>
        <w:rPr>
          <w:spacing w:val="-65"/>
        </w:rPr>
      </w:r>
      <w:r>
        <w:rPr/>
        <w:t>售金融资产已发生减值为非暂时性的，应计提减值准备，确认减值损失。</w:t>
      </w:r>
    </w:p>
    <w:p>
      <w:pPr>
        <w:pStyle w:val="BodyText"/>
        <w:spacing w:line="316" w:lineRule="auto" w:before="19"/>
        <w:ind w:left="513" w:right="0"/>
        <w:jc w:val="left"/>
      </w:pPr>
      <w:r>
        <w:rPr/>
        <w:t>以摊余成本计量的金融资产 </w:t>
      </w:r>
      <w:r>
        <w:rPr>
          <w:spacing w:val="-2"/>
        </w:rPr>
        <w:t>如果有客观证据表明该金融资产发生减值，则将该金融资产的账面价值减记至预计未来现金流量（不包括尚未发生的未</w:t>
      </w:r>
    </w:p>
    <w:p>
      <w:pPr>
        <w:pStyle w:val="BodyText"/>
        <w:spacing w:line="316" w:lineRule="auto" w:before="19"/>
        <w:ind w:right="0"/>
        <w:jc w:val="left"/>
      </w:pPr>
      <w:r>
        <w:rPr>
          <w:spacing w:val="-2"/>
        </w:rPr>
        <w:t>来信用损失）现值，减记金额计入当期损益。预计未来现金流量现值，按照该金融资产原实际利率折现确定，并考虑相关担</w:t>
      </w:r>
      <w:r>
        <w:rPr>
          <w:spacing w:val="-67"/>
        </w:rPr>
        <w:t> </w:t>
      </w:r>
      <w:r>
        <w:rPr>
          <w:spacing w:val="-67"/>
        </w:rPr>
      </w:r>
      <w:r>
        <w:rPr/>
        <w:t>保物的价值。</w:t>
      </w:r>
    </w:p>
    <w:p>
      <w:pPr>
        <w:pStyle w:val="BodyText"/>
        <w:spacing w:line="316" w:lineRule="auto" w:before="19"/>
        <w:ind w:right="153" w:firstLine="360"/>
        <w:jc w:val="both"/>
      </w:pPr>
      <w:r>
        <w:rPr>
          <w:spacing w:val="-2"/>
        </w:rPr>
        <w:t>对单项金额重大的金融资产单独进行减值测试，如有客观证据表明其已发生减值，确认减值损失，计入当期损益。对单</w:t>
      </w:r>
      <w:r>
        <w:rPr/>
        <w:t> </w:t>
      </w:r>
      <w:r>
        <w:rPr>
          <w:spacing w:val="-2"/>
        </w:rPr>
        <w:t>项金额不重大的金融资产，包括在具有类似信用风险特征的金融资产组合中进行减值测试。单独测试未发生减值的金融资产</w:t>
      </w:r>
    </w:p>
    <w:p>
      <w:pPr>
        <w:pStyle w:val="BodyText"/>
        <w:spacing w:line="316" w:lineRule="auto" w:before="19"/>
        <w:ind w:right="0"/>
        <w:jc w:val="left"/>
      </w:pPr>
      <w:r>
        <w:rPr>
          <w:spacing w:val="-2"/>
        </w:rPr>
        <w:t>（包括单项金额重大和不重大的金融资产），包括在具有类似信用风险特征的金融资产组合中再进行减值测试。已单项确认</w:t>
      </w:r>
      <w:r>
        <w:rPr>
          <w:spacing w:val="-66"/>
        </w:rPr>
        <w:t> </w:t>
      </w:r>
      <w:r>
        <w:rPr>
          <w:spacing w:val="-66"/>
        </w:rPr>
      </w:r>
      <w:r>
        <w:rPr/>
        <w:t>减值损失的金融资产，不包括在具有类似信用风险特征的金融资产组合中进行减值测试。</w:t>
      </w:r>
    </w:p>
    <w:p>
      <w:pPr>
        <w:pStyle w:val="BodyText"/>
        <w:spacing w:line="316" w:lineRule="auto" w:before="19"/>
        <w:ind w:right="151" w:firstLine="360"/>
        <w:jc w:val="both"/>
      </w:pPr>
      <w:r>
        <w:rPr>
          <w:spacing w:val="-2"/>
        </w:rPr>
        <w:t>本公司对以摊余成本计量的金融资产确认减值损失后，如有客观证据表明该金融资产价值已恢复，且客观上与确认该损</w:t>
      </w:r>
      <w:r>
        <w:rPr/>
        <w:t> </w:t>
      </w:r>
      <w:r>
        <w:rPr>
          <w:spacing w:val="-2"/>
        </w:rPr>
        <w:t>失后发生的事项有关，原确认的减值损失予以转回，计入当期损益。但是，该转回后的账面价值不超过假定不计提减值准备</w:t>
      </w:r>
      <w:r>
        <w:rPr>
          <w:spacing w:val="-64"/>
        </w:rPr>
        <w:t> </w:t>
      </w:r>
      <w:r>
        <w:rPr>
          <w:spacing w:val="-64"/>
        </w:rPr>
      </w:r>
      <w:r>
        <w:rPr/>
        <w:t>情况下该金融资产在转回日的摊余成本。</w:t>
      </w:r>
    </w:p>
    <w:p>
      <w:pPr>
        <w:pStyle w:val="BodyText"/>
        <w:spacing w:line="316" w:lineRule="auto" w:before="19"/>
        <w:ind w:left="513" w:right="0"/>
        <w:jc w:val="left"/>
      </w:pPr>
      <w:r>
        <w:rPr/>
        <w:t>可供出售金融资产 </w:t>
      </w:r>
      <w:r>
        <w:rPr>
          <w:spacing w:val="-2"/>
        </w:rPr>
        <w:t>如果有客观证据表明该金融资产发生减值，原直接计入资本公积的因公允价值下降形成的累计损失，予以转出，计入当</w:t>
      </w:r>
    </w:p>
    <w:p>
      <w:pPr>
        <w:pStyle w:val="BodyText"/>
        <w:spacing w:line="316" w:lineRule="auto" w:before="19"/>
        <w:ind w:right="0"/>
        <w:jc w:val="left"/>
      </w:pPr>
      <w:r>
        <w:rPr>
          <w:spacing w:val="-2"/>
        </w:rPr>
        <w:t>期损益。该转出的累计损失，为可供出售金融资产的初始取得成本扣除已收回本金和已摊销金额、当前公允价值和原已计入</w:t>
      </w:r>
      <w:r>
        <w:rPr>
          <w:spacing w:val="-64"/>
        </w:rPr>
        <w:t> </w:t>
      </w:r>
      <w:r>
        <w:rPr>
          <w:spacing w:val="-64"/>
        </w:rPr>
      </w:r>
      <w:r>
        <w:rPr/>
        <w:t>损益的减值损失后的余额。</w:t>
      </w:r>
    </w:p>
    <w:p>
      <w:pPr>
        <w:pStyle w:val="BodyText"/>
        <w:spacing w:line="316" w:lineRule="auto" w:before="19"/>
        <w:ind w:right="150" w:firstLine="360"/>
        <w:jc w:val="both"/>
      </w:pPr>
      <w:r>
        <w:rPr>
          <w:spacing w:val="-2"/>
        </w:rPr>
        <w:t>在确认减值损失后，期后如有客观证据表明该金融资产价值已恢复，且客观上与确认该损失后发生的事项有关，原确认</w:t>
      </w:r>
      <w:r>
        <w:rPr/>
        <w:t> </w:t>
      </w:r>
      <w:r>
        <w:rPr>
          <w:spacing w:val="-2"/>
        </w:rPr>
        <w:t>的减值损失予以转回，可供出售权益工具投资的减值损失转回确认为其他综合收益，可供出售债务工具的减值损失转回计入</w:t>
      </w:r>
      <w:r>
        <w:rPr>
          <w:spacing w:val="-64"/>
        </w:rPr>
        <w:t> </w:t>
      </w:r>
      <w:r>
        <w:rPr>
          <w:spacing w:val="-64"/>
        </w:rPr>
      </w:r>
      <w:r>
        <w:rPr/>
        <w:t>当期损益。</w:t>
      </w:r>
    </w:p>
    <w:p>
      <w:pPr>
        <w:pStyle w:val="BodyText"/>
        <w:spacing w:line="316" w:lineRule="auto" w:before="19"/>
        <w:ind w:left="513" w:right="0"/>
        <w:jc w:val="left"/>
      </w:pPr>
      <w:r>
        <w:rPr/>
        <w:t>以成本计量的金融资产 </w:t>
      </w:r>
      <w:r>
        <w:rPr>
          <w:spacing w:val="-2"/>
        </w:rPr>
        <w:t>在活跃市场中没有报价且其公允价值不能可靠计量的权益工具投资，或与该权益工具挂钩并须通过交付该权益工具结算</w:t>
      </w:r>
    </w:p>
    <w:p>
      <w:pPr>
        <w:pStyle w:val="BodyText"/>
        <w:spacing w:line="316" w:lineRule="auto" w:before="19"/>
        <w:ind w:right="0"/>
        <w:jc w:val="left"/>
      </w:pPr>
      <w:r>
        <w:rPr>
          <w:spacing w:val="-2"/>
        </w:rPr>
        <w:t>的衍生金融资产发生减值时，将该金融资产的账面价值，与按照类似金融资产当时市场收益率对未来现金流量折现确定的现</w:t>
      </w:r>
      <w:r>
        <w:rPr>
          <w:spacing w:val="-62"/>
        </w:rPr>
        <w:t> </w:t>
      </w:r>
      <w:r>
        <w:rPr>
          <w:spacing w:val="-62"/>
        </w:rPr>
      </w:r>
      <w:r>
        <w:rPr/>
        <w:t>值之间的差额，确认为减值损失，计入当期损益。发生的减值损失一经确认，不得转回。</w:t>
      </w:r>
    </w:p>
    <w:p>
      <w:pPr>
        <w:spacing w:after="0" w:line="316"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2839"/>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2839"/>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期末余额达到 </w:t>
            </w:r>
            <w:r>
              <w:rPr>
                <w:rFonts w:ascii="Times New Roman" w:hAnsi="Times New Roman" w:cs="Times New Roman" w:eastAsia="Times New Roman" w:hint="default"/>
                <w:sz w:val="18"/>
                <w:szCs w:val="18"/>
              </w:rPr>
              <w:t>100 </w:t>
            </w:r>
            <w:r>
              <w:rPr>
                <w:rFonts w:ascii="宋体" w:hAnsi="宋体" w:cs="宋体" w:eastAsia="宋体" w:hint="default"/>
                <w:spacing w:val="-6"/>
                <w:sz w:val="18"/>
                <w:szCs w:val="18"/>
              </w:rPr>
              <w:t>万元（含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万元）以上的应收款项为单 项金额重大的应收款项。</w:t>
            </w:r>
          </w:p>
        </w:tc>
      </w:tr>
      <w:tr>
        <w:trPr>
          <w:trHeight w:val="164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对于单项金额重大的应收款项单独进行减值测试，当存在客 观证据表明本公司将无法按应收款项的原有条款收回所有款 项时，根据其未来现金流量现值低于其账面价值的差额，单 独进行减值测试，计提坏账准备。单项金额重大经单独测试 未发生减值的应收款项，再按组合计提坏账准备。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2839"/>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按款项账龄的组合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按款项性质的组合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特定资产组合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49"/>
        <w:ind w:right="2839"/>
        <w:jc w:val="left"/>
      </w:pPr>
      <w:r>
        <w:rPr/>
        <w:t>组合中，采用账龄分析法计提坏账准备的：</w:t>
      </w:r>
    </w:p>
    <w:p>
      <w:pPr>
        <w:pStyle w:val="BodyText"/>
        <w:spacing w:line="240" w:lineRule="auto" w:before="115"/>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其中：无双科技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其中：无双科技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7-12 </w:t>
            </w:r>
            <w:r>
              <w:rPr>
                <w:rFonts w:ascii="宋体" w:hAnsi="宋体" w:cs="宋体" w:eastAsia="宋体" w:hint="default"/>
                <w:sz w:val="18"/>
                <w:szCs w:val="18"/>
              </w:rPr>
              <w:t>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2839"/>
        <w:jc w:val="left"/>
      </w:pPr>
      <w:r>
        <w:rPr/>
        <w:t>组合中，采用余额百分比法计提坏账准备的：</w:t>
      </w:r>
    </w:p>
    <w:p>
      <w:pPr>
        <w:pStyle w:val="BodyText"/>
        <w:spacing w:line="340" w:lineRule="auto" w:before="115"/>
        <w:ind w:right="65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39"/>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按款项性质组合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按款项性质组合（按风险余额对应账龄 法计提坏账准备）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同账龄分析法</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特定资产组合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83"/>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102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对于单项金额非重大的应收款项，本公司将其与经单独测试 后未减值的应收款项一起按信用风险特征划分为若干组合， 计提坏账准备。</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line="240" w:lineRule="auto" w:before="3"/>
        <w:rPr>
          <w:rFonts w:ascii="宋体" w:hAnsi="宋体" w:cs="宋体" w:eastAsia="宋体" w:hint="default"/>
          <w:b/>
          <w:bCs/>
          <w:sz w:val="19"/>
          <w:szCs w:val="19"/>
        </w:rPr>
      </w:pPr>
    </w:p>
    <w:p>
      <w:pPr>
        <w:pStyle w:val="Heading3"/>
        <w:spacing w:line="240" w:lineRule="auto" w:before="36"/>
        <w:ind w:right="183"/>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spacing w:line="316" w:lineRule="auto" w:before="27"/>
        <w:ind w:left="513" w:right="477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1</w:t>
      </w:r>
      <w:r>
        <w:rPr>
          <w:rFonts w:ascii="宋体" w:hAnsi="宋体" w:cs="宋体" w:eastAsia="宋体" w:hint="default"/>
          <w:b/>
          <w:bCs/>
          <w:sz w:val="18"/>
          <w:szCs w:val="18"/>
        </w:rPr>
        <w:t>）存货的分类</w:t>
      </w:r>
      <w:r>
        <w:rPr>
          <w:rFonts w:ascii="宋体" w:hAnsi="宋体" w:cs="宋体" w:eastAsia="宋体" w:hint="default"/>
          <w:b/>
          <w:bCs/>
          <w:w w:val="99"/>
          <w:sz w:val="18"/>
          <w:szCs w:val="18"/>
        </w:rPr>
        <w:t> </w:t>
      </w:r>
      <w:r>
        <w:rPr>
          <w:rFonts w:ascii="宋体" w:hAnsi="宋体" w:cs="宋体" w:eastAsia="宋体" w:hint="default"/>
          <w:sz w:val="18"/>
          <w:szCs w:val="18"/>
        </w:rPr>
        <w:t>存货包括库存材料、库存商品、低值易耗品、备品备件等。</w:t>
      </w:r>
    </w:p>
    <w:p>
      <w:pPr>
        <w:spacing w:line="316" w:lineRule="auto" w:before="19"/>
        <w:ind w:left="513" w:right="441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）发出存货的计价方法</w:t>
      </w:r>
      <w:r>
        <w:rPr>
          <w:rFonts w:ascii="宋体" w:hAnsi="宋体" w:cs="宋体" w:eastAsia="宋体" w:hint="default"/>
          <w:b/>
          <w:bCs/>
          <w:w w:val="99"/>
          <w:sz w:val="18"/>
          <w:szCs w:val="18"/>
        </w:rPr>
        <w:t> </w:t>
      </w:r>
      <w:r>
        <w:rPr>
          <w:rFonts w:ascii="宋体" w:hAnsi="宋体" w:cs="宋体" w:eastAsia="宋体" w:hint="default"/>
          <w:sz w:val="18"/>
          <w:szCs w:val="18"/>
        </w:rPr>
        <w:t>外购、自制的存货按实际成本计价，发出存货采用个别计价法。</w:t>
      </w:r>
    </w:p>
    <w:p>
      <w:pPr>
        <w:spacing w:line="316" w:lineRule="auto" w:before="19"/>
        <w:ind w:left="513" w:right="18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3</w:t>
      </w:r>
      <w:r>
        <w:rPr>
          <w:rFonts w:ascii="宋体" w:hAnsi="宋体" w:cs="宋体" w:eastAsia="宋体" w:hint="default"/>
          <w:b/>
          <w:bCs/>
          <w:sz w:val="18"/>
          <w:szCs w:val="18"/>
        </w:rPr>
        <w:t>）存货可变现净值的确定依据及存货跌价准备的计提方法</w:t>
      </w:r>
      <w:r>
        <w:rPr>
          <w:rFonts w:ascii="宋体" w:hAnsi="宋体" w:cs="宋体" w:eastAsia="宋体" w:hint="default"/>
          <w:b/>
          <w:bCs/>
          <w:w w:val="99"/>
          <w:sz w:val="18"/>
          <w:szCs w:val="18"/>
        </w:rPr>
        <w:t> </w:t>
      </w:r>
      <w:r>
        <w:rPr>
          <w:rFonts w:ascii="宋体" w:hAnsi="宋体" w:cs="宋体" w:eastAsia="宋体" w:hint="default"/>
          <w:spacing w:val="-2"/>
          <w:sz w:val="18"/>
          <w:szCs w:val="18"/>
        </w:rPr>
        <w:t>期末存货按成本与可变现净值孰低计价，并按单个存货项目比较存货成本与可变现净值孰低，如存货可变现净值低于存</w:t>
      </w:r>
    </w:p>
    <w:p>
      <w:pPr>
        <w:pStyle w:val="BodyText"/>
        <w:spacing w:line="316" w:lineRule="auto" w:before="19"/>
        <w:ind w:right="183"/>
        <w:jc w:val="left"/>
      </w:pPr>
      <w:r>
        <w:rPr>
          <w:spacing w:val="-2"/>
        </w:rPr>
        <w:t>货成本，按其差额计提存货跌价准备，计入当期损益。存货可变现净值以估计售价减去估计将要发生的成本、估计的销售费</w:t>
      </w:r>
      <w:r>
        <w:rPr>
          <w:spacing w:val="-64"/>
        </w:rPr>
        <w:t> </w:t>
      </w:r>
      <w:r>
        <w:rPr>
          <w:spacing w:val="-64"/>
        </w:rPr>
      </w:r>
      <w:r>
        <w:rPr/>
        <w:t>用以及相关税费后的金额确定。</w:t>
      </w:r>
    </w:p>
    <w:p>
      <w:pPr>
        <w:spacing w:line="316" w:lineRule="auto" w:before="19"/>
        <w:ind w:left="513" w:right="639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4</w:t>
      </w:r>
      <w:r>
        <w:rPr>
          <w:rFonts w:ascii="宋体" w:hAnsi="宋体" w:cs="宋体" w:eastAsia="宋体" w:hint="default"/>
          <w:b/>
          <w:bCs/>
          <w:sz w:val="18"/>
          <w:szCs w:val="18"/>
        </w:rPr>
        <w:t>）存货的盘存制度</w:t>
      </w:r>
      <w:r>
        <w:rPr>
          <w:rFonts w:ascii="宋体" w:hAnsi="宋体" w:cs="宋体" w:eastAsia="宋体" w:hint="default"/>
          <w:b/>
          <w:bCs/>
          <w:w w:val="99"/>
          <w:sz w:val="18"/>
          <w:szCs w:val="18"/>
        </w:rPr>
        <w:t> </w:t>
      </w:r>
      <w:r>
        <w:rPr>
          <w:rFonts w:ascii="宋体" w:hAnsi="宋体" w:cs="宋体" w:eastAsia="宋体" w:hint="default"/>
          <w:sz w:val="18"/>
          <w:szCs w:val="18"/>
        </w:rPr>
        <w:t>本公司的存货盘存制度为永续盘存制。</w:t>
      </w:r>
    </w:p>
    <w:p>
      <w:pPr>
        <w:spacing w:line="316" w:lineRule="auto" w:before="19"/>
        <w:ind w:left="513" w:right="603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5</w:t>
      </w:r>
      <w:r>
        <w:rPr>
          <w:rFonts w:ascii="宋体" w:hAnsi="宋体" w:cs="宋体" w:eastAsia="宋体" w:hint="default"/>
          <w:b/>
          <w:bCs/>
          <w:sz w:val="18"/>
          <w:szCs w:val="18"/>
        </w:rPr>
        <w:t>）低值易耗品和包装物的摊销方法</w:t>
      </w:r>
      <w:r>
        <w:rPr>
          <w:rFonts w:ascii="宋体" w:hAnsi="宋体" w:cs="宋体" w:eastAsia="宋体" w:hint="default"/>
          <w:b/>
          <w:bCs/>
          <w:w w:val="99"/>
          <w:sz w:val="18"/>
          <w:szCs w:val="18"/>
        </w:rPr>
        <w:t> </w:t>
      </w:r>
      <w:r>
        <w:rPr>
          <w:rFonts w:ascii="宋体" w:hAnsi="宋体" w:cs="宋体" w:eastAsia="宋体" w:hint="default"/>
          <w:sz w:val="18"/>
          <w:szCs w:val="18"/>
        </w:rPr>
        <w:t>低值易耗品和包装物采用一次转销法摊销。</w:t>
      </w:r>
    </w:p>
    <w:p>
      <w:pPr>
        <w:spacing w:line="240" w:lineRule="auto" w:before="10"/>
        <w:rPr>
          <w:rFonts w:ascii="宋体" w:hAnsi="宋体" w:cs="宋体" w:eastAsia="宋体" w:hint="default"/>
          <w:sz w:val="22"/>
          <w:szCs w:val="22"/>
        </w:rPr>
      </w:pPr>
    </w:p>
    <w:p>
      <w:pPr>
        <w:pStyle w:val="Heading3"/>
        <w:spacing w:line="240" w:lineRule="auto"/>
        <w:ind w:right="183"/>
        <w:jc w:val="left"/>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2"/>
        <w:rPr>
          <w:rFonts w:ascii="宋体" w:hAnsi="宋体" w:cs="宋体" w:eastAsia="宋体" w:hint="default"/>
          <w:b/>
          <w:bCs/>
          <w:sz w:val="26"/>
          <w:szCs w:val="26"/>
        </w:rPr>
      </w:pPr>
    </w:p>
    <w:p>
      <w:pPr>
        <w:pStyle w:val="BodyText"/>
        <w:spacing w:line="314" w:lineRule="auto"/>
        <w:ind w:right="189" w:firstLine="420"/>
        <w:jc w:val="both"/>
      </w:pPr>
      <w:r>
        <w:rPr/>
        <w:t>本公司若主要通过出售（包括具有商业实质的非货币性资产交换，下同）而非持续使用一项非流动资产或处置组收回 </w:t>
      </w:r>
      <w:r>
        <w:rPr>
          <w:spacing w:val="-2"/>
        </w:rPr>
        <w:t>其账面价值的，则将其划分为持有待售类别。具体标准为同时满足以下条件：某项非流动资产或处置组根据类似交易中出售</w:t>
      </w:r>
      <w:r>
        <w:rPr>
          <w:spacing w:val="-63"/>
        </w:rPr>
        <w:t> </w:t>
      </w:r>
      <w:r>
        <w:rPr>
          <w:spacing w:val="-63"/>
        </w:rPr>
      </w:r>
      <w:r>
        <w:rPr>
          <w:spacing w:val="-2"/>
        </w:rPr>
        <w:t>此类资产或处置组的惯例，在当前状况下即可立即出售；本公司已经就出售计划作出决议且获得确定的购买承诺；预计出售</w:t>
      </w:r>
      <w:r>
        <w:rPr>
          <w:spacing w:val="-63"/>
        </w:rPr>
        <w:t> </w:t>
      </w:r>
      <w:r>
        <w:rPr>
          <w:spacing w:val="-63"/>
        </w:rPr>
      </w:r>
      <w:r>
        <w:rPr>
          <w:spacing w:val="-2"/>
        </w:rPr>
        <w:t>将在一年内完成。其中，处置组是指在一项交易中作为整体通过出售或其他方式一并处置的一组资产，以及在该交易中转让</w:t>
      </w:r>
      <w:r>
        <w:rPr>
          <w:spacing w:val="-64"/>
        </w:rPr>
        <w:t> </w:t>
      </w:r>
      <w:r>
        <w:rPr>
          <w:spacing w:val="-64"/>
        </w:rPr>
      </w:r>
      <w:r>
        <w:rPr/>
        <w:t>的与这些资产直接相关的负债。处置组所属的资产组或资产组组合按照《企业会计准则第</w:t>
      </w:r>
      <w:r>
        <w:rPr>
          <w:spacing w:val="5"/>
        </w:rPr>
        <w:t> </w:t>
      </w:r>
      <w:r>
        <w:rPr>
          <w:rFonts w:ascii="Times New Roman" w:hAnsi="Times New Roman" w:cs="Times New Roman" w:eastAsia="Times New Roman" w:hint="default"/>
        </w:rPr>
        <w:t>8 </w:t>
      </w:r>
      <w:r>
        <w:rPr/>
        <w:t>号</w:t>
      </w:r>
      <w:r>
        <w:rPr>
          <w:rFonts w:ascii="Times New Roman" w:hAnsi="Times New Roman" w:cs="Times New Roman" w:eastAsia="Times New Roman" w:hint="default"/>
        </w:rPr>
        <w:t>——</w:t>
      </w:r>
      <w:r>
        <w:rPr/>
        <w:t>资产减值》分摊了企业</w:t>
      </w:r>
      <w:r>
        <w:rPr>
          <w:spacing w:val="-88"/>
        </w:rPr>
        <w:t> </w:t>
      </w:r>
      <w:r>
        <w:rPr>
          <w:spacing w:val="-88"/>
        </w:rPr>
      </w:r>
      <w:r>
        <w:rPr/>
        <w:t>合并中取得的商誉的，该处置组应当包含分摊至处置组的商誉。</w:t>
      </w:r>
    </w:p>
    <w:p>
      <w:pPr>
        <w:pStyle w:val="BodyText"/>
        <w:spacing w:line="316" w:lineRule="auto" w:before="20"/>
        <w:ind w:right="94" w:firstLine="420"/>
        <w:jc w:val="left"/>
      </w:pPr>
      <w:r>
        <w:rPr/>
        <w:t>本公司初始计量或在资产负债表日重新计量划分为持有待售的非流动资产和处置组时，其账面价值高于公允价值减去 </w:t>
      </w:r>
      <w:r>
        <w:rPr>
          <w:spacing w:val="-5"/>
        </w:rPr>
        <w:t>出售费用后的净额的，将账面价值减记至公允价值减去出售费用后的净额，减记的金额确认为资产减值损失，计入当期损益，</w:t>
      </w:r>
      <w:r>
        <w:rPr>
          <w:spacing w:val="-76"/>
        </w:rPr>
        <w:t> </w:t>
      </w:r>
      <w:r>
        <w:rPr>
          <w:spacing w:val="-76"/>
        </w:rPr>
      </w:r>
      <w:r>
        <w:rPr>
          <w:spacing w:val="-2"/>
        </w:rPr>
        <w:t>同时计提持有待售资产减值准备。对于处置组，所确认的资产减值损失先抵减处置组中商誉的账面价值，再按比例抵减该处</w:t>
      </w:r>
      <w:r>
        <w:rPr>
          <w:spacing w:val="-66"/>
        </w:rPr>
        <w:t> </w:t>
      </w:r>
      <w:r>
        <w:rPr>
          <w:spacing w:val="-66"/>
        </w:rPr>
      </w:r>
      <w:r>
        <w:rPr/>
        <w:t>置组内适用《企业会计准则第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持有待售的非流动资产、处置组和终止经营》（以下简称</w:t>
      </w:r>
      <w:r>
        <w:rPr>
          <w:rFonts w:ascii="Times New Roman" w:hAnsi="Times New Roman" w:cs="Times New Roman" w:eastAsia="Times New Roman" w:hint="default"/>
        </w:rPr>
        <w:t>“</w:t>
      </w:r>
      <w:r>
        <w:rPr/>
        <w:t>持有待售准则</w:t>
      </w:r>
      <w:r>
        <w:rPr>
          <w:rFonts w:ascii="Times New Roman" w:hAnsi="Times New Roman" w:cs="Times New Roman" w:eastAsia="Times New Roman" w:hint="default"/>
        </w:rPr>
        <w:t>”</w:t>
      </w:r>
      <w:r>
        <w:rPr/>
        <w:t>）的计量规 </w:t>
      </w:r>
      <w:r>
        <w:rPr>
          <w:spacing w:val="-2"/>
        </w:rPr>
        <w:t>定的各项非流动资产的账面价值。后续资产负债表日持有待售的处置组公允价值减去出售费用后的净额增加的，以前减记的</w:t>
      </w:r>
      <w:r>
        <w:rPr>
          <w:spacing w:val="-63"/>
        </w:rPr>
        <w:t> </w:t>
      </w:r>
      <w:r>
        <w:rPr>
          <w:spacing w:val="-63"/>
        </w:rPr>
      </w:r>
      <w:r>
        <w:rPr/>
        <w:t>金额应当予以恢复，并在划分为持有待售类别后适用持有待售准则计量规定的非流动资产确认的资产减值损失金额内转回，</w:t>
      </w:r>
      <w:r>
        <w:rPr>
          <w:spacing w:val="-83"/>
        </w:rPr>
        <w:t> </w:t>
      </w:r>
      <w:r>
        <w:rPr>
          <w:spacing w:val="-83"/>
        </w:rPr>
      </w:r>
      <w:r>
        <w:rPr>
          <w:spacing w:val="-2"/>
        </w:rPr>
        <w:t>转回金额计入当期损益，并根据处置组中除商誉外适用持有待售准则计量规定的各项非流动资产账面价值所占比重按比例增</w:t>
      </w:r>
      <w:r>
        <w:rPr>
          <w:spacing w:val="-64"/>
        </w:rPr>
        <w:t> </w:t>
      </w:r>
      <w:r>
        <w:rPr>
          <w:spacing w:val="-64"/>
        </w:rPr>
      </w:r>
      <w:r>
        <w:rPr>
          <w:spacing w:val="-2"/>
        </w:rPr>
        <w:t>加其账面价值；已抵减的商誉账面价值，以及适用持有待售准则计量规定的非流动资产在划分为持有待售类别前确认的资产</w:t>
      </w:r>
      <w:r>
        <w:rPr>
          <w:spacing w:val="-64"/>
        </w:rPr>
        <w:t> </w:t>
      </w:r>
      <w:r>
        <w:rPr>
          <w:spacing w:val="-64"/>
        </w:rPr>
      </w:r>
      <w:r>
        <w:rPr/>
        <w:t>减值损失不得转回。</w:t>
      </w:r>
    </w:p>
    <w:p>
      <w:pPr>
        <w:pStyle w:val="BodyText"/>
        <w:spacing w:line="319" w:lineRule="auto" w:before="19"/>
        <w:ind w:right="183" w:firstLine="420"/>
        <w:jc w:val="left"/>
      </w:pPr>
      <w:r>
        <w:rPr/>
        <w:t>持有待售的非流动资产或处置组中的非流动资产不计提折旧或摊销，持有待售的处置组中负债的利息和其他费用继续 予以确认。</w:t>
      </w:r>
    </w:p>
    <w:p>
      <w:pPr>
        <w:pStyle w:val="BodyText"/>
        <w:spacing w:line="240" w:lineRule="auto" w:before="17"/>
        <w:ind w:left="573" w:right="183"/>
        <w:jc w:val="left"/>
      </w:pPr>
      <w:r>
        <w:rPr/>
        <w:t>非流动资产或处置组不再满足持有待售类别的划分条件时，本公司不再将其继续划分为持有待售类别或将非流动资产</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00" w:lineRule="auto" w:before="44"/>
        <w:ind w:right="152"/>
        <w:jc w:val="both"/>
      </w:pPr>
      <w:r>
        <w:rPr/>
        <w:t>从持有待售的处置组中移除，并按照以下两者孰低计量：（</w:t>
      </w:r>
      <w:r>
        <w:rPr>
          <w:rFonts w:ascii="Times New Roman" w:hAnsi="Times New Roman" w:cs="Times New Roman" w:eastAsia="Times New Roman" w:hint="default"/>
        </w:rPr>
        <w:t>1</w:t>
      </w:r>
      <w:r>
        <w:rPr/>
        <w:t>）划分为持有待售类别前的账面价值，按照假定不划分为持有</w:t>
      </w:r>
      <w:r>
        <w:rPr>
          <w:spacing w:val="-83"/>
        </w:rPr>
        <w:t> </w:t>
      </w:r>
      <w:r>
        <w:rPr>
          <w:spacing w:val="-83"/>
        </w:rPr>
      </w:r>
      <w:r>
        <w:rPr/>
        <w:t>待售类别情况下本应确认的折旧、摊销或减值等进行调整后的金额；（</w:t>
      </w:r>
      <w:r>
        <w:rPr>
          <w:rFonts w:ascii="Times New Roman" w:hAnsi="Times New Roman" w:cs="Times New Roman" w:eastAsia="Times New Roman" w:hint="default"/>
        </w:rPr>
        <w:t>2</w:t>
      </w:r>
      <w:r>
        <w:rPr/>
        <w:t>）可收回金额。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3"/>
        <w:ind w:right="0"/>
        <w:jc w:val="both"/>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3" w:firstLine="420"/>
        <w:jc w:val="both"/>
      </w:pPr>
      <w:r>
        <w:rPr/>
        <w:t>本部分所指的长期股权投资是指本公司对被投资单位具有控制、共同控制或重大影响的长期股权投资。本公司对被投 </w:t>
      </w:r>
      <w:r>
        <w:rPr>
          <w:spacing w:val="-2"/>
        </w:rPr>
        <w:t>资单位不具有控制、共同控制或重大影响的长期股权投资，作为可供出售金融资产或以公允价值计量且其变动计入当期损益</w:t>
      </w:r>
      <w:r>
        <w:rPr>
          <w:spacing w:val="-64"/>
        </w:rPr>
        <w:t> </w:t>
      </w:r>
      <w:r>
        <w:rPr>
          <w:spacing w:val="-64"/>
        </w:rPr>
      </w:r>
      <w:r>
        <w:rPr/>
        <w:t>的金融资产核算。</w:t>
      </w:r>
    </w:p>
    <w:p>
      <w:pPr>
        <w:pStyle w:val="BodyText"/>
        <w:spacing w:line="316" w:lineRule="auto" w:before="19"/>
        <w:ind w:left="573" w:right="0"/>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）投资成本的确定</w:t>
      </w:r>
      <w:r>
        <w:rPr>
          <w:rFonts w:ascii="宋体" w:hAnsi="宋体" w:cs="宋体" w:eastAsia="宋体" w:hint="default"/>
          <w:b/>
          <w:bCs/>
          <w:w w:val="99"/>
        </w:rPr>
        <w:t> </w:t>
      </w:r>
      <w:r>
        <w:rPr/>
        <w:t>对于同一控制下的企业合并取得的长期股权投资，在合并日按照被合并方所有者权益在最终控制方合并财务报表中的</w:t>
      </w:r>
    </w:p>
    <w:p>
      <w:pPr>
        <w:pStyle w:val="BodyText"/>
        <w:spacing w:line="316" w:lineRule="auto" w:before="19"/>
        <w:ind w:right="148"/>
        <w:jc w:val="both"/>
      </w:pPr>
      <w:r>
        <w:rPr>
          <w:spacing w:val="-2"/>
        </w:rPr>
        <w:t>账面价值的份额作为长期股权投资的初始投资成本。长期股权投资初始投资成本与支付的现金、转让的非现金资产以及所承</w:t>
      </w:r>
      <w:r>
        <w:rPr>
          <w:spacing w:val="-64"/>
        </w:rPr>
        <w:t> </w:t>
      </w:r>
      <w:r>
        <w:rPr>
          <w:spacing w:val="-64"/>
        </w:rPr>
      </w:r>
      <w:r>
        <w:rPr>
          <w:spacing w:val="-2"/>
        </w:rPr>
        <w:t>担债务账面价值之间的差额，调整资本公积；资本公积不足冲减的，调整留存收益。以发行权益性证券作为合并对价的，在</w:t>
      </w:r>
      <w:r>
        <w:rPr>
          <w:spacing w:val="-67"/>
        </w:rPr>
        <w:t> </w:t>
      </w:r>
      <w:r>
        <w:rPr>
          <w:spacing w:val="-67"/>
        </w:rPr>
      </w:r>
      <w:r>
        <w:rPr>
          <w:spacing w:val="-2"/>
        </w:rPr>
        <w:t>合并日按照被合并方所有者权益在最终控制方合并财务报表中的账面价值的份额作为长期股权投资的初始投资成本，按照发</w:t>
      </w:r>
      <w:r>
        <w:rPr>
          <w:spacing w:val="-64"/>
        </w:rPr>
        <w:t> </w:t>
      </w:r>
      <w:r>
        <w:rPr>
          <w:spacing w:val="-64"/>
        </w:rPr>
      </w:r>
      <w:r>
        <w:rPr>
          <w:spacing w:val="-2"/>
        </w:rPr>
        <w:t>行股份的面值总额作为股本，长期股权投资初始投资成本与所发行股份面值总额之间的差额，调整资本公积；资本公积不足</w:t>
      </w:r>
      <w:r>
        <w:rPr>
          <w:spacing w:val="-65"/>
        </w:rPr>
        <w:t> </w:t>
      </w:r>
      <w:r>
        <w:rPr>
          <w:spacing w:val="-65"/>
        </w:rPr>
      </w:r>
      <w:r>
        <w:rPr>
          <w:spacing w:val="-2"/>
        </w:rPr>
        <w:t>冲减的，调整留存收益。通过多次交易分步取得同一控制下被合并方的股权，最终形成同一控制下企业合并的，应分别是否</w:t>
      </w:r>
      <w:r>
        <w:rPr>
          <w:spacing w:val="-64"/>
        </w:rPr>
        <w:t> </w:t>
      </w:r>
      <w:r>
        <w:rPr>
          <w:spacing w:val="-64"/>
        </w:rPr>
      </w:r>
      <w:r>
        <w:rPr>
          <w:spacing w:val="-2"/>
        </w:rPr>
        <w:t>属于“一揽子交易”进行处理：属于“一揽子交易”的，将各项交易作为一项取得控制权的交易进行会计处理。不属于“一</w:t>
      </w:r>
      <w:r>
        <w:rPr>
          <w:spacing w:val="-65"/>
        </w:rPr>
        <w:t> </w:t>
      </w:r>
      <w:r>
        <w:rPr>
          <w:spacing w:val="-65"/>
        </w:rPr>
      </w:r>
      <w:r>
        <w:rPr>
          <w:spacing w:val="-2"/>
        </w:rPr>
        <w:t>揽子交易”的，在合并日按照应享有被合并方股东权益在最终控制方合并财务报表中的账面价值的份额作为长期股权投资的</w:t>
      </w:r>
      <w:r>
        <w:rPr>
          <w:spacing w:val="-64"/>
        </w:rPr>
        <w:t> </w:t>
      </w:r>
      <w:r>
        <w:rPr>
          <w:spacing w:val="-64"/>
        </w:rPr>
      </w:r>
      <w:r>
        <w:rPr>
          <w:spacing w:val="-2"/>
        </w:rPr>
        <w:t>初始投资成本，长期股权投资初始投资成本与达到合并前的长期股权投资账面价值加上合并日进一步取得股份新支付对价的</w:t>
      </w:r>
      <w:r>
        <w:rPr>
          <w:spacing w:val="-64"/>
        </w:rPr>
        <w:t> </w:t>
      </w:r>
      <w:r>
        <w:rPr>
          <w:spacing w:val="-64"/>
        </w:rPr>
      </w:r>
      <w:r>
        <w:rPr>
          <w:spacing w:val="-2"/>
        </w:rPr>
        <w:t>账面价值之和的差额，调整资本公积；资本公积不足冲减的，调整留存收益。合并日之前持有的股权投资因采用权益法核算</w:t>
      </w:r>
      <w:r>
        <w:rPr>
          <w:spacing w:val="-63"/>
        </w:rPr>
        <w:t> </w:t>
      </w:r>
      <w:r>
        <w:rPr>
          <w:spacing w:val="-63"/>
        </w:rPr>
      </w:r>
      <w:r>
        <w:rPr/>
        <w:t>或为可供出售金融资产而确认的其他综合收益，暂不进行会计处理。</w:t>
      </w:r>
    </w:p>
    <w:p>
      <w:pPr>
        <w:pStyle w:val="BodyText"/>
        <w:spacing w:line="316" w:lineRule="auto" w:before="19"/>
        <w:ind w:right="148" w:firstLine="420"/>
        <w:jc w:val="both"/>
      </w:pPr>
      <w:r>
        <w:rPr/>
        <w:t>对于非同一控制下的企业合并取得的长期股权投资，在购买日按照合并成本作为长期股权投资的初始投资成本，合并 </w:t>
      </w:r>
      <w:r>
        <w:rPr>
          <w:spacing w:val="-2"/>
        </w:rPr>
        <w:t>成本包括包括购买方付出的资产、发生或承担的负债、发行的权益性证券的公允价值之和。通过多次交易分步取得被购买方</w:t>
      </w:r>
      <w:r>
        <w:rPr>
          <w:spacing w:val="-66"/>
        </w:rPr>
        <w:t> </w:t>
      </w:r>
      <w:r>
        <w:rPr>
          <w:spacing w:val="-66"/>
        </w:rPr>
      </w:r>
      <w:r>
        <w:rPr>
          <w:spacing w:val="-2"/>
        </w:rPr>
        <w:t>的股权，最终形成非同一控制下的企业合并的，应分别是否属于“一揽子交易”进行处理：属于“一揽子交易”的，将各项</w:t>
      </w:r>
      <w:r>
        <w:rPr>
          <w:spacing w:val="-64"/>
        </w:rPr>
        <w:t> </w:t>
      </w:r>
      <w:r>
        <w:rPr>
          <w:spacing w:val="-64"/>
        </w:rPr>
      </w:r>
      <w:r>
        <w:rPr>
          <w:spacing w:val="-2"/>
        </w:rPr>
        <w:t>交易作为一项取得控制权的交易进行会计处理。不属于“一揽子交易”的，按照原持有被购买方的股权投资账面价值加上新</w:t>
      </w:r>
      <w:r>
        <w:rPr>
          <w:spacing w:val="-65"/>
        </w:rPr>
        <w:t> </w:t>
      </w:r>
      <w:r>
        <w:rPr>
          <w:spacing w:val="-65"/>
        </w:rPr>
      </w:r>
      <w:r>
        <w:rPr>
          <w:spacing w:val="-2"/>
        </w:rPr>
        <w:t>增投资成本之和，作为改按成本法核算的长期股权投资的初始投资成本。原持有的股权采用权益法核算的，相关其他综合收</w:t>
      </w:r>
      <w:r>
        <w:rPr>
          <w:spacing w:val="-63"/>
        </w:rPr>
        <w:t> </w:t>
      </w:r>
      <w:r>
        <w:rPr>
          <w:spacing w:val="-63"/>
        </w:rPr>
      </w:r>
      <w:r>
        <w:rPr>
          <w:spacing w:val="-2"/>
        </w:rPr>
        <w:t>益暂不进行会计处理。原持有股权投资为可供出售金融资产的，其公允价值与账面价值之间的差额，以及原计入其他综合收</w:t>
      </w:r>
      <w:r>
        <w:rPr>
          <w:spacing w:val="-63"/>
        </w:rPr>
        <w:t> </w:t>
      </w:r>
      <w:r>
        <w:rPr>
          <w:spacing w:val="-63"/>
        </w:rPr>
      </w:r>
      <w:r>
        <w:rPr/>
        <w:t>益的累计公允价值变动转入当期损益。</w:t>
      </w:r>
    </w:p>
    <w:p>
      <w:pPr>
        <w:pStyle w:val="BodyText"/>
        <w:spacing w:line="316" w:lineRule="auto" w:before="19"/>
        <w:ind w:right="158" w:firstLine="420"/>
        <w:jc w:val="both"/>
      </w:pPr>
      <w:r>
        <w:rPr/>
        <w:t>合并方或购买方为企业合并发生的审计、法律服务、评估咨询等中介费用以及其他相关管理费用，于发生时计入当期 损益。</w:t>
      </w:r>
    </w:p>
    <w:p>
      <w:pPr>
        <w:pStyle w:val="BodyText"/>
        <w:spacing w:line="319" w:lineRule="auto" w:before="19"/>
        <w:ind w:right="149" w:firstLine="420"/>
        <w:jc w:val="both"/>
      </w:pPr>
      <w:r>
        <w:rPr/>
        <w:t>除企业合并形成的长期股权投资外的其他股权投资，按成本进行初始计量，该成本视长期股权投资取得方式的不同， </w:t>
      </w:r>
      <w:r>
        <w:rPr>
          <w:spacing w:val="-2"/>
        </w:rPr>
        <w:t>分别按照本公司实际支付的现金购买价款、本公司发行的权益性证券的公允价值、投资合同或协议约定的价值、非货币性资</w:t>
      </w:r>
      <w:r>
        <w:rPr>
          <w:spacing w:val="-63"/>
        </w:rPr>
        <w:t> </w:t>
      </w:r>
      <w:r>
        <w:rPr>
          <w:spacing w:val="-63"/>
        </w:rPr>
      </w:r>
      <w:r>
        <w:rPr>
          <w:spacing w:val="-2"/>
        </w:rPr>
        <w:t>产交换交易中换出资产的公允价值或原账面价值、该项长期股权投资自身的公允价值等方式确定。与取得长期股权投资直接</w:t>
      </w:r>
      <w:r>
        <w:rPr>
          <w:spacing w:val="-64"/>
        </w:rPr>
        <w:t> </w:t>
      </w:r>
      <w:r>
        <w:rPr>
          <w:spacing w:val="-64"/>
        </w:rPr>
      </w:r>
      <w:r>
        <w:rPr>
          <w:spacing w:val="-2"/>
        </w:rPr>
        <w:t>相关的费用、税金及其他必要支出也计入投资成本。对于因追加投资能够对被投资单位实施重大影响或实施共同控制但不构</w:t>
      </w:r>
      <w:r>
        <w:rPr>
          <w:spacing w:val="-64"/>
        </w:rPr>
        <w:t> </w:t>
      </w:r>
      <w:r>
        <w:rPr>
          <w:spacing w:val="-64"/>
        </w:rPr>
      </w:r>
      <w:r>
        <w:rPr>
          <w:spacing w:val="-3"/>
        </w:rPr>
        <w:t>成控制的，长期股权投资成本为按照《企业会计准则第 </w:t>
      </w:r>
      <w:r>
        <w:rPr>
          <w:rFonts w:ascii="宋体" w:hAnsi="宋体" w:cs="宋体" w:eastAsia="宋体" w:hint="default"/>
        </w:rPr>
        <w:t>22</w:t>
      </w:r>
      <w:r>
        <w:rPr>
          <w:rFonts w:ascii="宋体" w:hAnsi="宋体" w:cs="宋体" w:eastAsia="宋体" w:hint="default"/>
          <w:spacing w:val="-6"/>
        </w:rPr>
        <w:t> </w:t>
      </w:r>
      <w:r>
        <w:rPr/>
        <w:t>号——金融工具确认和计量》确定的原持有股权投资的公允价值 加上新增投资成本之和。</w:t>
      </w:r>
    </w:p>
    <w:p>
      <w:pPr>
        <w:spacing w:line="316" w:lineRule="auto" w:before="14"/>
        <w:ind w:left="573"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）后续计量及损益确认</w:t>
      </w:r>
      <w:r>
        <w:rPr>
          <w:rFonts w:ascii="宋体" w:hAnsi="宋体" w:cs="宋体" w:eastAsia="宋体" w:hint="default"/>
          <w:b/>
          <w:bCs/>
          <w:w w:val="99"/>
          <w:sz w:val="18"/>
          <w:szCs w:val="18"/>
        </w:rPr>
        <w:t> </w:t>
      </w:r>
      <w:r>
        <w:rPr>
          <w:rFonts w:ascii="宋体" w:hAnsi="宋体" w:cs="宋体" w:eastAsia="宋体" w:hint="default"/>
          <w:sz w:val="18"/>
          <w:szCs w:val="18"/>
        </w:rPr>
        <w:t>对被投资单位具有共同控制（构成共同经营者除外）或重大影响的长期股权投资，采用权益法核算。此外，公司财务</w:t>
      </w:r>
    </w:p>
    <w:p>
      <w:pPr>
        <w:pStyle w:val="BodyText"/>
        <w:spacing w:line="240" w:lineRule="auto" w:before="19"/>
        <w:ind w:right="0"/>
        <w:jc w:val="both"/>
      </w:pPr>
      <w:r>
        <w:rPr/>
        <w:t>报表采用成本法核算能够对被投资单位实施控制的长期股权投资。</w:t>
      </w:r>
    </w:p>
    <w:p>
      <w:pPr>
        <w:pStyle w:val="BodyText"/>
        <w:spacing w:line="316" w:lineRule="auto" w:before="76"/>
        <w:ind w:left="573" w:right="0"/>
        <w:jc w:val="left"/>
      </w:pPr>
      <w:r>
        <w:rPr/>
        <w:t>①本公司能够对被投资单位实施控制的长期股权投资按照成本法核算。 采用成本法核算的长期股权投资按照初始投资成本计价；追加或收回投资调整长期股权投资的成本；被投资单位宣告</w:t>
      </w:r>
    </w:p>
    <w:p>
      <w:pPr>
        <w:pStyle w:val="BodyText"/>
        <w:spacing w:line="319" w:lineRule="auto" w:before="19"/>
        <w:ind w:right="153"/>
        <w:jc w:val="both"/>
      </w:pPr>
      <w:r>
        <w:rPr>
          <w:spacing w:val="-2"/>
        </w:rPr>
        <w:t>分派的现金股利或利润，确认为当期投资收益，除取得投资时实际支付的价款或对价中包含的已宣告但尚未发放的现金股利</w:t>
      </w:r>
      <w:r>
        <w:rPr>
          <w:spacing w:val="-64"/>
        </w:rPr>
        <w:t> </w:t>
      </w:r>
      <w:r>
        <w:rPr>
          <w:spacing w:val="-64"/>
        </w:rPr>
      </w:r>
      <w:r>
        <w:rPr/>
        <w:t>或利润作为初始投资成本的收回外，按照享有被投资单位宣告发放的现金股利或利润确认投资收益。</w:t>
      </w:r>
    </w:p>
    <w:p>
      <w:pPr>
        <w:pStyle w:val="BodyText"/>
        <w:spacing w:line="240" w:lineRule="auto" w:before="17"/>
        <w:ind w:left="573" w:right="2839"/>
        <w:jc w:val="left"/>
      </w:pPr>
      <w:r>
        <w:rPr/>
        <w:t>②对被投资单位具有共同控制或重大影响的长期股权，采用权益法核算。</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16" w:lineRule="auto" w:before="44"/>
        <w:ind w:right="193" w:firstLine="420"/>
        <w:jc w:val="both"/>
      </w:pPr>
      <w:r>
        <w:rPr/>
        <w:t>采用权益法核算时，长期股权投资的初始投资成本大于投资时应享有被投资单位可辨认净资产公允价值份额的，不调 </w:t>
      </w:r>
      <w:r>
        <w:rPr>
          <w:spacing w:val="-2"/>
        </w:rPr>
        <w:t>整长期股权投资的初始投资成本；初始投资成本小于投资时应享有被投资单位可辨认净资产公允价值份额的，其差额计入当</w:t>
      </w:r>
      <w:r>
        <w:rPr>
          <w:spacing w:val="-64"/>
        </w:rPr>
        <w:t> </w:t>
      </w:r>
      <w:r>
        <w:rPr>
          <w:spacing w:val="-64"/>
        </w:rPr>
      </w:r>
      <w:r>
        <w:rPr/>
        <w:t>期损益，同时调整长期股权投资的成本。</w:t>
      </w:r>
    </w:p>
    <w:p>
      <w:pPr>
        <w:pStyle w:val="BodyText"/>
        <w:spacing w:line="316" w:lineRule="auto" w:before="19"/>
        <w:ind w:right="188" w:firstLine="420"/>
        <w:jc w:val="both"/>
      </w:pPr>
      <w:r>
        <w:rPr/>
        <w:t>采用权益法核算时，按照应享有或应分担的被投资单位实现的净损益和其他综合收益的份额，分别确认投资收益和其 </w:t>
      </w:r>
      <w:r>
        <w:rPr>
          <w:spacing w:val="-2"/>
        </w:rPr>
        <w:t>他综合收益，同时调整长期股权投资的账面价值；按照被投资单位宣告分派的利润或现金股利计算应享有的部分，相应减少</w:t>
      </w:r>
      <w:r>
        <w:rPr>
          <w:spacing w:val="-61"/>
        </w:rPr>
        <w:t> </w:t>
      </w:r>
      <w:r>
        <w:rPr>
          <w:spacing w:val="-61"/>
        </w:rPr>
      </w:r>
      <w:r>
        <w:rPr>
          <w:spacing w:val="-2"/>
        </w:rPr>
        <w:t>长期股权投资的账面价值；被投资单位除净损益、其他综合收益和利润分配以外所有者权益的其他变动，调整长期股权投资</w:t>
      </w:r>
      <w:r>
        <w:rPr>
          <w:spacing w:val="-63"/>
        </w:rPr>
        <w:t> </w:t>
      </w:r>
      <w:r>
        <w:rPr>
          <w:spacing w:val="-63"/>
        </w:rPr>
      </w:r>
      <w:r>
        <w:rPr/>
        <w:t>的账面价值并计入所有者权益。</w:t>
      </w:r>
    </w:p>
    <w:p>
      <w:pPr>
        <w:pStyle w:val="BodyText"/>
        <w:spacing w:line="316" w:lineRule="auto" w:before="19"/>
        <w:ind w:right="193" w:firstLine="420"/>
        <w:jc w:val="both"/>
      </w:pPr>
      <w:r>
        <w:rPr/>
        <w:t>在确认应享有被投资单位净损益的份额时，以取得投资时被投资单位各项可辨认资产等的公允价值为基础，对被投资 </w:t>
      </w:r>
      <w:r>
        <w:rPr>
          <w:spacing w:val="-2"/>
        </w:rPr>
        <w:t>单位的净利润进行调整后确认。被投资单位采用的会计政策及会计期间与本公司不一致的，按照本公司的会计政策及会计期</w:t>
      </w:r>
      <w:r>
        <w:rPr>
          <w:spacing w:val="-64"/>
        </w:rPr>
        <w:t> </w:t>
      </w:r>
      <w:r>
        <w:rPr>
          <w:spacing w:val="-64"/>
        </w:rPr>
      </w:r>
      <w:r>
        <w:rPr/>
        <w:t>间对被投资单位的财务报表进行调整，并据以确认投资收益和其他综合收益。</w:t>
      </w:r>
    </w:p>
    <w:p>
      <w:pPr>
        <w:pStyle w:val="BodyText"/>
        <w:spacing w:line="319" w:lineRule="auto" w:before="19"/>
        <w:ind w:right="94" w:firstLine="420"/>
        <w:jc w:val="left"/>
      </w:pPr>
      <w:r>
        <w:rPr/>
        <w:t>对于本公司与联营企业及合营企业之间发生的交易，投出或出售的资产不构成业务的，未实现内部交易损益按照享有 的比例计算归属于本公司的部分予以抵销，在此基础上确认投资损益。但本公司与被投资单位发生的未实现内部交易损失，</w:t>
      </w:r>
      <w:r>
        <w:rPr>
          <w:spacing w:val="-83"/>
        </w:rPr>
        <w:t> </w:t>
      </w:r>
      <w:r>
        <w:rPr>
          <w:spacing w:val="-83"/>
        </w:rPr>
      </w:r>
      <w:r>
        <w:rPr>
          <w:spacing w:val="-2"/>
        </w:rPr>
        <w:t>属于所转让资产减值损失的，不予以抵销。本公司向合营企业或联营企业投出的资产构成业务的，投资方因此取得长期股权</w:t>
      </w:r>
      <w:r>
        <w:rPr>
          <w:spacing w:val="-63"/>
        </w:rPr>
        <w:t> </w:t>
      </w:r>
      <w:r>
        <w:rPr>
          <w:spacing w:val="-63"/>
        </w:rPr>
      </w:r>
      <w:r>
        <w:rPr>
          <w:spacing w:val="-2"/>
        </w:rPr>
        <w:t>投资但未取得控制权的，以投出业务的公允价值作为新增长期股权投资的初始投资成本，初始投资成本与投出业务的账面价</w:t>
      </w:r>
      <w:r>
        <w:rPr>
          <w:spacing w:val="-64"/>
        </w:rPr>
        <w:t> </w:t>
      </w:r>
      <w:r>
        <w:rPr>
          <w:spacing w:val="-64"/>
        </w:rPr>
      </w:r>
      <w:r>
        <w:rPr>
          <w:spacing w:val="-2"/>
        </w:rPr>
        <w:t>值之差，全额计入当期损益。本公司向合营企业或联营企业出售的资产构成业务的，取得的对价与业务的账面价值之差，全</w:t>
      </w:r>
      <w:r>
        <w:rPr>
          <w:spacing w:val="-66"/>
        </w:rPr>
        <w:t> </w:t>
      </w:r>
      <w:r>
        <w:rPr>
          <w:spacing w:val="-66"/>
        </w:rPr>
      </w:r>
      <w:r>
        <w:rPr>
          <w:spacing w:val="-2"/>
        </w:rPr>
        <w:t>额计入当期损益。本公司自联营企业及合营企业购入的资产构成业务的，按《企业会计准则第</w:t>
      </w:r>
      <w:r>
        <w:rPr>
          <w:rFonts w:ascii="宋体" w:hAnsi="宋体" w:cs="宋体" w:eastAsia="宋体" w:hint="default"/>
          <w:spacing w:val="-2"/>
        </w:rPr>
        <w:t>20</w:t>
      </w:r>
      <w:r>
        <w:rPr>
          <w:spacing w:val="-2"/>
        </w:rPr>
        <w:t>号——企业合并》的规定进</w:t>
      </w:r>
      <w:r>
        <w:rPr>
          <w:spacing w:val="-61"/>
        </w:rPr>
        <w:t> </w:t>
      </w:r>
      <w:r>
        <w:rPr>
          <w:spacing w:val="-61"/>
        </w:rPr>
      </w:r>
      <w:r>
        <w:rPr/>
        <w:t>行会计处理，全额确认与交易相关的利得或损失。</w:t>
      </w:r>
    </w:p>
    <w:p>
      <w:pPr>
        <w:pStyle w:val="BodyText"/>
        <w:spacing w:line="316" w:lineRule="auto" w:before="17"/>
        <w:ind w:right="191" w:firstLine="420"/>
        <w:jc w:val="both"/>
      </w:pPr>
      <w:r>
        <w:rPr/>
        <w:t>在确认应分担被投资单位发生的净亏损时，以长期股权投资的账面价值和其他实质上构成对被投资单位净投资的长期 </w:t>
      </w:r>
      <w:r>
        <w:rPr>
          <w:spacing w:val="-2"/>
        </w:rPr>
        <w:t>权益减记至零为限。此外，如本公司对被投资单位负有承担额外损失的义务，则按预计承担的义务确认预计负债，计入当期</w:t>
      </w:r>
      <w:r>
        <w:rPr>
          <w:spacing w:val="-64"/>
        </w:rPr>
        <w:t> </w:t>
      </w:r>
      <w:r>
        <w:rPr>
          <w:spacing w:val="-64"/>
        </w:rPr>
      </w:r>
      <w:r>
        <w:rPr/>
        <w:t>投资损失。被投资单位以后期间实现净利润的，本公司在收益分享额弥补未确认的亏损分担额后，恢复确认收益分享额。</w:t>
      </w:r>
    </w:p>
    <w:p>
      <w:pPr>
        <w:pStyle w:val="BodyText"/>
        <w:spacing w:line="319" w:lineRule="auto" w:before="19"/>
        <w:ind w:left="573" w:right="175"/>
        <w:jc w:val="left"/>
        <w:rPr>
          <w:rFonts w:ascii="宋体" w:hAnsi="宋体" w:cs="宋体" w:eastAsia="宋体" w:hint="default"/>
        </w:rPr>
      </w:pPr>
      <w:r>
        <w:rPr/>
        <w:t>③追加投资和处置股权的处置方法 本公司因追加投资等原因能够对被投资单位施加重大影响或实施共同控制但不构成控制的，按照《企业会计准则第</w:t>
      </w:r>
      <w:r>
        <w:rPr>
          <w:spacing w:val="-52"/>
        </w:rPr>
        <w:t> </w:t>
      </w:r>
      <w:r>
        <w:rPr>
          <w:rFonts w:ascii="宋体" w:hAnsi="宋体" w:cs="宋体" w:eastAsia="宋体" w:hint="default"/>
        </w:rPr>
        <w:t>22</w:t>
      </w:r>
    </w:p>
    <w:p>
      <w:pPr>
        <w:pStyle w:val="BodyText"/>
        <w:spacing w:line="316" w:lineRule="auto" w:before="17"/>
        <w:ind w:right="190"/>
        <w:jc w:val="both"/>
      </w:pPr>
      <w:r>
        <w:rPr>
          <w:spacing w:val="-2"/>
        </w:rPr>
        <w:t>号——金融工具确认和计量》确定的原持有的股权投资的公允价值加上新增投资成本之和，作为改按权益法核算的初始投资</w:t>
      </w:r>
      <w:r>
        <w:rPr>
          <w:spacing w:val="-64"/>
        </w:rPr>
        <w:t> </w:t>
      </w:r>
      <w:r>
        <w:rPr>
          <w:spacing w:val="-64"/>
        </w:rPr>
      </w:r>
      <w:r>
        <w:rPr>
          <w:spacing w:val="-2"/>
        </w:rPr>
        <w:t>成本。原持有的股权投资分类为可供出售金融资产的，其公允价值与账面价值之间的差额，以及原计入其他综合收益的累计</w:t>
      </w:r>
      <w:r>
        <w:rPr>
          <w:spacing w:val="-63"/>
        </w:rPr>
        <w:t> </w:t>
      </w:r>
      <w:r>
        <w:rPr>
          <w:spacing w:val="-63"/>
        </w:rPr>
      </w:r>
      <w:r>
        <w:rPr/>
        <w:t>公允价值变动转入改按权益法核算的当期损益。</w:t>
      </w:r>
    </w:p>
    <w:p>
      <w:pPr>
        <w:pStyle w:val="BodyText"/>
        <w:spacing w:line="316" w:lineRule="auto" w:before="19"/>
        <w:ind w:right="189" w:firstLine="420"/>
        <w:jc w:val="both"/>
      </w:pPr>
      <w:r>
        <w:rPr/>
        <w:t>本公司因追加投资等原因能够对非同一控制下的被投资单位实施控制的，在编制个别财务报表时，按照原持有的股权 </w:t>
      </w:r>
      <w:r>
        <w:rPr>
          <w:spacing w:val="-2"/>
        </w:rPr>
        <w:t>投资账面价值加上新增投资成本之和，作为改按成本法核算的初始投资成本。购买日之前持有的股权投资因采用权益法核算</w:t>
      </w:r>
      <w:r>
        <w:rPr>
          <w:spacing w:val="-64"/>
        </w:rPr>
        <w:t> </w:t>
      </w:r>
      <w:r>
        <w:rPr>
          <w:spacing w:val="-64"/>
        </w:rPr>
      </w:r>
      <w:r>
        <w:rPr>
          <w:spacing w:val="-2"/>
        </w:rPr>
        <w:t>而确认的其他综合收益，应当在处置该项投资时采用与被投资单位直接处置相关资产或负债相同的基础进行会计处理。购买</w:t>
      </w:r>
      <w:r>
        <w:rPr>
          <w:spacing w:val="-64"/>
        </w:rPr>
        <w:t> </w:t>
      </w:r>
      <w:r>
        <w:rPr>
          <w:spacing w:val="-64"/>
        </w:rPr>
      </w:r>
      <w:r>
        <w:rPr/>
        <w:t>日之前持有的股权投资按照《企业会计准则第</w:t>
      </w:r>
      <w:r>
        <w:rPr>
          <w:spacing w:val="-38"/>
        </w:rPr>
        <w:t> </w:t>
      </w:r>
      <w:r>
        <w:rPr>
          <w:rFonts w:ascii="宋体" w:hAnsi="宋体" w:cs="宋体" w:eastAsia="宋体" w:hint="default"/>
        </w:rPr>
        <w:t>22</w:t>
      </w:r>
      <w:r>
        <w:rPr>
          <w:rFonts w:ascii="宋体" w:hAnsi="宋体" w:cs="宋体" w:eastAsia="宋体" w:hint="default"/>
          <w:spacing w:val="-39"/>
        </w:rPr>
        <w:t> </w:t>
      </w:r>
      <w:r>
        <w:rPr/>
        <w:t>号——金融工具确认和计量》的有关规定进行会计处理的，原计入其他综 合收益的累计公允价值变动应当在改按成本法核算时转入当期损益。</w:t>
      </w:r>
    </w:p>
    <w:p>
      <w:pPr>
        <w:pStyle w:val="BodyText"/>
        <w:spacing w:line="319" w:lineRule="auto" w:before="19"/>
        <w:ind w:right="192" w:firstLine="420"/>
        <w:jc w:val="both"/>
      </w:pPr>
      <w:r>
        <w:rPr/>
        <w:t>本公司因处置部分股权投资等原因丧失了对被投资单位的共同控制或重大影响的，处置后的剩余股权应当改按《企业 会计准则第</w:t>
      </w:r>
      <w:r>
        <w:rPr>
          <w:spacing w:val="-40"/>
        </w:rPr>
        <w:t> </w:t>
      </w:r>
      <w:r>
        <w:rPr>
          <w:rFonts w:ascii="宋体" w:hAnsi="宋体" w:cs="宋体" w:eastAsia="宋体" w:hint="default"/>
        </w:rPr>
        <w:t>22</w:t>
      </w:r>
      <w:r>
        <w:rPr>
          <w:rFonts w:ascii="宋体" w:hAnsi="宋体" w:cs="宋体" w:eastAsia="宋体" w:hint="default"/>
          <w:spacing w:val="-40"/>
        </w:rPr>
        <w:t> </w:t>
      </w:r>
      <w:r>
        <w:rPr/>
        <w:t>号——金融工具确认和计量》核算，其在丧失共同控制或重大影响之日的公允价值与账面价值之间的差额计 </w:t>
      </w:r>
      <w:r>
        <w:rPr>
          <w:spacing w:val="-2"/>
        </w:rPr>
        <w:t>入当期损益。原股权投资因采用权益法核算而确认的其他综合收益，应当在终止采用权益法核算时采用与被投资单位直接处</w:t>
      </w:r>
      <w:r>
        <w:rPr>
          <w:spacing w:val="-64"/>
        </w:rPr>
        <w:t> </w:t>
      </w:r>
      <w:r>
        <w:rPr>
          <w:spacing w:val="-64"/>
        </w:rPr>
      </w:r>
      <w:r>
        <w:rPr/>
        <w:t>置相关资产或负债相同的基础进行会计处理。</w:t>
      </w:r>
    </w:p>
    <w:p>
      <w:pPr>
        <w:pStyle w:val="BodyText"/>
        <w:spacing w:line="316" w:lineRule="auto" w:before="17"/>
        <w:ind w:right="191" w:firstLine="420"/>
        <w:jc w:val="both"/>
      </w:pPr>
      <w:r>
        <w:rPr/>
        <w:t>本公司因处置部分权益性投资等原因丧失了对被投资单位的控制的，在编制个别财务报表时，处置后的剩余股权能够 </w:t>
      </w:r>
      <w:r>
        <w:rPr>
          <w:spacing w:val="-2"/>
        </w:rPr>
        <w:t>对被投资单位实施共同控制或施加重大影响的，应当改按权益法核算，并对该剩余股权视同自取得时即采用权益法核算进行</w:t>
      </w:r>
      <w:r>
        <w:rPr>
          <w:spacing w:val="-64"/>
        </w:rPr>
        <w:t> </w:t>
      </w:r>
      <w:r>
        <w:rPr>
          <w:spacing w:val="-64"/>
        </w:rPr>
      </w:r>
      <w:r>
        <w:rPr/>
        <w:t>调整；处置后的剩余股权不能对被投资单位实施共同控制或施加重大影响的，应当改按《企业会计准则第</w:t>
      </w:r>
      <w:r>
        <w:rPr>
          <w:spacing w:val="-39"/>
        </w:rPr>
        <w:t> </w:t>
      </w:r>
      <w:r>
        <w:rPr>
          <w:rFonts w:ascii="宋体" w:hAnsi="宋体" w:cs="宋体" w:eastAsia="宋体" w:hint="default"/>
        </w:rPr>
        <w:t>22</w:t>
      </w:r>
      <w:r>
        <w:rPr>
          <w:rFonts w:ascii="宋体" w:hAnsi="宋体" w:cs="宋体" w:eastAsia="宋体" w:hint="default"/>
          <w:spacing w:val="-41"/>
        </w:rPr>
        <w:t> </w:t>
      </w:r>
      <w:r>
        <w:rPr/>
        <w:t>号——金融工 具确认和计量》的有关规定进行会计处理，其在丧失控制之日的公允价值与账面价值间的差额计入当期损益。</w:t>
      </w:r>
    </w:p>
    <w:p>
      <w:pPr>
        <w:spacing w:line="316" w:lineRule="auto" w:before="19"/>
        <w:ind w:left="573" w:right="4965"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3</w:t>
      </w:r>
      <w:r>
        <w:rPr>
          <w:rFonts w:ascii="宋体" w:hAnsi="宋体" w:cs="宋体" w:eastAsia="宋体" w:hint="default"/>
          <w:b/>
          <w:bCs/>
          <w:sz w:val="18"/>
          <w:szCs w:val="18"/>
        </w:rPr>
        <w:t>）确定对被投资单位具有共同控制、重大影响的依据</w:t>
      </w:r>
      <w:r>
        <w:rPr>
          <w:rFonts w:ascii="宋体" w:hAnsi="宋体" w:cs="宋体" w:eastAsia="宋体" w:hint="default"/>
          <w:b/>
          <w:bCs/>
          <w:w w:val="99"/>
          <w:sz w:val="18"/>
          <w:szCs w:val="18"/>
        </w:rPr>
        <w:t> </w:t>
      </w:r>
      <w:r>
        <w:rPr>
          <w:rFonts w:ascii="宋体" w:hAnsi="宋体" w:cs="宋体" w:eastAsia="宋体" w:hint="default"/>
          <w:sz w:val="18"/>
          <w:szCs w:val="18"/>
        </w:rPr>
        <w:t>控制的定义见附注“合并财务报表范围的确定原则”</w:t>
      </w:r>
    </w:p>
    <w:p>
      <w:pPr>
        <w:pStyle w:val="BodyText"/>
        <w:spacing w:line="319" w:lineRule="auto" w:before="19"/>
        <w:ind w:right="190" w:firstLine="420"/>
        <w:jc w:val="both"/>
      </w:pPr>
      <w:r>
        <w:rPr/>
        <w:t>共同控制，是指本公司按照相关约定对某项安排所共有的控制，并且该安排的相关活动必须经过分享控制权的参与方 </w:t>
      </w:r>
      <w:r>
        <w:rPr>
          <w:spacing w:val="-2"/>
        </w:rPr>
        <w:t>一致同意后才能决策。重大影响，是指本公司对被投资单位的财务和经营政策有参与决策的权力，但并不能够控制或者与其</w:t>
      </w:r>
      <w:r>
        <w:rPr>
          <w:spacing w:val="-63"/>
        </w:rPr>
        <w:t> </w:t>
      </w:r>
      <w:r>
        <w:rPr>
          <w:spacing w:val="-63"/>
        </w:rPr>
      </w:r>
      <w:r>
        <w:rPr>
          <w:spacing w:val="-2"/>
        </w:rPr>
        <w:t>他方一起共同控制这些政策的制定。在确定能否对被投资单位实施控制或施加重大影响时，已考虑投资企业和其他方持有的</w:t>
      </w:r>
      <w:r>
        <w:rPr>
          <w:spacing w:val="-64"/>
        </w:rPr>
        <w:t> </w:t>
      </w:r>
      <w:r>
        <w:rPr>
          <w:spacing w:val="-64"/>
        </w:rPr>
      </w:r>
      <w:r>
        <w:rPr/>
        <w:t>被投资单位当期可转换公司债券、当期可执行认股权证等潜在表决权因素。</w:t>
      </w:r>
    </w:p>
    <w:p>
      <w:pPr>
        <w:spacing w:after="0" w:line="319" w:lineRule="auto"/>
        <w:jc w:val="both"/>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190" w:firstLine="420"/>
        <w:jc w:val="both"/>
      </w:pPr>
      <w:r>
        <w:rPr>
          <w:spacing w:val="-1"/>
        </w:rPr>
        <w:t>当本公司直接或通过子公司间接拥有被投资单位</w:t>
      </w:r>
      <w:r>
        <w:rPr>
          <w:rFonts w:ascii="宋体" w:hAnsi="宋体" w:cs="宋体" w:eastAsia="宋体" w:hint="default"/>
          <w:spacing w:val="-1"/>
        </w:rPr>
        <w:t>20%</w:t>
      </w:r>
      <w:r>
        <w:rPr>
          <w:spacing w:val="-1"/>
        </w:rPr>
        <w:t>（含</w:t>
      </w:r>
      <w:r>
        <w:rPr>
          <w:rFonts w:ascii="宋体" w:hAnsi="宋体" w:cs="宋体" w:eastAsia="宋体" w:hint="default"/>
          <w:spacing w:val="-1"/>
        </w:rPr>
        <w:t>20%</w:t>
      </w:r>
      <w:r>
        <w:rPr>
          <w:spacing w:val="-1"/>
        </w:rPr>
        <w:t>）以上但低于</w:t>
      </w:r>
      <w:r>
        <w:rPr>
          <w:rFonts w:ascii="宋体" w:hAnsi="宋体" w:cs="宋体" w:eastAsia="宋体" w:hint="default"/>
          <w:spacing w:val="-1"/>
        </w:rPr>
        <w:t>50%</w:t>
      </w:r>
      <w:r>
        <w:rPr>
          <w:spacing w:val="-1"/>
        </w:rPr>
        <w:t>的表决权股份时，除非有明确证据表明该</w:t>
      </w:r>
      <w:r>
        <w:rPr/>
        <w:t> </w:t>
      </w:r>
      <w:r>
        <w:rPr>
          <w:spacing w:val="-2"/>
        </w:rPr>
        <w:t>种情况下不能参与被投资单位的生产经营决策，不形成重大影响外，均确定对被投资单位具有重大影响；本公司拥有被投资</w:t>
      </w:r>
      <w:r>
        <w:rPr>
          <w:spacing w:val="-63"/>
        </w:rPr>
        <w:t> </w:t>
      </w:r>
      <w:r>
        <w:rPr>
          <w:spacing w:val="-63"/>
        </w:rPr>
      </w:r>
      <w:r>
        <w:rPr/>
        <w:t>单位</w:t>
      </w:r>
      <w:r>
        <w:rPr>
          <w:rFonts w:ascii="宋体" w:hAnsi="宋体" w:cs="宋体" w:eastAsia="宋体" w:hint="default"/>
        </w:rPr>
        <w:t>20%</w:t>
      </w:r>
      <w:r>
        <w:rPr/>
        <w:t>（不含）以下的表决权股份，一般不认为对被投资单位具有重大影响，除非有明确证据表明该种情况下能够参与被</w:t>
      </w:r>
      <w:r>
        <w:rPr>
          <w:spacing w:val="-85"/>
        </w:rPr>
        <w:t> </w:t>
      </w:r>
      <w:r>
        <w:rPr>
          <w:spacing w:val="-85"/>
        </w:rPr>
      </w:r>
      <w:r>
        <w:rPr/>
        <w:t>投资单位的生产经营决策，形成重大影响。</w:t>
      </w:r>
    </w:p>
    <w:p>
      <w:pPr>
        <w:spacing w:line="240" w:lineRule="auto" w:before="10"/>
        <w:rPr>
          <w:rFonts w:ascii="宋体" w:hAnsi="宋体" w:cs="宋体" w:eastAsia="宋体" w:hint="default"/>
          <w:sz w:val="22"/>
          <w:szCs w:val="22"/>
        </w:rPr>
      </w:pPr>
    </w:p>
    <w:p>
      <w:pPr>
        <w:pStyle w:val="Heading3"/>
        <w:spacing w:line="240" w:lineRule="auto"/>
        <w:ind w:right="183"/>
        <w:jc w:val="left"/>
        <w:rPr>
          <w:b w:val="0"/>
          <w:bCs w:val="0"/>
        </w:rPr>
      </w:pPr>
      <w:r>
        <w:rPr>
          <w:rFonts w:ascii="Times New Roman" w:hAnsi="Times New Roman" w:cs="Times New Roman" w:eastAsia="Times New Roman" w:hint="default"/>
        </w:rPr>
        <w:t>15</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83"/>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83"/>
        <w:jc w:val="left"/>
      </w:pPr>
      <w:r>
        <w:rPr>
          <w:spacing w:val="-2"/>
        </w:rPr>
        <w:t>固定资产是指为生商品、提供劳务出租或经营管理而持有并且使用寿命超过一个会计年度的形资产。固定资产在满足下列条</w:t>
      </w:r>
      <w:r>
        <w:rPr>
          <w:spacing w:val="-64"/>
        </w:rPr>
        <w:t> </w:t>
      </w:r>
      <w:r>
        <w:rPr>
          <w:spacing w:val="-64"/>
        </w:rPr>
      </w:r>
      <w:r>
        <w:rPr/>
        <w:t>件时予以确认： ①与该固定资产有关的经济利益很可能流入本公司；</w:t>
      </w:r>
      <w:r>
        <w:rPr>
          <w:spacing w:val="3"/>
        </w:rPr>
        <w:t> </w:t>
      </w:r>
      <w:r>
        <w:rPr/>
        <w:t>②该固定资产的成本能够可靠的计量。</w:t>
      </w:r>
    </w:p>
    <w:p>
      <w:pPr>
        <w:spacing w:line="240" w:lineRule="auto" w:before="11"/>
        <w:rPr>
          <w:rFonts w:ascii="宋体" w:hAnsi="宋体" w:cs="宋体" w:eastAsia="宋体" w:hint="default"/>
          <w:sz w:val="22"/>
          <w:szCs w:val="22"/>
        </w:rPr>
      </w:pPr>
    </w:p>
    <w:p>
      <w:pPr>
        <w:pStyle w:val="Heading3"/>
        <w:spacing w:line="240" w:lineRule="auto"/>
        <w:ind w:right="183"/>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2.375%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构筑物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5-20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4.75%-19%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3-10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9.5%-32.33%</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3-10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9.5%-32.33%</w:t>
            </w:r>
          </w:p>
        </w:tc>
      </w:tr>
    </w:tbl>
    <w:p>
      <w:pPr>
        <w:spacing w:line="240" w:lineRule="auto" w:before="3"/>
        <w:rPr>
          <w:rFonts w:ascii="宋体" w:hAnsi="宋体" w:cs="宋体" w:eastAsia="宋体" w:hint="default"/>
          <w:b/>
          <w:bCs/>
          <w:sz w:val="19"/>
          <w:szCs w:val="19"/>
        </w:rPr>
      </w:pPr>
    </w:p>
    <w:p>
      <w:pPr>
        <w:pStyle w:val="Heading3"/>
        <w:spacing w:line="240" w:lineRule="auto" w:before="36"/>
        <w:ind w:right="183"/>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4"/>
        <w:jc w:val="left"/>
      </w:pPr>
      <w:r>
        <w:rPr>
          <w:spacing w:val="-2"/>
        </w:rPr>
        <w:t>符合下列一项或数标准的，认定为融资租赁：①在租赁期届满时，资产的所有权转移给承人；②承租人有购买赁资产的选择</w:t>
      </w:r>
      <w:r>
        <w:rPr>
          <w:spacing w:val="-63"/>
        </w:rPr>
        <w:t> </w:t>
      </w:r>
      <w:r>
        <w:rPr>
          <w:spacing w:val="-63"/>
        </w:rPr>
      </w:r>
      <w:r>
        <w:rPr>
          <w:spacing w:val="-2"/>
        </w:rPr>
        <w:t>权，所订立价款预计将远远低于行使选择权时租赁资产的公允值，因而租赁在开始日就可以合理确定承租人将会行使这种选</w:t>
      </w:r>
      <w:r>
        <w:rPr>
          <w:spacing w:val="-64"/>
        </w:rPr>
        <w:t> </w:t>
      </w:r>
      <w:r>
        <w:rPr>
          <w:spacing w:val="-64"/>
        </w:rPr>
      </w:r>
      <w:r>
        <w:rPr/>
        <w:t>择权；③即使资产的所有权不转移，但租赁期占租赁资产使用寿命的大部分；④承租人在赁开始日的最低租赁付款额现值，</w:t>
      </w:r>
      <w:r>
        <w:rPr>
          <w:spacing w:val="-86"/>
        </w:rPr>
        <w:t> </w:t>
      </w:r>
      <w:r>
        <w:rPr>
          <w:spacing w:val="-86"/>
        </w:rPr>
      </w:r>
      <w:r>
        <w:rPr>
          <w:spacing w:val="-2"/>
        </w:rPr>
        <w:t>几乎相当于租赁开始日租赁资产的公允价值；出承租人在赁开始日的最低租赁收款额现值，几乎相当于租赁开始日租赁资产</w:t>
      </w:r>
      <w:r>
        <w:rPr>
          <w:spacing w:val="-64"/>
        </w:rPr>
        <w:t> </w:t>
      </w:r>
      <w:r>
        <w:rPr>
          <w:spacing w:val="-64"/>
        </w:rPr>
      </w:r>
      <w:r>
        <w:rPr>
          <w:spacing w:val="-2"/>
        </w:rPr>
        <w:t>的公允价值；⑤租赁资产性质特殊，如果不作较大改造，只有承租人才能使用。计价方法：在租赁期开始日，融资入固定产</w:t>
      </w:r>
      <w:r>
        <w:rPr>
          <w:spacing w:val="-67"/>
        </w:rPr>
        <w:t> </w:t>
      </w:r>
      <w:r>
        <w:rPr>
          <w:spacing w:val="-67"/>
        </w:rPr>
      </w:r>
      <w:r>
        <w:rPr/>
        <w:t>的入账价值为租赁开始日租赁资产的公允价值与最低租赁付款额的现值两着较低者。</w:t>
      </w:r>
    </w:p>
    <w:p>
      <w:pPr>
        <w:spacing w:line="240" w:lineRule="auto" w:before="11"/>
        <w:rPr>
          <w:rFonts w:ascii="宋体" w:hAnsi="宋体" w:cs="宋体" w:eastAsia="宋体" w:hint="default"/>
          <w:sz w:val="22"/>
          <w:szCs w:val="22"/>
        </w:rPr>
      </w:pPr>
    </w:p>
    <w:p>
      <w:pPr>
        <w:pStyle w:val="Heading3"/>
        <w:spacing w:line="240" w:lineRule="auto"/>
        <w:ind w:right="183"/>
        <w:jc w:val="left"/>
        <w:rPr>
          <w:b w:val="0"/>
          <w:bCs w:val="0"/>
        </w:rPr>
      </w:pPr>
      <w:r>
        <w:rPr>
          <w:rFonts w:ascii="Times New Roman" w:hAnsi="Times New Roman" w:cs="Times New Roman" w:eastAsia="Times New Roman" w:hint="default"/>
        </w:rPr>
        <w:t>16</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spacing w:line="300" w:lineRule="auto" w:before="25"/>
        <w:ind w:left="513" w:right="549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）在建工程的类别</w:t>
      </w:r>
      <w:r>
        <w:rPr>
          <w:rFonts w:ascii="宋体" w:hAnsi="宋体" w:cs="宋体" w:eastAsia="宋体" w:hint="default"/>
          <w:b/>
          <w:bCs/>
          <w:w w:val="99"/>
          <w:sz w:val="18"/>
          <w:szCs w:val="18"/>
        </w:rPr>
        <w:t> </w:t>
      </w:r>
      <w:r>
        <w:rPr>
          <w:rFonts w:ascii="宋体" w:hAnsi="宋体" w:cs="宋体" w:eastAsia="宋体" w:hint="default"/>
          <w:sz w:val="18"/>
          <w:szCs w:val="18"/>
        </w:rPr>
        <w:t>在建工程指兴建中的厂房与设备及其他固定资产。</w:t>
      </w:r>
    </w:p>
    <w:p>
      <w:pPr>
        <w:spacing w:line="300" w:lineRule="auto" w:before="31"/>
        <w:ind w:left="513" w:right="18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）在建工程结转为固定资产的标准和时点</w:t>
      </w:r>
      <w:r>
        <w:rPr>
          <w:rFonts w:ascii="宋体" w:hAnsi="宋体" w:cs="宋体" w:eastAsia="宋体" w:hint="default"/>
          <w:b/>
          <w:bCs/>
          <w:w w:val="99"/>
          <w:sz w:val="18"/>
          <w:szCs w:val="18"/>
        </w:rPr>
        <w:t> </w:t>
      </w:r>
      <w:r>
        <w:rPr>
          <w:rFonts w:ascii="宋体" w:hAnsi="宋体" w:cs="宋体" w:eastAsia="宋体" w:hint="default"/>
          <w:spacing w:val="-2"/>
          <w:sz w:val="18"/>
          <w:szCs w:val="18"/>
        </w:rPr>
        <w:t>在建工程在达到预定可使用状态时，确认为固定资产，并停止利息资本化。在建工程达到预定可使用状态时，按工程实</w:t>
      </w:r>
    </w:p>
    <w:p>
      <w:pPr>
        <w:pStyle w:val="BodyText"/>
        <w:spacing w:line="316" w:lineRule="auto" w:before="31"/>
        <w:ind w:right="183"/>
        <w:jc w:val="left"/>
      </w:pPr>
      <w:r>
        <w:rPr>
          <w:spacing w:val="-2"/>
        </w:rPr>
        <w:t>际成本转入固定资产。已达到预定可使用状态但尚未办理竣工决算的，先按估计价值计入固定资产，待办理竣工决算后再按</w:t>
      </w:r>
      <w:r>
        <w:rPr>
          <w:spacing w:val="-63"/>
        </w:rPr>
        <w:t> </w:t>
      </w:r>
      <w:r>
        <w:rPr>
          <w:spacing w:val="-63"/>
        </w:rPr>
      </w:r>
      <w:r>
        <w:rPr/>
        <w:t>实际成本调整原暂估价值，但不再调整已计提的折旧。</w:t>
      </w:r>
    </w:p>
    <w:p>
      <w:pPr>
        <w:spacing w:after="0" w:line="316"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110"/>
        <w:jc w:val="left"/>
        <w:rPr>
          <w:b w:val="0"/>
          <w:bCs w:val="0"/>
        </w:rPr>
      </w:pPr>
      <w:r>
        <w:rPr>
          <w:rFonts w:ascii="Times New Roman" w:hAnsi="Times New Roman" w:cs="Times New Roman" w:eastAsia="Times New Roman" w:hint="default"/>
        </w:rPr>
        <w:t>17</w:t>
      </w:r>
      <w:r>
        <w:rPr/>
        <w:t>、借款费用</w:t>
      </w:r>
      <w:r>
        <w:rPr>
          <w:b w:val="0"/>
          <w:bCs w:val="0"/>
        </w:rPr>
      </w:r>
    </w:p>
    <w:p>
      <w:pPr>
        <w:spacing w:line="240" w:lineRule="auto" w:before="4"/>
        <w:rPr>
          <w:rFonts w:ascii="宋体" w:hAnsi="宋体" w:cs="宋体" w:eastAsia="宋体" w:hint="default"/>
          <w:b/>
          <w:bCs/>
          <w:sz w:val="26"/>
          <w:szCs w:val="26"/>
        </w:rPr>
      </w:pPr>
    </w:p>
    <w:p>
      <w:pPr>
        <w:spacing w:line="300" w:lineRule="auto" w:before="0"/>
        <w:ind w:left="513" w:right="11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）借款费用资本化的确认原则</w:t>
      </w:r>
      <w:r>
        <w:rPr>
          <w:rFonts w:ascii="宋体" w:hAnsi="宋体" w:cs="宋体" w:eastAsia="宋体" w:hint="default"/>
          <w:b/>
          <w:bCs/>
          <w:w w:val="99"/>
          <w:sz w:val="18"/>
          <w:szCs w:val="18"/>
        </w:rPr>
        <w:t> </w:t>
      </w:r>
      <w:r>
        <w:rPr>
          <w:rFonts w:ascii="宋体" w:hAnsi="宋体" w:cs="宋体" w:eastAsia="宋体" w:hint="default"/>
          <w:spacing w:val="-2"/>
          <w:sz w:val="18"/>
          <w:szCs w:val="18"/>
        </w:rPr>
        <w:t>符合资本化条件的资产，是指需要经过相当长时间的购建或者生产活动才能达到预定可使用或者可销售状态的固定资产、</w:t>
      </w:r>
    </w:p>
    <w:p>
      <w:pPr>
        <w:pStyle w:val="BodyText"/>
        <w:spacing w:line="316" w:lineRule="auto" w:before="31"/>
        <w:ind w:left="513" w:right="278" w:hanging="361"/>
        <w:jc w:val="left"/>
      </w:pPr>
      <w:r>
        <w:rPr/>
        <w:t>投资性房地产和存货等资产。 </w:t>
      </w:r>
      <w:r>
        <w:rPr>
          <w:spacing w:val="-5"/>
        </w:rPr>
        <w:t>借款费用包括借款利息、折价或者溢价的摊销、辅助费用以及因外币借款而发生的汇兑差额等。本公司发生的借款费用，</w:t>
      </w:r>
    </w:p>
    <w:p>
      <w:pPr>
        <w:pStyle w:val="BodyText"/>
        <w:spacing w:line="316" w:lineRule="auto" w:before="19"/>
        <w:ind w:right="110"/>
        <w:jc w:val="left"/>
      </w:pPr>
      <w:r>
        <w:rPr>
          <w:spacing w:val="-2"/>
        </w:rPr>
        <w:t>可直接归属于符合资本化条件的资产的购建或者生产的，予以资本化，计入相关资产成本；其他借款费用在发生时根据其发</w:t>
      </w:r>
      <w:r>
        <w:rPr>
          <w:spacing w:val="-63"/>
        </w:rPr>
        <w:t> </w:t>
      </w:r>
      <w:r>
        <w:rPr>
          <w:spacing w:val="-63"/>
        </w:rPr>
      </w:r>
      <w:r>
        <w:rPr/>
        <w:t>生额确认为费用，计入当期损益。</w:t>
      </w:r>
    </w:p>
    <w:p>
      <w:pPr>
        <w:pStyle w:val="BodyText"/>
        <w:spacing w:line="240" w:lineRule="auto" w:before="19"/>
        <w:ind w:left="513" w:right="110"/>
        <w:jc w:val="left"/>
      </w:pPr>
      <w:r>
        <w:rPr/>
        <w:t>借款费用同时满足下列条件时开始资本化：</w:t>
      </w:r>
    </w:p>
    <w:p>
      <w:pPr>
        <w:pStyle w:val="BodyText"/>
        <w:spacing w:line="316" w:lineRule="auto" w:before="76"/>
        <w:ind w:right="110" w:firstLine="360"/>
        <w:jc w:val="left"/>
      </w:pPr>
      <w:r>
        <w:rPr>
          <w:spacing w:val="-2"/>
        </w:rPr>
        <w:t>①资产支出已经发生，资产支出包括为购建或者生产符合资本化条件的资产而以支付现金、转移非现金资产或者承担带</w:t>
      </w:r>
      <w:r>
        <w:rPr/>
        <w:t> 息债务形式发生的支出；</w:t>
      </w:r>
    </w:p>
    <w:p>
      <w:pPr>
        <w:pStyle w:val="BodyText"/>
        <w:spacing w:line="240" w:lineRule="auto" w:before="19"/>
        <w:ind w:left="513" w:right="110"/>
        <w:jc w:val="left"/>
      </w:pPr>
      <w:r>
        <w:rPr/>
        <w:t>②借款费用已经发生；</w:t>
      </w:r>
    </w:p>
    <w:p>
      <w:pPr>
        <w:pStyle w:val="BodyText"/>
        <w:spacing w:line="316" w:lineRule="auto" w:before="76"/>
        <w:ind w:left="513" w:right="110"/>
        <w:jc w:val="left"/>
      </w:pPr>
      <w:r>
        <w:rPr/>
        <w:t>③为使资产达到预定可使用或者可销售状态所必要的购建或者生产活动已经开始。 </w:t>
      </w:r>
      <w:r>
        <w:rPr>
          <w:spacing w:val="-4"/>
        </w:rPr>
        <w:t>当符合资本化条件的资产在购建或者生产过程中发生非正常中断、且中断时间连续超过</w:t>
      </w:r>
      <w:r>
        <w:rPr>
          <w:rFonts w:ascii="Times New Roman" w:hAnsi="Times New Roman" w:cs="Times New Roman" w:eastAsia="Times New Roman" w:hint="default"/>
          <w:spacing w:val="-4"/>
        </w:rPr>
        <w:t>3</w:t>
      </w:r>
      <w:r>
        <w:rPr>
          <w:spacing w:val="-4"/>
        </w:rPr>
        <w:t>个月的，借款费用暂停资本化。</w:t>
      </w:r>
    </w:p>
    <w:p>
      <w:pPr>
        <w:pStyle w:val="BodyText"/>
        <w:spacing w:line="235" w:lineRule="exact"/>
        <w:ind w:right="110"/>
        <w:jc w:val="left"/>
      </w:pPr>
      <w:r>
        <w:rPr/>
        <w:t>当购建或者生产符合资本化条件的资产达到预定可使用或者可销售状态时，借款费用停止资本化。</w:t>
      </w:r>
    </w:p>
    <w:p>
      <w:pPr>
        <w:pStyle w:val="BodyText"/>
        <w:spacing w:line="314" w:lineRule="auto" w:before="76"/>
        <w:ind w:left="513" w:right="110"/>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）借款费用资本化期间</w:t>
      </w:r>
      <w:r>
        <w:rPr>
          <w:rFonts w:ascii="宋体" w:hAnsi="宋体" w:cs="宋体" w:eastAsia="宋体" w:hint="default"/>
          <w:b/>
          <w:bCs/>
          <w:w w:val="99"/>
        </w:rPr>
        <w:t> </w:t>
      </w:r>
      <w:r>
        <w:rPr/>
        <w:t>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240" w:lineRule="auto" w:before="20"/>
        <w:ind w:right="110"/>
        <w:jc w:val="left"/>
      </w:pPr>
      <w:r>
        <w:rPr/>
        <w:t>款费用资本化。</w:t>
      </w:r>
    </w:p>
    <w:p>
      <w:pPr>
        <w:pStyle w:val="BodyText"/>
        <w:spacing w:line="300" w:lineRule="auto" w:before="77"/>
        <w:ind w:left="513" w:right="110"/>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w w:val="99"/>
        </w:rPr>
        <w:t> </w:t>
      </w:r>
      <w:r>
        <w:rPr>
          <w:spacing w:val="-2"/>
        </w:rPr>
        <w:t>购建或者生产的资产的各部分分别完工，但必须等到整体完工后才可使用或可对外销售的符合资本化条件的资产在购建</w:t>
      </w:r>
    </w:p>
    <w:p>
      <w:pPr>
        <w:pStyle w:val="BodyText"/>
        <w:spacing w:line="309" w:lineRule="auto" w:before="31"/>
        <w:ind w:right="204"/>
        <w:jc w:val="both"/>
      </w:pPr>
      <w:r>
        <w:rPr/>
        <w:t>或生产过程中发生的非正常中断、且中断时间连续超过</w:t>
      </w:r>
      <w:r>
        <w:rPr>
          <w:spacing w:val="-46"/>
        </w:rPr>
        <w:t> </w:t>
      </w:r>
      <w:r>
        <w:rPr>
          <w:rFonts w:ascii="Times New Roman" w:hAnsi="Times New Roman" w:cs="Times New Roman" w:eastAsia="Times New Roman" w:hint="default"/>
        </w:rPr>
        <w:t>3</w:t>
      </w:r>
      <w:r>
        <w:rPr/>
        <w:t>个月的，则借款费用暂停资本化；该项中断如是所购建或生产的符 </w:t>
      </w:r>
      <w:r>
        <w:rPr>
          <w:spacing w:val="-2"/>
        </w:rPr>
        <w:t>合资本化条件的资产达到预定可使用状态或者可销售状态必要的程序，则借款费用继续资本化。在中断期间发生的借款费用</w:t>
      </w:r>
      <w:r>
        <w:rPr>
          <w:spacing w:val="-64"/>
        </w:rPr>
        <w:t> </w:t>
      </w:r>
      <w:r>
        <w:rPr>
          <w:spacing w:val="-64"/>
        </w:rPr>
      </w:r>
      <w:r>
        <w:rPr>
          <w:spacing w:val="-4"/>
        </w:rPr>
        <w:t>确认为当期损益，直至资产的购建或者生产活动重新开始后借款费用继续资本化。在该资产整体完工时停止借款费用资本化。</w:t>
      </w:r>
    </w:p>
    <w:p>
      <w:pPr>
        <w:spacing w:line="300" w:lineRule="auto" w:before="24"/>
        <w:ind w:left="513" w:right="11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）借款费用资本化金额的计算方法</w:t>
      </w:r>
      <w:r>
        <w:rPr>
          <w:rFonts w:ascii="宋体" w:hAnsi="宋体" w:cs="宋体" w:eastAsia="宋体" w:hint="default"/>
          <w:b/>
          <w:bCs/>
          <w:w w:val="99"/>
          <w:sz w:val="18"/>
          <w:szCs w:val="18"/>
        </w:rPr>
        <w:t> </w:t>
      </w:r>
      <w:r>
        <w:rPr>
          <w:rFonts w:ascii="宋体" w:hAnsi="宋体" w:cs="宋体" w:eastAsia="宋体" w:hint="default"/>
          <w:spacing w:val="-2"/>
          <w:sz w:val="18"/>
          <w:szCs w:val="18"/>
        </w:rPr>
        <w:t>专门借款的利息费用（扣除尚未动用的借款资金存入银行取得的利息收入或者进行暂时性投资取得的投资收益）及其辅</w:t>
      </w:r>
    </w:p>
    <w:p>
      <w:pPr>
        <w:pStyle w:val="BodyText"/>
        <w:spacing w:line="316" w:lineRule="auto" w:before="31"/>
        <w:ind w:left="513" w:right="110" w:hanging="361"/>
        <w:jc w:val="left"/>
      </w:pPr>
      <w:r>
        <w:rPr/>
        <w:t>助费用在所购建或者生产的符合资本化条件的资产达到预定可使用或者可销售状态前，予以资本化。 一般借款应予资本化的利息金额根据累计资产支出超过专门借款部分的资产支出按年加权平均数乘以所占用一般借款</w:t>
      </w:r>
    </w:p>
    <w:p>
      <w:pPr>
        <w:pStyle w:val="BodyText"/>
        <w:spacing w:line="319" w:lineRule="auto" w:before="19"/>
        <w:ind w:left="513" w:right="733" w:hanging="361"/>
        <w:jc w:val="left"/>
      </w:pPr>
      <w:r>
        <w:rPr/>
        <w:t>的资本化率计算确定。资本化率根据一般借款加权平均利率计算确定。 借款存在折价或者溢价的，按照实际利率法确定每一会计期间应摊销的折价或者溢价金额，调整每期利息金额。 在资本化期间内，外币专门借款本金及利息的汇兑差额，应当予以资本化，计入符合资本化条件的资产成本。</w:t>
      </w:r>
    </w:p>
    <w:p>
      <w:pPr>
        <w:spacing w:line="240" w:lineRule="auto" w:before="9"/>
        <w:rPr>
          <w:rFonts w:ascii="宋体" w:hAnsi="宋体" w:cs="宋体" w:eastAsia="宋体" w:hint="default"/>
          <w:sz w:val="22"/>
          <w:szCs w:val="22"/>
        </w:rPr>
      </w:pPr>
    </w:p>
    <w:p>
      <w:pPr>
        <w:pStyle w:val="Heading3"/>
        <w:spacing w:line="240" w:lineRule="auto"/>
        <w:ind w:right="110"/>
        <w:jc w:val="left"/>
        <w:rPr>
          <w:b w:val="0"/>
          <w:bCs w:val="0"/>
        </w:rPr>
      </w:pPr>
      <w:r>
        <w:rPr>
          <w:rFonts w:ascii="Times New Roman" w:hAnsi="Times New Roman" w:cs="Times New Roman" w:eastAsia="Times New Roman" w:hint="default"/>
        </w:rPr>
        <w:t>18</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0"/>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6854"/>
        <w:jc w:val="left"/>
      </w:pPr>
      <w:r>
        <w:rPr/>
        <w:t>公司是否需要遵守特殊行业的披露要求 否</w:t>
      </w:r>
    </w:p>
    <w:p>
      <w:pPr>
        <w:tabs>
          <w:tab w:pos="1564" w:val="left" w:leader="none"/>
        </w:tabs>
        <w:spacing w:line="316" w:lineRule="auto" w:before="29"/>
        <w:ind w:left="513" w:right="5991" w:firstLine="420"/>
        <w:jc w:val="left"/>
        <w:rPr>
          <w:rFonts w:ascii="宋体" w:hAnsi="宋体" w:cs="宋体" w:eastAsia="宋体" w:hint="default"/>
          <w:sz w:val="18"/>
          <w:szCs w:val="18"/>
        </w:rPr>
      </w:pPr>
      <w:r>
        <w:rPr>
          <w:rFonts w:ascii="宋体" w:hAnsi="宋体" w:cs="宋体" w:eastAsia="宋体" w:hint="default"/>
          <w:b/>
          <w:bCs/>
          <w:w w:val="95"/>
          <w:sz w:val="18"/>
          <w:szCs w:val="18"/>
        </w:rPr>
        <w:t>①</w:t>
        <w:tab/>
      </w:r>
      <w:r>
        <w:rPr>
          <w:rFonts w:ascii="宋体" w:hAnsi="宋体" w:cs="宋体" w:eastAsia="宋体" w:hint="default"/>
          <w:b/>
          <w:bCs/>
          <w:sz w:val="18"/>
          <w:szCs w:val="18"/>
        </w:rPr>
        <w:t>计价方法、使用寿命、减值测试</w:t>
      </w:r>
      <w:r>
        <w:rPr>
          <w:rFonts w:ascii="宋体" w:hAnsi="宋体" w:cs="宋体" w:eastAsia="宋体" w:hint="default"/>
          <w:b/>
          <w:bCs/>
          <w:w w:val="99"/>
          <w:sz w:val="18"/>
          <w:szCs w:val="18"/>
        </w:rPr>
        <w:t> </w:t>
      </w:r>
      <w:r>
        <w:rPr>
          <w:rFonts w:ascii="宋体" w:hAnsi="宋体" w:cs="宋体" w:eastAsia="宋体" w:hint="default"/>
          <w:sz w:val="18"/>
          <w:szCs w:val="18"/>
        </w:rPr>
        <w:t>无形资产按实际成本计价。</w:t>
      </w:r>
    </w:p>
    <w:p>
      <w:pPr>
        <w:pStyle w:val="BodyText"/>
        <w:spacing w:line="316" w:lineRule="auto" w:before="19"/>
        <w:ind w:right="110" w:firstLine="360"/>
        <w:jc w:val="left"/>
      </w:pPr>
      <w:r>
        <w:rPr>
          <w:spacing w:val="-2"/>
        </w:rPr>
        <w:t>外购无形资产按照成本（包括购买价款、相关税费以及直接归属于使该项资产达到预定用途所发生的其他支出）进行初</w:t>
      </w:r>
      <w:r>
        <w:rPr/>
        <w:t> </w:t>
      </w:r>
      <w:r>
        <w:rPr>
          <w:spacing w:val="-2"/>
        </w:rPr>
        <w:t>始计量；自行开发的无形资产成本按达到预定用途前所发生的支出总额确定；投资者投入的无形资产的成本，按投资合同或</w:t>
      </w:r>
    </w:p>
    <w:p>
      <w:pPr>
        <w:spacing w:after="0" w:line="316" w:lineRule="auto"/>
        <w:jc w:val="left"/>
        <w:sectPr>
          <w:pgSz w:w="11910" w:h="16840"/>
          <w:pgMar w:header="745" w:footer="979" w:top="1060" w:bottom="1160" w:left="980" w:right="840"/>
        </w:sectPr>
      </w:pPr>
    </w:p>
    <w:p>
      <w:pPr>
        <w:spacing w:line="240" w:lineRule="auto" w:before="10"/>
        <w:rPr>
          <w:rFonts w:ascii="宋体" w:hAnsi="宋体" w:cs="宋体" w:eastAsia="宋体" w:hint="default"/>
          <w:sz w:val="25"/>
          <w:szCs w:val="25"/>
        </w:rPr>
      </w:pPr>
    </w:p>
    <w:p>
      <w:pPr>
        <w:pStyle w:val="BodyText"/>
        <w:spacing w:line="316" w:lineRule="auto" w:before="44"/>
        <w:ind w:right="193"/>
        <w:jc w:val="left"/>
      </w:pPr>
      <w:r>
        <w:rPr>
          <w:spacing w:val="-2"/>
        </w:rPr>
        <w:t>协议约定的价值确定；非货币性交换、债务重组、企业合并和融资租赁取得的无形资产成本分别按照其他相关准则确定；计</w:t>
      </w:r>
      <w:r>
        <w:rPr>
          <w:spacing w:val="-66"/>
        </w:rPr>
        <w:t> </w:t>
      </w:r>
      <w:r>
        <w:rPr>
          <w:spacing w:val="-66"/>
        </w:rPr>
      </w:r>
      <w:r>
        <w:rPr/>
        <w:t>入无形资产成本的借款费用，按照《企业会计准则第</w:t>
      </w:r>
      <w:r>
        <w:rPr>
          <w:rFonts w:ascii="Times New Roman" w:hAnsi="Times New Roman" w:cs="Times New Roman" w:eastAsia="Times New Roman" w:hint="default"/>
        </w:rPr>
        <w:t>17</w:t>
      </w:r>
      <w:r>
        <w:rPr/>
        <w:t>号</w:t>
      </w:r>
      <w:r>
        <w:rPr>
          <w:rFonts w:ascii="Times New Roman" w:hAnsi="Times New Roman" w:cs="Times New Roman" w:eastAsia="Times New Roman" w:hint="default"/>
        </w:rPr>
        <w:t>-</w:t>
      </w:r>
      <w:r>
        <w:rPr/>
        <w:t>借款费用》的规定确定。</w:t>
      </w:r>
    </w:p>
    <w:p>
      <w:pPr>
        <w:pStyle w:val="BodyText"/>
        <w:tabs>
          <w:tab w:pos="1564" w:val="left" w:leader="none"/>
        </w:tabs>
        <w:spacing w:line="316" w:lineRule="auto"/>
        <w:ind w:left="513" w:right="190" w:firstLine="420"/>
        <w:jc w:val="left"/>
      </w:pPr>
      <w:r>
        <w:rPr>
          <w:rFonts w:ascii="宋体" w:hAnsi="宋体" w:cs="宋体" w:eastAsia="宋体" w:hint="default"/>
          <w:b/>
          <w:bCs/>
          <w:w w:val="95"/>
        </w:rPr>
        <w:t>②</w:t>
        <w:tab/>
      </w:r>
      <w:r>
        <w:rPr>
          <w:rFonts w:ascii="宋体" w:hAnsi="宋体" w:cs="宋体" w:eastAsia="宋体" w:hint="default"/>
          <w:b/>
          <w:bCs/>
        </w:rPr>
        <w:t>使用寿命有限的无形资产的使用寿命估计情况</w:t>
      </w:r>
      <w:r>
        <w:rPr>
          <w:rFonts w:ascii="宋体" w:hAnsi="宋体" w:cs="宋体" w:eastAsia="宋体" w:hint="default"/>
          <w:b/>
          <w:bCs/>
          <w:w w:val="99"/>
        </w:rPr>
        <w:t> </w:t>
      </w:r>
      <w:r>
        <w:rPr/>
        <w:t>使用寿命有限的无形资产在使用寿命内系统合理摊销，使用寿命不确定的无形资产不予摊销。 </w:t>
      </w:r>
      <w:r>
        <w:rPr>
          <w:spacing w:val="-2"/>
        </w:rPr>
        <w:t>公司于每年年度终了，对无形资产的使用寿命和摊销方法进行复核。使用寿命和摊销方法与以前估计不同的，改变其摊</w:t>
      </w:r>
    </w:p>
    <w:p>
      <w:pPr>
        <w:pStyle w:val="BodyText"/>
        <w:spacing w:line="240" w:lineRule="auto" w:before="19"/>
        <w:ind w:right="183"/>
        <w:jc w:val="left"/>
      </w:pPr>
      <w:r>
        <w:rPr/>
        <w:t>销期限和摊销方法。如果有证据表明无形资产的使用寿命是有限的，估计其使用寿命，并按规定处理。</w:t>
      </w:r>
    </w:p>
    <w:p>
      <w:pPr>
        <w:spacing w:line="240" w:lineRule="auto" w:before="3"/>
        <w:rPr>
          <w:rFonts w:ascii="宋体" w:hAnsi="宋体" w:cs="宋体" w:eastAsia="宋体" w:hint="default"/>
          <w:sz w:val="5"/>
          <w:szCs w:val="5"/>
        </w:rPr>
      </w:pPr>
    </w:p>
    <w:tbl>
      <w:tblPr>
        <w:tblW w:w="0" w:type="auto"/>
        <w:jc w:val="left"/>
        <w:tblInd w:w="578" w:type="dxa"/>
        <w:tblLayout w:type="fixed"/>
        <w:tblCellMar>
          <w:top w:w="0" w:type="dxa"/>
          <w:left w:w="0" w:type="dxa"/>
          <w:bottom w:w="0" w:type="dxa"/>
          <w:right w:w="0" w:type="dxa"/>
        </w:tblCellMar>
        <w:tblLook w:val="01E0"/>
      </w:tblPr>
      <w:tblGrid>
        <w:gridCol w:w="1985"/>
        <w:gridCol w:w="1205"/>
        <w:gridCol w:w="4254"/>
        <w:gridCol w:w="1330"/>
      </w:tblGrid>
      <w:tr>
        <w:trPr>
          <w:trHeight w:val="355" w:hRule="exact"/>
        </w:trPr>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1130"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2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365" w:right="0"/>
              <w:jc w:val="center"/>
              <w:rPr>
                <w:rFonts w:ascii="宋体" w:hAnsi="宋体" w:cs="宋体" w:eastAsia="宋体" w:hint="default"/>
                <w:sz w:val="18"/>
                <w:szCs w:val="18"/>
              </w:rPr>
            </w:pPr>
            <w:r>
              <w:rPr>
                <w:rFonts w:ascii="宋体" w:hAnsi="宋体" w:cs="宋体" w:eastAsia="宋体" w:hint="default"/>
                <w:sz w:val="18"/>
                <w:szCs w:val="18"/>
              </w:rPr>
              <w:t>使用寿命</w:t>
            </w:r>
          </w:p>
        </w:tc>
        <w:tc>
          <w:tcPr>
            <w:tcW w:w="42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364" w:right="0"/>
              <w:jc w:val="center"/>
              <w:rPr>
                <w:rFonts w:ascii="宋体" w:hAnsi="宋体" w:cs="宋体" w:eastAsia="宋体" w:hint="default"/>
                <w:sz w:val="18"/>
                <w:szCs w:val="18"/>
              </w:rPr>
            </w:pPr>
            <w:r>
              <w:rPr>
                <w:rFonts w:ascii="宋体" w:hAnsi="宋体" w:cs="宋体" w:eastAsia="宋体" w:hint="default"/>
                <w:sz w:val="18"/>
                <w:szCs w:val="18"/>
              </w:rPr>
              <w:t>依据</w:t>
            </w:r>
          </w:p>
        </w:tc>
        <w:tc>
          <w:tcPr>
            <w:tcW w:w="133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120"/>
              <w:jc w:val="right"/>
              <w:rPr>
                <w:rFonts w:ascii="宋体" w:hAnsi="宋体" w:cs="宋体" w:eastAsia="宋体" w:hint="default"/>
                <w:sz w:val="18"/>
                <w:szCs w:val="18"/>
              </w:rPr>
            </w:pPr>
            <w:r>
              <w:rPr>
                <w:rFonts w:ascii="宋体" w:hAnsi="宋体" w:cs="宋体" w:eastAsia="宋体" w:hint="default"/>
                <w:sz w:val="18"/>
                <w:szCs w:val="18"/>
              </w:rPr>
              <w:t>摊销方法</w:t>
            </w:r>
          </w:p>
        </w:tc>
      </w:tr>
      <w:tr>
        <w:trPr>
          <w:trHeight w:val="350" w:hRule="exact"/>
        </w:trPr>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64"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2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6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42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64" w:right="0"/>
              <w:jc w:val="left"/>
              <w:rPr>
                <w:rFonts w:ascii="宋体" w:hAnsi="宋体" w:cs="宋体" w:eastAsia="宋体" w:hint="default"/>
                <w:sz w:val="18"/>
                <w:szCs w:val="18"/>
              </w:rPr>
            </w:pPr>
            <w:r>
              <w:rPr>
                <w:rFonts w:ascii="宋体" w:hAnsi="宋体" w:cs="宋体" w:eastAsia="宋体" w:hint="default"/>
                <w:sz w:val="18"/>
                <w:szCs w:val="18"/>
              </w:rPr>
              <w:t>根据同行业情况，历史经验等综合因素判断</w:t>
            </w:r>
          </w:p>
        </w:tc>
        <w:tc>
          <w:tcPr>
            <w:tcW w:w="13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211"/>
              <w:jc w:val="right"/>
              <w:rPr>
                <w:rFonts w:ascii="宋体" w:hAnsi="宋体" w:cs="宋体" w:eastAsia="宋体" w:hint="default"/>
                <w:sz w:val="18"/>
                <w:szCs w:val="18"/>
              </w:rPr>
            </w:pPr>
            <w:r>
              <w:rPr>
                <w:rFonts w:ascii="宋体" w:hAnsi="宋体" w:cs="宋体" w:eastAsia="宋体" w:hint="default"/>
                <w:sz w:val="18"/>
                <w:szCs w:val="18"/>
              </w:rPr>
              <w:t>直线法</w:t>
            </w:r>
          </w:p>
        </w:tc>
      </w:tr>
      <w:tr>
        <w:trPr>
          <w:trHeight w:val="353" w:hRule="exact"/>
        </w:trPr>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2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42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依据国有土地出让合同中约定的出让年限</w:t>
            </w:r>
          </w:p>
        </w:tc>
        <w:tc>
          <w:tcPr>
            <w:tcW w:w="13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211"/>
              <w:jc w:val="right"/>
              <w:rPr>
                <w:rFonts w:ascii="宋体" w:hAnsi="宋体" w:cs="宋体" w:eastAsia="宋体" w:hint="default"/>
                <w:sz w:val="18"/>
                <w:szCs w:val="18"/>
              </w:rPr>
            </w:pPr>
            <w:r>
              <w:rPr>
                <w:rFonts w:ascii="宋体" w:hAnsi="宋体" w:cs="宋体" w:eastAsia="宋体" w:hint="default"/>
                <w:sz w:val="18"/>
                <w:szCs w:val="18"/>
              </w:rPr>
              <w:t>直线法</w:t>
            </w:r>
          </w:p>
        </w:tc>
      </w:tr>
      <w:tr>
        <w:trPr>
          <w:trHeight w:val="353" w:hRule="exact"/>
        </w:trPr>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64" w:right="0"/>
              <w:jc w:val="left"/>
              <w:rPr>
                <w:rFonts w:ascii="宋体" w:hAnsi="宋体" w:cs="宋体" w:eastAsia="宋体" w:hint="default"/>
                <w:sz w:val="18"/>
                <w:szCs w:val="18"/>
              </w:rPr>
            </w:pPr>
            <w:r>
              <w:rPr>
                <w:rFonts w:ascii="宋体" w:hAnsi="宋体" w:cs="宋体" w:eastAsia="宋体" w:hint="default"/>
                <w:sz w:val="18"/>
                <w:szCs w:val="18"/>
              </w:rPr>
              <w:t>计算机软件著作权</w:t>
            </w:r>
          </w:p>
        </w:tc>
        <w:tc>
          <w:tcPr>
            <w:tcW w:w="12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6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42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64" w:right="0"/>
              <w:jc w:val="left"/>
              <w:rPr>
                <w:rFonts w:ascii="宋体" w:hAnsi="宋体" w:cs="宋体" w:eastAsia="宋体" w:hint="default"/>
                <w:sz w:val="18"/>
                <w:szCs w:val="18"/>
              </w:rPr>
            </w:pPr>
            <w:r>
              <w:rPr>
                <w:rFonts w:ascii="宋体" w:hAnsi="宋体" w:cs="宋体" w:eastAsia="宋体" w:hint="default"/>
                <w:sz w:val="18"/>
                <w:szCs w:val="18"/>
              </w:rPr>
              <w:t>依据法律规定年限</w:t>
            </w:r>
          </w:p>
        </w:tc>
        <w:tc>
          <w:tcPr>
            <w:tcW w:w="13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211"/>
              <w:jc w:val="right"/>
              <w:rPr>
                <w:rFonts w:ascii="宋体" w:hAnsi="宋体" w:cs="宋体" w:eastAsia="宋体" w:hint="default"/>
                <w:sz w:val="18"/>
                <w:szCs w:val="18"/>
              </w:rPr>
            </w:pPr>
            <w:r>
              <w:rPr>
                <w:rFonts w:ascii="宋体" w:hAnsi="宋体" w:cs="宋体" w:eastAsia="宋体" w:hint="default"/>
                <w:sz w:val="18"/>
                <w:szCs w:val="18"/>
              </w:rPr>
              <w:t>直线法</w:t>
            </w:r>
          </w:p>
        </w:tc>
      </w:tr>
    </w:tbl>
    <w:p>
      <w:pPr>
        <w:spacing w:line="240" w:lineRule="auto" w:before="3"/>
        <w:rPr>
          <w:rFonts w:ascii="宋体" w:hAnsi="宋体" w:cs="宋体" w:eastAsia="宋体" w:hint="default"/>
          <w:sz w:val="19"/>
          <w:szCs w:val="19"/>
        </w:rPr>
      </w:pPr>
    </w:p>
    <w:p>
      <w:pPr>
        <w:pStyle w:val="Heading3"/>
        <w:spacing w:line="240" w:lineRule="auto" w:before="36"/>
        <w:ind w:right="183"/>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4"/>
        <w:rPr>
          <w:rFonts w:ascii="宋体" w:hAnsi="宋体" w:cs="宋体" w:eastAsia="宋体" w:hint="default"/>
          <w:b/>
          <w:bCs/>
          <w:sz w:val="26"/>
          <w:szCs w:val="26"/>
        </w:rPr>
      </w:pPr>
    </w:p>
    <w:p>
      <w:pPr>
        <w:spacing w:line="309" w:lineRule="auto" w:before="0"/>
        <w:ind w:left="513" w:right="18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）划分公司内部研究开发项目的研究阶段和开发阶段具体标准</w:t>
      </w:r>
      <w:r>
        <w:rPr>
          <w:rFonts w:ascii="宋体" w:hAnsi="宋体" w:cs="宋体" w:eastAsia="宋体" w:hint="default"/>
          <w:b/>
          <w:bCs/>
          <w:w w:val="99"/>
          <w:sz w:val="18"/>
          <w:szCs w:val="18"/>
        </w:rPr>
        <w:t> </w:t>
      </w:r>
      <w:r>
        <w:rPr>
          <w:rFonts w:ascii="宋体" w:hAnsi="宋体" w:cs="宋体" w:eastAsia="宋体" w:hint="default"/>
          <w:sz w:val="18"/>
          <w:szCs w:val="18"/>
        </w:rPr>
        <w:t>研究阶段：为获取并理解新的科学或技术知识等而进行的独创性的有计划调查、研究活动的阶段。 </w:t>
      </w:r>
      <w:r>
        <w:rPr>
          <w:rFonts w:ascii="宋体" w:hAnsi="宋体" w:cs="宋体" w:eastAsia="宋体" w:hint="default"/>
          <w:spacing w:val="-2"/>
          <w:sz w:val="18"/>
          <w:szCs w:val="18"/>
        </w:rPr>
        <w:t>开发阶段：在进行商业性生产或使用前，将研究成果或其他知识应用于某项计划或设计，以生产出新的或具有实质性改</w:t>
      </w:r>
    </w:p>
    <w:p>
      <w:pPr>
        <w:pStyle w:val="BodyText"/>
        <w:spacing w:line="240" w:lineRule="auto" w:before="24"/>
        <w:ind w:right="183"/>
        <w:jc w:val="left"/>
      </w:pPr>
      <w:r>
        <w:rPr/>
        <w:t>进的材料、装置、产品等活动的阶段。</w:t>
      </w:r>
    </w:p>
    <w:p>
      <w:pPr>
        <w:spacing w:line="316" w:lineRule="auto" w:before="76"/>
        <w:ind w:left="513" w:right="495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2.2</w:t>
      </w:r>
      <w:r>
        <w:rPr>
          <w:rFonts w:ascii="宋体" w:hAnsi="宋体" w:cs="宋体" w:eastAsia="宋体" w:hint="default"/>
          <w:b/>
          <w:bCs/>
          <w:sz w:val="18"/>
          <w:szCs w:val="18"/>
        </w:rPr>
        <w:t>）研究阶段的支出于发生时计入当期损益。</w:t>
      </w:r>
      <w:r>
        <w:rPr>
          <w:rFonts w:ascii="宋体" w:hAnsi="宋体" w:cs="宋体" w:eastAsia="宋体" w:hint="default"/>
          <w:b/>
          <w:bCs/>
          <w:w w:val="99"/>
          <w:sz w:val="18"/>
          <w:szCs w:val="18"/>
        </w:rPr>
        <w:t> </w:t>
      </w:r>
      <w:r>
        <w:rPr>
          <w:rFonts w:ascii="宋体" w:hAnsi="宋体" w:cs="宋体" w:eastAsia="宋体" w:hint="default"/>
          <w:sz w:val="18"/>
          <w:szCs w:val="18"/>
        </w:rPr>
        <w:t>开发阶段的支出同时满足下列条件的，确认为无形资产：</w:t>
      </w:r>
    </w:p>
    <w:p>
      <w:pPr>
        <w:pStyle w:val="BodyText"/>
        <w:spacing w:line="240" w:lineRule="auto" w:before="19"/>
        <w:ind w:left="513" w:right="183"/>
        <w:jc w:val="left"/>
      </w:pPr>
      <w:r>
        <w:rPr/>
        <w:t>①完成该无形资产以使其能够使用或出售在技术上具有可行性；</w:t>
      </w:r>
    </w:p>
    <w:p>
      <w:pPr>
        <w:pStyle w:val="BodyText"/>
        <w:spacing w:line="240" w:lineRule="auto" w:before="76"/>
        <w:ind w:left="513" w:right="183"/>
        <w:jc w:val="left"/>
      </w:pPr>
      <w:r>
        <w:rPr/>
        <w:t>②具有完成该无形资产并使用或出售的意图；</w:t>
      </w:r>
    </w:p>
    <w:p>
      <w:pPr>
        <w:pStyle w:val="BodyText"/>
        <w:spacing w:line="316" w:lineRule="auto" w:before="77"/>
        <w:ind w:right="183" w:firstLine="360"/>
        <w:jc w:val="left"/>
      </w:pPr>
      <w:r>
        <w:rPr>
          <w:spacing w:val="-2"/>
        </w:rPr>
        <w:t>③无形资产产生经济利益的方式，包括能够证明运用该无形资产生产的产品存在市场或无形资产自身存在市场，无形资</w:t>
      </w:r>
      <w:r>
        <w:rPr/>
        <w:t> 产将在内部使用的，能够证明其有用性；</w:t>
      </w:r>
    </w:p>
    <w:p>
      <w:pPr>
        <w:pStyle w:val="BodyText"/>
        <w:spacing w:line="240" w:lineRule="auto" w:before="19"/>
        <w:ind w:left="513" w:right="183"/>
        <w:jc w:val="left"/>
      </w:pPr>
      <w:r>
        <w:rPr/>
        <w:t>④有足够的技术、财务资源和其他资源支持，以完成该无形资产的开发，并有能力使用或出售该无形资产；</w:t>
      </w:r>
    </w:p>
    <w:p>
      <w:pPr>
        <w:pStyle w:val="BodyText"/>
        <w:spacing w:line="316" w:lineRule="auto" w:before="76"/>
        <w:ind w:left="513" w:right="183"/>
        <w:jc w:val="left"/>
      </w:pPr>
      <w:r>
        <w:rPr/>
        <w:t>⑤归属于该无形资产开发阶段的支出能够可靠地计量。 </w:t>
      </w:r>
      <w:r>
        <w:rPr>
          <w:spacing w:val="-2"/>
        </w:rPr>
        <w:t>不能满足上述条件的开发阶段的支出计入当期损益；无法区分研究阶段支出和开发阶段支出的，将发生的研发支出全部</w:t>
      </w:r>
    </w:p>
    <w:p>
      <w:pPr>
        <w:pStyle w:val="BodyText"/>
        <w:spacing w:line="240" w:lineRule="auto" w:before="19"/>
        <w:ind w:right="183"/>
        <w:jc w:val="left"/>
      </w:pPr>
      <w:r>
        <w:rPr/>
        <w:t>计入当期损益。</w:t>
      </w:r>
    </w:p>
    <w:p>
      <w:pPr>
        <w:spacing w:line="240" w:lineRule="auto" w:before="0"/>
        <w:rPr>
          <w:rFonts w:ascii="宋体" w:hAnsi="宋体" w:cs="宋体" w:eastAsia="宋体" w:hint="default"/>
          <w:sz w:val="18"/>
          <w:szCs w:val="18"/>
        </w:rPr>
      </w:pPr>
    </w:p>
    <w:p>
      <w:pPr>
        <w:pStyle w:val="Heading3"/>
        <w:spacing w:line="240" w:lineRule="auto" w:before="120"/>
        <w:ind w:right="183"/>
        <w:jc w:val="left"/>
        <w:rPr>
          <w:b w:val="0"/>
          <w:bCs w:val="0"/>
        </w:rPr>
      </w:pPr>
      <w:r>
        <w:rPr>
          <w:rFonts w:ascii="Times New Roman" w:hAnsi="Times New Roman" w:cs="Times New Roman" w:eastAsia="Times New Roman" w:hint="default"/>
        </w:rPr>
        <w:t>19</w:t>
      </w:r>
      <w:r>
        <w:rPr/>
        <w:t>、长期资产减值</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91" w:firstLine="360"/>
        <w:jc w:val="both"/>
      </w:pPr>
      <w:r>
        <w:rPr>
          <w:spacing w:val="-2"/>
        </w:rPr>
        <w:t>在每个资产负债表日判断长期股权投资、固定资产、在建工程、使用寿命确定的无形资产等是否存在减值迹象，对存在</w:t>
      </w:r>
      <w:r>
        <w:rPr/>
        <w:t> </w:t>
      </w:r>
      <w:r>
        <w:rPr>
          <w:spacing w:val="-2"/>
        </w:rPr>
        <w:t>减值迹象的，估计其可收回金额，可收回金额低于其账面价值的，将资产的账面价值减记至可收回金额，减记的金额确认相</w:t>
      </w:r>
      <w:r>
        <w:rPr>
          <w:spacing w:val="-65"/>
        </w:rPr>
        <w:t> </w:t>
      </w:r>
      <w:r>
        <w:rPr>
          <w:spacing w:val="-65"/>
        </w:rPr>
      </w:r>
      <w:r>
        <w:rPr/>
        <w:t>应的减值损失，计入当期损益，同时计提相应的减值准备。</w:t>
      </w:r>
    </w:p>
    <w:p>
      <w:pPr>
        <w:pStyle w:val="BodyText"/>
        <w:spacing w:line="316" w:lineRule="auto" w:before="17"/>
        <w:ind w:right="94" w:firstLine="360"/>
        <w:jc w:val="left"/>
      </w:pPr>
      <w:r>
        <w:rPr>
          <w:spacing w:val="-2"/>
        </w:rPr>
        <w:t>资产可收回金额的估计，根据其公允价值减去处置费用后的诤额与其预计未来现金流量的现值两者之间较高者确定。公</w:t>
      </w:r>
      <w:r>
        <w:rPr/>
        <w:t> </w:t>
      </w:r>
      <w:r>
        <w:rPr>
          <w:spacing w:val="-2"/>
        </w:rPr>
        <w:t>司以单项资产为基础估计其可收回金额，在难以对单项资产可回收金额进行估计的情况下，以资产所属的资产组为基础确定</w:t>
      </w:r>
      <w:r>
        <w:rPr>
          <w:spacing w:val="-64"/>
        </w:rPr>
        <w:t> </w:t>
      </w:r>
      <w:r>
        <w:rPr>
          <w:spacing w:val="-64"/>
        </w:rPr>
      </w:r>
      <w:r>
        <w:rPr/>
        <w:t>资产组的可收回金额。资产减值损失确认后，减值资产的折旧或者摊销费用在未来期间做相应调整，使资产在剩余寿命内，</w:t>
      </w:r>
      <w:r>
        <w:rPr>
          <w:spacing w:val="-82"/>
        </w:rPr>
        <w:t> </w:t>
      </w:r>
      <w:r>
        <w:rPr>
          <w:spacing w:val="-82"/>
        </w:rPr>
      </w:r>
      <w:r>
        <w:rPr/>
        <w:t>系统地分摊调整后的资产账面价值。</w:t>
      </w:r>
    </w:p>
    <w:p>
      <w:pPr>
        <w:pStyle w:val="BodyText"/>
        <w:spacing w:line="316" w:lineRule="auto" w:before="19"/>
        <w:ind w:left="513" w:right="183"/>
        <w:jc w:val="left"/>
      </w:pPr>
      <w:r>
        <w:rPr/>
        <w:t>对于使用寿命不确定的无形资产、尚未达到使用状态的无形资以及合并所形成的商誉每年年度终了进行减值测试。 关于商誉减值测试，对于因企业合并形成的商誉的账面价值，自购买日起按照合理的方法分摊至相关的资产组</w:t>
      </w:r>
      <w:r>
        <w:rPr>
          <w:rFonts w:ascii="宋体" w:hAnsi="宋体" w:cs="宋体" w:eastAsia="宋体" w:hint="default"/>
        </w:rPr>
        <w:t>;</w:t>
      </w:r>
      <w:r>
        <w:rPr/>
        <w:t>难以分</w:t>
      </w:r>
    </w:p>
    <w:p>
      <w:pPr>
        <w:pStyle w:val="BodyText"/>
        <w:spacing w:line="316" w:lineRule="auto" w:before="19"/>
        <w:ind w:right="94"/>
        <w:jc w:val="left"/>
      </w:pPr>
      <w:r>
        <w:rPr>
          <w:spacing w:val="-2"/>
        </w:rPr>
        <w:t>摊至相关的资产组的，将其分摊至相关的资产组组合。在将商誉的账面价值分摊至相关的资产组或者资产组组合时，按照各</w:t>
      </w:r>
      <w:r>
        <w:rPr>
          <w:spacing w:val="-63"/>
        </w:rPr>
        <w:t> </w:t>
      </w:r>
      <w:r>
        <w:rPr>
          <w:spacing w:val="-63"/>
        </w:rPr>
      </w:r>
      <w:r>
        <w:rPr/>
        <w:t>资产组或者资产组组合的公允价值占相关资产组或者资产组组合公允价值总额的比例进行分摊。公允价值难以可靠计量的，</w:t>
      </w:r>
      <w:r>
        <w:rPr>
          <w:spacing w:val="-81"/>
        </w:rPr>
        <w:t> </w:t>
      </w:r>
      <w:r>
        <w:rPr>
          <w:spacing w:val="-81"/>
        </w:rPr>
      </w:r>
      <w:r>
        <w:rPr/>
        <w:t>按照各资产组或者资产组组合的账面价值占相关资产组或者资产组组合账面价值总额的比例进行分摊。</w:t>
      </w:r>
    </w:p>
    <w:p>
      <w:pPr>
        <w:pStyle w:val="BodyText"/>
        <w:spacing w:line="316" w:lineRule="auto" w:before="19"/>
        <w:ind w:right="94" w:firstLine="360"/>
        <w:jc w:val="left"/>
      </w:pPr>
      <w:r>
        <w:rPr/>
        <w:t>在对包含商誉的相关资产组或者资产组组合进行减值测试时，如与商誉相关的资产组或者资产组组合存在减值迹象的， </w:t>
      </w:r>
      <w:r>
        <w:rPr>
          <w:spacing w:val="-5"/>
        </w:rPr>
        <w:t>先对不包含商誉的资产组或者资产组组合进行减值测试，计算可收回金额，并与相关账面价值相比较，确认相应的减值损失。</w:t>
      </w:r>
    </w:p>
    <w:p>
      <w:pPr>
        <w:spacing w:after="0" w:line="316"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284"/>
        <w:jc w:val="left"/>
      </w:pPr>
      <w:r>
        <w:rPr/>
        <w:t>再对包含商誉的资产组或者资产组组合进行减值测试，比较这些相关资产组或者资产组组合的账面价值</w:t>
      </w:r>
      <w:r>
        <w:rPr>
          <w:rFonts w:ascii="宋体" w:hAnsi="宋体" w:cs="宋体" w:eastAsia="宋体" w:hint="default"/>
        </w:rPr>
        <w:t>(</w:t>
      </w:r>
      <w:r>
        <w:rPr/>
        <w:t>包括所分摊的商誉</w:t>
      </w:r>
      <w:r>
        <w:rPr>
          <w:spacing w:val="-82"/>
        </w:rPr>
        <w:t> </w:t>
      </w:r>
      <w:r>
        <w:rPr/>
        <w:t>的账面价值部分</w:t>
      </w:r>
      <w:r>
        <w:rPr>
          <w:rFonts w:ascii="宋体" w:hAnsi="宋体" w:cs="宋体" w:eastAsia="宋体" w:hint="default"/>
        </w:rPr>
        <w:t>)</w:t>
      </w:r>
      <w:r>
        <w:rPr/>
        <w:t>与其可收回金额，如相关资产组或者资产组组合的可收回金额低于其账面价值的，确认商誉的减值损失。</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0" w:firstLine="360"/>
        <w:jc w:val="left"/>
      </w:pPr>
      <w:r>
        <w:rPr>
          <w:spacing w:val="-2"/>
        </w:rPr>
        <w:t>长期待摊费用中能够确定收益期限的，采用平均年限法按受益期限分期平均摊销，不能确定受益期限的按照不超过十年</w:t>
      </w:r>
      <w:r>
        <w:rPr/>
        <w:t> 的期限分期平均摊销。</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21</w:t>
      </w:r>
      <w:r>
        <w:rPr/>
        <w:t>、职工薪酬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0" w:firstLine="360"/>
        <w:jc w:val="left"/>
      </w:pPr>
      <w:r>
        <w:rPr>
          <w:spacing w:val="-2"/>
        </w:rPr>
        <w:t>短期薪酬主要包括工资、奖金、津贴和补贴、职工福利费、医疗保险费、生育保险费、工伤保险费、住房公积金、工会</w:t>
      </w:r>
      <w:r>
        <w:rPr/>
        <w:t> </w:t>
      </w:r>
      <w:r>
        <w:rPr>
          <w:spacing w:val="-4"/>
        </w:rPr>
        <w:t>经费和职工教育经费、非货币性福利等。本公司在职工为本公司提供服务的会计期间将实际发生的短期职工薪酬确认为负债，</w:t>
      </w:r>
      <w:r>
        <w:rPr>
          <w:spacing w:val="-44"/>
        </w:rPr>
        <w:t> </w:t>
      </w:r>
      <w:r>
        <w:rPr>
          <w:spacing w:val="-44"/>
        </w:rPr>
      </w:r>
      <w:r>
        <w:rPr/>
        <w:t>并计入当期损益或相关资产成本。其中非货币性福利按公允价值计量。</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3" w:right="110"/>
        <w:jc w:val="left"/>
      </w:pPr>
      <w:r>
        <w:rPr/>
        <w:t>离职后福利主要包括设定提存计划和设定受益计划。 </w:t>
      </w:r>
      <w:r>
        <w:rPr>
          <w:spacing w:val="-2"/>
        </w:rPr>
        <w:t>设定提存计划：本公司按当地政府的相关规定为职工缴纳基本养老保险和失业保险，在职工为本公司提供服务的会计期</w:t>
      </w:r>
    </w:p>
    <w:p>
      <w:pPr>
        <w:pStyle w:val="BodyText"/>
        <w:spacing w:line="316" w:lineRule="auto" w:before="19"/>
        <w:ind w:left="513" w:right="110" w:hanging="361"/>
        <w:jc w:val="left"/>
      </w:pPr>
      <w:r>
        <w:rPr/>
        <w:t>间，按以当地规定的缴纳基数和比例计算应缴纳金额，确认为负债，并计入当期损益或相关资产成本。 </w:t>
      </w:r>
      <w:r>
        <w:rPr>
          <w:spacing w:val="-2"/>
        </w:rPr>
        <w:t>设定受益计划：本公司根据预期累计福利单位法确定的公式将设定受益计划产生的福利义务归属于职工提供服务的期间，</w:t>
      </w:r>
    </w:p>
    <w:p>
      <w:pPr>
        <w:pStyle w:val="BodyText"/>
        <w:spacing w:line="316" w:lineRule="auto" w:before="19"/>
        <w:ind w:right="290"/>
        <w:jc w:val="both"/>
      </w:pPr>
      <w:r>
        <w:rPr>
          <w:spacing w:val="-2"/>
        </w:rPr>
        <w:t>并计入当期损益或相关资产成本。设定受益计划义务现值减去设定受益计划资产公允价值所形成的赤字或盈余确认为一项设</w:t>
      </w:r>
      <w:r>
        <w:rPr>
          <w:spacing w:val="-64"/>
        </w:rPr>
        <w:t> </w:t>
      </w:r>
      <w:r>
        <w:rPr>
          <w:spacing w:val="-64"/>
        </w:rPr>
      </w:r>
      <w:r>
        <w:rPr>
          <w:spacing w:val="-2"/>
        </w:rPr>
        <w:t>定受益计划净负债或净资产。设定受益计划存在盈余的，本公司以设定受益计划的盈余和资产上限两项的孰低者计量设定受</w:t>
      </w:r>
      <w:r>
        <w:rPr>
          <w:spacing w:val="-64"/>
        </w:rPr>
        <w:t> </w:t>
      </w:r>
      <w:r>
        <w:rPr>
          <w:spacing w:val="-64"/>
        </w:rPr>
      </w:r>
      <w:r>
        <w:rPr>
          <w:spacing w:val="-2"/>
        </w:rPr>
        <w:t>益计划净资产。所有设定受益计划义务，包括预期在职工提供服务的年度报告期间结束后的十二个月内支付的义务，根据资</w:t>
      </w:r>
      <w:r>
        <w:rPr>
          <w:spacing w:val="-63"/>
        </w:rPr>
        <w:t> </w:t>
      </w:r>
      <w:r>
        <w:rPr>
          <w:spacing w:val="-63"/>
        </w:rPr>
      </w:r>
      <w:r>
        <w:rPr>
          <w:spacing w:val="-2"/>
        </w:rPr>
        <w:t>产负债表日与设定受益计划义务期限和币种相匹配的国债或活跃市场上的高质量公司债券的市场收益率予以折现。设定受益</w:t>
      </w:r>
      <w:r>
        <w:rPr>
          <w:spacing w:val="-63"/>
        </w:rPr>
        <w:t> </w:t>
      </w:r>
      <w:r>
        <w:rPr>
          <w:spacing w:val="-63"/>
        </w:rPr>
      </w:r>
      <w:r>
        <w:rPr>
          <w:spacing w:val="-2"/>
        </w:rPr>
        <w:t>计划产生的服务成本和设定受益计划净负债或净资产的利息净额计入当期损益或相关资产成本；重新计量设定受益计划净负</w:t>
      </w:r>
      <w:r>
        <w:rPr>
          <w:spacing w:val="-64"/>
        </w:rPr>
        <w:t> </w:t>
      </w:r>
      <w:r>
        <w:rPr>
          <w:spacing w:val="-64"/>
        </w:rPr>
      </w:r>
      <w:r>
        <w:rPr>
          <w:spacing w:val="-2"/>
        </w:rPr>
        <w:t>债或净资产所产生的变动计入其他综合收益，并且在后续会计期间不转回至损益。在设定受益计划结算时，按在结算日确定</w:t>
      </w:r>
      <w:r>
        <w:rPr>
          <w:spacing w:val="-63"/>
        </w:rPr>
        <w:t> </w:t>
      </w:r>
      <w:r>
        <w:rPr>
          <w:spacing w:val="-63"/>
        </w:rPr>
      </w:r>
      <w:r>
        <w:rPr/>
        <w:t>的设定受益计划义务现值和结算价格两者的差额，确认结算利得或损失。</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291" w:firstLine="360"/>
        <w:jc w:val="both"/>
      </w:pPr>
      <w:r>
        <w:rPr>
          <w:spacing w:val="-2"/>
        </w:rPr>
        <w:t>在职工劳动合同到期之前解除与职工的劳动关系，或为鼓励职工自愿接受裁减而提出给予补偿的建议，在本公司不能单</w:t>
      </w:r>
      <w:r>
        <w:rPr/>
        <w:t> </w:t>
      </w:r>
      <w:r>
        <w:rPr>
          <w:spacing w:val="-2"/>
        </w:rPr>
        <w:t>方面撤回因解除劳动关系计划或裁减建议所提供的辞退福利时，和本公司确认与涉及支付辞退福利的重组相关的成本两者孰</w:t>
      </w:r>
      <w:r>
        <w:rPr>
          <w:spacing w:val="-63"/>
        </w:rPr>
        <w:t> </w:t>
      </w:r>
      <w:r>
        <w:rPr>
          <w:spacing w:val="-63"/>
        </w:rPr>
      </w:r>
      <w:r>
        <w:rPr>
          <w:spacing w:val="-5"/>
        </w:rPr>
        <w:t>早日，确认辞退福利产生的职工薪酬负债，并计入当期损益。但辞退福利预期在年度报告期结束后十二个月不能完全支付的，</w:t>
      </w:r>
      <w:r>
        <w:rPr>
          <w:spacing w:val="-79"/>
        </w:rPr>
        <w:t> </w:t>
      </w:r>
      <w:r>
        <w:rPr>
          <w:spacing w:val="-79"/>
        </w:rPr>
      </w:r>
      <w:r>
        <w:rPr>
          <w:spacing w:val="-2"/>
        </w:rPr>
        <w:t>按照其他长期职工薪酬处理。职工内部退休计划采用上述辞退福利相同的原则处理。本公司将自职工停止提供服务日至正常</w:t>
      </w:r>
      <w:r>
        <w:rPr>
          <w:spacing w:val="-64"/>
        </w:rPr>
        <w:t> </w:t>
      </w:r>
      <w:r>
        <w:rPr>
          <w:spacing w:val="-64"/>
        </w:rPr>
      </w:r>
      <w:r>
        <w:rPr/>
        <w:t>退休日的期间拟支付的内退人员工资和缴纳的社会保险费等，在符合预计负债确认条件时，计入当期损益（辞退福利）。</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0" w:firstLine="360"/>
        <w:jc w:val="left"/>
      </w:pPr>
      <w:r>
        <w:rPr>
          <w:spacing w:val="-2"/>
        </w:rPr>
        <w:t>本公司向职工提供的其他长期职工福利，符合设定提存计划的，按照设定提存计划进行会计处理，除此之外按照设定收</w:t>
      </w:r>
      <w:r>
        <w:rPr/>
        <w:t> 益计划进行会计处理。</w:t>
      </w:r>
    </w:p>
    <w:p>
      <w:pPr>
        <w:spacing w:after="0" w:line="316" w:lineRule="auto"/>
        <w:jc w:val="left"/>
        <w:sectPr>
          <w:pgSz w:w="11910" w:h="16840"/>
          <w:pgMar w:header="745" w:footer="979" w:top="1060" w:bottom="1160" w:left="980" w:right="84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4"/>
        <w:rPr>
          <w:rFonts w:ascii="宋体" w:hAnsi="宋体" w:cs="宋体" w:eastAsia="宋体" w:hint="default"/>
          <w:b/>
          <w:bCs/>
          <w:sz w:val="26"/>
          <w:szCs w:val="26"/>
        </w:rPr>
      </w:pPr>
    </w:p>
    <w:p>
      <w:pPr>
        <w:spacing w:line="300" w:lineRule="auto" w:before="0"/>
        <w:ind w:left="513" w:right="329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）预计负债的确认标准</w:t>
      </w:r>
      <w:r>
        <w:rPr>
          <w:rFonts w:ascii="宋体" w:hAnsi="宋体" w:cs="宋体" w:eastAsia="宋体" w:hint="default"/>
          <w:b/>
          <w:bCs/>
          <w:w w:val="99"/>
          <w:sz w:val="18"/>
          <w:szCs w:val="18"/>
        </w:rPr>
        <w:t> </w:t>
      </w:r>
      <w:r>
        <w:rPr>
          <w:rFonts w:ascii="宋体" w:hAnsi="宋体" w:cs="宋体" w:eastAsia="宋体" w:hint="default"/>
          <w:sz w:val="18"/>
          <w:szCs w:val="18"/>
        </w:rPr>
        <w:t>如果与或有事项相关的义务同时符合以下条件，本公司将其确认为预计负债：</w:t>
      </w:r>
    </w:p>
    <w:p>
      <w:pPr>
        <w:pStyle w:val="BodyText"/>
        <w:spacing w:line="240" w:lineRule="auto" w:before="31"/>
        <w:ind w:left="513" w:right="2839"/>
        <w:jc w:val="left"/>
      </w:pPr>
      <w:r>
        <w:rPr/>
        <w:t>①该义务是本公司承担的现时义务；</w:t>
      </w:r>
    </w:p>
    <w:p>
      <w:pPr>
        <w:pStyle w:val="BodyText"/>
        <w:spacing w:line="240" w:lineRule="auto" w:before="76"/>
        <w:ind w:left="513" w:right="2839"/>
        <w:jc w:val="left"/>
      </w:pPr>
      <w:r>
        <w:rPr/>
        <w:t>②该义务的履行很可能导致经济利益流出本公司；</w:t>
      </w:r>
    </w:p>
    <w:p>
      <w:pPr>
        <w:pStyle w:val="BodyText"/>
        <w:spacing w:line="240" w:lineRule="auto" w:before="76"/>
        <w:ind w:left="513" w:right="2839"/>
        <w:jc w:val="left"/>
      </w:pPr>
      <w:r>
        <w:rPr/>
        <w:t>③该义务的金额能够可靠地计量。</w:t>
      </w:r>
    </w:p>
    <w:p>
      <w:pPr>
        <w:pStyle w:val="BodyText"/>
        <w:spacing w:line="300" w:lineRule="auto" w:before="76"/>
        <w:ind w:left="513" w:right="0"/>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）预计负债的计量方法</w:t>
      </w:r>
      <w:r>
        <w:rPr>
          <w:rFonts w:ascii="宋体" w:hAnsi="宋体" w:cs="宋体" w:eastAsia="宋体" w:hint="default"/>
          <w:b/>
          <w:bCs/>
          <w:w w:val="99"/>
        </w:rPr>
        <w:t> </w:t>
      </w:r>
      <w:r>
        <w:rPr>
          <w:spacing w:val="-2"/>
        </w:rPr>
        <w:t>预计负债按照履行相关现时义务所需支出的最佳估计数进行初始计量，并综合考虑与或有事项有关的风险、不确定性和</w:t>
      </w:r>
    </w:p>
    <w:p>
      <w:pPr>
        <w:pStyle w:val="BodyText"/>
        <w:spacing w:line="316" w:lineRule="auto" w:before="31"/>
        <w:ind w:right="0"/>
        <w:jc w:val="left"/>
      </w:pPr>
      <w:r>
        <w:rPr>
          <w:spacing w:val="-2"/>
        </w:rPr>
        <w:t>货币时间价值等因素。货币时间价值影响重大的，通过对相关未来现金流出进行折现后确定最佳估计数。本公司于资产负债</w:t>
      </w:r>
      <w:r>
        <w:rPr>
          <w:spacing w:val="-63"/>
        </w:rPr>
        <w:t> </w:t>
      </w:r>
      <w:r>
        <w:rPr>
          <w:spacing w:val="-63"/>
        </w:rPr>
      </w:r>
      <w:r>
        <w:rPr/>
        <w:t>表日对预计负债的账面价值进行复核，并对账面价值进行调整以反映当前最佳估计数。</w:t>
      </w:r>
    </w:p>
    <w:p>
      <w:pPr>
        <w:pStyle w:val="BodyText"/>
        <w:spacing w:line="316" w:lineRule="auto" w:before="19"/>
        <w:ind w:right="152" w:firstLine="360"/>
        <w:jc w:val="both"/>
      </w:pPr>
      <w:r>
        <w:rPr>
          <w:spacing w:val="-2"/>
        </w:rPr>
        <w:t>如果清偿已确认预计负债所需支出全部或部分预期由第三方或其他方补偿，则补偿金额只能在基本确定能收到时，作为</w:t>
      </w:r>
      <w:r>
        <w:rPr/>
        <w:t> 资产单独确认。确认的补偿金额不超过所确认负债的账面价值。</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23</w:t>
      </w:r>
      <w:r>
        <w:rPr/>
        <w:t>、股份支付</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13" w:right="0" w:firstLine="316"/>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）股份支付的种类</w:t>
      </w:r>
      <w:r>
        <w:rPr>
          <w:rFonts w:ascii="宋体" w:hAnsi="宋体" w:cs="宋体" w:eastAsia="宋体" w:hint="default"/>
          <w:b/>
          <w:bCs/>
          <w:w w:val="99"/>
        </w:rPr>
        <w:t> </w:t>
      </w:r>
      <w:r>
        <w:rPr>
          <w:spacing w:val="-2"/>
        </w:rPr>
        <w:t>股份支付是为了获取职工或其他方提供服务而授予权益工具或者承担以权益工具为基础确定的负债的交易。股份支付分</w:t>
      </w:r>
    </w:p>
    <w:p>
      <w:pPr>
        <w:pStyle w:val="BodyText"/>
        <w:spacing w:line="240" w:lineRule="auto" w:before="31"/>
        <w:ind w:right="0"/>
        <w:jc w:val="both"/>
      </w:pPr>
      <w:r>
        <w:rPr/>
        <w:t>为以权益结算的股份支付和以现金结算的股份支付。</w:t>
      </w:r>
    </w:p>
    <w:p>
      <w:pPr>
        <w:pStyle w:val="BodyText"/>
        <w:spacing w:line="319" w:lineRule="auto" w:before="76"/>
        <w:ind w:right="152" w:firstLine="360"/>
        <w:jc w:val="both"/>
      </w:pPr>
      <w:r>
        <w:rPr>
          <w:spacing w:val="-2"/>
        </w:rPr>
        <w:t>①以权益结算的股份支付公司的股票期权计划为用以换取职工提供服务的权益结算的股份支付，以授予职工的权益工具</w:t>
      </w:r>
      <w:r>
        <w:rPr/>
        <w:t> </w:t>
      </w:r>
      <w:r>
        <w:rPr>
          <w:spacing w:val="-2"/>
        </w:rPr>
        <w:t>在授予日的公允价值计量。在完成等待期内的服务或达到规定业绩条件才可行权，在等待期内以对可行权权益工具数量的最</w:t>
      </w:r>
      <w:r>
        <w:rPr>
          <w:spacing w:val="-64"/>
        </w:rPr>
        <w:t> </w:t>
      </w:r>
      <w:r>
        <w:rPr>
          <w:spacing w:val="-64"/>
        </w:rPr>
      </w:r>
      <w:r>
        <w:rPr/>
        <w:t>佳估计为基础，按照权益工具授予日的公允价值，将当期取得的服务计入相关成本或费用，相应增加资本公积。</w:t>
      </w:r>
    </w:p>
    <w:p>
      <w:pPr>
        <w:pStyle w:val="BodyText"/>
        <w:spacing w:line="316" w:lineRule="auto" w:before="17"/>
        <w:ind w:right="151" w:firstLine="360"/>
        <w:jc w:val="both"/>
      </w:pPr>
      <w:r>
        <w:rPr>
          <w:spacing w:val="-2"/>
        </w:rPr>
        <w:t>②以现金结算的股份支付公司的股票增值权计划为以现金结算的股份支付，按照公司承担的以本公司股份数量为基础确</w:t>
      </w:r>
      <w:r>
        <w:rPr/>
        <w:t> </w:t>
      </w:r>
      <w:r>
        <w:rPr>
          <w:spacing w:val="-2"/>
        </w:rPr>
        <w:t>定的负债的公允价值计量。该以现金结算的股份支付须完成等待期内的服务或达到规定业绩条件以后才可行权，在等待期的</w:t>
      </w:r>
      <w:r>
        <w:rPr>
          <w:spacing w:val="-64"/>
        </w:rPr>
        <w:t> </w:t>
      </w:r>
      <w:r>
        <w:rPr>
          <w:spacing w:val="-64"/>
        </w:rPr>
      </w:r>
      <w:r>
        <w:rPr>
          <w:spacing w:val="-2"/>
        </w:rPr>
        <w:t>每个资产负债表日以对可行权情况的最佳估计为基础，按照公司承担负债的公允价值金额，将当期取得的服务计入成本或费</w:t>
      </w:r>
      <w:r>
        <w:rPr>
          <w:spacing w:val="-64"/>
        </w:rPr>
        <w:t> </w:t>
      </w:r>
      <w:r>
        <w:rPr>
          <w:spacing w:val="-64"/>
        </w:rPr>
      </w:r>
      <w:r>
        <w:rPr>
          <w:spacing w:val="-5"/>
        </w:rPr>
        <w:t>用，相应增加负债。在相关负债结算前的每个资产负债表日以及结算日，对负债的公允价值重新计量，其变动计入当期损益。</w:t>
      </w:r>
    </w:p>
    <w:p>
      <w:pPr>
        <w:spacing w:line="300" w:lineRule="auto" w:before="19"/>
        <w:ind w:left="513" w:right="0" w:firstLine="23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）权益工具公允价值的确定方法</w:t>
      </w:r>
      <w:r>
        <w:rPr>
          <w:rFonts w:ascii="宋体" w:hAnsi="宋体" w:cs="宋体" w:eastAsia="宋体" w:hint="default"/>
          <w:b/>
          <w:bCs/>
          <w:w w:val="99"/>
          <w:sz w:val="18"/>
          <w:szCs w:val="18"/>
        </w:rPr>
        <w:t> </w:t>
      </w:r>
      <w:r>
        <w:rPr>
          <w:rFonts w:ascii="宋体" w:hAnsi="宋体" w:cs="宋体" w:eastAsia="宋体" w:hint="default"/>
          <w:spacing w:val="-2"/>
          <w:sz w:val="18"/>
          <w:szCs w:val="18"/>
        </w:rPr>
        <w:t>本公司对于授予的存在活跃市场的期权等权益工具，按照活跃市场中的报价确定其公允价值。对于授予的不存在活跃市</w:t>
      </w:r>
    </w:p>
    <w:p>
      <w:pPr>
        <w:pStyle w:val="BodyText"/>
        <w:spacing w:line="300" w:lineRule="auto" w:before="31"/>
        <w:ind w:right="149"/>
        <w:jc w:val="left"/>
      </w:pPr>
      <w:r>
        <w:rPr>
          <w:spacing w:val="-3"/>
        </w:rPr>
        <w:t>场的期权等权益工具，采用期权定价模型等确定其公允价值。选用的期权定价模型考虑以下因素：</w:t>
      </w:r>
      <w:r>
        <w:rPr>
          <w:rFonts w:ascii="Times New Roman" w:hAnsi="Times New Roman" w:cs="Times New Roman" w:eastAsia="Times New Roman" w:hint="default"/>
          <w:spacing w:val="-3"/>
        </w:rPr>
        <w:t>A</w:t>
      </w:r>
      <w:r>
        <w:rPr>
          <w:spacing w:val="-3"/>
        </w:rPr>
        <w:t>、期权的行权价格；</w:t>
      </w:r>
      <w:r>
        <w:rPr>
          <w:rFonts w:ascii="Times New Roman" w:hAnsi="Times New Roman" w:cs="Times New Roman" w:eastAsia="Times New Roman" w:hint="default"/>
          <w:spacing w:val="-3"/>
        </w:rPr>
        <w:t>B</w:t>
      </w:r>
      <w:r>
        <w:rPr>
          <w:spacing w:val="-3"/>
        </w:rPr>
        <w:t>、</w:t>
      </w:r>
      <w:r>
        <w:rPr>
          <w:spacing w:val="-82"/>
        </w:rPr>
        <w:t> </w:t>
      </w:r>
      <w:r>
        <w:rPr/>
        <w:t>期权的有效期；</w:t>
      </w:r>
      <w:r>
        <w:rPr>
          <w:rFonts w:ascii="Times New Roman" w:hAnsi="Times New Roman" w:cs="Times New Roman" w:eastAsia="Times New Roman" w:hint="default"/>
        </w:rPr>
        <w:t>C</w:t>
      </w:r>
      <w:r>
        <w:rPr/>
        <w:t>、标的股份的现行价格；</w:t>
      </w:r>
      <w:r>
        <w:rPr>
          <w:rFonts w:ascii="Times New Roman" w:hAnsi="Times New Roman" w:cs="Times New Roman" w:eastAsia="Times New Roman" w:hint="default"/>
        </w:rPr>
        <w:t>D</w:t>
      </w:r>
      <w:r>
        <w:rPr/>
        <w:t>、股价预计波动率；</w:t>
      </w:r>
      <w:r>
        <w:rPr>
          <w:rFonts w:ascii="Times New Roman" w:hAnsi="Times New Roman" w:cs="Times New Roman" w:eastAsia="Times New Roman" w:hint="default"/>
        </w:rPr>
        <w:t>E</w:t>
      </w:r>
      <w:r>
        <w:rPr/>
        <w:t>、股份的预计股利；</w:t>
      </w:r>
      <w:r>
        <w:rPr>
          <w:rFonts w:ascii="Times New Roman" w:hAnsi="Times New Roman" w:cs="Times New Roman" w:eastAsia="Times New Roman" w:hint="default"/>
        </w:rPr>
        <w:t>F</w:t>
      </w:r>
      <w:r>
        <w:rPr/>
        <w:t>、期权有效期内的无风险利率。</w:t>
      </w:r>
    </w:p>
    <w:p>
      <w:pPr>
        <w:spacing w:line="300" w:lineRule="auto" w:before="13"/>
        <w:ind w:left="513" w:right="0" w:firstLine="23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）确认可行权权益工具最佳估计的依据</w:t>
      </w:r>
      <w:r>
        <w:rPr>
          <w:rFonts w:ascii="宋体" w:hAnsi="宋体" w:cs="宋体" w:eastAsia="宋体" w:hint="default"/>
          <w:b/>
          <w:bCs/>
          <w:w w:val="99"/>
          <w:sz w:val="18"/>
          <w:szCs w:val="18"/>
        </w:rPr>
        <w:t> </w:t>
      </w:r>
      <w:r>
        <w:rPr>
          <w:rFonts w:ascii="宋体" w:hAnsi="宋体" w:cs="宋体" w:eastAsia="宋体" w:hint="default"/>
          <w:spacing w:val="-2"/>
          <w:sz w:val="18"/>
          <w:szCs w:val="18"/>
        </w:rPr>
        <w:t>等待期内每个资产负债表日，本公司根据最新取得的可行权职工人数变动等后续信息作出最佳估计，修正预计可行权的</w:t>
      </w:r>
    </w:p>
    <w:p>
      <w:pPr>
        <w:pStyle w:val="BodyText"/>
        <w:spacing w:line="240" w:lineRule="auto" w:before="32"/>
        <w:ind w:right="0"/>
        <w:jc w:val="both"/>
      </w:pPr>
      <w:r>
        <w:rPr/>
        <w:t>权益工具数量。在可行权日，最终预计可行权权益工具的数量应当与实际可行权数量一致。</w:t>
      </w:r>
    </w:p>
    <w:p>
      <w:pPr>
        <w:spacing w:line="300" w:lineRule="auto" w:before="76"/>
        <w:ind w:left="513" w:right="0" w:firstLine="23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）实施、修改、终止股份支付计划的相关会计处理</w:t>
      </w:r>
      <w:r>
        <w:rPr>
          <w:rFonts w:ascii="宋体" w:hAnsi="宋体" w:cs="宋体" w:eastAsia="宋体" w:hint="default"/>
          <w:b/>
          <w:bCs/>
          <w:w w:val="99"/>
          <w:sz w:val="18"/>
          <w:szCs w:val="18"/>
        </w:rPr>
        <w:t> </w:t>
      </w:r>
      <w:r>
        <w:rPr>
          <w:rFonts w:ascii="宋体" w:hAnsi="宋体" w:cs="宋体" w:eastAsia="宋体" w:hint="default"/>
          <w:spacing w:val="-2"/>
          <w:sz w:val="18"/>
          <w:szCs w:val="18"/>
        </w:rPr>
        <w:t>以权益结算的股份支付，按授予职工权益工具的公允价值计量。授予后立即可行权的，在授予日按照权益工具的公允价</w:t>
      </w:r>
    </w:p>
    <w:p>
      <w:pPr>
        <w:pStyle w:val="BodyText"/>
        <w:spacing w:line="316" w:lineRule="auto" w:before="31"/>
        <w:ind w:right="149"/>
        <w:jc w:val="both"/>
      </w:pPr>
      <w:r>
        <w:rPr>
          <w:spacing w:val="-2"/>
        </w:rPr>
        <w:t>值计入相关成本或费用，相应增加资本公积。在完成等待期内的服务或达到规定业绩条件才可行权的，在等待期内的每个资</w:t>
      </w:r>
      <w:r>
        <w:rPr>
          <w:spacing w:val="-63"/>
        </w:rPr>
        <w:t> </w:t>
      </w:r>
      <w:r>
        <w:rPr>
          <w:spacing w:val="-63"/>
        </w:rPr>
      </w:r>
      <w:r>
        <w:rPr>
          <w:spacing w:val="-2"/>
        </w:rPr>
        <w:t>产负债表日，以对可行权权益工具数量的最佳估计为基础，按照权益工具授予日的公允价值，将当期取得的服务计入相关成</w:t>
      </w:r>
      <w:r>
        <w:rPr>
          <w:spacing w:val="-62"/>
        </w:rPr>
        <w:t> </w:t>
      </w:r>
      <w:r>
        <w:rPr>
          <w:spacing w:val="-62"/>
        </w:rPr>
      </w:r>
      <w:r>
        <w:rPr/>
        <w:t>本或费用和资本公积。在可行权日之后不再对已确认的相关成本或费用和所有者权益总额进行调整。</w:t>
      </w:r>
    </w:p>
    <w:p>
      <w:pPr>
        <w:pStyle w:val="BodyText"/>
        <w:spacing w:line="319" w:lineRule="auto" w:before="19"/>
        <w:ind w:right="150" w:firstLine="360"/>
        <w:jc w:val="both"/>
      </w:pPr>
      <w:r>
        <w:rPr>
          <w:spacing w:val="-2"/>
        </w:rPr>
        <w:t>以现金结算的股份支付，按照本公司承担的以股份或其他权益工具为基础计算确定的负债的公允价值计量。授予后立即</w:t>
      </w:r>
      <w:r>
        <w:rPr/>
        <w:t> </w:t>
      </w:r>
      <w:r>
        <w:rPr>
          <w:spacing w:val="-2"/>
        </w:rPr>
        <w:t>可行权的，在授予日以本公司承担负债的公允价值计入相关成本或费用，相应增加负债。在完成等待期内的服务或达到规定</w:t>
      </w:r>
      <w:r>
        <w:rPr>
          <w:spacing w:val="-65"/>
        </w:rPr>
        <w:t> </w:t>
      </w:r>
      <w:r>
        <w:rPr>
          <w:spacing w:val="-65"/>
        </w:rPr>
      </w:r>
      <w:r>
        <w:rPr>
          <w:spacing w:val="-2"/>
        </w:rPr>
        <w:t>业绩条件以后才可行权的以现金结算的股份支付，在等待期内的每个资产负债表日，以对可行权情况的最佳估计为基础，按</w:t>
      </w:r>
      <w:r>
        <w:rPr>
          <w:spacing w:val="-63"/>
        </w:rPr>
        <w:t> </w:t>
      </w:r>
      <w:r>
        <w:rPr>
          <w:spacing w:val="-63"/>
        </w:rPr>
      </w:r>
      <w:r>
        <w:rPr>
          <w:spacing w:val="-2"/>
        </w:rPr>
        <w:t>照本公司承担负债的公允价值金额，将当期取得的服务计入成本或费用和相应的负债。在相关负债结算前的每个资产负债表</w:t>
      </w:r>
      <w:r>
        <w:rPr>
          <w:spacing w:val="-63"/>
        </w:rPr>
        <w:t> </w:t>
      </w:r>
      <w:r>
        <w:rPr>
          <w:spacing w:val="-63"/>
        </w:rPr>
      </w:r>
      <w:r>
        <w:rPr/>
        <w:t>日以及结算日，对负债的公允价值重新计量，其变动计入当期损益。</w:t>
      </w:r>
    </w:p>
    <w:p>
      <w:pPr>
        <w:pStyle w:val="BodyText"/>
        <w:spacing w:line="240" w:lineRule="auto" w:before="17"/>
        <w:ind w:left="513" w:right="0"/>
        <w:jc w:val="left"/>
      </w:pPr>
      <w:r>
        <w:rPr/>
        <w:t>本公司对股份支付计划进行修改时，若修改增加了所授予权益工具的公允价值，按照权益工具公允价值的增加相应地确</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16" w:lineRule="auto" w:before="44"/>
        <w:ind w:right="94"/>
        <w:jc w:val="left"/>
      </w:pPr>
      <w:r>
        <w:rPr/>
        <w:t>认取得服务的增加；若修改增加了所授予权益工具的数量，则将增加的权益工具的公允价值相应地确认为取得服务的增加。</w:t>
      </w:r>
      <w:r>
        <w:rPr>
          <w:spacing w:val="-83"/>
        </w:rPr>
        <w:t> </w:t>
      </w:r>
      <w:r>
        <w:rPr>
          <w:spacing w:val="-83"/>
        </w:rPr>
      </w:r>
      <w:r>
        <w:rPr>
          <w:spacing w:val="-2"/>
        </w:rPr>
        <w:t>权益工具公允价值的增加是指修改前后的权益工具在修改日的公允价值之间的差额。若修改减少了股份支付公允价值总额或</w:t>
      </w:r>
      <w:r>
        <w:rPr>
          <w:spacing w:val="-64"/>
        </w:rPr>
        <w:t> </w:t>
      </w:r>
      <w:r>
        <w:rPr>
          <w:spacing w:val="-64"/>
        </w:rPr>
      </w:r>
      <w:r>
        <w:rPr>
          <w:spacing w:val="-4"/>
        </w:rPr>
        <w:t>采用了其他不利于职工的方式修改股份支付计划的条款和条件，则仍继续对取得的服务进行会计处理，视同该变更从未发生，</w:t>
      </w:r>
      <w:r>
        <w:rPr>
          <w:spacing w:val="-43"/>
        </w:rPr>
        <w:t> </w:t>
      </w:r>
      <w:r>
        <w:rPr>
          <w:spacing w:val="-43"/>
        </w:rPr>
      </w:r>
      <w:r>
        <w:rPr/>
        <w:t>除非本公司取消了部分或全部已授予的权益工具。</w:t>
      </w:r>
    </w:p>
    <w:p>
      <w:pPr>
        <w:pStyle w:val="BodyText"/>
        <w:spacing w:line="316" w:lineRule="auto" w:before="19"/>
        <w:ind w:right="190" w:firstLine="360"/>
        <w:jc w:val="both"/>
      </w:pPr>
      <w:r>
        <w:rPr>
          <w:spacing w:val="-2"/>
        </w:rPr>
        <w:t>在等待期内，如果取消了授予的权益工具（因未满足可行权条件的非市场条件而被取消的除外），本公司对取消所授予</w:t>
      </w:r>
      <w:r>
        <w:rPr/>
        <w:t> </w:t>
      </w:r>
      <w:r>
        <w:rPr>
          <w:spacing w:val="-2"/>
        </w:rPr>
        <w:t>的权益性工具作为加速行权处理，将剩余等待期内应确认的金额立即计入当期损益，同时确认资本公积。职工或其他方能够</w:t>
      </w:r>
      <w:r>
        <w:rPr>
          <w:spacing w:val="-63"/>
        </w:rPr>
        <w:t> </w:t>
      </w:r>
      <w:r>
        <w:rPr>
          <w:spacing w:val="-63"/>
        </w:rPr>
      </w:r>
      <w:r>
        <w:rPr/>
        <w:t>选择满足非可行权条件但在等待期内未满足的，本公司将其作为授予权益工具的取消处理。</w:t>
      </w:r>
    </w:p>
    <w:p>
      <w:pPr>
        <w:spacing w:line="240" w:lineRule="auto" w:before="10"/>
        <w:rPr>
          <w:rFonts w:ascii="宋体" w:hAnsi="宋体" w:cs="宋体" w:eastAsia="宋体" w:hint="default"/>
          <w:sz w:val="22"/>
          <w:szCs w:val="22"/>
        </w:rPr>
      </w:pPr>
    </w:p>
    <w:p>
      <w:pPr>
        <w:pStyle w:val="Heading3"/>
        <w:spacing w:line="240" w:lineRule="auto"/>
        <w:ind w:right="183"/>
        <w:jc w:val="left"/>
        <w:rPr>
          <w:b w:val="0"/>
          <w:bCs w:val="0"/>
        </w:rPr>
      </w:pPr>
      <w:r>
        <w:rPr>
          <w:rFonts w:ascii="Times New Roman" w:hAnsi="Times New Roman" w:cs="Times New Roman" w:eastAsia="Times New Roman" w:hint="default"/>
        </w:rPr>
        <w:t>24</w:t>
      </w:r>
      <w:r>
        <w:rPr/>
        <w:t>、优先股、永续债等其他金融工具</w:t>
      </w:r>
      <w:r>
        <w:rPr>
          <w:b w:val="0"/>
          <w:bCs w:val="0"/>
        </w:rPr>
      </w:r>
    </w:p>
    <w:p>
      <w:pPr>
        <w:spacing w:line="240" w:lineRule="auto" w:before="4"/>
        <w:rPr>
          <w:rFonts w:ascii="宋体" w:hAnsi="宋体" w:cs="宋体" w:eastAsia="宋体" w:hint="default"/>
          <w:b/>
          <w:bCs/>
          <w:sz w:val="26"/>
          <w:szCs w:val="26"/>
        </w:rPr>
      </w:pPr>
    </w:p>
    <w:p>
      <w:pPr>
        <w:spacing w:line="300" w:lineRule="auto" w:before="0"/>
        <w:ind w:left="513" w:right="297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）永续债和优先股等的区分</w:t>
      </w:r>
      <w:r>
        <w:rPr>
          <w:rFonts w:ascii="宋体" w:hAnsi="宋体" w:cs="宋体" w:eastAsia="宋体" w:hint="default"/>
          <w:b/>
          <w:bCs/>
          <w:w w:val="99"/>
          <w:sz w:val="18"/>
          <w:szCs w:val="18"/>
        </w:rPr>
        <w:t> </w:t>
      </w:r>
      <w:r>
        <w:rPr>
          <w:rFonts w:ascii="宋体" w:hAnsi="宋体" w:cs="宋体" w:eastAsia="宋体" w:hint="default"/>
          <w:sz w:val="18"/>
          <w:szCs w:val="18"/>
        </w:rPr>
        <w:t>本公司发行的永续债和优先股等金融工具，同时符合以下条件的，作为权益工具：</w:t>
      </w:r>
    </w:p>
    <w:p>
      <w:pPr>
        <w:pStyle w:val="BodyText"/>
        <w:spacing w:line="316" w:lineRule="auto" w:before="31"/>
        <w:ind w:right="192" w:firstLine="360"/>
        <w:jc w:val="both"/>
      </w:pPr>
      <w:r>
        <w:rPr>
          <w:spacing w:val="-2"/>
        </w:rPr>
        <w:t>①该金融工具不包括交付现金或其他金融资产给其他方，或在潜在不利条件下与其他方交换金融资产或金融负债的合同</w:t>
      </w:r>
      <w:r>
        <w:rPr/>
        <w:t> 义务；</w:t>
      </w:r>
    </w:p>
    <w:p>
      <w:pPr>
        <w:pStyle w:val="BodyText"/>
        <w:spacing w:line="316" w:lineRule="auto" w:before="19"/>
        <w:ind w:right="192" w:firstLine="360"/>
        <w:jc w:val="both"/>
      </w:pPr>
      <w:r>
        <w:rPr>
          <w:spacing w:val="-2"/>
        </w:rPr>
        <w:t>②如将来须用或可用企业自身权益工具结算该金融工具的，如该金融工具为非衍生工具，则不包括交付可变数量的自身</w:t>
      </w:r>
      <w:r>
        <w:rPr/>
        <w:t> </w:t>
      </w:r>
      <w:r>
        <w:rPr>
          <w:spacing w:val="-2"/>
        </w:rPr>
        <w:t>权益工具进行结算的合同义务；如为衍生工具，则本公司只能通过以固定数量的自身权益工具交换固定金额的现金或其他金</w:t>
      </w:r>
      <w:r>
        <w:rPr>
          <w:spacing w:val="-64"/>
        </w:rPr>
        <w:t> </w:t>
      </w:r>
      <w:r>
        <w:rPr>
          <w:spacing w:val="-64"/>
        </w:rPr>
      </w:r>
      <w:r>
        <w:rPr/>
        <w:t>融资产结算该金融工具。</w:t>
      </w:r>
    </w:p>
    <w:p>
      <w:pPr>
        <w:pStyle w:val="BodyText"/>
        <w:spacing w:line="316" w:lineRule="auto" w:before="19"/>
        <w:ind w:left="513" w:right="183"/>
        <w:jc w:val="left"/>
      </w:pPr>
      <w:r>
        <w:rPr/>
        <w:t>除按上述条件可归类为权益工具的金融工具以外，本公司发行的其他金融工具应归类为金融负债。 </w:t>
      </w:r>
      <w:r>
        <w:rPr>
          <w:spacing w:val="-2"/>
        </w:rPr>
        <w:t>本公司发行的金融工具为复合金融工具的，按照负债成分的公允价值确认为一项负债，按实际收到的金额扣除负债成分</w:t>
      </w:r>
    </w:p>
    <w:p>
      <w:pPr>
        <w:pStyle w:val="BodyText"/>
        <w:spacing w:line="300" w:lineRule="auto" w:before="19"/>
        <w:ind w:right="183"/>
        <w:jc w:val="left"/>
      </w:pPr>
      <w:r>
        <w:rPr>
          <w:spacing w:val="-2"/>
        </w:rPr>
        <w:t>的公允价值后的金额，确认为</w:t>
      </w:r>
      <w:r>
        <w:rPr>
          <w:rFonts w:ascii="Times New Roman" w:hAnsi="Times New Roman" w:cs="Times New Roman" w:eastAsia="Times New Roman" w:hint="default"/>
          <w:spacing w:val="-2"/>
        </w:rPr>
        <w:t>“</w:t>
      </w:r>
      <w:r>
        <w:rPr>
          <w:spacing w:val="-2"/>
        </w:rPr>
        <w:t>其他权益工具</w:t>
      </w:r>
      <w:r>
        <w:rPr>
          <w:rFonts w:ascii="Times New Roman" w:hAnsi="Times New Roman" w:cs="Times New Roman" w:eastAsia="Times New Roman" w:hint="default"/>
          <w:spacing w:val="-2"/>
        </w:rPr>
        <w:t>”</w:t>
      </w:r>
      <w:r>
        <w:rPr>
          <w:spacing w:val="-2"/>
        </w:rPr>
        <w:t>。发行复合金融工具发生的交易费用，在负债成分和权益成分之间按照各自占</w:t>
      </w:r>
      <w:r>
        <w:rPr>
          <w:spacing w:val="-44"/>
        </w:rPr>
        <w:t> </w:t>
      </w:r>
      <w:r>
        <w:rPr>
          <w:spacing w:val="-44"/>
        </w:rPr>
      </w:r>
      <w:r>
        <w:rPr/>
        <w:t>总发行价款的比例进行分摊。</w:t>
      </w:r>
    </w:p>
    <w:p>
      <w:pPr>
        <w:spacing w:line="300" w:lineRule="auto" w:before="32"/>
        <w:ind w:left="513" w:right="18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）永续债和优先股等的会计处理方法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归类为金融负债的永续债和优先股等金融工具，其相关利息、股利（或股息）、利得或损失，以及赎回或再融资产生的</w:t>
      </w:r>
    </w:p>
    <w:p>
      <w:pPr>
        <w:pStyle w:val="BodyText"/>
        <w:spacing w:line="316" w:lineRule="auto" w:before="31"/>
        <w:ind w:left="513" w:right="183" w:hanging="361"/>
        <w:jc w:val="left"/>
      </w:pPr>
      <w:r>
        <w:rPr/>
        <w:t>利得或损失等，除符合资本化条件的借款费用以外，均计入当期损益。 </w:t>
      </w:r>
      <w:r>
        <w:rPr>
          <w:spacing w:val="-2"/>
        </w:rPr>
        <w:t>归类为权益工具的永续债和优先股等金融工具，其发行（含再融资）、回购、出售或注销时，本公司作为权益的变动处</w:t>
      </w:r>
    </w:p>
    <w:p>
      <w:pPr>
        <w:pStyle w:val="BodyText"/>
        <w:spacing w:line="316" w:lineRule="auto" w:before="19"/>
        <w:ind w:left="513" w:right="2794" w:hanging="361"/>
        <w:jc w:val="left"/>
      </w:pPr>
      <w:r>
        <w:rPr/>
        <w:t>理，相关交易费用亦从权益中扣减。本公司对权益工具持有方的分配作为利润分配处理。 本公司不确认权益工具的公允价值变动。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183"/>
        <w:jc w:val="left"/>
        <w:rPr>
          <w:b w:val="0"/>
          <w:bCs w:val="0"/>
        </w:rPr>
      </w:pPr>
      <w:r>
        <w:rPr>
          <w:rFonts w:ascii="Times New Roman" w:hAnsi="Times New Roman" w:cs="Times New Roman" w:eastAsia="Times New Roman" w:hint="default"/>
        </w:rPr>
        <w:t>25</w:t>
      </w:r>
      <w:r>
        <w:rPr/>
        <w:t>、收入</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spacing w:line="300" w:lineRule="auto" w:before="25"/>
        <w:ind w:left="513" w:right="18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）销售商品收入确认时间的具体判断标准</w:t>
      </w:r>
      <w:r>
        <w:rPr>
          <w:rFonts w:ascii="宋体" w:hAnsi="宋体" w:cs="宋体" w:eastAsia="宋体" w:hint="default"/>
          <w:b/>
          <w:bCs/>
          <w:w w:val="99"/>
          <w:sz w:val="18"/>
          <w:szCs w:val="18"/>
        </w:rPr>
        <w:t> </w:t>
      </w:r>
      <w:r>
        <w:rPr>
          <w:rFonts w:ascii="宋体" w:hAnsi="宋体" w:cs="宋体" w:eastAsia="宋体" w:hint="default"/>
          <w:spacing w:val="-2"/>
          <w:sz w:val="18"/>
          <w:szCs w:val="18"/>
        </w:rPr>
        <w:t>商品销售收入：主要是本公司为客户提供技术服务过程中，销售网络产品及相关设备配件获得的收入。对于商品销售本</w:t>
      </w:r>
    </w:p>
    <w:p>
      <w:pPr>
        <w:pStyle w:val="BodyText"/>
        <w:spacing w:line="240" w:lineRule="auto" w:before="31"/>
        <w:ind w:right="183"/>
        <w:jc w:val="left"/>
      </w:pPr>
      <w:r>
        <w:rPr/>
        <w:t>公司在相关的收入已经收到或取得了收款的证据时确认销售收入。</w:t>
      </w:r>
    </w:p>
    <w:p>
      <w:pPr>
        <w:spacing w:line="300" w:lineRule="auto" w:before="76"/>
        <w:ind w:left="513" w:right="19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）确认提供劳务收入的依据</w:t>
      </w:r>
      <w:r>
        <w:rPr>
          <w:rFonts w:ascii="宋体" w:hAnsi="宋体" w:cs="宋体" w:eastAsia="宋体" w:hint="default"/>
          <w:b/>
          <w:bCs/>
          <w:w w:val="99"/>
          <w:sz w:val="18"/>
          <w:szCs w:val="18"/>
        </w:rPr>
        <w:t> </w:t>
      </w:r>
      <w:r>
        <w:rPr>
          <w:rFonts w:ascii="宋体" w:hAnsi="宋体" w:cs="宋体" w:eastAsia="宋体" w:hint="default"/>
          <w:sz w:val="18"/>
          <w:szCs w:val="18"/>
        </w:rPr>
        <w:t>本公司的提供劳务收入包括互联网宽带接入服务、</w:t>
      </w:r>
      <w:r>
        <w:rPr>
          <w:rFonts w:ascii="Times New Roman" w:hAnsi="Times New Roman" w:cs="Times New Roman" w:eastAsia="Times New Roman" w:hint="default"/>
          <w:sz w:val="18"/>
          <w:szCs w:val="18"/>
        </w:rPr>
        <w:t>IDC</w:t>
      </w:r>
      <w:r>
        <w:rPr>
          <w:rFonts w:ascii="宋体" w:hAnsi="宋体" w:cs="宋体" w:eastAsia="宋体" w:hint="default"/>
          <w:sz w:val="18"/>
          <w:szCs w:val="18"/>
        </w:rPr>
        <w:t>及其增值服务收入、</w:t>
      </w:r>
      <w:r>
        <w:rPr>
          <w:rFonts w:ascii="Times New Roman" w:hAnsi="Times New Roman" w:cs="Times New Roman" w:eastAsia="Times New Roman" w:hint="default"/>
          <w:sz w:val="18"/>
          <w:szCs w:val="18"/>
        </w:rPr>
        <w:t>IDC</w:t>
      </w:r>
      <w:r>
        <w:rPr>
          <w:rFonts w:ascii="宋体" w:hAnsi="宋体" w:cs="宋体" w:eastAsia="宋体" w:hint="default"/>
          <w:sz w:val="18"/>
          <w:szCs w:val="18"/>
        </w:rPr>
        <w:t>运营管理服务收入、云计算及相关服务</w:t>
      </w:r>
    </w:p>
    <w:p>
      <w:pPr>
        <w:pStyle w:val="BodyText"/>
        <w:spacing w:line="240" w:lineRule="auto" w:before="13"/>
        <w:ind w:right="183"/>
        <w:jc w:val="left"/>
      </w:pPr>
      <w:r>
        <w:rPr/>
        <w:t>收入（包括云计算收入、广告托管收入、营销优化收入（</w:t>
      </w:r>
      <w:r>
        <w:rPr>
          <w:rFonts w:ascii="Times New Roman" w:hAnsi="Times New Roman" w:cs="Times New Roman" w:eastAsia="Times New Roman" w:hint="default"/>
        </w:rPr>
        <w:t>SaaS</w:t>
      </w:r>
      <w:r>
        <w:rPr/>
        <w:t>））和其他收入。</w:t>
      </w:r>
    </w:p>
    <w:p>
      <w:pPr>
        <w:pStyle w:val="BodyText"/>
        <w:spacing w:line="240" w:lineRule="auto" w:before="63"/>
        <w:ind w:left="513" w:right="0"/>
        <w:jc w:val="left"/>
      </w:pPr>
      <w:r>
        <w:rPr/>
        <w:t>①互联网宽带接入服务：主要是通过专线、光纤等各种传输手段向用户提供将计算机或者其他终端设备接入互联网的服</w:t>
      </w:r>
    </w:p>
    <w:p>
      <w:pPr>
        <w:pStyle w:val="BodyText"/>
        <w:spacing w:line="240" w:lineRule="auto" w:before="76"/>
        <w:ind w:right="183"/>
        <w:jc w:val="left"/>
      </w:pPr>
      <w:r>
        <w:rPr/>
        <w:t>务。</w:t>
      </w:r>
    </w:p>
    <w:p>
      <w:pPr>
        <w:pStyle w:val="BodyText"/>
        <w:spacing w:line="240" w:lineRule="auto" w:before="76"/>
        <w:ind w:left="513" w:right="102"/>
        <w:jc w:val="left"/>
      </w:pPr>
      <w:r>
        <w:rPr>
          <w:rFonts w:ascii="Times New Roman" w:hAnsi="Times New Roman" w:cs="Times New Roman" w:eastAsia="Times New Roman" w:hint="default"/>
        </w:rPr>
        <w:t>IDC</w:t>
      </w:r>
      <w:r>
        <w:rPr/>
        <w:t>及其增值服务收入：是利用已有的互联网通信线路、带宽资源，建立标准化的电信专业级机房环境，为企业、政府</w:t>
      </w:r>
    </w:p>
    <w:p>
      <w:pPr>
        <w:pStyle w:val="BodyText"/>
        <w:spacing w:line="240" w:lineRule="auto" w:before="63"/>
        <w:ind w:right="183"/>
        <w:jc w:val="left"/>
      </w:pPr>
      <w:r>
        <w:rPr/>
        <w:t>部门等提供服务器托管、租用以及相关增值等方面的全方位服务。</w:t>
      </w:r>
    </w:p>
    <w:p>
      <w:pPr>
        <w:pStyle w:val="BodyText"/>
        <w:spacing w:line="240" w:lineRule="auto" w:before="76"/>
        <w:ind w:left="513" w:right="183"/>
        <w:jc w:val="left"/>
      </w:pPr>
      <w:r>
        <w:rPr>
          <w:rFonts w:ascii="Times New Roman" w:hAnsi="Times New Roman" w:cs="Times New Roman" w:eastAsia="Times New Roman" w:hint="default"/>
        </w:rPr>
        <w:t>IDC</w:t>
      </w:r>
      <w:r>
        <w:rPr/>
        <w:t>运营管理服务收入：公司为其他公司的数据中心提供运营管理服务，包括设计、建设、运维、销售等专业服务。</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00" w:lineRule="auto" w:before="44"/>
        <w:ind w:right="102" w:firstLine="360"/>
        <w:jc w:val="left"/>
      </w:pPr>
      <w:r>
        <w:rPr/>
        <w:t>云计算收入：公司提供的云计算服务包括</w:t>
      </w:r>
      <w:r>
        <w:rPr>
          <w:rFonts w:ascii="Times New Roman" w:hAnsi="Times New Roman" w:cs="Times New Roman" w:eastAsia="Times New Roman" w:hint="default"/>
        </w:rPr>
        <w:t>IaaS</w:t>
      </w:r>
      <w:r>
        <w:rPr/>
        <w:t>、</w:t>
      </w:r>
      <w:r>
        <w:rPr>
          <w:rFonts w:ascii="Times New Roman" w:hAnsi="Times New Roman" w:cs="Times New Roman" w:eastAsia="Times New Roman" w:hint="default"/>
        </w:rPr>
        <w:t>PaaS</w:t>
      </w:r>
      <w:r>
        <w:rPr/>
        <w:t>、</w:t>
      </w:r>
      <w:r>
        <w:rPr>
          <w:rFonts w:ascii="Times New Roman" w:hAnsi="Times New Roman" w:cs="Times New Roman" w:eastAsia="Times New Roman" w:hint="default"/>
        </w:rPr>
        <w:t>SaaS</w:t>
      </w:r>
      <w:r>
        <w:rPr/>
        <w:t>及相关技术服务。</w:t>
      </w:r>
      <w:r>
        <w:rPr>
          <w:rFonts w:ascii="Times New Roman" w:hAnsi="Times New Roman" w:cs="Times New Roman" w:eastAsia="Times New Roman" w:hint="default"/>
        </w:rPr>
        <w:t>IaaS</w:t>
      </w:r>
      <w:r>
        <w:rPr/>
        <w:t>：即设施即服务，向客户提供处理、 </w:t>
      </w:r>
      <w:r>
        <w:rPr>
          <w:spacing w:val="-2"/>
        </w:rPr>
        <w:t>存储、网络以及其他基础计算资源，客户可以在其上运行任意软件，包括操作系统和应用程序。</w:t>
      </w:r>
      <w:r>
        <w:rPr>
          <w:rFonts w:ascii="Times New Roman" w:hAnsi="Times New Roman" w:cs="Times New Roman" w:eastAsia="Times New Roman" w:hint="default"/>
          <w:spacing w:val="-2"/>
        </w:rPr>
        <w:t>PaaS</w:t>
      </w:r>
      <w:r>
        <w:rPr>
          <w:spacing w:val="-2"/>
        </w:rPr>
        <w:t>：平台即服务，客户使</w:t>
      </w:r>
      <w:r>
        <w:rPr>
          <w:spacing w:val="-66"/>
        </w:rPr>
        <w:t> </w:t>
      </w:r>
      <w:r>
        <w:rPr>
          <w:spacing w:val="-66"/>
        </w:rPr>
      </w:r>
      <w:r>
        <w:rPr>
          <w:spacing w:val="-2"/>
        </w:rPr>
        <w:t>用云供应商支持的开发语言和工具，开发出应用程序，并发布到云基础架构上。</w:t>
      </w:r>
      <w:r>
        <w:rPr>
          <w:rFonts w:ascii="Times New Roman" w:hAnsi="Times New Roman" w:cs="Times New Roman" w:eastAsia="Times New Roman" w:hint="default"/>
          <w:spacing w:val="-2"/>
        </w:rPr>
        <w:t>SaaS</w:t>
      </w:r>
      <w:r>
        <w:rPr>
          <w:spacing w:val="-2"/>
        </w:rPr>
        <w:t>：即软件即服务，客户所使用的服务商</w:t>
      </w:r>
      <w:r>
        <w:rPr>
          <w:spacing w:val="-64"/>
        </w:rPr>
        <w:t> </w:t>
      </w:r>
      <w:r>
        <w:rPr>
          <w:spacing w:val="-64"/>
        </w:rPr>
      </w:r>
      <w:r>
        <w:rPr/>
        <w:t>提供的运行在云基础设施上的应用程序。</w:t>
      </w:r>
    </w:p>
    <w:p>
      <w:pPr>
        <w:pStyle w:val="BodyText"/>
        <w:spacing w:line="316" w:lineRule="auto" w:before="31"/>
        <w:ind w:right="190" w:firstLine="360"/>
        <w:jc w:val="both"/>
      </w:pPr>
      <w:r>
        <w:rPr>
          <w:spacing w:val="-2"/>
        </w:rPr>
        <w:t>广告托管收入：公司接受客户的委托，为客户在互联网进行广告投放。广告投放前，本公司与客户确认投放的金额、时</w:t>
      </w:r>
      <w:r>
        <w:rPr/>
        <w:t> </w:t>
      </w:r>
      <w:r>
        <w:rPr>
          <w:spacing w:val="-2"/>
        </w:rPr>
        <w:t>间以及投放媒体。本公司与客户一般采取预付费模式，即客户预先将充值金额支付给本公司，由本公司帮助客户进行账户充</w:t>
      </w:r>
      <w:r>
        <w:rPr>
          <w:spacing w:val="-63"/>
        </w:rPr>
        <w:t> </w:t>
      </w:r>
      <w:r>
        <w:rPr>
          <w:spacing w:val="-63"/>
        </w:rPr>
      </w:r>
      <w:r>
        <w:rPr/>
        <w:t>值。</w:t>
      </w:r>
    </w:p>
    <w:p>
      <w:pPr>
        <w:pStyle w:val="BodyText"/>
        <w:spacing w:line="300" w:lineRule="auto" w:before="19"/>
        <w:ind w:right="191" w:firstLine="360"/>
        <w:jc w:val="both"/>
      </w:pPr>
      <w:r>
        <w:rPr/>
        <w:t>营销优化收入（</w:t>
      </w:r>
      <w:r>
        <w:rPr>
          <w:rFonts w:ascii="Times New Roman" w:hAnsi="Times New Roman" w:cs="Times New Roman" w:eastAsia="Times New Roman" w:hint="default"/>
        </w:rPr>
        <w:t>SaaS</w:t>
      </w:r>
      <w:r>
        <w:rPr/>
        <w:t>）：公司与客户签订技术服务合同，约定本公司为客户提供</w:t>
      </w:r>
      <w:r>
        <w:rPr>
          <w:rFonts w:ascii="Times New Roman" w:hAnsi="Times New Roman" w:cs="Times New Roman" w:eastAsia="Times New Roman" w:hint="default"/>
        </w:rPr>
        <w:t>SEM</w:t>
      </w:r>
      <w:r>
        <w:rPr/>
        <w:t>营销技术，客户以广告投放额度 为基数按照合同约定的比率向公司支付技术服务费。或公司将其基于</w:t>
      </w:r>
      <w:r>
        <w:rPr>
          <w:rFonts w:ascii="Times New Roman" w:hAnsi="Times New Roman" w:cs="Times New Roman" w:eastAsia="Times New Roman" w:hint="default"/>
        </w:rPr>
        <w:t>SaaS</w:t>
      </w:r>
      <w:r>
        <w:rPr/>
        <w:t>平台的</w:t>
      </w:r>
      <w:r>
        <w:rPr>
          <w:rFonts w:ascii="Times New Roman" w:hAnsi="Times New Roman" w:cs="Times New Roman" w:eastAsia="Times New Roman" w:hint="default"/>
        </w:rPr>
        <w:t>SEM</w:t>
      </w:r>
      <w:r>
        <w:rPr/>
        <w:t>营销优化产品授权客户使用，客户自</w:t>
      </w:r>
      <w:r>
        <w:rPr>
          <w:spacing w:val="-11"/>
        </w:rPr>
        <w:t> </w:t>
      </w:r>
      <w:r>
        <w:rPr>
          <w:spacing w:val="-11"/>
        </w:rPr>
      </w:r>
      <w:r>
        <w:rPr/>
        <w:t>行进行账户开立、账户重组</w:t>
      </w:r>
      <w:r>
        <w:rPr>
          <w:rFonts w:ascii="Times New Roman" w:hAnsi="Times New Roman" w:cs="Times New Roman" w:eastAsia="Times New Roman" w:hint="default"/>
        </w:rPr>
        <w:t>/</w:t>
      </w:r>
      <w:r>
        <w:rPr/>
        <w:t>扩展、营销效果分析、营销优化等活动。</w:t>
      </w:r>
    </w:p>
    <w:p>
      <w:pPr>
        <w:pStyle w:val="BodyText"/>
        <w:spacing w:line="309" w:lineRule="auto" w:before="13"/>
        <w:ind w:right="190" w:firstLine="360"/>
        <w:jc w:val="both"/>
      </w:pPr>
      <w:r>
        <w:rPr>
          <w:spacing w:val="-1"/>
        </w:rPr>
        <w:t>②互联网宽带接入服务、</w:t>
      </w:r>
      <w:r>
        <w:rPr>
          <w:rFonts w:ascii="Times New Roman" w:hAnsi="Times New Roman" w:cs="Times New Roman" w:eastAsia="Times New Roman" w:hint="default"/>
          <w:spacing w:val="-1"/>
        </w:rPr>
        <w:t>IDC</w:t>
      </w:r>
      <w:r>
        <w:rPr>
          <w:spacing w:val="-1"/>
        </w:rPr>
        <w:t>及其增值服务收入确认原则：公司根据合同约定提供相应服务，公司统计客户的带宽使用</w:t>
      </w:r>
      <w:r>
        <w:rPr/>
        <w:t> </w:t>
      </w:r>
      <w:r>
        <w:rPr>
          <w:spacing w:val="-2"/>
        </w:rPr>
        <w:t>量得到客户确认，相关的成本能够可靠计量时确认收入。公司的主要成本构成包括向电信运营商租用的带宽费用和房屋租赁</w:t>
      </w:r>
      <w:r>
        <w:rPr>
          <w:spacing w:val="-64"/>
        </w:rPr>
        <w:t> </w:t>
      </w:r>
      <w:r>
        <w:rPr>
          <w:spacing w:val="-64"/>
        </w:rPr>
      </w:r>
      <w:r>
        <w:rPr/>
        <w:t>费用、设备折旧费用及维修等其他费用。</w:t>
      </w:r>
    </w:p>
    <w:p>
      <w:pPr>
        <w:pStyle w:val="BodyText"/>
        <w:spacing w:line="309" w:lineRule="auto" w:before="24"/>
        <w:ind w:left="513" w:right="188"/>
        <w:jc w:val="left"/>
      </w:pPr>
      <w:r>
        <w:rPr/>
        <w:t>互联网宽带接入服务、</w:t>
      </w:r>
      <w:r>
        <w:rPr>
          <w:rFonts w:ascii="Times New Roman" w:hAnsi="Times New Roman" w:cs="Times New Roman" w:eastAsia="Times New Roman" w:hint="default"/>
        </w:rPr>
        <w:t>IDC</w:t>
      </w:r>
      <w:r>
        <w:rPr/>
        <w:t>及其增值服务收入确认的具体方法： 公司互联网宽带接入服务的合同一般为固定合同，该类合同一般为明确约定服务提供量，每月按固定金额确认收入。 </w:t>
      </w:r>
      <w:r>
        <w:rPr>
          <w:rFonts w:ascii="Times New Roman" w:hAnsi="Times New Roman" w:cs="Times New Roman" w:eastAsia="Times New Roman" w:hint="default"/>
        </w:rPr>
        <w:t>IDC   </w:t>
      </w:r>
      <w:r>
        <w:rPr/>
        <w:t>服务及其增值服务合同分为固定合同与敞口合同。固定合同即合同明确约定服务提供量，敞口合同仅约定单价，</w:t>
      </w:r>
    </w:p>
    <w:p>
      <w:pPr>
        <w:pStyle w:val="BodyText"/>
        <w:spacing w:line="316" w:lineRule="auto" w:before="5"/>
        <w:ind w:right="191"/>
        <w:jc w:val="both"/>
      </w:pPr>
      <w:r>
        <w:rPr>
          <w:spacing w:val="-2"/>
        </w:rPr>
        <w:t>主要约定带宽与电费的单价。对于固定合同，在合同服务期限内按月平均确认；对于敞口合同，实际使用带宽流量根据监控</w:t>
      </w:r>
      <w:r>
        <w:rPr>
          <w:spacing w:val="-65"/>
        </w:rPr>
        <w:t> </w:t>
      </w:r>
      <w:r>
        <w:rPr>
          <w:spacing w:val="-65"/>
        </w:rPr>
      </w:r>
      <w:r>
        <w:rPr>
          <w:spacing w:val="-2"/>
        </w:rPr>
        <w:t>系统统计的当月平均带宽使用量编制月客户收费通知单，并经客户核对确认，实际使用电费根据电表计量编制月客户收费通</w:t>
      </w:r>
      <w:r>
        <w:rPr>
          <w:spacing w:val="-64"/>
        </w:rPr>
        <w:t> </w:t>
      </w:r>
      <w:r>
        <w:rPr>
          <w:spacing w:val="-64"/>
        </w:rPr>
      </w:r>
      <w:r>
        <w:rPr/>
        <w:t>知单，并经客户核对确认。</w:t>
      </w:r>
    </w:p>
    <w:p>
      <w:pPr>
        <w:pStyle w:val="BodyText"/>
        <w:spacing w:line="240" w:lineRule="auto" w:before="19"/>
        <w:ind w:left="513" w:right="183"/>
        <w:jc w:val="left"/>
      </w:pPr>
      <w:r>
        <w:rPr/>
        <w:t>③</w:t>
      </w:r>
      <w:r>
        <w:rPr>
          <w:rFonts w:ascii="Times New Roman" w:hAnsi="Times New Roman" w:cs="Times New Roman" w:eastAsia="Times New Roman" w:hint="default"/>
        </w:rPr>
        <w:t>IDC</w:t>
      </w:r>
      <w:r>
        <w:rPr/>
        <w:t>运营管理服务收入确认原则和收入确认的具体方法按照</w:t>
      </w:r>
      <w:r>
        <w:rPr>
          <w:rFonts w:ascii="Times New Roman" w:hAnsi="Times New Roman" w:cs="Times New Roman" w:eastAsia="Times New Roman" w:hint="default"/>
        </w:rPr>
        <w:t>IDC</w:t>
      </w:r>
      <w:r>
        <w:rPr/>
        <w:t>及其增值服务收入的确认原则和方法。</w:t>
      </w:r>
    </w:p>
    <w:p>
      <w:pPr>
        <w:pStyle w:val="BodyText"/>
        <w:spacing w:line="319" w:lineRule="auto" w:before="63"/>
        <w:ind w:right="190" w:firstLine="360"/>
        <w:jc w:val="both"/>
      </w:pPr>
      <w:r>
        <w:rPr>
          <w:spacing w:val="-2"/>
        </w:rPr>
        <w:t>④云计算收入确认原则：公司根据合同约定提供相应服务，公司统计客户的使用量得到客户确认，相关的成本能够可靠</w:t>
      </w:r>
      <w:r>
        <w:rPr/>
        <w:t> 计量时确认收入。</w:t>
      </w:r>
    </w:p>
    <w:p>
      <w:pPr>
        <w:pStyle w:val="BodyText"/>
        <w:spacing w:line="316" w:lineRule="auto" w:before="17"/>
        <w:ind w:right="104" w:firstLine="360"/>
        <w:jc w:val="both"/>
      </w:pPr>
      <w:r>
        <w:rPr/>
        <w:t>云计算收入确认的具体方法：云计算合同分为固定合同与敞口合同。对于固定合同，在合同服务期限内按月平均确认； 对于敞口合同，根据系统统计的当月使用量确认收入。</w:t>
      </w:r>
    </w:p>
    <w:p>
      <w:pPr>
        <w:pStyle w:val="BodyText"/>
        <w:spacing w:line="316" w:lineRule="auto" w:before="19"/>
        <w:ind w:right="191" w:firstLine="360"/>
        <w:jc w:val="both"/>
      </w:pPr>
      <w:r>
        <w:rPr>
          <w:spacing w:val="-2"/>
        </w:rPr>
        <w:t>⑤广告托管收入确认原则：公司与客户签订网广告服务年度框架合同，该框架服务合同约定服务内容、服务期限、结算</w:t>
      </w:r>
      <w:r>
        <w:rPr/>
        <w:t> </w:t>
      </w:r>
      <w:r>
        <w:rPr>
          <w:spacing w:val="-2"/>
        </w:rPr>
        <w:t>方式、预计合同总金额等相关内容，公司提供互联网广告服务最终以与客户确认的下单为准。根据客户的下单，本公司向媒</w:t>
      </w:r>
      <w:r>
        <w:rPr>
          <w:spacing w:val="-64"/>
        </w:rPr>
        <w:t> </w:t>
      </w:r>
      <w:r>
        <w:rPr>
          <w:spacing w:val="-64"/>
        </w:rPr>
      </w:r>
      <w:r>
        <w:rPr/>
        <w:t>体下单投放广告。本公司根据客户的下单确认收入，同时根据向媒体的下单结转成本。</w:t>
      </w:r>
    </w:p>
    <w:p>
      <w:pPr>
        <w:pStyle w:val="BodyText"/>
        <w:spacing w:line="300" w:lineRule="auto" w:before="19"/>
        <w:ind w:right="192" w:firstLine="360"/>
        <w:jc w:val="both"/>
      </w:pPr>
      <w:r>
        <w:rPr>
          <w:spacing w:val="-2"/>
        </w:rPr>
        <w:t>⑥营销优化收入（</w:t>
      </w:r>
      <w:r>
        <w:rPr>
          <w:rFonts w:ascii="Times New Roman" w:hAnsi="Times New Roman" w:cs="Times New Roman" w:eastAsia="Times New Roman" w:hint="default"/>
          <w:spacing w:val="-2"/>
        </w:rPr>
        <w:t>SaaS</w:t>
      </w:r>
      <w:r>
        <w:rPr>
          <w:spacing w:val="-2"/>
        </w:rPr>
        <w:t>）确认原则：本公司根据客户最终确认的服务费账单或者根据软件授权使用合同期限直线摊销确</w:t>
      </w:r>
      <w:r>
        <w:rPr/>
        <w:t> 认收入。</w:t>
      </w:r>
    </w:p>
    <w:p>
      <w:pPr>
        <w:spacing w:line="300" w:lineRule="auto" w:before="31"/>
        <w:ind w:left="513" w:right="18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）按完工百分比法确认提供劳务的收入和建造合同收入时，确定合同完工进度的依据和方法</w:t>
      </w:r>
      <w:r>
        <w:rPr>
          <w:rFonts w:ascii="宋体" w:hAnsi="宋体" w:cs="宋体" w:eastAsia="宋体" w:hint="default"/>
          <w:b/>
          <w:bCs/>
          <w:w w:val="99"/>
          <w:sz w:val="18"/>
          <w:szCs w:val="18"/>
        </w:rPr>
        <w:t> </w:t>
      </w:r>
      <w:r>
        <w:rPr>
          <w:rFonts w:ascii="宋体" w:hAnsi="宋体" w:cs="宋体" w:eastAsia="宋体" w:hint="default"/>
          <w:spacing w:val="-2"/>
          <w:sz w:val="18"/>
          <w:szCs w:val="18"/>
        </w:rPr>
        <w:t>系统集成收入：主要是本公司为客户提供网络及综合布线系统、自动化控制系统、安全防范系统、视频及多媒体系统等</w:t>
      </w:r>
    </w:p>
    <w:p>
      <w:pPr>
        <w:pStyle w:val="BodyText"/>
        <w:spacing w:line="319" w:lineRule="auto" w:before="31"/>
        <w:ind w:left="513" w:right="5673" w:hanging="361"/>
        <w:jc w:val="left"/>
      </w:pPr>
      <w:r>
        <w:rPr/>
        <w:t>智能化系统工程所获得的收入。 对于系统集成收入按照项目进度比例确认收入。</w:t>
      </w:r>
    </w:p>
    <w:p>
      <w:pPr>
        <w:spacing w:line="300" w:lineRule="auto" w:before="17"/>
        <w:ind w:left="513" w:right="531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）确认让渡资产使用权收入的依据</w:t>
      </w:r>
      <w:r>
        <w:rPr>
          <w:rFonts w:ascii="宋体" w:hAnsi="宋体" w:cs="宋体" w:eastAsia="宋体" w:hint="default"/>
          <w:b/>
          <w:bCs/>
          <w:w w:val="99"/>
          <w:sz w:val="18"/>
          <w:szCs w:val="18"/>
        </w:rPr>
        <w:t> </w:t>
      </w:r>
      <w:r>
        <w:rPr>
          <w:rFonts w:ascii="宋体" w:hAnsi="宋体" w:cs="宋体" w:eastAsia="宋体" w:hint="default"/>
          <w:sz w:val="18"/>
          <w:szCs w:val="18"/>
        </w:rPr>
        <w:t>让渡资产使用权收入包括利息收入、使用费收入等。</w:t>
      </w:r>
    </w:p>
    <w:p>
      <w:pPr>
        <w:pStyle w:val="BodyText"/>
        <w:spacing w:line="316" w:lineRule="auto" w:before="31"/>
        <w:ind w:right="190" w:firstLine="360"/>
        <w:jc w:val="both"/>
      </w:pPr>
      <w:r>
        <w:rPr>
          <w:spacing w:val="-2"/>
        </w:rPr>
        <w:t>利息收入金额，按照他人使用本企业货币资金的时间和实际利率计算确定；使用费收入金额，按照有关合同或协议约定</w:t>
      </w:r>
      <w:r>
        <w:rPr/>
        <w:t> 的收费时间和方法计算确定。</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92" w:firstLine="360"/>
        <w:jc w:val="both"/>
      </w:pPr>
      <w:r>
        <w:rPr>
          <w:spacing w:val="-2"/>
        </w:rPr>
        <w:t>政府补助，是指公司从政府无偿取得的货币性资产或非货币性资产，包括与资产相关的政府补助和与收益相关的政府补</w:t>
      </w:r>
      <w:r>
        <w:rPr/>
        <w:t> 助。与资产相关的政府补助，是指公司取得的、用于购建或以其他方式形成长期资产的政府补助。</w:t>
      </w:r>
    </w:p>
    <w:p>
      <w:pPr>
        <w:spacing w:after="0" w:line="316" w:lineRule="auto"/>
        <w:jc w:val="both"/>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left="513" w:right="183"/>
        <w:jc w:val="left"/>
      </w:pPr>
      <w:r>
        <w:rPr/>
        <w:t>政府补助在同时满足下列条件的，才能予以确认：①公司能够满足政府补助所附条件；②公司能够收到政府补助。 </w:t>
      </w:r>
      <w:r>
        <w:rPr>
          <w:spacing w:val="-2"/>
        </w:rPr>
        <w:t>政府补助为货币性资产的，公司按照收到或应收的金额计量。政府补助为非货币性资产的，公司按照公允价值计量；公</w:t>
      </w:r>
    </w:p>
    <w:p>
      <w:pPr>
        <w:pStyle w:val="BodyText"/>
        <w:spacing w:line="300" w:lineRule="auto" w:before="19"/>
        <w:ind w:left="513" w:right="183" w:hanging="361"/>
        <w:jc w:val="left"/>
      </w:pPr>
      <w:r>
        <w:rPr/>
        <w:t>允价值不能可靠取得的，按照名义金额计量（名义金额为人民币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元）。 </w:t>
      </w:r>
      <w:r>
        <w:rPr>
          <w:spacing w:val="-2"/>
        </w:rPr>
        <w:t>与资产相关的政府补助，在取得时冲减相关资产的账面价值或确认为递延收益。确认为递延收益的，在相关资产使用寿</w:t>
      </w:r>
    </w:p>
    <w:p>
      <w:pPr>
        <w:pStyle w:val="BodyText"/>
        <w:spacing w:line="240" w:lineRule="auto" w:before="31"/>
        <w:ind w:right="0"/>
        <w:jc w:val="both"/>
      </w:pPr>
      <w:r>
        <w:rPr/>
        <w:t>命内按照合理、系统的方法分期计入损益。按照名义金额计量的政府补助，直接计入当期损益。</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2" w:firstLine="360"/>
        <w:jc w:val="both"/>
      </w:pPr>
      <w:r>
        <w:rPr>
          <w:spacing w:val="-2"/>
        </w:rPr>
        <w:t>与收益相关的政府补助，是指除与资产相关的政府补助之外的政府补助。对于同时包含于资产相关部分和与收益相关部</w:t>
      </w:r>
      <w:r>
        <w:rPr/>
        <w:t> </w:t>
      </w:r>
      <w:r>
        <w:rPr>
          <w:spacing w:val="-2"/>
        </w:rPr>
        <w:t>分的政府补助，可以区分的，则分不同部分分别进行会计处理；难以区分的，则整体归类为与收益相关的政府补助。与收益</w:t>
      </w:r>
      <w:r>
        <w:rPr>
          <w:spacing w:val="-67"/>
        </w:rPr>
        <w:t> </w:t>
      </w:r>
      <w:r>
        <w:rPr>
          <w:spacing w:val="-67"/>
        </w:rPr>
      </w:r>
      <w:r>
        <w:rPr/>
        <w:t>相关的政府补助，分别下列情况处理：</w:t>
      </w:r>
    </w:p>
    <w:p>
      <w:pPr>
        <w:pStyle w:val="BodyText"/>
        <w:spacing w:line="316" w:lineRule="auto" w:before="19"/>
        <w:ind w:right="106" w:firstLine="360"/>
        <w:jc w:val="both"/>
      </w:pPr>
      <w:r>
        <w:rPr/>
        <w:t>①用于补偿公司以后期间的相关成本费用或损失的，在取得时确认为递延收益，并在确认相关成本费用或损失的期间， 计入当期损益或冲减相关成本。</w:t>
      </w:r>
    </w:p>
    <w:p>
      <w:pPr>
        <w:pStyle w:val="BodyText"/>
        <w:spacing w:line="240" w:lineRule="auto" w:before="19"/>
        <w:ind w:left="513" w:right="183"/>
        <w:jc w:val="left"/>
      </w:pPr>
      <w:r>
        <w:rPr/>
        <w:t>②于补偿公司已发生的相关成本费用或损失的，在取得时直接计入当期损益或冲减相关成本。</w:t>
      </w:r>
    </w:p>
    <w:p>
      <w:pPr>
        <w:pStyle w:val="BodyText"/>
        <w:spacing w:line="316" w:lineRule="auto" w:before="76"/>
        <w:ind w:right="192" w:firstLine="360"/>
        <w:jc w:val="both"/>
      </w:pPr>
      <w:r>
        <w:rPr>
          <w:spacing w:val="-2"/>
        </w:rPr>
        <w:t>③与公司日常经营相关的政府补助，按照经济业务实质，计入其他收益或冲减相关成本费用。与公司日常活动无关的政</w:t>
      </w:r>
      <w:r>
        <w:rPr/>
        <w:t> 府补助，计入营业外收支。财政将贴息资金直接</w:t>
      </w:r>
      <w:r>
        <w:rPr>
          <w:spacing w:val="2"/>
        </w:rPr>
        <w:t> </w:t>
      </w:r>
      <w:r>
        <w:rPr/>
        <w:t>拨付给公司的，公司将对应的贴息冲减相关借款费用。</w:t>
      </w:r>
    </w:p>
    <w:p>
      <w:pPr>
        <w:pStyle w:val="BodyText"/>
        <w:spacing w:line="316" w:lineRule="auto" w:before="19"/>
        <w:ind w:right="188" w:firstLine="360"/>
        <w:jc w:val="both"/>
      </w:pPr>
      <w:r>
        <w:rPr>
          <w:spacing w:val="-3"/>
        </w:rPr>
        <w:t>④已确认的政府补助需要退回的，分别下列情况处理：</w:t>
      </w:r>
      <w:r>
        <w:rPr>
          <w:spacing w:val="-55"/>
        </w:rPr>
        <w:t> </w:t>
      </w:r>
      <w:r>
        <w:rPr>
          <w:rFonts w:ascii="宋体" w:hAnsi="宋体" w:cs="宋体" w:eastAsia="宋体" w:hint="default"/>
          <w:spacing w:val="-3"/>
        </w:rPr>
        <w:t>A.</w:t>
      </w:r>
      <w:r>
        <w:rPr>
          <w:spacing w:val="-3"/>
        </w:rPr>
        <w:t>初始确认时冲减相关资产账面价值的，调整资产账面价值。</w:t>
      </w:r>
      <w:r>
        <w:rPr>
          <w:spacing w:val="-55"/>
        </w:rPr>
        <w:t> </w:t>
      </w:r>
      <w:r>
        <w:rPr>
          <w:rFonts w:ascii="宋体" w:hAnsi="宋体" w:cs="宋体" w:eastAsia="宋体" w:hint="default"/>
        </w:rPr>
        <w:t>B.</w:t>
      </w:r>
      <w:r>
        <w:rPr>
          <w:rFonts w:ascii="宋体" w:hAnsi="宋体" w:cs="宋体" w:eastAsia="宋体" w:hint="default"/>
          <w:spacing w:val="1"/>
        </w:rPr>
        <w:t> </w:t>
      </w:r>
      <w:r>
        <w:rPr/>
        <w:t>存在相关递延收益的，冲减相关递延收益账面金额，超出部分计入当期损益。</w:t>
      </w:r>
      <w:r>
        <w:rPr>
          <w:spacing w:val="1"/>
        </w:rPr>
        <w:t> </w:t>
      </w:r>
      <w:r>
        <w:rPr>
          <w:rFonts w:ascii="宋体" w:hAnsi="宋体" w:cs="宋体" w:eastAsia="宋体" w:hint="default"/>
        </w:rPr>
        <w:t>C.</w:t>
      </w:r>
      <w:r>
        <w:rPr/>
        <w:t>属于其他情况的，直接计入当期损益。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2"/>
        <w:rPr>
          <w:rFonts w:ascii="宋体" w:hAnsi="宋体" w:cs="宋体" w:eastAsia="宋体" w:hint="default"/>
          <w:b/>
          <w:bCs/>
          <w:sz w:val="26"/>
          <w:szCs w:val="26"/>
        </w:rPr>
      </w:pPr>
    </w:p>
    <w:p>
      <w:pPr>
        <w:spacing w:line="300" w:lineRule="auto" w:before="0"/>
        <w:ind w:left="513" w:right="18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）确认递延所得税资产的依据</w:t>
      </w:r>
      <w:r>
        <w:rPr>
          <w:rFonts w:ascii="宋体" w:hAnsi="宋体" w:cs="宋体" w:eastAsia="宋体" w:hint="default"/>
          <w:b/>
          <w:bCs/>
          <w:w w:val="99"/>
          <w:sz w:val="18"/>
          <w:szCs w:val="18"/>
        </w:rPr>
        <w:t> </w:t>
      </w:r>
      <w:r>
        <w:rPr>
          <w:rFonts w:ascii="宋体" w:hAnsi="宋体" w:cs="宋体" w:eastAsia="宋体" w:hint="default"/>
          <w:spacing w:val="-2"/>
          <w:sz w:val="18"/>
          <w:szCs w:val="18"/>
        </w:rPr>
        <w:t>根据资产、负债的账面价值与其计税基础之间的差额（未作为资产和负债确认的项目按照税法规定可以确定其计税基础</w:t>
      </w:r>
    </w:p>
    <w:p>
      <w:pPr>
        <w:pStyle w:val="BodyText"/>
        <w:spacing w:line="316" w:lineRule="auto" w:before="31"/>
        <w:ind w:right="183"/>
        <w:jc w:val="left"/>
      </w:pPr>
      <w:r>
        <w:rPr>
          <w:spacing w:val="-2"/>
        </w:rPr>
        <w:t>的，该计税基础与其账面数之间的差额），按照预期收回该资产或清偿该负债期间的适用税率计算确认递延所得税资产或递</w:t>
      </w:r>
      <w:r>
        <w:rPr>
          <w:spacing w:val="-66"/>
        </w:rPr>
        <w:t> </w:t>
      </w:r>
      <w:r>
        <w:rPr>
          <w:spacing w:val="-66"/>
        </w:rPr>
      </w:r>
      <w:r>
        <w:rPr/>
        <w:t>延所得税负债。</w:t>
      </w:r>
    </w:p>
    <w:p>
      <w:pPr>
        <w:spacing w:line="300" w:lineRule="auto" w:before="19"/>
        <w:ind w:left="513" w:right="18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）确认递延所得税负债的依据</w:t>
      </w:r>
      <w:r>
        <w:rPr>
          <w:rFonts w:ascii="宋体" w:hAnsi="宋体" w:cs="宋体" w:eastAsia="宋体" w:hint="default"/>
          <w:b/>
          <w:bCs/>
          <w:w w:val="99"/>
          <w:sz w:val="18"/>
          <w:szCs w:val="18"/>
        </w:rPr>
        <w:t> </w:t>
      </w:r>
      <w:r>
        <w:rPr>
          <w:rFonts w:ascii="宋体" w:hAnsi="宋体" w:cs="宋体" w:eastAsia="宋体" w:hint="default"/>
          <w:spacing w:val="-2"/>
          <w:sz w:val="18"/>
          <w:szCs w:val="18"/>
        </w:rPr>
        <w:t>根据资产、负债的账面价值与其计税基础之间的差额（未作为资产和负债确认的项目按照税法规定可以确定其计税基础</w:t>
      </w:r>
    </w:p>
    <w:p>
      <w:pPr>
        <w:pStyle w:val="BodyText"/>
        <w:spacing w:line="316" w:lineRule="auto" w:before="31"/>
        <w:ind w:right="183"/>
        <w:jc w:val="left"/>
      </w:pPr>
      <w:r>
        <w:rPr>
          <w:spacing w:val="-2"/>
        </w:rPr>
        <w:t>的，该计税基础与其账面数之间的差额），按照预期收回该资产或清偿该负债期间的适用税率计算确认递延所得税资产或递</w:t>
      </w:r>
      <w:r>
        <w:rPr>
          <w:spacing w:val="-66"/>
        </w:rPr>
        <w:t> </w:t>
      </w:r>
      <w:r>
        <w:rPr>
          <w:spacing w:val="-66"/>
        </w:rPr>
      </w:r>
      <w:r>
        <w:rPr/>
        <w:t>延所得税负债。</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28</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4" w:firstLine="360"/>
        <w:jc w:val="both"/>
      </w:pPr>
      <w:r>
        <w:rPr/>
        <w:t>对于经营租赁的租金，出租人、承租人在租赁期内各个期间按照直线法确认为当期损益。</w:t>
      </w:r>
      <w:r>
        <w:rPr>
          <w:spacing w:val="5"/>
        </w:rPr>
        <w:t> </w:t>
      </w:r>
      <w:r>
        <w:rPr/>
        <w:t>出租人、承租人发生的初始</w:t>
      </w:r>
      <w:r>
        <w:rPr/>
        <w:t> 直接费用，计入当期损益。或有租金在实际发生时计入当期损益。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183"/>
        <w:jc w:val="left"/>
      </w:pPr>
      <w:r>
        <w:rPr/>
        <w:t>①</w:t>
      </w:r>
      <w:r>
        <w:rPr>
          <w:spacing w:val="1"/>
        </w:rPr>
        <w:t> </w:t>
      </w:r>
      <w:r>
        <w:rPr/>
        <w:t>承租人的会计处理</w:t>
      </w:r>
      <w:r>
        <w:rPr/>
        <w:t> </w:t>
      </w:r>
      <w:r>
        <w:rPr>
          <w:spacing w:val="-2"/>
        </w:rPr>
        <w:t>在租赁期开始日，将租赁开始日租赁资产公允价值与最低租赁付款额现值两者中较低者作为租入资产的入账价值，将最</w:t>
      </w:r>
    </w:p>
    <w:p>
      <w:pPr>
        <w:pStyle w:val="BodyText"/>
        <w:spacing w:line="319" w:lineRule="auto" w:before="19"/>
        <w:ind w:right="190"/>
        <w:jc w:val="both"/>
      </w:pPr>
      <w:r>
        <w:rPr>
          <w:spacing w:val="-2"/>
        </w:rPr>
        <w:t>低租赁付款额作为长期应付款的入账价值，其差额作为未确认融资费用。在租赁谈判和签订租赁合同过程中发生的，可归属</w:t>
      </w:r>
      <w:r>
        <w:rPr>
          <w:spacing w:val="-63"/>
        </w:rPr>
        <w:t> </w:t>
      </w:r>
      <w:r>
        <w:rPr>
          <w:spacing w:val="-63"/>
        </w:rPr>
      </w:r>
      <w:r>
        <w:rPr>
          <w:spacing w:val="-2"/>
        </w:rPr>
        <w:t>于租赁项目的手续费等初始直接费用（下同），计入租入资产价值。未确认融资费用在租赁期内按照实际利率法计算确认当</w:t>
      </w:r>
      <w:r>
        <w:rPr>
          <w:spacing w:val="-66"/>
        </w:rPr>
        <w:t> </w:t>
      </w:r>
      <w:r>
        <w:rPr>
          <w:spacing w:val="-66"/>
        </w:rPr>
      </w:r>
      <w:r>
        <w:rPr>
          <w:spacing w:val="-2"/>
        </w:rPr>
        <w:t>期的融资费用。或有租金在实际发生时计入当期损益。本公司采用与自有固定资产相一致的折旧政策计提租赁资产折旧。能</w:t>
      </w:r>
      <w:r>
        <w:rPr>
          <w:spacing w:val="-63"/>
        </w:rPr>
        <w:t> </w:t>
      </w:r>
      <w:r>
        <w:rPr>
          <w:spacing w:val="-63"/>
        </w:rPr>
      </w:r>
      <w:r>
        <w:rPr>
          <w:spacing w:val="-2"/>
        </w:rPr>
        <w:t>够合理确定租赁期届满时取得租赁资产所有权的，在租赁资产使用寿命内计提折旧。无法合理确定租赁期届满时能够取得租</w:t>
      </w:r>
    </w:p>
    <w:p>
      <w:pPr>
        <w:spacing w:after="0" w:line="319" w:lineRule="auto"/>
        <w:jc w:val="both"/>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right="2839"/>
        <w:jc w:val="left"/>
      </w:pPr>
      <w:r>
        <w:rPr/>
        <w:t>赁资产所有权的，在租赁期与租赁资产使用寿命两者中较短的期间内计提折旧。</w:t>
      </w:r>
    </w:p>
    <w:p>
      <w:pPr>
        <w:pStyle w:val="BodyText"/>
        <w:spacing w:line="316" w:lineRule="auto" w:before="76"/>
        <w:ind w:left="513" w:right="0"/>
        <w:jc w:val="left"/>
      </w:pPr>
      <w:r>
        <w:rPr/>
        <w:t>②</w:t>
      </w:r>
      <w:r>
        <w:rPr>
          <w:spacing w:val="1"/>
        </w:rPr>
        <w:t> </w:t>
      </w:r>
      <w:r>
        <w:rPr/>
        <w:t>出租人的会计处理</w:t>
      </w:r>
      <w:r>
        <w:rPr/>
        <w:t> </w:t>
      </w:r>
      <w:r>
        <w:rPr>
          <w:spacing w:val="-2"/>
        </w:rPr>
        <w:t>在租赁期开始日，出租人将租赁开始日最低租赁收款额与初始直接费用之和作为应收融资租赁款的入账价值，同时记录</w:t>
      </w:r>
    </w:p>
    <w:p>
      <w:pPr>
        <w:pStyle w:val="BodyText"/>
        <w:spacing w:line="316" w:lineRule="auto" w:before="19"/>
        <w:ind w:right="0"/>
        <w:jc w:val="left"/>
      </w:pPr>
      <w:r>
        <w:rPr>
          <w:spacing w:val="-2"/>
        </w:rPr>
        <w:t>未担保余值；将最低租赁收款额、初始直接费用及未担保余值之和与其现值之和的差额确认为未实现融资收益。未实现融资</w:t>
      </w:r>
      <w:r>
        <w:rPr>
          <w:spacing w:val="-63"/>
        </w:rPr>
        <w:t> </w:t>
      </w:r>
      <w:r>
        <w:rPr>
          <w:spacing w:val="-63"/>
        </w:rPr>
      </w:r>
      <w:r>
        <w:rPr/>
        <w:t>收益在租赁期内按照实际利率法计算确认当期的融资收入。或有租金在实际发生时计入当期损益。</w:t>
      </w:r>
    </w:p>
    <w:p>
      <w:pPr>
        <w:spacing w:line="240" w:lineRule="auto" w:before="10"/>
        <w:rPr>
          <w:rFonts w:ascii="宋体" w:hAnsi="宋体" w:cs="宋体" w:eastAsia="宋体" w:hint="default"/>
          <w:sz w:val="22"/>
          <w:szCs w:val="22"/>
        </w:rPr>
      </w:pPr>
    </w:p>
    <w:p>
      <w:pPr>
        <w:pStyle w:val="Heading3"/>
        <w:spacing w:line="240" w:lineRule="auto"/>
        <w:ind w:right="2839"/>
        <w:jc w:val="left"/>
        <w:rPr>
          <w:b w:val="0"/>
          <w:bCs w:val="0"/>
        </w:rPr>
      </w:pPr>
      <w:r>
        <w:rPr>
          <w:rFonts w:ascii="Times New Roman" w:hAnsi="Times New Roman" w:cs="Times New Roman" w:eastAsia="Times New Roman" w:hint="default"/>
        </w:rPr>
        <w:t>29</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2839"/>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339"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116"/>
              <w:jc w:val="both"/>
              <w:rPr>
                <w:rFonts w:ascii="宋体" w:hAnsi="宋体" w:cs="宋体" w:eastAsia="宋体" w:hint="default"/>
                <w:sz w:val="18"/>
                <w:szCs w:val="18"/>
              </w:rPr>
            </w:pPr>
            <w:r>
              <w:rPr>
                <w:rFonts w:ascii="宋体" w:hAnsi="宋体" w:cs="宋体" w:eastAsia="宋体" w:hint="default"/>
                <w:sz w:val="18"/>
                <w:szCs w:val="18"/>
              </w:rPr>
              <w:t>在利润表中分别列示</w:t>
            </w:r>
            <w:r>
              <w:rPr>
                <w:rFonts w:ascii="Times New Roman" w:hAnsi="Times New Roman" w:cs="Times New Roman" w:eastAsia="Times New Roman" w:hint="default"/>
                <w:sz w:val="18"/>
                <w:szCs w:val="18"/>
              </w:rPr>
              <w:t>“</w:t>
            </w:r>
            <w:r>
              <w:rPr>
                <w:rFonts w:ascii="宋体" w:hAnsi="宋体" w:cs="宋体" w:eastAsia="宋体" w:hint="default"/>
                <w:sz w:val="18"/>
                <w:szCs w:val="18"/>
              </w:rPr>
              <w:t>持续经营净利润</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终止经营净利润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。比较数据相应调 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9" w:lineRule="auto"/>
              <w:ind w:left="23" w:right="43"/>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日第三届董事会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第三次会议审议通过《关于会计政策变 更的议案》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列示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年度持续经营净利润金额</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444,278,307.76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元；比较报表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列示持续经营净利润金额</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331,213,424.34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r>
      <w:tr>
        <w:trPr>
          <w:trHeight w:val="196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24" w:right="22"/>
              <w:jc w:val="left"/>
              <w:rPr>
                <w:rFonts w:ascii="宋体" w:hAnsi="宋体" w:cs="宋体" w:eastAsia="宋体" w:hint="default"/>
                <w:sz w:val="18"/>
                <w:szCs w:val="18"/>
              </w:rPr>
            </w:pPr>
            <w:r>
              <w:rPr>
                <w:rFonts w:ascii="宋体" w:hAnsi="宋体" w:cs="宋体" w:eastAsia="宋体" w:hint="default"/>
                <w:spacing w:val="-5"/>
                <w:w w:val="100"/>
                <w:sz w:val="18"/>
                <w:szCs w:val="18"/>
              </w:rPr>
              <w:t>在利润表中新增</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资产处置收益</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项目，将</w:t>
            </w:r>
            <w:r>
              <w:rPr>
                <w:rFonts w:ascii="宋体" w:hAnsi="宋体" w:cs="宋体" w:eastAsia="宋体" w:hint="default"/>
                <w:spacing w:val="-83"/>
                <w:w w:val="100"/>
                <w:sz w:val="18"/>
                <w:szCs w:val="18"/>
              </w:rPr>
              <w:t> </w:t>
            </w:r>
            <w:r>
              <w:rPr>
                <w:rFonts w:ascii="宋体" w:hAnsi="宋体" w:cs="宋体" w:eastAsia="宋体" w:hint="default"/>
                <w:spacing w:val="-83"/>
                <w:w w:val="100"/>
                <w:sz w:val="18"/>
                <w:szCs w:val="18"/>
              </w:rPr>
            </w:r>
            <w:r>
              <w:rPr>
                <w:rFonts w:ascii="宋体" w:hAnsi="宋体" w:cs="宋体" w:eastAsia="宋体" w:hint="default"/>
                <w:sz w:val="18"/>
                <w:szCs w:val="18"/>
              </w:rPr>
              <w:t>部分原列示为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营业外支 出</w:t>
            </w:r>
            <w:r>
              <w:rPr>
                <w:rFonts w:ascii="Times New Roman" w:hAnsi="Times New Roman" w:cs="Times New Roman" w:eastAsia="Times New Roman" w:hint="default"/>
                <w:sz w:val="18"/>
                <w:szCs w:val="18"/>
              </w:rPr>
              <w:t>”</w:t>
            </w:r>
            <w:r>
              <w:rPr>
                <w:rFonts w:ascii="宋体" w:hAnsi="宋体" w:cs="宋体" w:eastAsia="宋体" w:hint="default"/>
                <w:sz w:val="18"/>
                <w:szCs w:val="18"/>
              </w:rPr>
              <w:t>的资产处置损益重分类至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 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项目。比较数据相应调整。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9" w:lineRule="auto"/>
              <w:ind w:left="23" w:right="43"/>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日第三届董事会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第三次会议审议通过《关于会计政策变 更的议案》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列示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年度营业外支出调出</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1,574,720.06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元，重分类至资产处置收益</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-1,574,720.06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元。比较报表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年度调</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出营业外收入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15,582.59</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元，营业外支出</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调出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957,081.50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元，重分类至资产处置</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收益</w:t>
            </w:r>
            <w:r>
              <w:rPr>
                <w:rFonts w:ascii="Times New Roman" w:hAnsi="Times New Roman" w:cs="Times New Roman" w:eastAsia="Times New Roman" w:hint="default"/>
                <w:sz w:val="18"/>
                <w:szCs w:val="18"/>
              </w:rPr>
              <w:t>- 941,498.91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r>
      <w:tr>
        <w:trPr>
          <w:trHeight w:val="1027"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7"/>
              <w:jc w:val="both"/>
              <w:rPr>
                <w:rFonts w:ascii="宋体" w:hAnsi="宋体" w:cs="宋体" w:eastAsia="宋体" w:hint="default"/>
                <w:sz w:val="18"/>
                <w:szCs w:val="18"/>
              </w:rPr>
            </w:pPr>
            <w:r>
              <w:rPr>
                <w:rFonts w:ascii="宋体" w:hAnsi="宋体" w:cs="宋体" w:eastAsia="宋体" w:hint="default"/>
                <w:sz w:val="18"/>
                <w:szCs w:val="18"/>
              </w:rPr>
              <w:t>与本公司日常活动相关的政府补助，计 入其他收益，不再计入营业外收入。比 较数据不调整。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43"/>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日第三届董事会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第三次会议审议通过《关于会计政策变 更的议案》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center"/>
              <w:rPr>
                <w:rFonts w:ascii="宋体" w:hAnsi="宋体" w:cs="宋体" w:eastAsia="宋体" w:hint="default"/>
                <w:sz w:val="18"/>
                <w:szCs w:val="18"/>
              </w:rPr>
            </w:pPr>
            <w:r>
              <w:rPr>
                <w:rFonts w:ascii="宋体" w:hAnsi="宋体" w:cs="宋体" w:eastAsia="宋体" w:hint="default"/>
                <w:sz w:val="18"/>
                <w:szCs w:val="18"/>
              </w:rPr>
              <w:t>列示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年度其他收益：</w:t>
            </w:r>
            <w:r>
              <w:rPr>
                <w:rFonts w:ascii="Times New Roman" w:hAnsi="Times New Roman" w:cs="Times New Roman" w:eastAsia="Times New Roman" w:hint="default"/>
                <w:sz w:val="18"/>
                <w:szCs w:val="18"/>
              </w:rPr>
              <w:t>174,845.84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2839"/>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2839"/>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按应税销售额计缴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按应缴流转税额计缴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17.5%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按应税销售额计缴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教育附加税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按应缴流转税额计缴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按应缴流转税额计缴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3193"/>
        <w:gridCol w:w="3190"/>
        <w:gridCol w:w="3190"/>
      </w:tblGrid>
      <w:tr>
        <w:trPr>
          <w:trHeight w:val="404"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按应缴流转税额计缴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49"/>
        <w:ind w:right="2839"/>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北京光环新网科技股份有限公司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光环云谷科技有限公司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北京无双科技有限公司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北京中金云网科技有限公司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光环新网（上海）信息服务有限公司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北京光环金网科技有限公司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西安博凯创达数字科技有限公司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北京瑞科新网科技有限公司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北京科信盛彩云计算有限公司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光环有云（北京）网络服务有限公司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北京亚逊新网科技有限公司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光环新网（宁夏）云服务有限公司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光环新网国际有限公司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17.5%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北京德信致远科技有限公司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北京光环凯旋管理咨询有限公司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光环有云（香港）网络科技有限公司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17.5%</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0"/>
        <w:jc w:val="left"/>
      </w:pPr>
      <w:r>
        <w:rPr/>
        <w:t>（</w:t>
      </w:r>
      <w:r>
        <w:rPr>
          <w:rFonts w:ascii="宋体" w:hAnsi="宋体" w:cs="宋体" w:eastAsia="宋体" w:hint="default"/>
        </w:rPr>
        <w:t>1</w:t>
      </w:r>
      <w:r>
        <w:rPr/>
        <w:t>）本公司于</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25</w:t>
      </w:r>
      <w:r>
        <w:rPr/>
        <w:t>日经北京市科学技术委员会批准取得编号为</w:t>
      </w:r>
      <w:r>
        <w:rPr>
          <w:rFonts w:ascii="宋体" w:hAnsi="宋体" w:cs="宋体" w:eastAsia="宋体" w:hint="default"/>
        </w:rPr>
        <w:t>GR201711004090</w:t>
      </w:r>
      <w:r>
        <w:rPr/>
        <w:t>号的高新技术企业证书，根据</w:t>
      </w:r>
    </w:p>
    <w:p>
      <w:pPr>
        <w:pStyle w:val="BodyText"/>
        <w:spacing w:line="316" w:lineRule="auto" w:before="76"/>
        <w:ind w:right="0"/>
        <w:jc w:val="left"/>
      </w:pPr>
      <w:r>
        <w:rPr>
          <w:spacing w:val="-2"/>
        </w:rPr>
        <w:t>《国家税务总局关于企业所得税减免税管理问题的通知》（国税发</w:t>
      </w:r>
      <w:r>
        <w:rPr>
          <w:rFonts w:ascii="宋体" w:hAnsi="宋体" w:cs="宋体" w:eastAsia="宋体" w:hint="default"/>
          <w:spacing w:val="-2"/>
        </w:rPr>
        <w:t>[2008]111</w:t>
      </w:r>
      <w:r>
        <w:rPr>
          <w:spacing w:val="-2"/>
        </w:rPr>
        <w:t>号）文件的相关规定，公司自</w:t>
      </w:r>
      <w:r>
        <w:rPr>
          <w:rFonts w:ascii="宋体" w:hAnsi="宋体" w:cs="宋体" w:eastAsia="宋体" w:hint="default"/>
          <w:spacing w:val="-2"/>
        </w:rPr>
        <w:t>2017</w:t>
      </w:r>
      <w:r>
        <w:rPr>
          <w:spacing w:val="-2"/>
        </w:rPr>
        <w:t>年开始按</w:t>
      </w:r>
      <w:r>
        <w:rPr>
          <w:rFonts w:ascii="宋体" w:hAnsi="宋体" w:cs="宋体" w:eastAsia="宋体" w:hint="default"/>
          <w:spacing w:val="-2"/>
        </w:rPr>
        <w:t>15%</w:t>
      </w:r>
      <w:r>
        <w:rPr>
          <w:rFonts w:ascii="宋体" w:hAnsi="宋体" w:cs="宋体" w:eastAsia="宋体" w:hint="default"/>
          <w:spacing w:val="-53"/>
        </w:rPr>
        <w:t> </w:t>
      </w:r>
      <w:r>
        <w:rPr>
          <w:rFonts w:ascii="宋体" w:hAnsi="宋体" w:cs="宋体" w:eastAsia="宋体" w:hint="default"/>
          <w:spacing w:val="-53"/>
        </w:rPr>
      </w:r>
      <w:r>
        <w:rPr/>
        <w:t>征收企业所得税，有效期三年。</w:t>
      </w:r>
    </w:p>
    <w:p>
      <w:pPr>
        <w:pStyle w:val="BodyText"/>
        <w:spacing w:line="319" w:lineRule="auto" w:before="19"/>
        <w:ind w:right="148" w:firstLine="360"/>
        <w:jc w:val="both"/>
      </w:pPr>
      <w:r>
        <w:rPr/>
        <w:t>（</w:t>
      </w:r>
      <w:r>
        <w:rPr>
          <w:rFonts w:ascii="宋体" w:hAnsi="宋体" w:cs="宋体" w:eastAsia="宋体" w:hint="default"/>
        </w:rPr>
        <w:t>2</w:t>
      </w:r>
      <w:r>
        <w:rPr/>
        <w:t>）本公司子公司光环云谷科技有限公司于</w:t>
      </w: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21</w:t>
      </w:r>
      <w:r>
        <w:rPr/>
        <w:t>日经河北省科学技术委员会批准取得编号为</w:t>
      </w:r>
      <w:r>
        <w:rPr>
          <w:rFonts w:ascii="宋体" w:hAnsi="宋体" w:cs="宋体" w:eastAsia="宋体" w:hint="default"/>
        </w:rPr>
        <w:t>GR201713000037 </w:t>
      </w:r>
      <w:r>
        <w:rPr/>
        <w:t>号的高新技术企业证书，根据《国家税务总局关于企业所得税减免税管理问题的通知》（国税发</w:t>
      </w:r>
      <w:r>
        <w:rPr>
          <w:rFonts w:ascii="宋体" w:hAnsi="宋体" w:cs="宋体" w:eastAsia="宋体" w:hint="default"/>
        </w:rPr>
        <w:t>[2008]111</w:t>
      </w:r>
      <w:r>
        <w:rPr/>
        <w:t>号）文件的相关</w:t>
      </w:r>
      <w:r>
        <w:rPr>
          <w:spacing w:val="-85"/>
        </w:rPr>
        <w:t> </w:t>
      </w:r>
      <w:r>
        <w:rPr>
          <w:spacing w:val="-85"/>
        </w:rPr>
      </w:r>
      <w:r>
        <w:rPr/>
        <w:t>规定，公司自</w:t>
      </w:r>
      <w:r>
        <w:rPr>
          <w:rFonts w:ascii="宋体" w:hAnsi="宋体" w:cs="宋体" w:eastAsia="宋体" w:hint="default"/>
        </w:rPr>
        <w:t>2017</w:t>
      </w:r>
      <w:r>
        <w:rPr/>
        <w:t>年开始按</w:t>
      </w:r>
      <w:r>
        <w:rPr>
          <w:rFonts w:ascii="宋体" w:hAnsi="宋体" w:cs="宋体" w:eastAsia="宋体" w:hint="default"/>
        </w:rPr>
        <w:t>15%</w:t>
      </w:r>
      <w:r>
        <w:rPr/>
        <w:t>征收企业所得税，有效期三年。</w:t>
      </w:r>
    </w:p>
    <w:p>
      <w:pPr>
        <w:pStyle w:val="BodyText"/>
        <w:spacing w:line="316" w:lineRule="auto" w:before="17"/>
        <w:ind w:right="151" w:firstLine="360"/>
        <w:jc w:val="both"/>
      </w:pPr>
      <w:r>
        <w:rPr/>
        <w:t>（</w:t>
      </w:r>
      <w:r>
        <w:rPr>
          <w:rFonts w:ascii="宋体" w:hAnsi="宋体" w:cs="宋体" w:eastAsia="宋体" w:hint="default"/>
        </w:rPr>
        <w:t>3</w:t>
      </w:r>
      <w:r>
        <w:rPr/>
        <w:t>）本公司子公司北京无双科技有限公司于</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22</w:t>
      </w:r>
      <w:r>
        <w:rPr/>
        <w:t>日经北京市科学技术委员会批准取得编号为</w:t>
      </w:r>
      <w:r>
        <w:rPr>
          <w:rFonts w:ascii="宋体" w:hAnsi="宋体" w:cs="宋体" w:eastAsia="宋体" w:hint="default"/>
        </w:rPr>
        <w:t>GR201611005108 </w:t>
      </w:r>
      <w:r>
        <w:rPr/>
        <w:t>号的高新技术企业证书，根据《国家税务总局关于企业所得税减免税管理问题的通知》（国税发</w:t>
      </w:r>
      <w:r>
        <w:rPr>
          <w:rFonts w:ascii="宋体" w:hAnsi="宋体" w:cs="宋体" w:eastAsia="宋体" w:hint="default"/>
        </w:rPr>
        <w:t>[2008]111</w:t>
      </w:r>
      <w:r>
        <w:rPr/>
        <w:t>号）文件的相关</w:t>
      </w:r>
      <w:r>
        <w:rPr>
          <w:spacing w:val="-85"/>
        </w:rPr>
        <w:t> </w:t>
      </w:r>
      <w:r>
        <w:rPr>
          <w:spacing w:val="-85"/>
        </w:rPr>
      </w:r>
      <w:r>
        <w:rPr/>
        <w:t>规定，公司自</w:t>
      </w:r>
      <w:r>
        <w:rPr>
          <w:rFonts w:ascii="宋体" w:hAnsi="宋体" w:cs="宋体" w:eastAsia="宋体" w:hint="default"/>
        </w:rPr>
        <w:t>2016</w:t>
      </w:r>
      <w:r>
        <w:rPr/>
        <w:t>年开始减按</w:t>
      </w:r>
      <w:r>
        <w:rPr>
          <w:rFonts w:ascii="宋体" w:hAnsi="宋体" w:cs="宋体" w:eastAsia="宋体" w:hint="default"/>
        </w:rPr>
        <w:t>15%</w:t>
      </w:r>
      <w:r>
        <w:rPr/>
        <w:t>征收企业所得税，有效期三年。</w:t>
      </w:r>
    </w:p>
    <w:p>
      <w:pPr>
        <w:pStyle w:val="BodyText"/>
        <w:spacing w:line="316" w:lineRule="auto" w:before="19"/>
        <w:ind w:right="150" w:firstLine="360"/>
        <w:jc w:val="both"/>
      </w:pPr>
      <w:r>
        <w:rPr/>
        <w:t>（</w:t>
      </w:r>
      <w:r>
        <w:rPr>
          <w:spacing w:val="-69"/>
        </w:rPr>
        <w:t> </w:t>
      </w:r>
      <w:r>
        <w:rPr>
          <w:rFonts w:ascii="宋体" w:hAnsi="宋体" w:cs="宋体" w:eastAsia="宋体" w:hint="default"/>
        </w:rPr>
        <w:t>4</w:t>
      </w:r>
      <w:r>
        <w:rPr>
          <w:rFonts w:ascii="宋体" w:hAnsi="宋体" w:cs="宋体" w:eastAsia="宋体" w:hint="default"/>
          <w:spacing w:val="-67"/>
        </w:rPr>
        <w:t> </w:t>
      </w:r>
      <w:r>
        <w:rPr/>
        <w:t>）</w:t>
      </w:r>
      <w:r>
        <w:rPr>
          <w:spacing w:val="-69"/>
        </w:rPr>
        <w:t> </w:t>
      </w:r>
      <w:r>
        <w:rPr>
          <w:spacing w:val="18"/>
        </w:rPr>
        <w:t>本公司子公司北京中金云网科技有限公司于</w:t>
      </w:r>
      <w:r>
        <w:rPr>
          <w:spacing w:val="-65"/>
        </w:rPr>
        <w:t> </w:t>
      </w:r>
      <w:r>
        <w:rPr>
          <w:rFonts w:ascii="宋体" w:hAnsi="宋体" w:cs="宋体" w:eastAsia="宋体" w:hint="default"/>
        </w:rPr>
        <w:t>2016</w:t>
      </w:r>
      <w:r>
        <w:rPr>
          <w:rFonts w:ascii="宋体" w:hAnsi="宋体" w:cs="宋体" w:eastAsia="宋体" w:hint="default"/>
          <w:spacing w:val="-67"/>
        </w:rPr>
        <w:t> </w:t>
      </w:r>
      <w:r>
        <w:rPr/>
        <w:t>年</w:t>
      </w:r>
      <w:r>
        <w:rPr>
          <w:spacing w:val="-69"/>
        </w:rPr>
        <w:t> </w:t>
      </w:r>
      <w:r>
        <w:rPr>
          <w:rFonts w:ascii="宋体" w:hAnsi="宋体" w:cs="宋体" w:eastAsia="宋体" w:hint="default"/>
        </w:rPr>
        <w:t>12</w:t>
      </w:r>
      <w:r>
        <w:rPr>
          <w:rFonts w:ascii="宋体" w:hAnsi="宋体" w:cs="宋体" w:eastAsia="宋体" w:hint="default"/>
          <w:spacing w:val="-67"/>
        </w:rPr>
        <w:t> </w:t>
      </w:r>
      <w:r>
        <w:rPr/>
        <w:t>月</w:t>
      </w:r>
      <w:r>
        <w:rPr>
          <w:spacing w:val="-69"/>
        </w:rPr>
        <w:t> </w:t>
      </w:r>
      <w:r>
        <w:rPr>
          <w:rFonts w:ascii="宋体" w:hAnsi="宋体" w:cs="宋体" w:eastAsia="宋体" w:hint="default"/>
        </w:rPr>
        <w:t>22</w:t>
      </w:r>
      <w:r>
        <w:rPr>
          <w:rFonts w:ascii="宋体" w:hAnsi="宋体" w:cs="宋体" w:eastAsia="宋体" w:hint="default"/>
          <w:spacing w:val="-67"/>
        </w:rPr>
        <w:t> </w:t>
      </w:r>
      <w:r>
        <w:rPr>
          <w:spacing w:val="18"/>
        </w:rPr>
        <w:t>日经北京市科学技术委员会批准取得编号为</w:t>
      </w:r>
      <w:r>
        <w:rPr/>
        <w:t> </w:t>
      </w:r>
      <w:r>
        <w:rPr>
          <w:rFonts w:ascii="宋体" w:hAnsi="宋体" w:cs="宋体" w:eastAsia="宋体" w:hint="default"/>
        </w:rPr>
        <w:t>GR201611002411</w:t>
      </w:r>
      <w:r>
        <w:rPr/>
        <w:t>号的高新技术企业证书，根据《国家税务总局关于企业所得税减免税管理问题的通知》（国税发</w:t>
      </w:r>
      <w:r>
        <w:rPr>
          <w:rFonts w:ascii="宋体" w:hAnsi="宋体" w:cs="宋体" w:eastAsia="宋体" w:hint="default"/>
        </w:rPr>
        <w:t>[2008]111 </w:t>
      </w:r>
      <w:r>
        <w:rPr/>
        <w:t>号）文件的相关规定，公司自</w:t>
      </w:r>
      <w:r>
        <w:rPr>
          <w:rFonts w:ascii="宋体" w:hAnsi="宋体" w:cs="宋体" w:eastAsia="宋体" w:hint="default"/>
        </w:rPr>
        <w:t>2016</w:t>
      </w:r>
      <w:r>
        <w:rPr/>
        <w:t>年开始按</w:t>
      </w:r>
      <w:r>
        <w:rPr>
          <w:rFonts w:ascii="宋体" w:hAnsi="宋体" w:cs="宋体" w:eastAsia="宋体" w:hint="default"/>
        </w:rPr>
        <w:t>15%</w:t>
      </w:r>
      <w:r>
        <w:rPr/>
        <w:t>征收企业所得税，有效期三年。</w:t>
      </w:r>
    </w:p>
    <w:p>
      <w:pPr>
        <w:spacing w:after="0" w:line="316" w:lineRule="auto"/>
        <w:jc w:val="both"/>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2839"/>
        <w:jc w:val="left"/>
        <w:rPr>
          <w:b w:val="0"/>
          <w:bCs w:val="0"/>
        </w:rPr>
      </w:pP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2839"/>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30,071.43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69,342.15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494,216,616.73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264,584,699.61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494,246,688.16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264,654,041.76</w:t>
            </w:r>
          </w:p>
        </w:tc>
      </w:tr>
    </w:tbl>
    <w:p>
      <w:pPr>
        <w:pStyle w:val="BodyText"/>
        <w:spacing w:line="240" w:lineRule="auto" w:before="49"/>
        <w:ind w:right="2839"/>
        <w:jc w:val="left"/>
      </w:pPr>
      <w:r>
        <w:rPr/>
        <w:t>其他说明</w:t>
      </w:r>
    </w:p>
    <w:p>
      <w:pPr>
        <w:pStyle w:val="BodyText"/>
        <w:spacing w:line="240" w:lineRule="auto" w:before="115"/>
        <w:ind w:left="513" w:right="2839"/>
        <w:jc w:val="left"/>
      </w:pPr>
      <w:r>
        <w:rPr/>
        <w:t>（</w:t>
      </w:r>
      <w:r>
        <w:rPr>
          <w:rFonts w:ascii="宋体" w:hAnsi="宋体" w:cs="宋体" w:eastAsia="宋体" w:hint="default"/>
        </w:rPr>
        <w:t>1</w:t>
      </w:r>
      <w:r>
        <w:rPr/>
        <w:t>）截止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日，无所有权受到限制的银行存款。</w:t>
      </w:r>
    </w:p>
    <w:p>
      <w:pPr>
        <w:pStyle w:val="BodyText"/>
        <w:spacing w:line="240" w:lineRule="auto" w:before="76"/>
        <w:ind w:left="513" w:right="2839"/>
        <w:jc w:val="left"/>
      </w:pPr>
      <w:r>
        <w:rPr/>
        <w:t>（</w:t>
      </w:r>
      <w:r>
        <w:rPr>
          <w:rFonts w:ascii="宋体" w:hAnsi="宋体" w:cs="宋体" w:eastAsia="宋体" w:hint="default"/>
        </w:rPr>
        <w:t>2</w:t>
      </w:r>
      <w:r>
        <w:rPr/>
        <w:t>）截止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日银行存款余额中募投资金账户余额</w:t>
      </w:r>
      <w:r>
        <w:rPr>
          <w:rFonts w:ascii="宋体" w:hAnsi="宋体" w:cs="宋体" w:eastAsia="宋体" w:hint="default"/>
        </w:rPr>
        <w:t>16,286,475.91</w:t>
      </w:r>
      <w:r>
        <w:rPr/>
        <w:t>元。</w:t>
      </w:r>
    </w:p>
    <w:p>
      <w:pPr>
        <w:spacing w:line="240" w:lineRule="auto" w:before="0"/>
        <w:rPr>
          <w:rFonts w:ascii="宋体" w:hAnsi="宋体" w:cs="宋体" w:eastAsia="宋体" w:hint="default"/>
          <w:sz w:val="18"/>
          <w:szCs w:val="18"/>
        </w:rPr>
      </w:pPr>
    </w:p>
    <w:p>
      <w:pPr>
        <w:pStyle w:val="Heading3"/>
        <w:spacing w:line="240" w:lineRule="auto" w:before="120"/>
        <w:ind w:right="2839"/>
        <w:jc w:val="left"/>
        <w:rPr>
          <w:b w:val="0"/>
          <w:bCs w:val="0"/>
        </w:rPr>
      </w:pPr>
      <w:r>
        <w:rPr>
          <w:rFonts w:ascii="Times New Roman" w:hAnsi="Times New Roman" w:cs="Times New Roman" w:eastAsia="Times New Roman" w:hint="default"/>
        </w:rPr>
        <w:t>2</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2839"/>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5"/>
        <w:gridCol w:w="775"/>
        <w:gridCol w:w="764"/>
        <w:gridCol w:w="761"/>
        <w:gridCol w:w="763"/>
        <w:gridCol w:w="790"/>
        <w:gridCol w:w="655"/>
        <w:gridCol w:w="761"/>
        <w:gridCol w:w="814"/>
        <w:gridCol w:w="932"/>
        <w:gridCol w:w="934"/>
      </w:tblGrid>
      <w:tr>
        <w:trPr>
          <w:trHeight w:val="402" w:hRule="exact"/>
        </w:trPr>
        <w:tc>
          <w:tcPr>
            <w:tcW w:w="1625" w:type="dxa"/>
            <w:vMerge w:val="restart"/>
            <w:tcBorders>
              <w:top w:val="single" w:sz="4" w:space="0" w:color="000000"/>
              <w:left w:val="single" w:sz="4" w:space="0" w:color="000000"/>
              <w:right w:val="single" w:sz="4" w:space="0" w:color="000000"/>
            </w:tcBorders>
            <w:shd w:val="clear" w:color="auto" w:fill="D2D2D2"/>
          </w:tcPr>
          <w:p>
            <w:pPr/>
          </w:p>
        </w:tc>
        <w:tc>
          <w:tcPr>
            <w:tcW w:w="385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25" w:type="dxa"/>
            <w:vMerge/>
            <w:tcBorders>
              <w:left w:val="single" w:sz="4" w:space="0" w:color="000000"/>
              <w:bottom w:val="nil" w:sz="6" w:space="0" w:color="auto"/>
              <w:right w:val="single" w:sz="4" w:space="0" w:color="000000"/>
            </w:tcBorders>
            <w:shd w:val="clear" w:color="auto" w:fill="D2D2D2"/>
          </w:tcPr>
          <w:p>
            <w:pPr/>
          </w:p>
        </w:tc>
        <w:tc>
          <w:tcPr>
            <w:tcW w:w="153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4"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9"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5"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90" w:right="10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5"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4"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25"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5"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r>
      <w:tr>
        <w:trPr>
          <w:trHeight w:val="1116"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94"/>
              <w:ind w:left="24"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999,491,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138.71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12,766,2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85.87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1.28%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986,724,8</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52.84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569,790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,554.94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9,678,949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1.70%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560,111,60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5.56</w:t>
            </w:r>
          </w:p>
        </w:tc>
      </w:tr>
      <w:tr>
        <w:trPr>
          <w:trHeight w:val="1028"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4" w:right="21"/>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Arial Narrow" w:hAnsi="Arial Narrow" w:cs="Arial Narrow" w:eastAsia="Arial Narrow" w:hint="default"/>
                <w:sz w:val="18"/>
                <w:szCs w:val="18"/>
              </w:rPr>
              <w:t>1</w:t>
            </w:r>
            <w:r>
              <w:rPr>
                <w:rFonts w:ascii="宋体" w:hAnsi="宋体" w:cs="宋体" w:eastAsia="宋体" w:hint="default"/>
                <w:sz w:val="18"/>
                <w:szCs w:val="18"/>
              </w:rPr>
              <w:t>：按照账龄分 析法计提坏账的应 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647,344,</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785.49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64.77%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9,802,01</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7.90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1.51%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637,542,7</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67.59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321,597</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,087.28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56.44%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6,169,191</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315,427,89</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6.20</w:t>
            </w:r>
          </w:p>
        </w:tc>
      </w:tr>
      <w:tr>
        <w:trPr>
          <w:trHeight w:val="713"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Arial Narrow" w:hAnsi="Arial Narrow" w:cs="Arial Narrow" w:eastAsia="Arial Narrow" w:hint="default"/>
                <w:sz w:val="18"/>
                <w:szCs w:val="18"/>
              </w:rPr>
              <w:t>2</w:t>
            </w:r>
            <w:r>
              <w:rPr>
                <w:rFonts w:ascii="宋体" w:hAnsi="宋体" w:cs="宋体" w:eastAsia="宋体" w:hint="default"/>
                <w:sz w:val="18"/>
                <w:szCs w:val="18"/>
              </w:rPr>
              <w:t>：款项性质组 合</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350,737,</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094.07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35.09%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1,555,00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8.82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0.44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349,182,0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85.25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245,071</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,848.10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43.01%</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388,138.7</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0.16%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244,683,70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9.36</w:t>
            </w:r>
          </w:p>
        </w:tc>
      </w:tr>
      <w:tr>
        <w:trPr>
          <w:trHeight w:val="715"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1"/>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Arial Narrow" w:hAnsi="Arial Narrow" w:cs="Arial Narrow" w:eastAsia="Arial Narrow" w:hint="default"/>
                <w:sz w:val="18"/>
                <w:szCs w:val="18"/>
              </w:rPr>
              <w:t>3</w:t>
            </w:r>
            <w:r>
              <w:rPr>
                <w:rFonts w:ascii="宋体" w:hAnsi="宋体" w:cs="宋体" w:eastAsia="宋体" w:hint="default"/>
                <w:sz w:val="18"/>
                <w:szCs w:val="18"/>
              </w:rPr>
              <w:t>：特定资产组 合</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1,409,25</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9.15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0.14%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1,409,25</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9.15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3,121,6</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19.56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0.55%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3,121,619</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.56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0.00</w:t>
            </w:r>
          </w:p>
        </w:tc>
      </w:tr>
      <w:tr>
        <w:trPr>
          <w:trHeight w:val="1025"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r>
      <w:tr>
        <w:trPr>
          <w:trHeight w:val="164" w:hRule="exact"/>
        </w:trPr>
        <w:tc>
          <w:tcPr>
            <w:tcW w:w="1625"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10" w:space="0" w:color="D2D2D2"/>
              <w:right w:val="single" w:sz="4" w:space="0" w:color="000000"/>
            </w:tcBorders>
          </w:tcPr>
          <w:p>
            <w:pPr>
              <w:pStyle w:val="TableParagraph"/>
              <w:spacing w:line="240" w:lineRule="auto" w:before="94"/>
              <w:ind w:left="28" w:right="0"/>
              <w:jc w:val="left"/>
              <w:rPr>
                <w:rFonts w:ascii="Times New Roman" w:hAnsi="Times New Roman" w:cs="Times New Roman" w:eastAsia="Times New Roman" w:hint="default"/>
                <w:sz w:val="18"/>
                <w:szCs w:val="18"/>
              </w:rPr>
            </w:pPr>
            <w:r>
              <w:rPr>
                <w:rFonts w:ascii="Times New Roman"/>
                <w:sz w:val="18"/>
              </w:rPr>
              <w:t>999,491,</w:t>
            </w:r>
          </w:p>
          <w:p>
            <w:pPr>
              <w:pStyle w:val="TableParagraph"/>
              <w:spacing w:line="240" w:lineRule="auto" w:before="102"/>
              <w:ind w:left="28" w:right="0"/>
              <w:jc w:val="left"/>
              <w:rPr>
                <w:rFonts w:ascii="Times New Roman" w:hAnsi="Times New Roman" w:cs="Times New Roman" w:eastAsia="Times New Roman" w:hint="default"/>
                <w:sz w:val="18"/>
                <w:szCs w:val="18"/>
              </w:rPr>
            </w:pPr>
            <w:r>
              <w:rPr>
                <w:rFonts w:ascii="Times New Roman"/>
                <w:sz w:val="18"/>
              </w:rPr>
              <w:t>138.71</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12,766,2</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85.87</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1.28%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986,724,8</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52.84</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569,790</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,554.94</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9,678,949</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.38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1.70%</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560,111,60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5.56</w:t>
            </w:r>
          </w:p>
        </w:tc>
      </w:tr>
      <w:tr>
        <w:trPr>
          <w:trHeight w:val="391" w:hRule="exact"/>
        </w:trPr>
        <w:tc>
          <w:tcPr>
            <w:tcW w:w="16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10" w:space="0" w:color="D2D2D2"/>
              <w:right w:val="single" w:sz="4" w:space="0" w:color="000000"/>
            </w:tcBorders>
          </w:tcPr>
          <w:p>
            <w:pPr/>
          </w:p>
        </w:tc>
        <w:tc>
          <w:tcPr>
            <w:tcW w:w="764"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r>
      <w:tr>
        <w:trPr>
          <w:trHeight w:val="161" w:hRule="exact"/>
        </w:trPr>
        <w:tc>
          <w:tcPr>
            <w:tcW w:w="1625"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10" w:space="0" w:color="D2D2D2"/>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5" w:footer="979" w:top="1060" w:bottom="1160" w:left="980" w:right="980"/>
        </w:sectPr>
      </w:pPr>
    </w:p>
    <w:p>
      <w:pPr>
        <w:pStyle w:val="BodyText"/>
        <w:spacing w:line="240" w:lineRule="auto" w:before="44"/>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其中：子公司北京无双科技有 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372,899,460.26</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264,014,553.99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7,920,436.62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636,914,014.25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7,920,436.62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8,249,045.54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824,904.55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1,118,127.63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335,438.28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563,846.38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281,923.19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302,182.17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241,745.74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197,569.52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197,569.52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647,344,785.49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9,802,017.90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2839"/>
        <w:jc w:val="left"/>
      </w:pPr>
      <w:r>
        <w:rPr/>
        <w:t>组合中，采用余额百分比法计提坏账准备的应收账款：</w:t>
      </w:r>
    </w:p>
    <w:p>
      <w:pPr>
        <w:pStyle w:val="BodyText"/>
        <w:spacing w:line="338" w:lineRule="auto" w:before="117"/>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316" w:lineRule="auto" w:before="43"/>
        <w:ind w:right="2394"/>
        <w:jc w:val="left"/>
      </w:pPr>
      <w:r>
        <w:rPr/>
        <w:t>款项性质组合：该组合中按风险余额对应账龄法计提坏账准备，当期风险余额全部为一年内。 特定资产组合：有确凿证据表明无法收回或收回可能性不大的款项，全额计提坏账准备。</w:t>
      </w:r>
    </w:p>
    <w:p>
      <w:pPr>
        <w:spacing w:line="240" w:lineRule="auto" w:before="10"/>
        <w:rPr>
          <w:rFonts w:ascii="宋体" w:hAnsi="宋体" w:cs="宋体" w:eastAsia="宋体" w:hint="default"/>
          <w:sz w:val="22"/>
          <w:szCs w:val="22"/>
        </w:rPr>
      </w:pPr>
    </w:p>
    <w:p>
      <w:pPr>
        <w:pStyle w:val="Heading3"/>
        <w:spacing w:line="240" w:lineRule="auto"/>
        <w:ind w:right="2839"/>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839"/>
        <w:jc w:val="left"/>
      </w:pPr>
      <w:r>
        <w:rPr/>
        <w:t>本期计提坏账准备金额</w:t>
      </w:r>
      <w:r>
        <w:rPr>
          <w:spacing w:val="-46"/>
        </w:rPr>
        <w:t> </w:t>
      </w:r>
      <w:r>
        <w:rPr>
          <w:rFonts w:ascii="Times New Roman" w:hAnsi="Times New Roman" w:cs="Times New Roman" w:eastAsia="Times New Roman" w:hint="default"/>
        </w:rPr>
        <w:t>3,087,336.49</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w:t>
      </w:r>
    </w:p>
    <w:p>
      <w:pPr>
        <w:spacing w:line="240" w:lineRule="auto" w:before="0"/>
        <w:rPr>
          <w:rFonts w:ascii="宋体" w:hAnsi="宋体" w:cs="宋体" w:eastAsia="宋体" w:hint="default"/>
          <w:sz w:val="26"/>
          <w:szCs w:val="26"/>
        </w:rPr>
      </w:pPr>
    </w:p>
    <w:p>
      <w:pPr>
        <w:pStyle w:val="Heading3"/>
        <w:spacing w:line="240" w:lineRule="auto"/>
        <w:ind w:right="2839"/>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714"/>
        <w:jc w:val="left"/>
      </w:pPr>
      <w:r>
        <w:rPr/>
        <w:t>公司是否需要遵守特殊行业的披露要求 否</w:t>
      </w:r>
    </w:p>
    <w:p>
      <w:pPr>
        <w:pStyle w:val="BodyText"/>
        <w:spacing w:line="240" w:lineRule="auto" w:before="27"/>
        <w:ind w:left="513" w:right="0"/>
        <w:jc w:val="left"/>
      </w:pPr>
      <w:r>
        <w:rPr/>
        <w:t>本公司本期按欠款方归集的期末余额前五名应收账款汇总金额为</w:t>
      </w:r>
      <w:r>
        <w:rPr>
          <w:rFonts w:ascii="Times New Roman" w:hAnsi="Times New Roman" w:cs="Times New Roman" w:eastAsia="Times New Roman" w:hint="default"/>
        </w:rPr>
        <w:t>302,230,457.77</w:t>
      </w:r>
      <w:r>
        <w:rPr/>
        <w:t>元，占应收账款期末余额合计数的比例</w:t>
      </w:r>
    </w:p>
    <w:p>
      <w:pPr>
        <w:pStyle w:val="BodyText"/>
        <w:spacing w:line="240" w:lineRule="auto" w:before="63"/>
        <w:ind w:right="2839"/>
        <w:jc w:val="left"/>
      </w:pPr>
      <w:r>
        <w:rPr>
          <w:rFonts w:ascii="Times New Roman" w:hAnsi="Times New Roman" w:cs="Times New Roman" w:eastAsia="Times New Roman" w:hint="default"/>
        </w:rPr>
        <w:t>30.24%</w:t>
      </w:r>
      <w:r>
        <w:rPr/>
        <w:t>，相应计提的坏账准备期末余额汇总金额为</w:t>
      </w:r>
      <w:r>
        <w:rPr>
          <w:rFonts w:ascii="Times New Roman" w:hAnsi="Times New Roman" w:cs="Times New Roman" w:eastAsia="Times New Roman" w:hint="default"/>
        </w:rPr>
        <w:t>3,032,292.12</w:t>
      </w:r>
      <w:r>
        <w:rPr/>
        <w:t>元。</w:t>
      </w:r>
    </w:p>
    <w:p>
      <w:pPr>
        <w:spacing w:line="240" w:lineRule="auto" w:before="2"/>
        <w:rPr>
          <w:rFonts w:ascii="宋体" w:hAnsi="宋体" w:cs="宋体" w:eastAsia="宋体" w:hint="default"/>
          <w:sz w:val="26"/>
          <w:szCs w:val="26"/>
        </w:rPr>
      </w:pPr>
    </w:p>
    <w:p>
      <w:pPr>
        <w:pStyle w:val="Heading3"/>
        <w:spacing w:line="240" w:lineRule="auto"/>
        <w:ind w:right="2839"/>
        <w:jc w:val="left"/>
        <w:rPr>
          <w:b w:val="0"/>
          <w:bCs w:val="0"/>
        </w:rPr>
      </w:pPr>
      <w:r>
        <w:rPr/>
        <w:t>（</w:t>
      </w:r>
      <w:r>
        <w:rPr>
          <w:rFonts w:ascii="Times New Roman" w:hAnsi="Times New Roman" w:cs="Times New Roman" w:eastAsia="Times New Roman" w:hint="default"/>
        </w:rPr>
        <w:t>4</w:t>
      </w:r>
      <w:r>
        <w:rPr/>
        <w:t>）转移应收账款且继续涉入形成的资产、负债金额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77" w:firstLine="360"/>
        <w:jc w:val="both"/>
      </w:pPr>
      <w:r>
        <w:rPr/>
        <w:t>子公司北京无双科技有限公司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日全部应收账款已设定质押，详见</w:t>
      </w:r>
      <w:r>
        <w:rPr>
          <w:rFonts w:ascii="Times New Roman" w:hAnsi="Times New Roman" w:cs="Times New Roman" w:eastAsia="Times New Roman" w:hint="default"/>
        </w:rPr>
        <w:t>“</w:t>
      </w:r>
      <w:r>
        <w:rPr/>
        <w:t>本节七</w:t>
      </w:r>
      <w:r>
        <w:rPr>
          <w:spacing w:val="-3"/>
        </w:rPr>
        <w:t> </w:t>
      </w:r>
      <w:r>
        <w:rPr>
          <w:rFonts w:ascii="宋体" w:hAnsi="宋体" w:cs="宋体" w:eastAsia="宋体" w:hint="default"/>
        </w:rPr>
        <w:t>17</w:t>
      </w:r>
      <w:r>
        <w:rPr/>
        <w:t>、短期借款</w:t>
      </w:r>
      <w:r>
        <w:rPr>
          <w:rFonts w:ascii="Times New Roman" w:hAnsi="Times New Roman" w:cs="Times New Roman" w:eastAsia="Times New Roman" w:hint="default"/>
        </w:rPr>
        <w:t>”</w:t>
      </w:r>
      <w:r>
        <w:rPr/>
        <w:t>。子公司北京中 金云网科技有限公司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日部分应收账款已设定质押，详见</w:t>
      </w:r>
      <w:r>
        <w:rPr>
          <w:rFonts w:ascii="Times New Roman" w:hAnsi="Times New Roman" w:cs="Times New Roman" w:eastAsia="Times New Roman" w:hint="default"/>
        </w:rPr>
        <w:t>“</w:t>
      </w:r>
      <w:r>
        <w:rPr/>
        <w:t>本节七</w:t>
      </w:r>
      <w:r>
        <w:rPr>
          <w:spacing w:val="-6"/>
        </w:rPr>
        <w:t> </w:t>
      </w:r>
      <w:r>
        <w:rPr>
          <w:rFonts w:ascii="宋体" w:hAnsi="宋体" w:cs="宋体" w:eastAsia="宋体" w:hint="default"/>
        </w:rPr>
        <w:t>24</w:t>
      </w:r>
      <w:r>
        <w:rPr/>
        <w:t>、长期借款</w:t>
      </w:r>
      <w:r>
        <w:rPr>
          <w:rFonts w:ascii="Times New Roman" w:hAnsi="Times New Roman" w:cs="Times New Roman" w:eastAsia="Times New Roman" w:hint="default"/>
        </w:rPr>
        <w:t>”</w:t>
      </w:r>
      <w:r>
        <w:rPr/>
        <w:t>。子公司司北京科信盛彩云计 算有限公司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日亦庄云计算基地产生的应收账款已设定质押，详见</w:t>
      </w:r>
      <w:r>
        <w:rPr>
          <w:rFonts w:ascii="Times New Roman" w:hAnsi="Times New Roman" w:cs="Times New Roman" w:eastAsia="Times New Roman" w:hint="default"/>
        </w:rPr>
        <w:t>“</w:t>
      </w:r>
      <w:r>
        <w:rPr/>
        <w:t>本节七</w:t>
      </w:r>
      <w:r>
        <w:rPr>
          <w:spacing w:val="-6"/>
        </w:rPr>
        <w:t> </w:t>
      </w:r>
      <w:r>
        <w:rPr>
          <w:rFonts w:ascii="宋体" w:hAnsi="宋体" w:cs="宋体" w:eastAsia="宋体" w:hint="default"/>
        </w:rPr>
        <w:t>24</w:t>
      </w:r>
      <w:r>
        <w:rPr/>
        <w:t>、长期借款</w:t>
      </w:r>
      <w:r>
        <w:rPr>
          <w:rFonts w:ascii="Times New Roman" w:hAnsi="Times New Roman" w:cs="Times New Roman" w:eastAsia="Times New Roman" w:hint="default"/>
        </w:rPr>
        <w:t>”</w:t>
      </w:r>
      <w:r>
        <w:rPr/>
        <w:t>。</w:t>
      </w:r>
    </w:p>
    <w:p>
      <w:pPr>
        <w:spacing w:after="0" w:line="300" w:lineRule="auto"/>
        <w:jc w:val="both"/>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2839"/>
        <w:jc w:val="left"/>
        <w:rPr>
          <w:b w:val="0"/>
          <w:bCs w:val="0"/>
        </w:rPr>
      </w:pPr>
      <w:r>
        <w:rPr>
          <w:rFonts w:ascii="Times New Roman" w:hAnsi="Times New Roman" w:cs="Times New Roman" w:eastAsia="Times New Roman" w:hint="default"/>
        </w:rPr>
        <w:t>3</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2839"/>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227,152,769.32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99.52%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216,804,802.66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99.17%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1,075,962.14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1,209,603.55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0.55%</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399,437.04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222,085.40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228,258,731.46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218,635,928.65</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2839"/>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4"/>
        <w:rPr>
          <w:rFonts w:ascii="宋体" w:hAnsi="宋体" w:cs="宋体" w:eastAsia="宋体" w:hint="default"/>
          <w:sz w:val="7"/>
          <w:szCs w:val="7"/>
        </w:rPr>
      </w:pPr>
    </w:p>
    <w:tbl>
      <w:tblPr>
        <w:tblW w:w="0" w:type="auto"/>
        <w:jc w:val="left"/>
        <w:tblInd w:w="434" w:type="dxa"/>
        <w:tblLayout w:type="fixed"/>
        <w:tblCellMar>
          <w:top w:w="0" w:type="dxa"/>
          <w:left w:w="0" w:type="dxa"/>
          <w:bottom w:w="0" w:type="dxa"/>
          <w:right w:w="0" w:type="dxa"/>
        </w:tblCellMar>
        <w:tblLook w:val="01E0"/>
      </w:tblPr>
      <w:tblGrid>
        <w:gridCol w:w="3795"/>
        <w:gridCol w:w="1985"/>
        <w:gridCol w:w="1018"/>
        <w:gridCol w:w="2264"/>
      </w:tblGrid>
      <w:tr>
        <w:trPr>
          <w:trHeight w:val="346"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债务单位</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4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未结算的原因</w:t>
            </w:r>
          </w:p>
        </w:tc>
      </w:tr>
      <w:tr>
        <w:trPr>
          <w:trHeight w:val="348"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北京福瑞特环境科技有限公司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177,000.00</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项目执行中</w:t>
            </w:r>
          </w:p>
        </w:tc>
      </w:tr>
      <w:tr>
        <w:trPr>
          <w:trHeight w:val="346"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宝胜科技创新股份有限公司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206,592.00</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项目执行中</w:t>
            </w:r>
          </w:p>
        </w:tc>
      </w:tr>
      <w:tr>
        <w:trPr>
          <w:trHeight w:val="348"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上海新冠美家具有限公司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239,888.03</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项目执行中</w:t>
            </w:r>
          </w:p>
        </w:tc>
      </w:tr>
      <w:tr>
        <w:trPr>
          <w:trHeight w:val="348"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北京格林物业管理有限公司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30,000.00</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项目执行中</w:t>
            </w:r>
          </w:p>
        </w:tc>
      </w:tr>
      <w:tr>
        <w:trPr>
          <w:trHeight w:val="346"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山东惟绿建筑节能科技有限公司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32,090.98</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项目执行中</w:t>
            </w:r>
          </w:p>
        </w:tc>
      </w:tr>
      <w:tr>
        <w:trPr>
          <w:trHeight w:val="348"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685,571.01</w:t>
            </w:r>
          </w:p>
        </w:tc>
        <w:tc>
          <w:tcPr>
            <w:tcW w:w="1018"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204"/>
        <w:jc w:val="right"/>
      </w:pPr>
      <w:r>
        <w:rPr>
          <w:spacing w:val="-1"/>
        </w:rPr>
        <w:t>本公司按预付对象归集的期末余额前五名预付账款汇总金额为</w:t>
      </w:r>
      <w:r>
        <w:rPr>
          <w:rFonts w:ascii="Times New Roman" w:hAnsi="Times New Roman" w:cs="Times New Roman" w:eastAsia="Times New Roman" w:hint="default"/>
          <w:spacing w:val="-1"/>
        </w:rPr>
        <w:t>195,807,411.25</w:t>
      </w:r>
      <w:r>
        <w:rPr>
          <w:spacing w:val="-1"/>
        </w:rPr>
        <w:t>元，占预付账款期末余额合计数的比例为</w:t>
      </w:r>
    </w:p>
    <w:p>
      <w:pPr>
        <w:pStyle w:val="BodyText"/>
        <w:spacing w:line="240" w:lineRule="auto" w:before="63"/>
        <w:ind w:right="2839"/>
        <w:jc w:val="left"/>
      </w:pPr>
      <w:r>
        <w:rPr>
          <w:rFonts w:ascii="Times New Roman" w:hAnsi="Times New Roman" w:cs="Times New Roman" w:eastAsia="Times New Roman" w:hint="default"/>
        </w:rPr>
        <w:t>85.78%</w:t>
      </w:r>
      <w:r>
        <w:rPr/>
        <w:t>。</w:t>
      </w:r>
    </w:p>
    <w:p>
      <w:pPr>
        <w:spacing w:line="240" w:lineRule="auto" w:before="2"/>
        <w:rPr>
          <w:rFonts w:ascii="宋体" w:hAnsi="宋体" w:cs="宋体" w:eastAsia="宋体" w:hint="default"/>
          <w:sz w:val="26"/>
          <w:szCs w:val="26"/>
        </w:rPr>
      </w:pPr>
    </w:p>
    <w:p>
      <w:pPr>
        <w:pStyle w:val="Heading3"/>
        <w:spacing w:line="240" w:lineRule="auto"/>
        <w:ind w:right="2839"/>
        <w:jc w:val="left"/>
        <w:rPr>
          <w:b w:val="0"/>
          <w:bCs w:val="0"/>
        </w:rPr>
      </w:pPr>
      <w:r>
        <w:rPr>
          <w:rFonts w:ascii="Times New Roman" w:hAnsi="Times New Roman" w:cs="Times New Roman" w:eastAsia="Times New Roman" w:hint="default"/>
        </w:rPr>
        <w:t>4</w:t>
      </w:r>
      <w:r>
        <w:rPr/>
        <w:t>、应收利息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2839"/>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5,955,157.91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11,338,527.91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5,955,157.91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11,338,527.91</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rFonts w:ascii="Times New Roman" w:hAnsi="Times New Roman" w:cs="Times New Roman" w:eastAsia="Times New Roman" w:hint="default"/>
        </w:rPr>
        <w:t>5</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2839"/>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footerReference w:type="default" r:id="rId24"/>
          <w:pgSz w:w="11910" w:h="16840"/>
          <w:pgMar w:footer="979" w:header="745" w:top="1060" w:bottom="1160" w:left="980" w:right="980"/>
          <w:pgNumType w:start="195"/>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7"/>
        <w:gridCol w:w="763"/>
        <w:gridCol w:w="764"/>
        <w:gridCol w:w="761"/>
        <w:gridCol w:w="763"/>
        <w:gridCol w:w="790"/>
        <w:gridCol w:w="655"/>
        <w:gridCol w:w="761"/>
        <w:gridCol w:w="814"/>
        <w:gridCol w:w="932"/>
        <w:gridCol w:w="934"/>
      </w:tblGrid>
      <w:tr>
        <w:trPr>
          <w:trHeight w:val="402" w:hRule="exact"/>
        </w:trPr>
        <w:tc>
          <w:tcPr>
            <w:tcW w:w="1637" w:type="dxa"/>
            <w:vMerge w:val="restart"/>
            <w:tcBorders>
              <w:top w:val="single" w:sz="4" w:space="0" w:color="000000"/>
              <w:left w:val="single" w:sz="4" w:space="0" w:color="000000"/>
              <w:right w:val="single" w:sz="4" w:space="0" w:color="000000"/>
            </w:tcBorders>
            <w:shd w:val="clear" w:color="auto" w:fill="D2D2D2"/>
          </w:tcPr>
          <w:p>
            <w:pP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37" w:type="dxa"/>
            <w:vMerge/>
            <w:tcBorders>
              <w:left w:val="single" w:sz="4" w:space="0" w:color="000000"/>
              <w:bottom w:val="nil" w:sz="6" w:space="0" w:color="auto"/>
              <w:right w:val="single" w:sz="4" w:space="0" w:color="000000"/>
            </w:tcBorders>
            <w:shd w:val="clear" w:color="auto" w:fill="D2D2D2"/>
          </w:tcPr>
          <w:p>
            <w:pP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4"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7"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90" w:right="10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7"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4"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37"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7"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137,172,</w:t>
            </w:r>
          </w:p>
          <w:p>
            <w:pPr>
              <w:pStyle w:val="TableParagraph"/>
              <w:spacing w:line="240" w:lineRule="auto" w:before="105"/>
              <w:ind w:left="11" w:right="0"/>
              <w:jc w:val="left"/>
              <w:rPr>
                <w:rFonts w:ascii="Times New Roman" w:hAnsi="Times New Roman" w:cs="Times New Roman" w:eastAsia="Times New Roman" w:hint="default"/>
                <w:sz w:val="18"/>
                <w:szCs w:val="18"/>
              </w:rPr>
            </w:pPr>
            <w:r>
              <w:rPr>
                <w:rFonts w:ascii="Times New Roman"/>
                <w:sz w:val="18"/>
              </w:rPr>
              <w:t>947.02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2,523,32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6.45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1.84%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134,649,6</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20.57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88,812,</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068.50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07" w:lineRule="exact"/>
              <w:ind w:left="23" w:right="0"/>
              <w:jc w:val="left"/>
              <w:rPr>
                <w:rFonts w:ascii="Times New Roman" w:hAnsi="Times New Roman" w:cs="Times New Roman" w:eastAsia="Times New Roman" w:hint="default"/>
                <w:sz w:val="18"/>
                <w:szCs w:val="18"/>
              </w:rPr>
            </w:pPr>
            <w:r>
              <w:rPr>
                <w:rFonts w:ascii="Times New Roman"/>
                <w:sz w:val="18"/>
              </w:rPr>
              <w:t>1,614,753</w:t>
            </w:r>
          </w:p>
          <w:p>
            <w:pPr>
              <w:pStyle w:val="TableParagraph"/>
              <w:spacing w:line="207" w:lineRule="exact"/>
              <w:ind w:left="23" w:right="0"/>
              <w:jc w:val="left"/>
              <w:rPr>
                <w:rFonts w:ascii="Times New Roman" w:hAnsi="Times New Roman" w:cs="Times New Roman" w:eastAsia="Times New Roman" w:hint="default"/>
                <w:sz w:val="18"/>
                <w:szCs w:val="18"/>
              </w:rPr>
            </w:pPr>
            <w:r>
              <w:rPr>
                <w:rFonts w:ascii="Times New Roman"/>
                <w:sz w:val="18"/>
              </w:rPr>
              <w:t>.72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1.82%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07" w:lineRule="exact"/>
              <w:ind w:left="23" w:right="0"/>
              <w:jc w:val="left"/>
              <w:rPr>
                <w:rFonts w:ascii="Times New Roman" w:hAnsi="Times New Roman" w:cs="Times New Roman" w:eastAsia="Times New Roman" w:hint="default"/>
                <w:sz w:val="18"/>
                <w:szCs w:val="18"/>
              </w:rPr>
            </w:pPr>
            <w:r>
              <w:rPr>
                <w:rFonts w:ascii="Times New Roman"/>
                <w:sz w:val="18"/>
              </w:rPr>
              <w:t>87,197,314.</w:t>
            </w:r>
          </w:p>
          <w:p>
            <w:pPr>
              <w:pStyle w:val="TableParagraph"/>
              <w:spacing w:line="207" w:lineRule="exact"/>
              <w:ind w:left="23" w:right="0"/>
              <w:jc w:val="left"/>
              <w:rPr>
                <w:rFonts w:ascii="Times New Roman" w:hAnsi="Times New Roman" w:cs="Times New Roman" w:eastAsia="Times New Roman" w:hint="default"/>
                <w:sz w:val="18"/>
                <w:szCs w:val="18"/>
              </w:rPr>
            </w:pPr>
            <w:r>
              <w:rPr>
                <w:rFonts w:ascii="Times New Roman"/>
                <w:sz w:val="18"/>
              </w:rPr>
              <w:t>78</w:t>
            </w:r>
          </w:p>
        </w:tc>
      </w:tr>
      <w:tr>
        <w:trPr>
          <w:trHeight w:val="834" w:hRule="exact"/>
        </w:trPr>
        <w:tc>
          <w:tcPr>
            <w:tcW w:w="1637"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30" w:lineRule="auto" w:before="19"/>
              <w:ind w:left="24" w:right="33"/>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Arial Narrow" w:hAnsi="Arial Narrow" w:cs="Arial Narrow" w:eastAsia="Arial Narrow" w:hint="default"/>
                <w:sz w:val="18"/>
                <w:szCs w:val="18"/>
              </w:rPr>
              <w:t>1</w:t>
            </w:r>
            <w:r>
              <w:rPr>
                <w:rFonts w:ascii="宋体" w:hAnsi="宋体" w:cs="宋体" w:eastAsia="宋体" w:hint="default"/>
                <w:sz w:val="18"/>
                <w:szCs w:val="18"/>
              </w:rPr>
              <w:t>：按照账龄分 析法计提坏账的其 他应收款</w:t>
            </w:r>
          </w:p>
        </w:tc>
        <w:tc>
          <w:tcPr>
            <w:tcW w:w="763" w:type="dxa"/>
            <w:tcBorders>
              <w:top w:val="single" w:sz="4" w:space="0" w:color="000000"/>
              <w:left w:val="single" w:sz="13" w:space="0" w:color="D2D2D2"/>
              <w:bottom w:val="single" w:sz="4" w:space="0" w:color="FFFFFF"/>
              <w:right w:val="single" w:sz="4" w:space="0" w:color="000000"/>
            </w:tcBorders>
          </w:tcPr>
          <w:p>
            <w:pPr>
              <w:pStyle w:val="TableParagraph"/>
              <w:spacing w:line="240" w:lineRule="auto" w:before="132"/>
              <w:ind w:left="11" w:right="0"/>
              <w:jc w:val="left"/>
              <w:rPr>
                <w:rFonts w:ascii="Times New Roman" w:hAnsi="Times New Roman" w:cs="Times New Roman" w:eastAsia="Times New Roman" w:hint="default"/>
                <w:sz w:val="18"/>
                <w:szCs w:val="18"/>
              </w:rPr>
            </w:pPr>
            <w:r>
              <w:rPr>
                <w:rFonts w:ascii="Times New Roman"/>
                <w:sz w:val="18"/>
              </w:rPr>
              <w:t>120,132,</w:t>
            </w:r>
          </w:p>
          <w:p>
            <w:pPr>
              <w:pStyle w:val="TableParagraph"/>
              <w:spacing w:line="240" w:lineRule="auto" w:before="102"/>
              <w:ind w:left="11" w:right="0"/>
              <w:jc w:val="left"/>
              <w:rPr>
                <w:rFonts w:ascii="Times New Roman" w:hAnsi="Times New Roman" w:cs="Times New Roman" w:eastAsia="Times New Roman" w:hint="default"/>
                <w:sz w:val="18"/>
                <w:szCs w:val="18"/>
              </w:rPr>
            </w:pPr>
            <w:r>
              <w:rPr>
                <w:rFonts w:ascii="Times New Roman"/>
                <w:sz w:val="18"/>
              </w:rPr>
              <w:t>047.31</w:t>
            </w:r>
          </w:p>
        </w:tc>
        <w:tc>
          <w:tcPr>
            <w:tcW w:w="76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87.58%</w:t>
            </w:r>
          </w:p>
        </w:tc>
        <w:tc>
          <w:tcPr>
            <w:tcW w:w="76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32"/>
              <w:ind w:left="23" w:right="0"/>
              <w:jc w:val="left"/>
              <w:rPr>
                <w:rFonts w:ascii="Times New Roman" w:hAnsi="Times New Roman" w:cs="Times New Roman" w:eastAsia="Times New Roman" w:hint="default"/>
                <w:sz w:val="18"/>
                <w:szCs w:val="18"/>
              </w:rPr>
            </w:pPr>
            <w:r>
              <w:rPr>
                <w:rFonts w:ascii="Times New Roman"/>
                <w:sz w:val="18"/>
              </w:rPr>
              <w:t>1,268,24</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6.45</w:t>
            </w:r>
          </w:p>
        </w:tc>
        <w:tc>
          <w:tcPr>
            <w:tcW w:w="763"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1.06%</w:t>
            </w:r>
          </w:p>
        </w:tc>
        <w:tc>
          <w:tcPr>
            <w:tcW w:w="79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32"/>
              <w:ind w:left="24" w:right="0"/>
              <w:jc w:val="left"/>
              <w:rPr>
                <w:rFonts w:ascii="Times New Roman" w:hAnsi="Times New Roman" w:cs="Times New Roman" w:eastAsia="Times New Roman" w:hint="default"/>
                <w:sz w:val="18"/>
                <w:szCs w:val="18"/>
              </w:rPr>
            </w:pPr>
            <w:r>
              <w:rPr>
                <w:rFonts w:ascii="Times New Roman"/>
                <w:sz w:val="18"/>
              </w:rPr>
              <w:t>118,863,8</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00.86</w:t>
            </w:r>
          </w:p>
        </w:tc>
        <w:tc>
          <w:tcPr>
            <w:tcW w:w="655"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32"/>
              <w:ind w:left="24" w:right="0"/>
              <w:jc w:val="left"/>
              <w:rPr>
                <w:rFonts w:ascii="Times New Roman" w:hAnsi="Times New Roman" w:cs="Times New Roman" w:eastAsia="Times New Roman" w:hint="default"/>
                <w:sz w:val="18"/>
                <w:szCs w:val="18"/>
              </w:rPr>
            </w:pPr>
            <w:r>
              <w:rPr>
                <w:rFonts w:ascii="Times New Roman"/>
                <w:sz w:val="18"/>
              </w:rPr>
              <w:t>80,280,</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426.32</w:t>
            </w:r>
          </w:p>
        </w:tc>
        <w:tc>
          <w:tcPr>
            <w:tcW w:w="76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90.40%</w:t>
            </w:r>
          </w:p>
        </w:tc>
        <w:tc>
          <w:tcPr>
            <w:tcW w:w="81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23" w:right="0"/>
              <w:jc w:val="left"/>
              <w:rPr>
                <w:rFonts w:ascii="Times New Roman" w:hAnsi="Times New Roman" w:cs="Times New Roman" w:eastAsia="Times New Roman" w:hint="default"/>
                <w:sz w:val="18"/>
                <w:szCs w:val="18"/>
              </w:rPr>
            </w:pPr>
            <w:r>
              <w:rPr>
                <w:rFonts w:ascii="Times New Roman"/>
                <w:sz w:val="18"/>
              </w:rPr>
              <w:t>359,673.7</w:t>
            </w:r>
          </w:p>
          <w:p>
            <w:pPr>
              <w:pStyle w:val="TableParagraph"/>
              <w:spacing w:line="207" w:lineRule="exact"/>
              <w:ind w:left="23" w:right="0"/>
              <w:jc w:val="left"/>
              <w:rPr>
                <w:rFonts w:ascii="Times New Roman" w:hAnsi="Times New Roman" w:cs="Times New Roman" w:eastAsia="Times New Roman" w:hint="default"/>
                <w:sz w:val="18"/>
                <w:szCs w:val="18"/>
              </w:rPr>
            </w:pPr>
            <w:r>
              <w:rPr>
                <w:rFonts w:ascii="Times New Roman"/>
                <w:sz w:val="18"/>
              </w:rPr>
              <w:t>2</w:t>
            </w:r>
          </w:p>
        </w:tc>
        <w:tc>
          <w:tcPr>
            <w:tcW w:w="93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0.45%</w:t>
            </w:r>
          </w:p>
        </w:tc>
        <w:tc>
          <w:tcPr>
            <w:tcW w:w="93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32"/>
              <w:ind w:left="23" w:right="0"/>
              <w:jc w:val="left"/>
              <w:rPr>
                <w:rFonts w:ascii="Times New Roman" w:hAnsi="Times New Roman" w:cs="Times New Roman" w:eastAsia="Times New Roman" w:hint="default"/>
                <w:sz w:val="18"/>
                <w:szCs w:val="18"/>
              </w:rPr>
            </w:pPr>
            <w:r>
              <w:rPr>
                <w:rFonts w:ascii="Times New Roman"/>
                <w:sz w:val="18"/>
              </w:rPr>
              <w:t>79,920,752.</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60</w:t>
            </w:r>
          </w:p>
        </w:tc>
      </w:tr>
      <w:tr>
        <w:trPr>
          <w:trHeight w:val="713" w:hRule="exact"/>
        </w:trPr>
        <w:tc>
          <w:tcPr>
            <w:tcW w:w="1637"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32" w:lineRule="exact" w:before="70"/>
              <w:ind w:left="24" w:right="21"/>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33"/>
                <w:sz w:val="18"/>
                <w:szCs w:val="18"/>
              </w:rPr>
              <w:t> </w:t>
            </w:r>
            <w:r>
              <w:rPr>
                <w:rFonts w:ascii="Arial Narrow" w:hAnsi="Arial Narrow" w:cs="Arial Narrow" w:eastAsia="Arial Narrow" w:hint="default"/>
                <w:sz w:val="18"/>
                <w:szCs w:val="18"/>
              </w:rPr>
              <w:t>2</w:t>
            </w:r>
            <w:r>
              <w:rPr>
                <w:rFonts w:ascii="宋体" w:hAnsi="宋体" w:cs="宋体" w:eastAsia="宋体" w:hint="default"/>
                <w:sz w:val="18"/>
                <w:szCs w:val="18"/>
              </w:rPr>
              <w:t>：款项性质组 合</w:t>
            </w:r>
          </w:p>
        </w:tc>
        <w:tc>
          <w:tcPr>
            <w:tcW w:w="763" w:type="dxa"/>
            <w:tcBorders>
              <w:top w:val="single" w:sz="4" w:space="0" w:color="FFFFFF"/>
              <w:left w:val="single" w:sz="13" w:space="0" w:color="D2D2D2"/>
              <w:bottom w:val="single" w:sz="4" w:space="0" w:color="FFFFFF"/>
              <w:right w:val="single" w:sz="4" w:space="0" w:color="000000"/>
            </w:tcBorders>
          </w:tcPr>
          <w:p>
            <w:pPr>
              <w:pStyle w:val="TableParagraph"/>
              <w:spacing w:line="240" w:lineRule="auto" w:before="49"/>
              <w:ind w:left="11" w:right="0"/>
              <w:jc w:val="left"/>
              <w:rPr>
                <w:rFonts w:ascii="Times New Roman" w:hAnsi="Times New Roman" w:cs="Times New Roman" w:eastAsia="Times New Roman" w:hint="default"/>
                <w:sz w:val="18"/>
                <w:szCs w:val="18"/>
              </w:rPr>
            </w:pPr>
            <w:r>
              <w:rPr>
                <w:rFonts w:ascii="Times New Roman"/>
                <w:sz w:val="18"/>
              </w:rPr>
              <w:t>15,785,8</w:t>
            </w:r>
          </w:p>
          <w:p>
            <w:pPr>
              <w:pStyle w:val="TableParagraph"/>
              <w:spacing w:line="240" w:lineRule="auto" w:before="105"/>
              <w:ind w:left="11" w:right="0"/>
              <w:jc w:val="left"/>
              <w:rPr>
                <w:rFonts w:ascii="Times New Roman" w:hAnsi="Times New Roman" w:cs="Times New Roman" w:eastAsia="Times New Roman" w:hint="default"/>
                <w:sz w:val="18"/>
                <w:szCs w:val="18"/>
              </w:rPr>
            </w:pPr>
            <w:r>
              <w:rPr>
                <w:rFonts w:ascii="Times New Roman"/>
                <w:sz w:val="18"/>
              </w:rPr>
              <w:t>19.71</w:t>
            </w:r>
          </w:p>
        </w:tc>
        <w:tc>
          <w:tcPr>
            <w:tcW w:w="76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11.51%</w:t>
            </w:r>
          </w:p>
        </w:tc>
        <w:tc>
          <w:tcPr>
            <w:tcW w:w="761" w:type="dxa"/>
            <w:tcBorders>
              <w:top w:val="single" w:sz="4" w:space="0" w:color="FFFFFF"/>
              <w:left w:val="single" w:sz="4" w:space="0" w:color="000000"/>
              <w:bottom w:val="single" w:sz="4" w:space="0" w:color="FFFFFF"/>
              <w:right w:val="single" w:sz="4" w:space="0" w:color="000000"/>
            </w:tcBorders>
          </w:tcPr>
          <w:p>
            <w:pPr/>
          </w:p>
        </w:tc>
        <w:tc>
          <w:tcPr>
            <w:tcW w:w="763" w:type="dxa"/>
            <w:tcBorders>
              <w:top w:val="single" w:sz="4" w:space="0" w:color="FFFFFF"/>
              <w:left w:val="single" w:sz="4" w:space="0" w:color="000000"/>
              <w:bottom w:val="single" w:sz="4" w:space="0" w:color="FFFFFF"/>
              <w:right w:val="single" w:sz="4" w:space="0" w:color="000000"/>
            </w:tcBorders>
          </w:tcPr>
          <w:p>
            <w:pPr/>
          </w:p>
        </w:tc>
        <w:tc>
          <w:tcPr>
            <w:tcW w:w="79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sz w:val="18"/>
              </w:rPr>
              <w:t>15,785,81</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9.71</w:t>
            </w:r>
          </w:p>
        </w:tc>
        <w:tc>
          <w:tcPr>
            <w:tcW w:w="65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sz w:val="18"/>
              </w:rPr>
              <w:t>7,276,5</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62.18</w:t>
            </w:r>
          </w:p>
        </w:tc>
        <w:tc>
          <w:tcPr>
            <w:tcW w:w="76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8.19%</w:t>
            </w:r>
          </w:p>
        </w:tc>
        <w:tc>
          <w:tcPr>
            <w:tcW w:w="814" w:type="dxa"/>
            <w:tcBorders>
              <w:top w:val="single" w:sz="4" w:space="0" w:color="FFFFFF"/>
              <w:left w:val="single" w:sz="4" w:space="0" w:color="000000"/>
              <w:bottom w:val="single" w:sz="4" w:space="0" w:color="FFFFFF"/>
              <w:right w:val="single" w:sz="4" w:space="0" w:color="000000"/>
            </w:tcBorders>
          </w:tcPr>
          <w:p>
            <w:pPr/>
          </w:p>
        </w:tc>
        <w:tc>
          <w:tcPr>
            <w:tcW w:w="932" w:type="dxa"/>
            <w:tcBorders>
              <w:top w:val="single" w:sz="4" w:space="0" w:color="FFFFFF"/>
              <w:left w:val="single" w:sz="4" w:space="0" w:color="000000"/>
              <w:bottom w:val="single" w:sz="4" w:space="0" w:color="FFFFFF"/>
              <w:right w:val="single" w:sz="4" w:space="0" w:color="000000"/>
            </w:tcBorders>
          </w:tcPr>
          <w:p>
            <w:pPr/>
          </w:p>
        </w:tc>
        <w:tc>
          <w:tcPr>
            <w:tcW w:w="93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sz w:val="18"/>
              </w:rPr>
              <w:t>7,276,562.1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8</w:t>
            </w:r>
          </w:p>
        </w:tc>
      </w:tr>
      <w:tr>
        <w:trPr>
          <w:trHeight w:val="673" w:hRule="exact"/>
        </w:trPr>
        <w:tc>
          <w:tcPr>
            <w:tcW w:w="1637"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32" w:lineRule="exact" w:before="70"/>
              <w:ind w:left="24" w:right="21"/>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33"/>
                <w:sz w:val="18"/>
                <w:szCs w:val="18"/>
              </w:rPr>
              <w:t> </w:t>
            </w:r>
            <w:r>
              <w:rPr>
                <w:rFonts w:ascii="Arial Narrow" w:hAnsi="Arial Narrow" w:cs="Arial Narrow" w:eastAsia="Arial Narrow" w:hint="default"/>
                <w:sz w:val="18"/>
                <w:szCs w:val="18"/>
              </w:rPr>
              <w:t>3</w:t>
            </w:r>
            <w:r>
              <w:rPr>
                <w:rFonts w:ascii="宋体" w:hAnsi="宋体" w:cs="宋体" w:eastAsia="宋体" w:hint="default"/>
                <w:sz w:val="18"/>
                <w:szCs w:val="18"/>
              </w:rPr>
              <w:t>：特定资产组 合</w:t>
            </w:r>
          </w:p>
        </w:tc>
        <w:tc>
          <w:tcPr>
            <w:tcW w:w="763" w:type="dxa"/>
            <w:tcBorders>
              <w:top w:val="single" w:sz="4" w:space="0" w:color="FFFFFF"/>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Times New Roman" w:hAnsi="Times New Roman" w:cs="Times New Roman" w:eastAsia="Times New Roman" w:hint="default"/>
                <w:sz w:val="18"/>
                <w:szCs w:val="18"/>
              </w:rPr>
            </w:pPr>
            <w:r>
              <w:rPr>
                <w:rFonts w:ascii="Times New Roman"/>
                <w:sz w:val="18"/>
              </w:rPr>
              <w:t>1,255,08</w:t>
            </w:r>
          </w:p>
          <w:p>
            <w:pPr>
              <w:pStyle w:val="TableParagraph"/>
              <w:spacing w:line="240" w:lineRule="auto" w:before="105"/>
              <w:ind w:left="11" w:right="0"/>
              <w:jc w:val="left"/>
              <w:rPr>
                <w:rFonts w:ascii="Times New Roman" w:hAnsi="Times New Roman" w:cs="Times New Roman" w:eastAsia="Times New Roman" w:hint="default"/>
                <w:sz w:val="18"/>
                <w:szCs w:val="18"/>
              </w:rPr>
            </w:pPr>
            <w:r>
              <w:rPr>
                <w:rFonts w:ascii="Times New Roman"/>
                <w:sz w:val="18"/>
              </w:rPr>
              <w:t>0.00</w:t>
            </w:r>
          </w:p>
        </w:tc>
        <w:tc>
          <w:tcPr>
            <w:tcW w:w="76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0.91%</w:t>
            </w:r>
          </w:p>
        </w:tc>
        <w:tc>
          <w:tcPr>
            <w:tcW w:w="76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sz w:val="18"/>
              </w:rPr>
              <w:t>1,255,08</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0.00</w:t>
            </w:r>
          </w:p>
        </w:tc>
        <w:tc>
          <w:tcPr>
            <w:tcW w:w="65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sz w:val="18"/>
              </w:rPr>
              <w:t>1,255,0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80.00</w:t>
            </w:r>
          </w:p>
        </w:tc>
        <w:tc>
          <w:tcPr>
            <w:tcW w:w="76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1.41%</w:t>
            </w:r>
          </w:p>
        </w:tc>
        <w:tc>
          <w:tcPr>
            <w:tcW w:w="814" w:type="dxa"/>
            <w:tcBorders>
              <w:top w:val="single" w:sz="4" w:space="0" w:color="FFFFFF"/>
              <w:left w:val="single" w:sz="4" w:space="0" w:color="000000"/>
              <w:bottom w:val="single" w:sz="4" w:space="0" w:color="000000"/>
              <w:right w:val="single" w:sz="4" w:space="0" w:color="000000"/>
            </w:tcBorders>
          </w:tcPr>
          <w:p>
            <w:pPr>
              <w:pStyle w:val="TableParagraph"/>
              <w:spacing w:line="207" w:lineRule="exact" w:before="97"/>
              <w:ind w:left="23" w:right="0"/>
              <w:jc w:val="left"/>
              <w:rPr>
                <w:rFonts w:ascii="Times New Roman" w:hAnsi="Times New Roman" w:cs="Times New Roman" w:eastAsia="Times New Roman" w:hint="default"/>
                <w:sz w:val="18"/>
                <w:szCs w:val="18"/>
              </w:rPr>
            </w:pPr>
            <w:r>
              <w:rPr>
                <w:rFonts w:ascii="Times New Roman"/>
                <w:sz w:val="18"/>
              </w:rPr>
              <w:t>1,255,080</w:t>
            </w:r>
          </w:p>
          <w:p>
            <w:pPr>
              <w:pStyle w:val="TableParagraph"/>
              <w:spacing w:line="207" w:lineRule="exact"/>
              <w:ind w:left="23" w:right="0"/>
              <w:jc w:val="left"/>
              <w:rPr>
                <w:rFonts w:ascii="Times New Roman" w:hAnsi="Times New Roman" w:cs="Times New Roman" w:eastAsia="Times New Roman" w:hint="default"/>
                <w:sz w:val="18"/>
                <w:szCs w:val="18"/>
              </w:rPr>
            </w:pPr>
            <w:r>
              <w:rPr>
                <w:rFonts w:ascii="Times New Roman"/>
                <w:sz w:val="18"/>
              </w:rPr>
              <w:t>.00</w:t>
            </w:r>
          </w:p>
        </w:tc>
        <w:tc>
          <w:tcPr>
            <w:tcW w:w="93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93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0.00</w:t>
            </w:r>
          </w:p>
        </w:tc>
      </w:tr>
      <w:tr>
        <w:trPr>
          <w:trHeight w:val="1025"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13" w:space="0" w:color="D2D2D2"/>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37"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10" w:space="0" w:color="D2D2D2"/>
              <w:right w:val="single" w:sz="4" w:space="0" w:color="000000"/>
            </w:tcBorders>
          </w:tcPr>
          <w:p>
            <w:pPr>
              <w:pStyle w:val="TableParagraph"/>
              <w:spacing w:line="240" w:lineRule="auto" w:before="91"/>
              <w:ind w:left="16" w:right="0"/>
              <w:jc w:val="left"/>
              <w:rPr>
                <w:rFonts w:ascii="Times New Roman" w:hAnsi="Times New Roman" w:cs="Times New Roman" w:eastAsia="Times New Roman" w:hint="default"/>
                <w:sz w:val="18"/>
                <w:szCs w:val="18"/>
              </w:rPr>
            </w:pPr>
            <w:r>
              <w:rPr>
                <w:rFonts w:ascii="Times New Roman"/>
                <w:sz w:val="18"/>
              </w:rPr>
              <w:t>137,172,</w:t>
            </w:r>
          </w:p>
          <w:p>
            <w:pPr>
              <w:pStyle w:val="TableParagraph"/>
              <w:spacing w:line="240" w:lineRule="auto" w:before="105"/>
              <w:ind w:left="16" w:right="0"/>
              <w:jc w:val="left"/>
              <w:rPr>
                <w:rFonts w:ascii="Times New Roman" w:hAnsi="Times New Roman" w:cs="Times New Roman" w:eastAsia="Times New Roman" w:hint="default"/>
                <w:sz w:val="18"/>
                <w:szCs w:val="18"/>
              </w:rPr>
            </w:pPr>
            <w:r>
              <w:rPr>
                <w:rFonts w:ascii="Times New Roman"/>
                <w:sz w:val="18"/>
              </w:rPr>
              <w:t>947.02</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2,523,32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6.45</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1.84%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134,649,6</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20.57</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88,812,</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068.50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07" w:lineRule="exact" w:before="139"/>
              <w:ind w:left="23" w:right="0"/>
              <w:jc w:val="left"/>
              <w:rPr>
                <w:rFonts w:ascii="Times New Roman" w:hAnsi="Times New Roman" w:cs="Times New Roman" w:eastAsia="Times New Roman" w:hint="default"/>
                <w:sz w:val="18"/>
                <w:szCs w:val="18"/>
              </w:rPr>
            </w:pPr>
            <w:r>
              <w:rPr>
                <w:rFonts w:ascii="Times New Roman"/>
                <w:sz w:val="18"/>
              </w:rPr>
              <w:t>1,614,753</w:t>
            </w:r>
          </w:p>
          <w:p>
            <w:pPr>
              <w:pStyle w:val="TableParagraph"/>
              <w:spacing w:line="207" w:lineRule="exact"/>
              <w:ind w:left="23" w:right="0"/>
              <w:jc w:val="left"/>
              <w:rPr>
                <w:rFonts w:ascii="Times New Roman" w:hAnsi="Times New Roman" w:cs="Times New Roman" w:eastAsia="Times New Roman" w:hint="default"/>
                <w:sz w:val="18"/>
                <w:szCs w:val="18"/>
              </w:rPr>
            </w:pPr>
            <w:r>
              <w:rPr>
                <w:rFonts w:ascii="Times New Roman"/>
                <w:sz w:val="18"/>
              </w:rPr>
              <w:t>.72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1.82%</w:t>
            </w:r>
          </w:p>
        </w:tc>
        <w:tc>
          <w:tcPr>
            <w:tcW w:w="934" w:type="dxa"/>
            <w:vMerge w:val="restart"/>
            <w:tcBorders>
              <w:top w:val="single" w:sz="4" w:space="0" w:color="000000"/>
              <w:left w:val="single" w:sz="4" w:space="0" w:color="000000"/>
              <w:right w:val="single" w:sz="4" w:space="0" w:color="000000"/>
            </w:tcBorders>
          </w:tcPr>
          <w:p>
            <w:pPr>
              <w:pStyle w:val="TableParagraph"/>
              <w:spacing w:line="207" w:lineRule="exact" w:before="139"/>
              <w:ind w:left="23" w:right="0"/>
              <w:jc w:val="left"/>
              <w:rPr>
                <w:rFonts w:ascii="Times New Roman" w:hAnsi="Times New Roman" w:cs="Times New Roman" w:eastAsia="Times New Roman" w:hint="default"/>
                <w:sz w:val="18"/>
                <w:szCs w:val="18"/>
              </w:rPr>
            </w:pPr>
            <w:r>
              <w:rPr>
                <w:rFonts w:ascii="Times New Roman"/>
                <w:sz w:val="18"/>
              </w:rPr>
              <w:t>87,197,314.</w:t>
            </w:r>
          </w:p>
          <w:p>
            <w:pPr>
              <w:pStyle w:val="TableParagraph"/>
              <w:spacing w:line="207" w:lineRule="exact"/>
              <w:ind w:left="23" w:right="0"/>
              <w:jc w:val="left"/>
              <w:rPr>
                <w:rFonts w:ascii="Times New Roman" w:hAnsi="Times New Roman" w:cs="Times New Roman" w:eastAsia="Times New Roman" w:hint="default"/>
                <w:sz w:val="18"/>
                <w:szCs w:val="18"/>
              </w:rPr>
            </w:pPr>
            <w:r>
              <w:rPr>
                <w:rFonts w:ascii="Times New Roman"/>
                <w:sz w:val="18"/>
              </w:rPr>
              <w:t>78</w:t>
            </w:r>
          </w:p>
        </w:tc>
      </w:tr>
      <w:tr>
        <w:trPr>
          <w:trHeight w:val="394" w:hRule="exact"/>
        </w:trPr>
        <w:tc>
          <w:tcPr>
            <w:tcW w:w="16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10" w:space="0" w:color="D2D2D2"/>
              <w:right w:val="single" w:sz="4" w:space="0" w:color="000000"/>
            </w:tcBorders>
          </w:tcPr>
          <w:p>
            <w:pPr/>
          </w:p>
        </w:tc>
        <w:tc>
          <w:tcPr>
            <w:tcW w:w="764"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r>
      <w:tr>
        <w:trPr>
          <w:trHeight w:val="161" w:hRule="exact"/>
        </w:trPr>
        <w:tc>
          <w:tcPr>
            <w:tcW w:w="1637"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10" w:space="0" w:color="D2D2D2"/>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35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其中：子公司北京无双科技有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92,190,947.19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25,425,373.33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762,761.10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117,616,320.52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762,761.10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0.65%</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2,042,976.69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204,297.67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117,060.60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35,118.18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131,240.00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65,620.00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104,449.50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104,449.50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120,132,047.31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1,268,246.45</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2839"/>
        <w:jc w:val="left"/>
      </w:pPr>
      <w:r>
        <w:rPr/>
        <w:t>组合中，采用余额百分比法计提坏账准备的其他应收款：</w:t>
      </w:r>
    </w:p>
    <w:p>
      <w:pPr>
        <w:pStyle w:val="BodyText"/>
        <w:spacing w:line="340" w:lineRule="auto" w:before="115"/>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1"/>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2839"/>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839"/>
        <w:jc w:val="left"/>
      </w:pPr>
      <w:r>
        <w:rPr/>
        <w:t>本期计提坏账准备金额</w:t>
      </w:r>
      <w:r>
        <w:rPr>
          <w:spacing w:val="-46"/>
        </w:rPr>
        <w:t> </w:t>
      </w:r>
      <w:r>
        <w:rPr>
          <w:rFonts w:ascii="Times New Roman" w:hAnsi="Times New Roman" w:cs="Times New Roman" w:eastAsia="Times New Roman" w:hint="default"/>
        </w:rPr>
        <w:t>908,572.73</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w:t>
      </w:r>
    </w:p>
    <w:p>
      <w:pPr>
        <w:spacing w:line="240" w:lineRule="auto" w:before="3"/>
        <w:rPr>
          <w:rFonts w:ascii="宋体" w:hAnsi="宋体" w:cs="宋体" w:eastAsia="宋体" w:hint="default"/>
          <w:sz w:val="26"/>
          <w:szCs w:val="26"/>
        </w:rPr>
      </w:pPr>
    </w:p>
    <w:p>
      <w:pPr>
        <w:pStyle w:val="Heading3"/>
        <w:spacing w:line="240" w:lineRule="auto"/>
        <w:ind w:right="2839"/>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备用金</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420,449.97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8" w:right="0"/>
              <w:jc w:val="left"/>
              <w:rPr>
                <w:rFonts w:ascii="Times New Roman" w:hAnsi="Times New Roman" w:cs="Times New Roman" w:eastAsia="Times New Roman" w:hint="default"/>
                <w:sz w:val="18"/>
                <w:szCs w:val="18"/>
              </w:rPr>
            </w:pPr>
            <w:r>
              <w:rPr>
                <w:rFonts w:ascii="Times New Roman"/>
                <w:sz w:val="18"/>
              </w:rPr>
              <w:t>4,158,977.60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押金、保证金</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115,908,629.30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2" w:right="0"/>
              <w:jc w:val="left"/>
              <w:rPr>
                <w:rFonts w:ascii="Times New Roman" w:hAnsi="Times New Roman" w:cs="Times New Roman" w:eastAsia="Times New Roman" w:hint="default"/>
                <w:sz w:val="18"/>
                <w:szCs w:val="18"/>
              </w:rPr>
            </w:pPr>
            <w:r>
              <w:rPr>
                <w:rFonts w:ascii="Times New Roman"/>
                <w:sz w:val="18"/>
              </w:rPr>
              <w:t>82,894,144.40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20,843,867.75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8" w:right="0"/>
              <w:jc w:val="left"/>
              <w:rPr>
                <w:rFonts w:ascii="Times New Roman" w:hAnsi="Times New Roman" w:cs="Times New Roman" w:eastAsia="Times New Roman" w:hint="default"/>
                <w:sz w:val="18"/>
                <w:szCs w:val="18"/>
              </w:rPr>
            </w:pPr>
            <w:r>
              <w:rPr>
                <w:rFonts w:ascii="Times New Roman"/>
                <w:sz w:val="18"/>
              </w:rPr>
              <w:t>1,758,946.50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137,172,947.02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2" w:right="0"/>
              <w:jc w:val="left"/>
              <w:rPr>
                <w:rFonts w:ascii="Times New Roman" w:hAnsi="Times New Roman" w:cs="Times New Roman" w:eastAsia="Times New Roman" w:hint="default"/>
                <w:sz w:val="18"/>
                <w:szCs w:val="18"/>
              </w:rPr>
            </w:pPr>
            <w:r>
              <w:rPr>
                <w:rFonts w:ascii="Times New Roman"/>
                <w:sz w:val="18"/>
              </w:rPr>
              <w:t>88,812,068.50</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北京百度网讯科技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64,205,509.99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46.80%</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天津小鱼天成网络 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27,750,000.00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20.23%</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北京阳光童梦教育 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19,959,867.93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14.55%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598,796.04</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10"/>
                <w:sz w:val="18"/>
                <w:szCs w:val="18"/>
              </w:rPr>
              <w:t>彩欣传媒（天津）有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13,837,000.00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10.09%</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北京灵指互动广告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3.64%</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130,752,377.92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95.31%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598,796.04</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rFonts w:ascii="Times New Roman" w:hAnsi="Times New Roman" w:cs="Times New Roman" w:eastAsia="Times New Roman" w:hint="default"/>
        </w:rPr>
        <w:t>6</w:t>
      </w:r>
      <w:r>
        <w:rPr/>
        <w:t>、存货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2839"/>
        <w:jc w:val="left"/>
      </w:pPr>
      <w:r>
        <w:rPr/>
        <w:t>公司是否需要遵守房地产行业的披露要求</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2839"/>
        <w:jc w:val="left"/>
      </w:pPr>
      <w:r>
        <w:rPr/>
        <w:t>否</w:t>
      </w:r>
    </w:p>
    <w:p>
      <w:pPr>
        <w:spacing w:line="240" w:lineRule="auto" w:before="0"/>
        <w:rPr>
          <w:rFonts w:ascii="宋体" w:hAnsi="宋体" w:cs="宋体" w:eastAsia="宋体" w:hint="default"/>
          <w:sz w:val="18"/>
          <w:szCs w:val="18"/>
        </w:rPr>
      </w:pPr>
    </w:p>
    <w:p>
      <w:pPr>
        <w:pStyle w:val="Heading3"/>
        <w:spacing w:line="240" w:lineRule="auto" w:before="120"/>
        <w:ind w:right="2839"/>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8"/>
        <w:gridCol w:w="1366"/>
        <w:gridCol w:w="1368"/>
        <w:gridCol w:w="1366"/>
        <w:gridCol w:w="1368"/>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4,226,730.76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4,226,730.76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3,115,655.78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3,115,655.78</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505,408.12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505,408.12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4,732,138.88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4,732,138.88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3,115,655.78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3,115,655.78</w:t>
            </w:r>
          </w:p>
        </w:tc>
      </w:tr>
    </w:tbl>
    <w:p>
      <w:pPr>
        <w:pStyle w:val="BodyText"/>
        <w:spacing w:line="338" w:lineRule="auto" w:before="49"/>
        <w:ind w:right="1496"/>
        <w:jc w:val="left"/>
      </w:pPr>
      <w:r>
        <w:rPr/>
        <w:t>公司是否需遵守《深圳证券交易所行业信息披露指引第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43"/>
        <w:ind w:right="596"/>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39"/>
        <w:ind w:right="77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spacing w:line="240" w:lineRule="auto" w:before="5"/>
        <w:rPr>
          <w:rFonts w:ascii="宋体" w:hAnsi="宋体" w:cs="宋体" w:eastAsia="宋体" w:hint="default"/>
          <w:sz w:val="21"/>
          <w:szCs w:val="21"/>
        </w:rPr>
      </w:pPr>
    </w:p>
    <w:p>
      <w:pPr>
        <w:pStyle w:val="Heading3"/>
        <w:spacing w:line="240" w:lineRule="auto"/>
        <w:ind w:right="2839"/>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73" w:right="2839"/>
        <w:jc w:val="left"/>
      </w:pPr>
      <w:r>
        <w:rPr/>
        <w:t>本公司期末无用于债务担保的存货，对存货进行检查，未发现减值迹象。</w:t>
      </w:r>
    </w:p>
    <w:p>
      <w:pPr>
        <w:spacing w:line="240" w:lineRule="auto" w:before="0"/>
        <w:rPr>
          <w:rFonts w:ascii="宋体" w:hAnsi="宋体" w:cs="宋体" w:eastAsia="宋体" w:hint="default"/>
          <w:sz w:val="18"/>
          <w:szCs w:val="18"/>
        </w:rPr>
      </w:pPr>
    </w:p>
    <w:p>
      <w:pPr>
        <w:pStyle w:val="Heading3"/>
        <w:spacing w:line="240" w:lineRule="auto" w:before="120"/>
        <w:ind w:right="2839"/>
        <w:jc w:val="left"/>
        <w:rPr>
          <w:b w:val="0"/>
          <w:bCs w:val="0"/>
        </w:rPr>
      </w:pPr>
      <w:r>
        <w:rPr>
          <w:rFonts w:ascii="Times New Roman" w:hAnsi="Times New Roman" w:cs="Times New Roman" w:eastAsia="Times New Roman" w:hint="default"/>
        </w:rPr>
        <w:t>7</w:t>
      </w:r>
      <w:r>
        <w:rPr/>
        <w:t>、其他流动资产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126,953,317.79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53,860,206.64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碳排放指标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139,748.00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70,448.00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1,538,410,000.00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1,067,093,065.79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1,592,340,654.64</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rFonts w:ascii="Times New Roman" w:hAnsi="Times New Roman" w:cs="Times New Roman" w:eastAsia="Times New Roman" w:hint="default"/>
        </w:rPr>
        <w:t>8</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2839"/>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7"/>
        <w:gridCol w:w="1207"/>
        <w:gridCol w:w="1198"/>
        <w:gridCol w:w="1196"/>
        <w:gridCol w:w="1248"/>
        <w:gridCol w:w="1369"/>
        <w:gridCol w:w="1366"/>
      </w:tblGrid>
      <w:tr>
        <w:trPr>
          <w:trHeight w:val="206" w:hRule="exact"/>
        </w:trPr>
        <w:tc>
          <w:tcPr>
            <w:tcW w:w="1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6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00"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77"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55,290,000.00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55,290,000.00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45,290,000.00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45,290,000.00</w:t>
            </w:r>
          </w:p>
        </w:tc>
      </w:tr>
      <w:tr>
        <w:trPr>
          <w:trHeight w:val="401"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55,290,000.00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55,290,000.00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45,290,000.00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45,290,000.00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8"/>
        <w:gridCol w:w="1196"/>
        <w:gridCol w:w="1198"/>
        <w:gridCol w:w="1196"/>
        <w:gridCol w:w="1248"/>
        <w:gridCol w:w="1369"/>
        <w:gridCol w:w="1366"/>
      </w:tblGrid>
      <w:tr>
        <w:trPr>
          <w:trHeight w:val="404"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55,290,000.00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55,290,000.00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2" w:right="0"/>
              <w:jc w:val="left"/>
              <w:rPr>
                <w:rFonts w:ascii="Times New Roman" w:hAnsi="Times New Roman" w:cs="Times New Roman" w:eastAsia="Times New Roman" w:hint="default"/>
                <w:sz w:val="18"/>
                <w:szCs w:val="18"/>
              </w:rPr>
            </w:pPr>
            <w:r>
              <w:rPr>
                <w:rFonts w:ascii="Times New Roman"/>
                <w:sz w:val="18"/>
              </w:rPr>
              <w:t>45,290,000.00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45,290,000.00</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1"/>
        <w:gridCol w:w="869"/>
        <w:gridCol w:w="871"/>
        <w:gridCol w:w="869"/>
        <w:gridCol w:w="871"/>
        <w:gridCol w:w="869"/>
        <w:gridCol w:w="872"/>
        <w:gridCol w:w="869"/>
        <w:gridCol w:w="871"/>
      </w:tblGrid>
      <w:tr>
        <w:trPr>
          <w:trHeight w:val="402"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6"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7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北京亚太 中立信息 技术有限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15,290,000</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15,290,000</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天津新动 金鼎万众 体育资产 管理合伙 企业（有 限合伙）</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08"/>
              <w:jc w:val="left"/>
              <w:rPr>
                <w:rFonts w:ascii="宋体" w:hAnsi="宋体" w:cs="宋体" w:eastAsia="宋体" w:hint="default"/>
                <w:sz w:val="18"/>
                <w:szCs w:val="18"/>
              </w:rPr>
            </w:pPr>
            <w:r>
              <w:rPr>
                <w:rFonts w:ascii="宋体" w:hAnsi="宋体" w:cs="宋体" w:eastAsia="宋体" w:hint="default"/>
                <w:sz w:val="18"/>
                <w:szCs w:val="18"/>
              </w:rPr>
              <w:t>北京柘量 投资中心</w:t>
            </w:r>
          </w:p>
          <w:p>
            <w:pPr>
              <w:pStyle w:val="TableParagraph"/>
              <w:spacing w:line="316" w:lineRule="auto" w:before="21"/>
              <w:ind w:left="24" w:right="108"/>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9.48%</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45,290,000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55,290,000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）可供出售权益工具期末公允价值严重下跌或非暂时性下跌但未计提减值准备的相关说明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2839"/>
        <w:jc w:val="left"/>
      </w:pPr>
      <w:r>
        <w:rPr/>
        <w:t>当期可供出售金融资产不存在减值迹象，相关资产未计提减值准备。</w:t>
      </w:r>
    </w:p>
    <w:p>
      <w:pPr>
        <w:spacing w:line="240" w:lineRule="auto" w:before="0"/>
        <w:rPr>
          <w:rFonts w:ascii="宋体" w:hAnsi="宋体" w:cs="宋体" w:eastAsia="宋体" w:hint="default"/>
          <w:sz w:val="18"/>
          <w:szCs w:val="18"/>
        </w:rPr>
      </w:pPr>
    </w:p>
    <w:p>
      <w:pPr>
        <w:pStyle w:val="Heading3"/>
        <w:spacing w:line="240" w:lineRule="auto" w:before="120"/>
        <w:ind w:right="2839"/>
        <w:jc w:val="left"/>
        <w:rPr>
          <w:b w:val="0"/>
          <w:bCs w:val="0"/>
        </w:rPr>
      </w:pPr>
      <w:r>
        <w:rPr>
          <w:rFonts w:ascii="Times New Roman" w:hAnsi="Times New Roman" w:cs="Times New Roman" w:eastAsia="Times New Roman" w:hint="default"/>
        </w:rPr>
        <w:t>9</w:t>
      </w:r>
      <w:r>
        <w:rPr/>
        <w:t>、长期股权投资</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3"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1"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987"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2" w:right="41"/>
              <w:jc w:val="both"/>
              <w:rPr>
                <w:rFonts w:ascii="宋体" w:hAnsi="宋体" w:cs="宋体" w:eastAsia="宋体" w:hint="default"/>
                <w:sz w:val="18"/>
                <w:szCs w:val="18"/>
              </w:rPr>
            </w:pPr>
            <w:r>
              <w:rPr>
                <w:rFonts w:ascii="宋体" w:hAnsi="宋体" w:cs="宋体" w:eastAsia="宋体" w:hint="default"/>
                <w:sz w:val="18"/>
                <w:szCs w:val="18"/>
              </w:rPr>
              <w:t>北京长城 光环宽带 网络技术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5"/>
                <w:sz w:val="18"/>
              </w:rPr>
              <w:t>811,046.0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811,046.0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811,046.0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36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北京华爱 光环科技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914,221.2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-474,372.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439,848.8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陕西广电 新网云服 务有限公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9,518,198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-1,197,76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5.24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8,320,433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11,243,46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-1,672,13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7.64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9,571,328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811,046.0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11,243,46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-1,672,13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7.64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9,571,328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811,046.0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bl>
    <w:p>
      <w:pPr>
        <w:pStyle w:val="BodyText"/>
        <w:spacing w:line="240" w:lineRule="auto" w:before="49"/>
        <w:ind w:right="2839"/>
        <w:jc w:val="left"/>
      </w:pPr>
      <w:r>
        <w:rPr/>
        <w:t>其他说明</w:t>
      </w:r>
    </w:p>
    <w:p>
      <w:pPr>
        <w:pStyle w:val="BodyText"/>
        <w:spacing w:line="240" w:lineRule="auto" w:before="115"/>
        <w:ind w:left="513" w:right="0"/>
        <w:jc w:val="left"/>
      </w:pPr>
      <w:r>
        <w:rPr/>
        <w:t>（</w:t>
      </w:r>
      <w:r>
        <w:rPr>
          <w:rFonts w:ascii="Times New Roman" w:hAnsi="Times New Roman" w:cs="Times New Roman" w:eastAsia="Times New Roman" w:hint="default"/>
        </w:rPr>
        <w:t>1</w:t>
      </w:r>
      <w:r>
        <w:rPr/>
        <w:t>）北京长城光环宽带网络技术有限公司于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月已经开始清算，在</w:t>
      </w:r>
      <w:r>
        <w:rPr>
          <w:rFonts w:ascii="Times New Roman" w:hAnsi="Times New Roman" w:cs="Times New Roman" w:eastAsia="Times New Roman" w:hint="default"/>
        </w:rPr>
        <w:t>2013</w:t>
      </w:r>
      <w:r>
        <w:rPr/>
        <w:t>年以前已经全额计提减值准备。</w:t>
      </w:r>
    </w:p>
    <w:p>
      <w:pPr>
        <w:pStyle w:val="BodyText"/>
        <w:spacing w:line="300" w:lineRule="auto" w:before="63"/>
        <w:ind w:right="151" w:firstLine="360"/>
        <w:jc w:val="both"/>
      </w:pPr>
      <w:r>
        <w:rPr>
          <w:spacing w:val="-3"/>
        </w:rPr>
        <w:t>（</w:t>
      </w:r>
      <w:r>
        <w:rPr>
          <w:rFonts w:ascii="Times New Roman" w:hAnsi="Times New Roman" w:cs="Times New Roman" w:eastAsia="Times New Roman" w:hint="default"/>
          <w:spacing w:val="-3"/>
        </w:rPr>
        <w:t>2</w:t>
      </w:r>
      <w:r>
        <w:rPr>
          <w:spacing w:val="-3"/>
        </w:rPr>
        <w:t>）北京华爱光环科技有限公司由本公司与北京爱华天使医疗投资股份有限公司共同出资组建，注册资本</w:t>
      </w:r>
      <w:r>
        <w:rPr>
          <w:rFonts w:ascii="Times New Roman" w:hAnsi="Times New Roman" w:cs="Times New Roman" w:eastAsia="Times New Roman" w:hint="default"/>
          <w:spacing w:val="-3"/>
        </w:rPr>
        <w:t>10,000,000.00</w:t>
      </w:r>
      <w:r>
        <w:rPr>
          <w:rFonts w:ascii="Times New Roman" w:hAnsi="Times New Roman" w:cs="Times New Roman" w:eastAsia="Times New Roman" w:hint="default"/>
        </w:rPr>
        <w:t> </w:t>
      </w:r>
      <w:r>
        <w:rPr>
          <w:spacing w:val="-1"/>
        </w:rPr>
        <w:t>元，本公司出资</w:t>
      </w:r>
      <w:r>
        <w:rPr>
          <w:rFonts w:ascii="Times New Roman" w:hAnsi="Times New Roman" w:cs="Times New Roman" w:eastAsia="Times New Roman" w:hint="default"/>
          <w:spacing w:val="-1"/>
        </w:rPr>
        <w:t>1,500,000.00</w:t>
      </w:r>
      <w:r>
        <w:rPr>
          <w:spacing w:val="-1"/>
        </w:rPr>
        <w:t>元，持股比例为</w:t>
      </w:r>
      <w:r>
        <w:rPr>
          <w:rFonts w:ascii="Times New Roman" w:hAnsi="Times New Roman" w:cs="Times New Roman" w:eastAsia="Times New Roman" w:hint="default"/>
          <w:spacing w:val="-1"/>
        </w:rPr>
        <w:t>15%</w:t>
      </w:r>
      <w:r>
        <w:rPr>
          <w:spacing w:val="-1"/>
        </w:rPr>
        <w:t>，根据北京华爱光环科技有限公司章程约定，董事会由</w:t>
      </w:r>
      <w:r>
        <w:rPr>
          <w:rFonts w:ascii="Times New Roman" w:hAnsi="Times New Roman" w:cs="Times New Roman" w:eastAsia="Times New Roman" w:hint="default"/>
          <w:spacing w:val="-1"/>
        </w:rPr>
        <w:t>3</w:t>
      </w:r>
      <w:r>
        <w:rPr>
          <w:spacing w:val="-1"/>
        </w:rPr>
        <w:t>名董事组成，由本</w:t>
      </w:r>
      <w:r>
        <w:rPr>
          <w:spacing w:val="-46"/>
        </w:rPr>
        <w:t> </w:t>
      </w:r>
      <w:r>
        <w:rPr>
          <w:spacing w:val="-46"/>
        </w:rPr>
      </w:r>
      <w:r>
        <w:rPr/>
        <w:t>公司推荐</w:t>
      </w:r>
      <w:r>
        <w:rPr>
          <w:rFonts w:ascii="Times New Roman" w:hAnsi="Times New Roman" w:cs="Times New Roman" w:eastAsia="Times New Roman" w:hint="default"/>
        </w:rPr>
        <w:t>1</w:t>
      </w:r>
      <w:r>
        <w:rPr/>
        <w:t>名董事；设总经理一名，由本公司推荐。本公司对北京华爱光环科技有限公司具有重大影响，选用权益法进行核</w:t>
      </w:r>
      <w:r>
        <w:rPr>
          <w:spacing w:val="-84"/>
        </w:rPr>
        <w:t> </w:t>
      </w:r>
      <w:r>
        <w:rPr>
          <w:spacing w:val="-84"/>
        </w:rPr>
      </w:r>
      <w:r>
        <w:rPr/>
        <w:t>算。</w:t>
      </w:r>
    </w:p>
    <w:p>
      <w:pPr>
        <w:pStyle w:val="BodyText"/>
        <w:spacing w:line="300" w:lineRule="auto" w:before="31"/>
        <w:ind w:right="148" w:firstLine="360"/>
        <w:jc w:val="both"/>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月陕西广电网络传媒（集团）股份有限公司与公司签订合作协议，共同投资设立陕西广电新网云服务有限</w:t>
      </w:r>
      <w:r>
        <w:rPr/>
        <w:t> </w:t>
      </w:r>
      <w:r>
        <w:rPr>
          <w:spacing w:val="-1"/>
        </w:rPr>
        <w:t>公司，注册资本</w:t>
      </w:r>
      <w:r>
        <w:rPr>
          <w:rFonts w:ascii="Times New Roman" w:hAnsi="Times New Roman" w:cs="Times New Roman" w:eastAsia="Times New Roman" w:hint="default"/>
          <w:spacing w:val="-1"/>
        </w:rPr>
        <w:t>10,000.00</w:t>
      </w:r>
      <w:r>
        <w:rPr>
          <w:spacing w:val="-1"/>
        </w:rPr>
        <w:t>万元，公司认缴</w:t>
      </w:r>
      <w:r>
        <w:rPr>
          <w:rFonts w:ascii="Times New Roman" w:hAnsi="Times New Roman" w:cs="Times New Roman" w:eastAsia="Times New Roman" w:hint="default"/>
          <w:spacing w:val="-1"/>
        </w:rPr>
        <w:t>4900.00</w:t>
      </w:r>
      <w:r>
        <w:rPr>
          <w:spacing w:val="-1"/>
        </w:rPr>
        <w:t>万元，占注册资本的</w:t>
      </w:r>
      <w:r>
        <w:rPr>
          <w:rFonts w:ascii="Times New Roman" w:hAnsi="Times New Roman" w:cs="Times New Roman" w:eastAsia="Times New Roman" w:hint="default"/>
          <w:spacing w:val="-1"/>
        </w:rPr>
        <w:t>49%</w:t>
      </w:r>
      <w:r>
        <w:rPr>
          <w:spacing w:val="-1"/>
        </w:rPr>
        <w:t>，已投资</w:t>
      </w:r>
      <w:r>
        <w:rPr>
          <w:rFonts w:ascii="Times New Roman" w:hAnsi="Times New Roman" w:cs="Times New Roman" w:eastAsia="Times New Roman" w:hint="default"/>
          <w:spacing w:val="-1"/>
        </w:rPr>
        <w:t>1,000.00</w:t>
      </w:r>
      <w:r>
        <w:rPr>
          <w:spacing w:val="-1"/>
        </w:rPr>
        <w:t>万元。</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28</w:t>
      </w:r>
      <w:r>
        <w:rPr>
          <w:spacing w:val="-1"/>
        </w:rPr>
        <w:t>日，公司与</w:t>
      </w:r>
      <w:r>
        <w:rPr>
          <w:spacing w:val="-37"/>
        </w:rPr>
        <w:t> </w:t>
      </w:r>
      <w:r>
        <w:rPr>
          <w:spacing w:val="-37"/>
        </w:rPr>
      </w:r>
      <w:r>
        <w:rPr>
          <w:spacing w:val="-2"/>
        </w:rPr>
        <w:t>启迪云计算有限公司签订股权转让协议，将持有的全部股权转让给启迪云计算有限公司，转让金额</w:t>
      </w:r>
      <w:r>
        <w:rPr>
          <w:rFonts w:ascii="Times New Roman" w:hAnsi="Times New Roman" w:cs="Times New Roman" w:eastAsia="Times New Roman" w:hint="default"/>
          <w:spacing w:val="-2"/>
        </w:rPr>
        <w:t>1000</w:t>
      </w:r>
      <w:r>
        <w:rPr>
          <w:spacing w:val="-2"/>
        </w:rPr>
        <w:t>万元，截止报告日公</w:t>
      </w:r>
      <w:r>
        <w:rPr>
          <w:spacing w:val="-59"/>
        </w:rPr>
        <w:t> </w:t>
      </w:r>
      <w:r>
        <w:rPr>
          <w:spacing w:val="-59"/>
        </w:rPr>
      </w:r>
      <w:r>
        <w:rPr/>
        <w:t>司已收回股权转让款</w:t>
      </w:r>
      <w:r>
        <w:rPr>
          <w:rFonts w:ascii="Times New Roman" w:hAnsi="Times New Roman" w:cs="Times New Roman" w:eastAsia="Times New Roman" w:hint="default"/>
        </w:rPr>
        <w:t>600</w:t>
      </w:r>
      <w:r>
        <w:rPr/>
        <w:t>万元</w:t>
      </w:r>
      <w:r>
        <w:rPr>
          <w:rFonts w:ascii="Times New Roman" w:hAnsi="Times New Roman" w:cs="Times New Roman" w:eastAsia="Times New Roman" w:hint="default"/>
        </w:rPr>
        <w:t>.</w:t>
      </w:r>
      <w:r>
        <w:rPr/>
        <w:t>。陕西广电新网云服务有限公司已于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24</w:t>
      </w:r>
      <w:r>
        <w:rPr/>
        <w:t>日完成工商变更登记。</w:t>
      </w:r>
    </w:p>
    <w:p>
      <w:pPr>
        <w:spacing w:line="240" w:lineRule="auto" w:before="4"/>
        <w:rPr>
          <w:rFonts w:ascii="宋体" w:hAnsi="宋体" w:cs="宋体" w:eastAsia="宋体" w:hint="default"/>
          <w:sz w:val="22"/>
          <w:szCs w:val="22"/>
        </w:rPr>
      </w:pPr>
    </w:p>
    <w:p>
      <w:pPr>
        <w:pStyle w:val="Heading3"/>
        <w:spacing w:line="240" w:lineRule="auto"/>
        <w:ind w:right="2839"/>
        <w:jc w:val="left"/>
        <w:rPr>
          <w:b w:val="0"/>
          <w:bCs w:val="0"/>
        </w:rPr>
      </w:pPr>
      <w:r>
        <w:rPr>
          <w:rFonts w:ascii="Times New Roman" w:hAnsi="Times New Roman" w:cs="Times New Roman" w:eastAsia="Times New Roman" w:hint="default"/>
        </w:rPr>
        <w:t>10</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2839"/>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构筑物</w:t>
            </w:r>
          </w:p>
        </w:tc>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办公设备及其他</w:t>
            </w:r>
          </w:p>
        </w:tc>
        <w:tc>
          <w:tcPr>
            <w:tcW w:w="1366"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2,244,148,628.45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809,148,950.96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95,006,427.14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10,566,934.58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16,679,445.74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3,175,550,386.87</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155,322,806.11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1,105,503,538.52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19,977,824.22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2,188,222.22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2,367,669.01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1,285,360,060.08</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1,000,890.80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902,775,246.87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5,779,296.61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2,188,222.22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965,911.03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912,709,567.53</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2"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154,321,915.31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202,716,993.65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14,121,542.04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1,272,355.74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372,432,806.74</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12" w:space="0" w:color="D2D2D2"/>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11,298.00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76,985.57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129,402.24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217,685.81</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9,104,084.67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41,892.00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1,528,717.95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98,890.92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10,773,585.54</w:t>
            </w:r>
          </w:p>
        </w:tc>
      </w:tr>
    </w:tbl>
    <w:p>
      <w:pPr>
        <w:spacing w:after="0" w:line="240" w:lineRule="auto"/>
        <w:jc w:val="right"/>
        <w:rPr>
          <w:rFonts w:ascii="Times New Roman" w:hAnsi="Times New Roman" w:cs="Times New Roman" w:eastAsia="Times New Roman" w:hint="default"/>
          <w:sz w:val="18"/>
          <w:szCs w:val="18"/>
        </w:rPr>
        <w:sectPr>
          <w:footerReference w:type="default" r:id="rId25"/>
          <w:pgSz w:w="11910" w:h="16840"/>
          <w:pgMar w:footer="979" w:header="745"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9,104,084.67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41,892.00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1,528,717.95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98,890.92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10,773,585.54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2,399,471,434.56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1,905,548,404.81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114,942,359.36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11,226,438.85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18,948,223.83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4,450,136,861.41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158.94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158.94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138,894,579.64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250,938,379.96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46,238,177.36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3,375,009.22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11,579,549.17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451,025,695.35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56,647,712.12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81,817,574.92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10,846,519.81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919,718.31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1,261,567.57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151,493,092.73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56,647,712.12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81,817,574.92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10,846,519.81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919,718.31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1,261,567.57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151,493,092.73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6,450,375.47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32,342.28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84,752.15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4,532.08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6,572,001.98</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6,450,375.47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32,342.28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84,752.15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4,532.08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6,572,001.98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195,542,291.76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326,305,579.41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57,052,354.89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4,209,975.38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12,836,584.66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595,946,786.10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5,171.31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5,171.31</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2,203,929,142.80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1,579,242,825.40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57,890,004.47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7,016,463.47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6,111,639.17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3,854,190,075.31</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2,105,254,048.81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558,210,571.00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48,768,249.78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7,191,925.36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5,099,896.57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2,724,524,691.52</w:t>
            </w:r>
          </w:p>
        </w:tc>
      </w:tr>
    </w:tbl>
    <w:p>
      <w:pPr>
        <w:spacing w:after="0" w:line="240" w:lineRule="auto"/>
        <w:jc w:val="right"/>
        <w:rPr>
          <w:rFonts w:ascii="Times New Roman" w:hAnsi="Times New Roman" w:cs="Times New Roman" w:eastAsia="Times New Roman" w:hint="default"/>
          <w:sz w:val="18"/>
          <w:szCs w:val="18"/>
        </w:rPr>
        <w:sectPr>
          <w:footerReference w:type="default" r:id="rId26"/>
          <w:pgSz w:w="11910" w:h="16840"/>
          <w:pgMar w:footer="979" w:header="745" w:top="1060" w:bottom="1160" w:left="980" w:right="980"/>
          <w:pgNumType w:start="201"/>
        </w:sectPr>
      </w:pPr>
    </w:p>
    <w:p>
      <w:pPr>
        <w:spacing w:line="240" w:lineRule="auto" w:before="3"/>
        <w:rPr>
          <w:rFonts w:ascii="Times New Roman" w:hAnsi="Times New Roman" w:cs="Times New Roman" w:eastAsia="Times New Roman" w:hint="default"/>
          <w:sz w:val="28"/>
          <w:szCs w:val="28"/>
        </w:rPr>
      </w:pPr>
    </w:p>
    <w:p>
      <w:pPr>
        <w:pStyle w:val="Heading3"/>
        <w:spacing w:line="240" w:lineRule="auto" w:before="36"/>
        <w:ind w:right="2839"/>
        <w:jc w:val="left"/>
        <w:rPr>
          <w:b w:val="0"/>
          <w:bCs w:val="0"/>
        </w:rPr>
      </w:pP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北京中金云网科技有限公司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0" w:right="0"/>
              <w:jc w:val="left"/>
              <w:rPr>
                <w:rFonts w:ascii="Times New Roman" w:hAnsi="Times New Roman" w:cs="Times New Roman" w:eastAsia="Times New Roman" w:hint="default"/>
                <w:sz w:val="18"/>
                <w:szCs w:val="18"/>
              </w:rPr>
            </w:pPr>
            <w:r>
              <w:rPr>
                <w:rFonts w:ascii="Times New Roman"/>
                <w:sz w:val="18"/>
              </w:rPr>
              <w:t>1,005,033,750.18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房产证手续已提交房屋管理部门，房产 证办理中</w:t>
            </w:r>
          </w:p>
        </w:tc>
      </w:tr>
    </w:tbl>
    <w:p>
      <w:pPr>
        <w:pStyle w:val="BodyText"/>
        <w:spacing w:line="240" w:lineRule="auto" w:before="49"/>
        <w:ind w:right="0"/>
        <w:jc w:val="both"/>
      </w:pPr>
      <w:r>
        <w:rPr/>
        <w:t>其他说明</w:t>
      </w:r>
    </w:p>
    <w:p>
      <w:pPr>
        <w:pStyle w:val="BodyText"/>
        <w:spacing w:line="240" w:lineRule="auto" w:before="117"/>
        <w:ind w:left="513" w:right="2839"/>
        <w:jc w:val="left"/>
      </w:pPr>
      <w:r>
        <w:rPr>
          <w:rFonts w:ascii="Times New Roman" w:hAnsi="Times New Roman" w:cs="Times New Roman" w:eastAsia="Times New Roman" w:hint="default"/>
        </w:rPr>
        <w:t>1</w:t>
      </w: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日，无暂时闲置的固定资产。</w:t>
      </w:r>
    </w:p>
    <w:p>
      <w:pPr>
        <w:pStyle w:val="BodyText"/>
        <w:spacing w:line="300" w:lineRule="auto" w:before="63"/>
        <w:ind w:left="513" w:right="135"/>
        <w:jc w:val="left"/>
      </w:pPr>
      <w:r>
        <w:rPr>
          <w:rFonts w:ascii="Times New Roman" w:hAnsi="Times New Roman" w:cs="Times New Roman" w:eastAsia="Times New Roman" w:hint="default"/>
        </w:rPr>
        <w:t>2</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日，固定资产抵押和所有权受限情况： 子公司北京中金云网科技有限公司数据中心一期房屋建筑物坐落于北京经济技术开发区博兴八路</w:t>
      </w:r>
      <w:r>
        <w:rPr>
          <w:rFonts w:ascii="Times New Roman" w:hAnsi="Times New Roman" w:cs="Times New Roman" w:eastAsia="Times New Roman" w:hint="default"/>
        </w:rPr>
        <w:t>1</w:t>
      </w:r>
      <w:r>
        <w:rPr>
          <w:rFonts w:ascii="Times New Roman" w:hAnsi="Times New Roman" w:cs="Times New Roman" w:eastAsia="Times New Roman" w:hint="default"/>
          <w:spacing w:val="33"/>
        </w:rPr>
        <w:t> </w:t>
      </w:r>
      <w:r>
        <w:rPr>
          <w:spacing w:val="-7"/>
        </w:rPr>
        <w:t>号，其中</w:t>
      </w:r>
      <w:r>
        <w:rPr>
          <w:rFonts w:ascii="Times New Roman" w:hAnsi="Times New Roman" w:cs="Times New Roman" w:eastAsia="Times New Roman" w:hint="default"/>
          <w:spacing w:val="-7"/>
        </w:rPr>
        <w:t>1</w:t>
      </w:r>
      <w:r>
        <w:rPr>
          <w:spacing w:val="-7"/>
        </w:rPr>
        <w:t>幢、</w:t>
      </w:r>
      <w:r>
        <w:rPr>
          <w:rFonts w:ascii="Times New Roman" w:hAnsi="Times New Roman" w:cs="Times New Roman" w:eastAsia="Times New Roman" w:hint="default"/>
          <w:spacing w:val="-7"/>
        </w:rPr>
        <w:t>2</w:t>
      </w:r>
      <w:r>
        <w:rPr>
          <w:spacing w:val="-7"/>
        </w:rPr>
        <w:t>幢和</w:t>
      </w:r>
    </w:p>
    <w:p>
      <w:pPr>
        <w:pStyle w:val="BodyText"/>
        <w:spacing w:line="309" w:lineRule="auto" w:before="13"/>
        <w:ind w:right="153"/>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9"/>
        </w:rPr>
        <w:t> </w:t>
      </w:r>
      <w:r>
        <w:rPr/>
        <w:t>幢已取得房产证。建筑面积分别为</w:t>
      </w:r>
      <w:r>
        <w:rPr>
          <w:rFonts w:ascii="Times New Roman" w:hAnsi="Times New Roman" w:cs="Times New Roman" w:eastAsia="Times New Roman" w:hint="default"/>
        </w:rPr>
        <w:t>16,358.00</w:t>
      </w:r>
      <w:r>
        <w:rPr/>
        <w:t>㎡、</w:t>
      </w:r>
      <w:r>
        <w:rPr>
          <w:rFonts w:ascii="Times New Roman" w:hAnsi="Times New Roman" w:cs="Times New Roman" w:eastAsia="Times New Roman" w:hint="default"/>
        </w:rPr>
        <w:t>36,583.59</w:t>
      </w:r>
      <w:r>
        <w:rPr/>
        <w:t>㎡和</w:t>
      </w:r>
      <w:r>
        <w:rPr>
          <w:rFonts w:ascii="Times New Roman" w:hAnsi="Times New Roman" w:cs="Times New Roman" w:eastAsia="Times New Roman" w:hint="default"/>
        </w:rPr>
        <w:t>1,900.81</w:t>
      </w:r>
      <w:r>
        <w:rPr/>
        <w:t>㎡。该三幢房屋建筑物已全部设定抵押。</w:t>
      </w:r>
      <w:r>
        <w:rPr>
          <w:rFonts w:ascii="Times New Roman" w:hAnsi="Times New Roman" w:cs="Times New Roman" w:eastAsia="Times New Roman" w:hint="default"/>
        </w:rPr>
        <w:t>2015</w:t>
      </w:r>
      <w:r>
        <w:rPr/>
        <w:t>年已</w:t>
      </w:r>
      <w:r>
        <w:rPr>
          <w:spacing w:val="-88"/>
        </w:rPr>
        <w:t> </w:t>
      </w:r>
      <w:r>
        <w:rPr>
          <w:spacing w:val="-2"/>
        </w:rPr>
        <w:t>完工由在建工程固定资产的的二期房屋建筑物已设定抵押，二期房屋建筑物房屋竣工手续已完成，至财务报表批准报出日房</w:t>
      </w:r>
      <w:r>
        <w:rPr>
          <w:spacing w:val="-64"/>
        </w:rPr>
        <w:t> </w:t>
      </w:r>
      <w:r>
        <w:rPr>
          <w:spacing w:val="-64"/>
        </w:rPr>
      </w:r>
      <w:r>
        <w:rPr/>
        <w:t>产证手续已提交房屋管理部门。详见</w:t>
      </w:r>
      <w:r>
        <w:rPr>
          <w:rFonts w:ascii="Times New Roman" w:hAnsi="Times New Roman" w:cs="Times New Roman" w:eastAsia="Times New Roman" w:hint="default"/>
        </w:rPr>
        <w:t>“</w:t>
      </w:r>
      <w:r>
        <w:rPr/>
        <w:t>本节</w:t>
      </w:r>
      <w:r>
        <w:rPr>
          <w:rFonts w:ascii="Times New Roman" w:hAnsi="Times New Roman" w:cs="Times New Roman" w:eastAsia="Times New Roman" w:hint="default"/>
        </w:rPr>
        <w:t>24</w:t>
      </w:r>
      <w:r>
        <w:rPr/>
        <w:t>、长期借款</w:t>
      </w:r>
      <w:r>
        <w:rPr>
          <w:rFonts w:ascii="Times New Roman" w:hAnsi="Times New Roman" w:cs="Times New Roman" w:eastAsia="Times New Roman" w:hint="default"/>
        </w:rPr>
        <w:t>”</w:t>
      </w:r>
      <w:r>
        <w:rPr/>
        <w:t>。</w:t>
      </w:r>
    </w:p>
    <w:p>
      <w:pPr>
        <w:pStyle w:val="BodyText"/>
        <w:spacing w:line="300" w:lineRule="auto" w:before="5"/>
        <w:ind w:right="148" w:firstLine="360"/>
        <w:jc w:val="both"/>
      </w:pPr>
      <w:r>
        <w:rPr/>
        <w:t>子公司北京科信盛彩云计算有限公司以其所有的位于北京经济技术开发区瑞合西二路</w:t>
      </w:r>
      <w:r>
        <w:rPr>
          <w:rFonts w:ascii="Times New Roman" w:hAnsi="Times New Roman" w:cs="Times New Roman" w:eastAsia="Times New Roman" w:hint="default"/>
        </w:rPr>
        <w:t>6</w:t>
      </w:r>
      <w:r>
        <w:rPr/>
        <w:t>号院</w:t>
      </w:r>
      <w:r>
        <w:rPr>
          <w:rFonts w:ascii="Times New Roman" w:hAnsi="Times New Roman" w:cs="Times New Roman" w:eastAsia="Times New Roman" w:hint="default"/>
        </w:rPr>
        <w:t>7</w:t>
      </w:r>
      <w:r>
        <w:rPr/>
        <w:t>号楼</w:t>
      </w:r>
      <w:r>
        <w:rPr>
          <w:rFonts w:ascii="Times New Roman" w:hAnsi="Times New Roman" w:cs="Times New Roman" w:eastAsia="Times New Roman" w:hint="default"/>
        </w:rPr>
        <w:t>1</w:t>
      </w:r>
      <w:r>
        <w:rPr/>
        <w:t>至</w:t>
      </w:r>
      <w:r>
        <w:rPr>
          <w:rFonts w:ascii="Times New Roman" w:hAnsi="Times New Roman" w:cs="Times New Roman" w:eastAsia="Times New Roman" w:hint="default"/>
        </w:rPr>
        <w:t>4</w:t>
      </w:r>
      <w:r>
        <w:rPr/>
        <w:t>层等</w:t>
      </w:r>
      <w:r>
        <w:rPr>
          <w:rFonts w:ascii="Times New Roman" w:hAnsi="Times New Roman" w:cs="Times New Roman" w:eastAsia="Times New Roman" w:hint="default"/>
        </w:rPr>
        <w:t>3</w:t>
      </w:r>
      <w:r>
        <w:rPr/>
        <w:t>套房屋所有 权及对应国有土地使用权（不动产权证书编号：京（</w:t>
      </w:r>
      <w:r>
        <w:rPr>
          <w:rFonts w:ascii="Times New Roman" w:hAnsi="Times New Roman" w:cs="Times New Roman" w:eastAsia="Times New Roman" w:hint="default"/>
        </w:rPr>
        <w:t>2016</w:t>
      </w:r>
      <w:r>
        <w:rPr/>
        <w:t>）开发区不动产权第</w:t>
      </w:r>
      <w:r>
        <w:rPr>
          <w:rFonts w:ascii="Times New Roman" w:hAnsi="Times New Roman" w:cs="Times New Roman" w:eastAsia="Times New Roman" w:hint="default"/>
        </w:rPr>
        <w:t>0019466</w:t>
      </w:r>
      <w:r>
        <w:rPr/>
        <w:t>号）、位于北京经济技术开发区瑞合</w:t>
      </w:r>
      <w:r>
        <w:rPr>
          <w:spacing w:val="-86"/>
        </w:rPr>
        <w:t> </w:t>
      </w:r>
      <w:r>
        <w:rPr>
          <w:spacing w:val="-86"/>
        </w:rPr>
      </w:r>
      <w:r>
        <w:rPr>
          <w:spacing w:val="-2"/>
        </w:rPr>
        <w:t>西二路</w:t>
      </w:r>
      <w:r>
        <w:rPr>
          <w:rFonts w:ascii="Times New Roman" w:hAnsi="Times New Roman" w:cs="Times New Roman" w:eastAsia="Times New Roman" w:hint="default"/>
          <w:spacing w:val="-2"/>
        </w:rPr>
        <w:t>6</w:t>
      </w:r>
      <w:r>
        <w:rPr>
          <w:spacing w:val="-2"/>
        </w:rPr>
        <w:t>号院</w:t>
      </w:r>
      <w:r>
        <w:rPr>
          <w:rFonts w:ascii="Times New Roman" w:hAnsi="Times New Roman" w:cs="Times New Roman" w:eastAsia="Times New Roman" w:hint="default"/>
          <w:spacing w:val="-2"/>
        </w:rPr>
        <w:t>1</w:t>
      </w:r>
      <w:r>
        <w:rPr>
          <w:spacing w:val="-2"/>
        </w:rPr>
        <w:t>号楼等</w:t>
      </w:r>
      <w:r>
        <w:rPr>
          <w:rFonts w:ascii="Times New Roman" w:hAnsi="Times New Roman" w:cs="Times New Roman" w:eastAsia="Times New Roman" w:hint="default"/>
          <w:spacing w:val="-2"/>
        </w:rPr>
        <w:t>6</w:t>
      </w:r>
      <w:r>
        <w:rPr>
          <w:spacing w:val="-2"/>
        </w:rPr>
        <w:t>幢楼的房屋所有权及对应国有土地使用权（不动产权证书编号：京（</w:t>
      </w:r>
      <w:r>
        <w:rPr>
          <w:rFonts w:ascii="Times New Roman" w:hAnsi="Times New Roman" w:cs="Times New Roman" w:eastAsia="Times New Roman" w:hint="default"/>
          <w:spacing w:val="-2"/>
        </w:rPr>
        <w:t>2016</w:t>
      </w:r>
      <w:r>
        <w:rPr>
          <w:spacing w:val="-2"/>
        </w:rPr>
        <w:t>）开发区不动产权第</w:t>
      </w:r>
      <w:r>
        <w:rPr>
          <w:rFonts w:ascii="Times New Roman" w:hAnsi="Times New Roman" w:cs="Times New Roman" w:eastAsia="Times New Roman" w:hint="default"/>
          <w:spacing w:val="-2"/>
        </w:rPr>
        <w:t>0019668</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t>号）设定抵押，详见</w:t>
      </w:r>
      <w:r>
        <w:rPr>
          <w:rFonts w:ascii="Times New Roman" w:hAnsi="Times New Roman" w:cs="Times New Roman" w:eastAsia="Times New Roman" w:hint="default"/>
        </w:rPr>
        <w:t>“</w:t>
      </w:r>
      <w:r>
        <w:rPr/>
        <w:t>本节</w:t>
      </w:r>
      <w:r>
        <w:rPr>
          <w:rFonts w:ascii="Times New Roman" w:hAnsi="Times New Roman" w:cs="Times New Roman" w:eastAsia="Times New Roman" w:hint="default"/>
        </w:rPr>
        <w:t>24</w:t>
      </w:r>
      <w:r>
        <w:rPr/>
        <w:t>、长期借款</w:t>
      </w:r>
      <w:r>
        <w:rPr>
          <w:rFonts w:ascii="Times New Roman" w:hAnsi="Times New Roman" w:cs="Times New Roman" w:eastAsia="Times New Roman" w:hint="default"/>
        </w:rPr>
        <w:t>”</w:t>
      </w:r>
      <w:r>
        <w:rPr/>
        <w:t>。</w:t>
      </w:r>
    </w:p>
    <w:p>
      <w:pPr>
        <w:pStyle w:val="BodyText"/>
        <w:spacing w:line="240" w:lineRule="auto" w:before="13"/>
        <w:ind w:left="513" w:right="2839"/>
        <w:jc w:val="left"/>
      </w:pPr>
      <w:r>
        <w:rPr>
          <w:rFonts w:ascii="Times New Roman" w:hAnsi="Times New Roman" w:cs="Times New Roman" w:eastAsia="Times New Roman" w:hint="default"/>
        </w:rPr>
        <w:t>3</w:t>
      </w:r>
      <w:r>
        <w:rPr/>
        <w:t>）本公司期末对固定资产进行检查，未发现减值迹象，故未计提减值准备。</w:t>
      </w:r>
    </w:p>
    <w:p>
      <w:pPr>
        <w:pStyle w:val="BodyText"/>
        <w:spacing w:line="300" w:lineRule="auto" w:before="63"/>
        <w:ind w:left="513" w:right="0"/>
        <w:jc w:val="left"/>
      </w:pPr>
      <w:r>
        <w:rPr>
          <w:rFonts w:ascii="Times New Roman" w:hAnsi="Times New Roman" w:cs="Times New Roman" w:eastAsia="Times New Roman" w:hint="default"/>
        </w:rPr>
        <w:t>4</w:t>
      </w:r>
      <w:r>
        <w:rPr/>
        <w:t>）通过融资租赁租入的固定资产情况 </w:t>
      </w:r>
      <w:r>
        <w:rPr>
          <w:spacing w:val="-2"/>
        </w:rPr>
        <w:t>公司子公司北京中金云网科技有限公司与上海电气融资有限公司签订了融资租赁合同，租赁物为电缆，开展融资租赁的</w:t>
      </w:r>
    </w:p>
    <w:p>
      <w:pPr>
        <w:pStyle w:val="BodyText"/>
        <w:spacing w:line="300" w:lineRule="auto" w:before="32"/>
        <w:ind w:right="150"/>
        <w:jc w:val="both"/>
      </w:pPr>
      <w:r>
        <w:rPr/>
        <w:t>固定资产截止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w:t>
      </w:r>
      <w:r>
        <w:rPr>
          <w:rFonts w:ascii="Times New Roman" w:hAnsi="Times New Roman" w:cs="Times New Roman" w:eastAsia="Times New Roman" w:hint="default"/>
        </w:rPr>
        <w:t>2,676,509.46</w:t>
      </w:r>
      <w:r>
        <w:rPr/>
        <w:t>元，融资金额</w:t>
      </w:r>
      <w:r>
        <w:rPr>
          <w:rFonts w:ascii="Times New Roman" w:hAnsi="Times New Roman" w:cs="Times New Roman" w:eastAsia="Times New Roman" w:hint="default"/>
        </w:rPr>
        <w:t>3,653,348.27</w:t>
      </w:r>
      <w:r>
        <w:rPr/>
        <w:t>元，租赁日起止日自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25</w:t>
      </w:r>
      <w:r>
        <w:rPr/>
        <w:t>日起至</w:t>
      </w:r>
      <w:r>
        <w:rPr>
          <w:rFonts w:ascii="Times New Roman" w:hAnsi="Times New Roman" w:cs="Times New Roman" w:eastAsia="Times New Roman" w:hint="default"/>
        </w:rPr>
        <w:t>2019</w:t>
      </w:r>
      <w:r>
        <w:rPr>
          <w:rFonts w:ascii="Times New Roman" w:hAnsi="Times New Roman" w:cs="Times New Roman" w:eastAsia="Times New Roman" w:hint="default"/>
          <w:spacing w:val="32"/>
        </w:rPr>
        <w:t> </w:t>
      </w:r>
      <w:r>
        <w:rPr>
          <w:rFonts w:ascii="Times New Roman" w:hAnsi="Times New Roman" w:cs="Times New Roman" w:eastAsia="Times New Roman" w:hint="default"/>
          <w:spacing w:val="32"/>
        </w:rPr>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日止，融资期限为五年，租赁期满，公司拥有所有权，中金数据系统有限公司为连带责任保证人。</w:t>
      </w:r>
    </w:p>
    <w:p>
      <w:pPr>
        <w:pStyle w:val="BodyText"/>
        <w:spacing w:line="309" w:lineRule="auto" w:before="13"/>
        <w:ind w:right="151" w:firstLine="360"/>
        <w:jc w:val="both"/>
      </w:pPr>
      <w:r>
        <w:rPr>
          <w:spacing w:val="-2"/>
        </w:rPr>
        <w:t>公司子公司北京中金云网科技有限公司与上海电气融资有限公司签订了融资租赁合同，租赁物为冷却塔及阀门，开展融</w:t>
      </w:r>
      <w:r>
        <w:rPr/>
        <w:t> </w:t>
      </w:r>
      <w:r>
        <w:rPr>
          <w:spacing w:val="-2"/>
        </w:rPr>
        <w:t>资租赁的固定资产截止</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日账面价值</w:t>
      </w:r>
      <w:r>
        <w:rPr>
          <w:rFonts w:ascii="Times New Roman" w:hAnsi="Times New Roman" w:cs="Times New Roman" w:eastAsia="Times New Roman" w:hint="default"/>
          <w:spacing w:val="-2"/>
        </w:rPr>
        <w:t>4,570,402.43</w:t>
      </w:r>
      <w:r>
        <w:rPr>
          <w:spacing w:val="-2"/>
        </w:rPr>
        <w:t>元，融资金额</w:t>
      </w:r>
      <w:r>
        <w:rPr>
          <w:rFonts w:ascii="Times New Roman" w:hAnsi="Times New Roman" w:cs="Times New Roman" w:eastAsia="Times New Roman" w:hint="default"/>
          <w:spacing w:val="-2"/>
        </w:rPr>
        <w:t>6,197,555.00</w:t>
      </w:r>
      <w:r>
        <w:rPr>
          <w:spacing w:val="-2"/>
        </w:rPr>
        <w:t>元，租赁起止日期为</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19</w:t>
      </w:r>
      <w:r>
        <w:rPr>
          <w:spacing w:val="-2"/>
        </w:rPr>
        <w:t>日至</w:t>
      </w:r>
      <w:r>
        <w:rPr>
          <w:spacing w:val="-38"/>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18</w:t>
      </w:r>
      <w:r>
        <w:rPr/>
        <w:t>日融资期限为五年，租赁期满，公司拥有所有权，中金数据系统有限公司为连带责任保证人。</w:t>
      </w:r>
    </w:p>
    <w:p>
      <w:pPr>
        <w:pStyle w:val="BodyText"/>
        <w:spacing w:line="307" w:lineRule="auto" w:before="5"/>
        <w:ind w:right="146" w:firstLine="360"/>
        <w:jc w:val="both"/>
      </w:pPr>
      <w:r>
        <w:rPr>
          <w:spacing w:val="-5"/>
        </w:rPr>
        <w:t>公司子公司北京中金云网科技有限公司与利星行融资租赁（上海）有限公司签订了融资租赁合同，租赁物为柴油发电机，</w:t>
      </w:r>
      <w:r>
        <w:rPr/>
        <w:t> 开展融资租赁的固定资产截止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日账面余额</w:t>
      </w:r>
      <w:r>
        <w:rPr>
          <w:rFonts w:ascii="Times New Roman" w:hAnsi="Times New Roman" w:cs="Times New Roman" w:eastAsia="Times New Roman" w:hint="default"/>
        </w:rPr>
        <w:t>15,779,582.14</w:t>
      </w:r>
      <w:r>
        <w:rPr/>
        <w:t>元，融资金额</w:t>
      </w:r>
      <w:r>
        <w:rPr>
          <w:rFonts w:ascii="Times New Roman" w:hAnsi="Times New Roman" w:cs="Times New Roman" w:eastAsia="Times New Roman" w:hint="default"/>
        </w:rPr>
        <w:t>19,600,000.00</w:t>
      </w:r>
      <w:r>
        <w:rPr/>
        <w:t>元，租赁期自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rFonts w:ascii="Times New Roman" w:hAnsi="Times New Roman" w:cs="Times New Roman" w:eastAsia="Times New Roman" w:hint="default"/>
          <w:spacing w:val="30"/>
        </w:rPr>
        <w:t> </w:t>
      </w:r>
      <w:r>
        <w:rPr>
          <w:spacing w:val="-2"/>
        </w:rPr>
        <w:t>日至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10</w:t>
      </w:r>
      <w:r>
        <w:rPr>
          <w:spacing w:val="-2"/>
        </w:rPr>
        <w:t>日融资期限为四年，租赁期满，公司以留购价格</w:t>
      </w:r>
      <w:r>
        <w:rPr>
          <w:rFonts w:ascii="Times New Roman" w:hAnsi="Times New Roman" w:cs="Times New Roman" w:eastAsia="Times New Roman" w:hint="default"/>
          <w:spacing w:val="-2"/>
        </w:rPr>
        <w:t>1,000.00</w:t>
      </w:r>
      <w:r>
        <w:rPr>
          <w:spacing w:val="-2"/>
        </w:rPr>
        <w:t>元回购该部分租赁物所有权，公司董事长杨洁及中</w:t>
      </w:r>
      <w:r>
        <w:rPr>
          <w:spacing w:val="-54"/>
        </w:rPr>
        <w:t> </w:t>
      </w:r>
      <w:r>
        <w:rPr>
          <w:spacing w:val="-54"/>
        </w:rPr>
      </w:r>
      <w:r>
        <w:rPr/>
        <w:t>金数据系统有限公司为连带责任保证人。</w:t>
      </w:r>
    </w:p>
    <w:p>
      <w:pPr>
        <w:spacing w:line="240" w:lineRule="auto" w:before="4"/>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11</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酒仙桥机房三期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49,129,307.30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49,129,307.30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24,570,480.27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24,570,480.27</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燕郊光环云谷一 期项目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1,764,839.50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1,764,839.50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1,225,528.81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1,225,528.81</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燕郊光环云谷二 期项目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125,505,615.67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125,505,615.67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20,754,508.45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20,754,508.45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总部装修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35,997,567.14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35,997,567.14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26,286,961.94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26,286,961.94</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上海绿色云计算 基地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147,868,579.65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147,868,579.65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171,260,759.99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171,260,759.99</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房山绿色云计算 基地一期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181,680,397.70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181,680,397.70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62,715,985.55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62,715,985.55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房山绿色云计算 基地二期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4,679,822.17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4,679,822.17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904,827.13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904,827.13</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亦庄绿色云计算 基地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197,588,102.55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197,588,102.55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99,969,027.05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99,969,027.05</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待安装设备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2,445,763.16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2,445,763.16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1,131,612.63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1,131,612.63</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中金云网数据中 心二期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1,751,121.22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1,751,121.22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16,752,136.75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16,752,136.75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748,411,116.06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748,411,116.06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425,571,828.57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425,571,828.57</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酒仙桥 机房三 期</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24,570,4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80.27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35,125,7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96.89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1,624,66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8.31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8,942,30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1.55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49,129,3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07.30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33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6"/>
              <w:jc w:val="both"/>
              <w:rPr>
                <w:rFonts w:ascii="宋体" w:hAnsi="宋体" w:cs="宋体" w:eastAsia="宋体" w:hint="default"/>
                <w:sz w:val="18"/>
                <w:szCs w:val="18"/>
              </w:rPr>
            </w:pPr>
            <w:r>
              <w:rPr>
                <w:rFonts w:ascii="宋体" w:hAnsi="宋体" w:cs="宋体" w:eastAsia="宋体" w:hint="default"/>
                <w:sz w:val="18"/>
                <w:szCs w:val="18"/>
              </w:rPr>
              <w:t>燕郊光 环云谷 一期项 目</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1,225,52</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8.81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5,064,97</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6.17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1,772,59</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1.02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2,753,07</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4.46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1,764,83</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9.50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33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燕郊光 环云谷 二期项 目</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20,754,5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08.45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176,532,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856.21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64,354,4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80.61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7,427,26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8.38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125,505,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615.67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总部装 修</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26,286,9</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61.94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27,725,7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22.65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35,786.0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17,979,3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31.37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35,997,5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67.14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02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上海绿 色云计 算基地</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171,260,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759.99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166,961,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068.17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164,201,</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486.77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26,151,7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61.74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147,868,</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579.65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98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房山绿 色云计 算基地</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62,715,9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85.55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118,964,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412.15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181,680,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397.70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9" w:lineRule="auto"/>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bl>
    <w:p>
      <w:pPr>
        <w:spacing w:after="0" w:line="319"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36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一期</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房山绿 色云计 算基地 二期</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904,827.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3,774,99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5.04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4,679,82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2.17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亦庄绿 色云计 算基地</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99,969,0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27.05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216,949,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560.70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119,330,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485.20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197,588,</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102.55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9,634,98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9.49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11,148,7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35.97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待安装 设备</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1,131,61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5,788,50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6.51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4,361,17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113,183.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2,445,76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3.16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34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中金云 网数据 中心二 期</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16,752,1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36.75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1,751,12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16,752,1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36.75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1,751,12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1.22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425,571,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828.57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758,639,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015.71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372,432,</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806.74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63,366,9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21.48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748,411,</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116.06</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9,634,98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9.49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11,148,7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35.97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73" w:right="2839"/>
        <w:jc w:val="left"/>
      </w:pPr>
      <w:r>
        <w:rPr/>
        <w:t>（</w:t>
      </w:r>
      <w:r>
        <w:rPr>
          <w:rFonts w:ascii="Times New Roman" w:hAnsi="Times New Roman" w:cs="Times New Roman" w:eastAsia="Times New Roman" w:hint="default"/>
        </w:rPr>
        <w:t>1</w:t>
      </w:r>
      <w:r>
        <w:rPr/>
        <w:t>）本期其他减少主要为转入长期待摊费用。</w:t>
      </w:r>
    </w:p>
    <w:p>
      <w:pPr>
        <w:pStyle w:val="BodyText"/>
        <w:spacing w:line="240" w:lineRule="auto" w:before="63"/>
        <w:ind w:left="573" w:right="2839"/>
        <w:jc w:val="left"/>
      </w:pPr>
      <w:r>
        <w:rPr/>
        <w:t>（</w:t>
      </w:r>
      <w:r>
        <w:rPr>
          <w:rFonts w:ascii="Times New Roman" w:hAnsi="Times New Roman" w:cs="Times New Roman" w:eastAsia="Times New Roman" w:hint="default"/>
        </w:rPr>
        <w:t>2</w:t>
      </w:r>
      <w:r>
        <w:rPr/>
        <w:t>）本公司期末对在建工程进行检查，未发现减值迹象，故未计提减值准备。</w:t>
      </w:r>
    </w:p>
    <w:p>
      <w:pPr>
        <w:pStyle w:val="BodyText"/>
        <w:spacing w:line="240" w:lineRule="auto" w:before="63"/>
        <w:ind w:left="573" w:right="2839"/>
        <w:jc w:val="left"/>
      </w:pPr>
      <w:r>
        <w:rPr/>
        <w:t>（</w:t>
      </w:r>
      <w:r>
        <w:rPr>
          <w:rFonts w:ascii="Times New Roman" w:hAnsi="Times New Roman" w:cs="Times New Roman" w:eastAsia="Times New Roman" w:hint="default"/>
        </w:rPr>
        <w:t>3</w:t>
      </w:r>
      <w:r>
        <w:rPr/>
        <w:t>）中金云网数据中心二期项目已设定抵押，详见</w:t>
      </w:r>
      <w:r>
        <w:rPr>
          <w:rFonts w:ascii="Times New Roman" w:hAnsi="Times New Roman" w:cs="Times New Roman" w:eastAsia="Times New Roman" w:hint="default"/>
        </w:rPr>
        <w:t>“</w:t>
      </w:r>
      <w:r>
        <w:rPr/>
        <w:t>本节</w:t>
      </w:r>
      <w:r>
        <w:rPr>
          <w:rFonts w:ascii="宋体" w:hAnsi="宋体" w:cs="宋体" w:eastAsia="宋体" w:hint="default"/>
        </w:rPr>
        <w:t>24</w:t>
      </w:r>
      <w:r>
        <w:rPr/>
        <w:t>、长期借款</w:t>
      </w:r>
      <w:r>
        <w:rPr>
          <w:rFonts w:ascii="Times New Roman" w:hAnsi="Times New Roman" w:cs="Times New Roman" w:eastAsia="Times New Roman" w:hint="default"/>
        </w:rPr>
        <w:t>”</w:t>
      </w:r>
      <w:r>
        <w:rPr/>
        <w:t>。</w:t>
      </w:r>
    </w:p>
    <w:p>
      <w:pPr>
        <w:spacing w:line="240" w:lineRule="auto" w:before="2"/>
        <w:rPr>
          <w:rFonts w:ascii="宋体" w:hAnsi="宋体" w:cs="宋体" w:eastAsia="宋体" w:hint="default"/>
          <w:sz w:val="26"/>
          <w:szCs w:val="26"/>
        </w:rPr>
      </w:pPr>
    </w:p>
    <w:p>
      <w:pPr>
        <w:pStyle w:val="Heading3"/>
        <w:spacing w:line="240" w:lineRule="auto"/>
        <w:ind w:right="2839"/>
        <w:jc w:val="left"/>
        <w:rPr>
          <w:b w:val="0"/>
          <w:bCs w:val="0"/>
        </w:rPr>
      </w:pPr>
      <w:r>
        <w:rPr>
          <w:rFonts w:ascii="Times New Roman" w:hAnsi="Times New Roman" w:cs="Times New Roman" w:eastAsia="Times New Roman" w:hint="default"/>
        </w:rPr>
        <w:t>12</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2839"/>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pStyle w:val="BodyText"/>
        <w:spacing w:line="240" w:lineRule="auto" w:before="103"/>
        <w:ind w:right="283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1"/>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40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8"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366"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396,374,255.74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960,700.00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4,887,429.87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30,774,759.79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432,997,145.40</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1,484,633.95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5,234,633.95</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3"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）内部</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7" w:firstLine="52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400,124,255.74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960,700.00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6,372,063.82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30,774,759.79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438,231,779.35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19,631,345.59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132,096.25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2,527,709.64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547,249.23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22,838,400.71</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8,581,485.88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144,105.00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983,961.20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651,832.20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10,361,384.28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8,581,485.88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144,105.00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983,961.20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651,832.20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10,361,384.28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28,212,831.47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276,201.25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3,511,670.84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1,199,081.43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33,199,784.99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371,911,424.27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684,498.75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2,860,392.98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29,575,678.36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405,031,994.36</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376,742,910.15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828,603.75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2,359,720.23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30,227,510.56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410,158,744.69</w:t>
            </w:r>
          </w:p>
        </w:tc>
      </w:tr>
    </w:tbl>
    <w:p>
      <w:pPr>
        <w:pStyle w:val="BodyText"/>
        <w:spacing w:line="240" w:lineRule="auto" w:before="49"/>
        <w:ind w:right="2839"/>
        <w:jc w:val="left"/>
      </w:pPr>
      <w:r>
        <w:rPr/>
        <w:t>本期末通过公司内部研发形成的无形资产占无形资产余额的比例。</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2839"/>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839"/>
        <w:jc w:val="left"/>
      </w:pPr>
      <w:r>
        <w:rPr/>
        <w:t>其他说明：</w:t>
      </w:r>
    </w:p>
    <w:p>
      <w:pPr>
        <w:pStyle w:val="BodyText"/>
        <w:spacing w:line="300" w:lineRule="auto" w:before="76"/>
        <w:ind w:right="160" w:firstLine="420"/>
        <w:jc w:val="both"/>
      </w:pPr>
      <w:r>
        <w:rPr>
          <w:spacing w:val="-2"/>
        </w:rPr>
        <w:t>子公司北京中金云网科技有限公司位于北京经济技术开发区博兴八路</w:t>
      </w:r>
      <w:r>
        <w:rPr>
          <w:rFonts w:ascii="Times New Roman" w:hAnsi="Times New Roman" w:cs="Times New Roman" w:eastAsia="Times New Roman" w:hint="default"/>
          <w:spacing w:val="-2"/>
        </w:rPr>
        <w:t>1</w:t>
      </w:r>
      <w:r>
        <w:rPr>
          <w:spacing w:val="-2"/>
        </w:rPr>
        <w:t>号的土地使用权（不动产权证号：京【</w:t>
      </w:r>
      <w:r>
        <w:rPr>
          <w:rFonts w:ascii="Times New Roman" w:hAnsi="Times New Roman" w:cs="Times New Roman" w:eastAsia="Times New Roman" w:hint="default"/>
          <w:spacing w:val="-2"/>
        </w:rPr>
        <w:t>2016</w:t>
      </w:r>
      <w:r>
        <w:rPr>
          <w:spacing w:val="-2"/>
        </w:rPr>
        <w:t>】开</w:t>
      </w:r>
      <w:r>
        <w:rPr>
          <w:spacing w:val="-12"/>
        </w:rPr>
        <w:t> </w:t>
      </w:r>
      <w:r>
        <w:rPr/>
        <w:t>发区不动产权第</w:t>
      </w:r>
      <w:r>
        <w:rPr>
          <w:rFonts w:ascii="Times New Roman" w:hAnsi="Times New Roman" w:cs="Times New Roman" w:eastAsia="Times New Roman" w:hint="default"/>
        </w:rPr>
        <w:t>0011007</w:t>
      </w:r>
      <w:r>
        <w:rPr/>
        <w:t>号）已设定抵押，详见</w:t>
      </w:r>
      <w:r>
        <w:rPr>
          <w:rFonts w:ascii="Times New Roman" w:hAnsi="Times New Roman" w:cs="Times New Roman" w:eastAsia="Times New Roman" w:hint="default"/>
        </w:rPr>
        <w:t>“</w:t>
      </w:r>
      <w:r>
        <w:rPr/>
        <w:t>本节</w:t>
      </w:r>
      <w:r>
        <w:rPr>
          <w:rFonts w:ascii="Times New Roman" w:hAnsi="Times New Roman" w:cs="Times New Roman" w:eastAsia="Times New Roman" w:hint="default"/>
        </w:rPr>
        <w:t>24</w:t>
      </w:r>
      <w:r>
        <w:rPr/>
        <w:t>、长期借款</w:t>
      </w:r>
      <w:r>
        <w:rPr>
          <w:rFonts w:ascii="Times New Roman" w:hAnsi="Times New Roman" w:cs="Times New Roman" w:eastAsia="Times New Roman" w:hint="default"/>
        </w:rPr>
        <w:t>”</w:t>
      </w:r>
      <w:r>
        <w:rPr/>
        <w:t>。</w:t>
      </w:r>
    </w:p>
    <w:p>
      <w:pPr>
        <w:pStyle w:val="BodyText"/>
        <w:spacing w:line="300" w:lineRule="auto" w:before="13"/>
        <w:ind w:right="148" w:firstLine="420"/>
        <w:jc w:val="both"/>
      </w:pPr>
      <w:r>
        <w:rPr>
          <w:spacing w:val="2"/>
        </w:rPr>
        <w:t>子公司北京科信盛彩云计算有限公司以其所有的位于北京经济技术开发区瑞合西二路</w:t>
      </w:r>
      <w:r>
        <w:rPr>
          <w:rFonts w:ascii="Times New Roman" w:hAnsi="Times New Roman" w:cs="Times New Roman" w:eastAsia="Times New Roman" w:hint="default"/>
          <w:spacing w:val="2"/>
        </w:rPr>
        <w:t>6</w:t>
      </w:r>
      <w:r>
        <w:rPr>
          <w:spacing w:val="2"/>
        </w:rPr>
        <w:t>号院</w:t>
      </w:r>
      <w:r>
        <w:rPr>
          <w:rFonts w:ascii="Times New Roman" w:hAnsi="Times New Roman" w:cs="Times New Roman" w:eastAsia="Times New Roman" w:hint="default"/>
          <w:spacing w:val="2"/>
        </w:rPr>
        <w:t>7</w:t>
      </w:r>
      <w:r>
        <w:rPr>
          <w:spacing w:val="2"/>
        </w:rPr>
        <w:t>号楼</w:t>
      </w:r>
      <w:r>
        <w:rPr>
          <w:rFonts w:ascii="Times New Roman" w:hAnsi="Times New Roman" w:cs="Times New Roman" w:eastAsia="Times New Roman" w:hint="default"/>
          <w:spacing w:val="2"/>
        </w:rPr>
        <w:t>1</w:t>
      </w:r>
      <w:r>
        <w:rPr>
          <w:spacing w:val="2"/>
        </w:rPr>
        <w:t>至</w:t>
      </w:r>
      <w:r>
        <w:rPr>
          <w:rFonts w:ascii="Times New Roman" w:hAnsi="Times New Roman" w:cs="Times New Roman" w:eastAsia="Times New Roman" w:hint="default"/>
          <w:spacing w:val="2"/>
        </w:rPr>
        <w:t>4</w:t>
      </w:r>
      <w:r>
        <w:rPr>
          <w:spacing w:val="2"/>
        </w:rPr>
        <w:t>层等</w:t>
      </w:r>
      <w:r>
        <w:rPr>
          <w:rFonts w:ascii="Times New Roman" w:hAnsi="Times New Roman" w:cs="Times New Roman" w:eastAsia="Times New Roman" w:hint="default"/>
          <w:spacing w:val="2"/>
        </w:rPr>
        <w:t>3</w:t>
      </w:r>
      <w:r>
        <w:rPr>
          <w:spacing w:val="2"/>
        </w:rPr>
        <w:t>套房屋所 </w:t>
      </w:r>
      <w:r>
        <w:rPr/>
        <w:t>有权及对应国有土地使用权（不动产权证书编号：京（</w:t>
      </w:r>
      <w:r>
        <w:rPr>
          <w:rFonts w:ascii="Times New Roman" w:hAnsi="Times New Roman" w:cs="Times New Roman" w:eastAsia="Times New Roman" w:hint="default"/>
        </w:rPr>
        <w:t>2016</w:t>
      </w:r>
      <w:r>
        <w:rPr/>
        <w:t>）开发区不动产权第</w:t>
      </w:r>
      <w:r>
        <w:rPr>
          <w:rFonts w:ascii="Times New Roman" w:hAnsi="Times New Roman" w:cs="Times New Roman" w:eastAsia="Times New Roman" w:hint="default"/>
        </w:rPr>
        <w:t>0019466</w:t>
      </w:r>
      <w:r>
        <w:rPr/>
        <w:t>号）、位于北京经济技术开发区瑞</w:t>
      </w:r>
      <w:r>
        <w:rPr>
          <w:spacing w:val="-86"/>
        </w:rPr>
        <w:t> </w:t>
      </w:r>
      <w:r>
        <w:rPr>
          <w:spacing w:val="-86"/>
        </w:rPr>
      </w:r>
      <w:r>
        <w:rPr>
          <w:spacing w:val="-5"/>
        </w:rPr>
        <w:t>合西二路</w:t>
      </w:r>
      <w:r>
        <w:rPr>
          <w:rFonts w:ascii="Times New Roman" w:hAnsi="Times New Roman" w:cs="Times New Roman" w:eastAsia="Times New Roman" w:hint="default"/>
          <w:spacing w:val="-5"/>
        </w:rPr>
        <w:t>6</w:t>
      </w:r>
      <w:r>
        <w:rPr>
          <w:spacing w:val="-5"/>
        </w:rPr>
        <w:t>号院</w:t>
      </w:r>
      <w:r>
        <w:rPr>
          <w:rFonts w:ascii="Times New Roman" w:hAnsi="Times New Roman" w:cs="Times New Roman" w:eastAsia="Times New Roman" w:hint="default"/>
          <w:spacing w:val="-5"/>
        </w:rPr>
        <w:t>1</w:t>
      </w:r>
      <w:r>
        <w:rPr>
          <w:spacing w:val="-5"/>
        </w:rPr>
        <w:t>号楼等</w:t>
      </w:r>
      <w:r>
        <w:rPr>
          <w:rFonts w:ascii="Times New Roman" w:hAnsi="Times New Roman" w:cs="Times New Roman" w:eastAsia="Times New Roman" w:hint="default"/>
          <w:spacing w:val="-5"/>
        </w:rPr>
        <w:t>6</w:t>
      </w:r>
      <w:r>
        <w:rPr>
          <w:spacing w:val="-5"/>
        </w:rPr>
        <w:t>幢楼的房屋所有权及对应国有土地使用权（不动产权证书编号：京（</w:t>
      </w:r>
      <w:r>
        <w:rPr>
          <w:rFonts w:ascii="Times New Roman" w:hAnsi="Times New Roman" w:cs="Times New Roman" w:eastAsia="Times New Roman" w:hint="default"/>
          <w:spacing w:val="-5"/>
        </w:rPr>
        <w:t>2016</w:t>
      </w:r>
      <w:r>
        <w:rPr>
          <w:spacing w:val="-5"/>
        </w:rPr>
        <w:t>）开发区不动产权第</w:t>
      </w:r>
      <w:r>
        <w:rPr>
          <w:rFonts w:ascii="Times New Roman" w:hAnsi="Times New Roman" w:cs="Times New Roman" w:eastAsia="Times New Roman" w:hint="default"/>
          <w:spacing w:val="-5"/>
        </w:rPr>
        <w:t>0019668</w:t>
      </w:r>
      <w:r>
        <w:rPr>
          <w:rFonts w:ascii="Times New Roman" w:hAnsi="Times New Roman" w:cs="Times New Roman" w:eastAsia="Times New Roman" w:hint="default"/>
        </w:rPr>
        <w:t> </w:t>
      </w:r>
      <w:r>
        <w:rPr>
          <w:rFonts w:ascii="Times New Roman" w:hAnsi="Times New Roman" w:cs="Times New Roman" w:eastAsia="Times New Roman" w:hint="default"/>
        </w:rPr>
      </w:r>
      <w:r>
        <w:rPr/>
        <w:t>号）设定抵押，详见</w:t>
      </w:r>
      <w:r>
        <w:rPr>
          <w:rFonts w:ascii="Times New Roman" w:hAnsi="Times New Roman" w:cs="Times New Roman" w:eastAsia="Times New Roman" w:hint="default"/>
        </w:rPr>
        <w:t>“</w:t>
      </w:r>
      <w:r>
        <w:rPr/>
        <w:t>本节</w:t>
      </w:r>
      <w:r>
        <w:rPr>
          <w:rFonts w:ascii="宋体" w:hAnsi="宋体" w:cs="宋体" w:eastAsia="宋体" w:hint="default"/>
        </w:rPr>
        <w:t>24</w:t>
      </w:r>
      <w:r>
        <w:rPr/>
        <w:t>、长期借款</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2"/>
          <w:szCs w:val="22"/>
        </w:rPr>
      </w:pPr>
    </w:p>
    <w:p>
      <w:pPr>
        <w:pStyle w:val="Heading3"/>
        <w:spacing w:line="240" w:lineRule="auto"/>
        <w:ind w:right="2839"/>
        <w:jc w:val="left"/>
        <w:rPr>
          <w:b w:val="0"/>
          <w:bCs w:val="0"/>
        </w:rPr>
      </w:pPr>
      <w:r>
        <w:rPr>
          <w:rFonts w:ascii="Times New Roman" w:hAnsi="Times New Roman" w:cs="Times New Roman" w:eastAsia="Times New Roman" w:hint="default"/>
        </w:rPr>
        <w:t>13</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839"/>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102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北京无双科技有 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443,868,682.22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443,868,682.22</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北京中金云网科 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1,952,342,340.17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1,952,342,340.17</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北京瑞科新网科 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1,693,240.00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1,693,240.00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2,397,904,262.39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2,397,904,262.39</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2839"/>
        <w:jc w:val="left"/>
      </w:pPr>
      <w:r>
        <w:rPr/>
        <w:t>说明商誉减值测试过程、参数及商誉减值损失的确认方法：</w:t>
      </w:r>
    </w:p>
    <w:p>
      <w:pPr>
        <w:pStyle w:val="BodyText"/>
        <w:spacing w:line="319" w:lineRule="auto" w:before="117"/>
        <w:ind w:right="150" w:firstLine="360"/>
        <w:jc w:val="both"/>
      </w:pPr>
      <w:r>
        <w:rPr>
          <w:spacing w:val="-2"/>
        </w:rPr>
        <w:t>①中金云网减值判断：本公司在本期对商誉进行减值测试时，可收回金额按照预计未来现金流量的现值确定。未来现金</w:t>
      </w:r>
      <w:r>
        <w:rPr/>
        <w:t> </w:t>
      </w:r>
      <w:r>
        <w:rPr>
          <w:spacing w:val="-2"/>
        </w:rPr>
        <w:t>流量基于中金云网未来盈利预测情况确定。在预计未来现金流量的现值时使用的其他关键假设还有：基于该资产组过去的业</w:t>
      </w:r>
      <w:r>
        <w:rPr>
          <w:spacing w:val="-64"/>
        </w:rPr>
        <w:t> </w:t>
      </w:r>
      <w:r>
        <w:rPr>
          <w:spacing w:val="-64"/>
        </w:rPr>
      </w:r>
      <w:r>
        <w:rPr>
          <w:spacing w:val="-2"/>
        </w:rPr>
        <w:t>绩、公司对市场发展的预期估计、预计收入增长率及折现率。本公司认为上述假设发生的任何合理变化均不会导致资产组的</w:t>
      </w:r>
      <w:r>
        <w:rPr>
          <w:spacing w:val="-63"/>
        </w:rPr>
        <w:t> </w:t>
      </w:r>
      <w:r>
        <w:rPr>
          <w:spacing w:val="-63"/>
        </w:rPr>
      </w:r>
      <w:r>
        <w:rPr>
          <w:spacing w:val="-2"/>
        </w:rPr>
        <w:t>账面价值合计超过其可收回金额。本报告期本公司未发现包含商誉的资产组可收回金额低于其账面价值，因此未发生商誉的</w:t>
      </w:r>
      <w:r>
        <w:rPr>
          <w:spacing w:val="-64"/>
        </w:rPr>
        <w:t> </w:t>
      </w:r>
      <w:r>
        <w:rPr>
          <w:spacing w:val="-64"/>
        </w:rPr>
      </w:r>
      <w:r>
        <w:rPr/>
        <w:t>减值损失。</w:t>
      </w:r>
    </w:p>
    <w:p>
      <w:pPr>
        <w:pStyle w:val="BodyText"/>
        <w:spacing w:line="307" w:lineRule="auto" w:before="17"/>
        <w:ind w:right="148" w:firstLine="360"/>
        <w:jc w:val="both"/>
      </w:pPr>
      <w:r>
        <w:rPr>
          <w:spacing w:val="-5"/>
        </w:rPr>
        <w:t>②无双科技减值判断：本公司对子公司北京无双科技有限公司的商誉进行了减值测试，并聘请中铭国际资产评估（北京）</w:t>
      </w:r>
      <w:r>
        <w:rPr/>
        <w:t> 有限责任公司对其的可收回金额进行了评估，于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日出具了中铭评报字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1001</w:t>
      </w:r>
      <w:r>
        <w:rPr/>
        <w:t>号评估报告，根据该评估报</w:t>
      </w:r>
      <w:r>
        <w:rPr>
          <w:spacing w:val="-33"/>
        </w:rPr>
        <w:t> </w:t>
      </w:r>
      <w:r>
        <w:rPr>
          <w:spacing w:val="-33"/>
        </w:rPr>
      </w:r>
      <w:r>
        <w:rPr>
          <w:spacing w:val="-2"/>
        </w:rPr>
        <w:t>告，北京无双科技有限公司的预计可收回金额为</w:t>
      </w:r>
      <w:r>
        <w:rPr>
          <w:rFonts w:ascii="Times New Roman" w:hAnsi="Times New Roman" w:cs="Times New Roman" w:eastAsia="Times New Roman" w:hint="default"/>
          <w:spacing w:val="-2"/>
        </w:rPr>
        <w:t>62,498.92</w:t>
      </w:r>
      <w:r>
        <w:rPr>
          <w:spacing w:val="-2"/>
        </w:rPr>
        <w:t>万元，高于北京无双科技有限公司持续计量的可辨认净资产的公允</w:t>
      </w:r>
      <w:r>
        <w:rPr>
          <w:spacing w:val="-57"/>
        </w:rPr>
        <w:t> </w:t>
      </w:r>
      <w:r>
        <w:rPr>
          <w:spacing w:val="-57"/>
        </w:rPr>
      </w:r>
      <w:r>
        <w:rPr/>
        <w:t>价值价值和商誉的合计数</w:t>
      </w:r>
      <w:r>
        <w:rPr>
          <w:rFonts w:ascii="Times New Roman" w:hAnsi="Times New Roman" w:cs="Times New Roman" w:eastAsia="Times New Roman" w:hint="default"/>
        </w:rPr>
        <w:t>62,189.50</w:t>
      </w:r>
      <w:r>
        <w:rPr/>
        <w:t>万元，未发生减值，故期末未计提减值准备。</w:t>
      </w:r>
    </w:p>
    <w:p>
      <w:pPr>
        <w:pStyle w:val="BodyText"/>
        <w:spacing w:line="316" w:lineRule="auto" w:before="7"/>
        <w:ind w:right="151" w:firstLine="360"/>
        <w:jc w:val="both"/>
      </w:pPr>
      <w:r>
        <w:rPr>
          <w:spacing w:val="-2"/>
        </w:rPr>
        <w:t>③瑞科新网商誉减值判断：将非同一控制企业合并北京瑞科新网科技有限公司形成的商誉的账面价值，按照合理的方法</w:t>
      </w:r>
      <w:r>
        <w:rPr/>
        <w:t> </w:t>
      </w:r>
      <w:r>
        <w:rPr>
          <w:spacing w:val="-2"/>
        </w:rPr>
        <w:t>分摊至相关的资产组，先对不包含商誉的资产组进行减值测试，可回收金额高于账面价值，未发生减值损失。再对包含商誉</w:t>
      </w:r>
      <w:r>
        <w:rPr>
          <w:spacing w:val="-64"/>
        </w:rPr>
        <w:t> </w:t>
      </w:r>
      <w:r>
        <w:rPr>
          <w:spacing w:val="-64"/>
        </w:rPr>
      </w:r>
      <w:r>
        <w:rPr/>
        <w:t>的资产组进行减值测试，相关资产组的可收回金额高于其账面价值，因此未发生商誉的减值损失。</w:t>
      </w:r>
    </w:p>
    <w:p>
      <w:pPr>
        <w:spacing w:after="0" w:line="316"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2839"/>
        <w:jc w:val="left"/>
        <w:rPr>
          <w:b w:val="0"/>
          <w:bCs w:val="0"/>
        </w:rPr>
      </w:pPr>
      <w:r>
        <w:rPr>
          <w:rFonts w:ascii="Times New Roman" w:hAnsi="Times New Roman" w:cs="Times New Roman" w:eastAsia="Times New Roman" w:hint="default"/>
        </w:rPr>
        <w:t>14</w:t>
      </w:r>
      <w:r>
        <w:rPr/>
        <w:t>、长期待摊费用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机房装修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48,174,987.43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34,299,084.34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4,061,472.76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78,412,599.01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办公室装修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10,509,780.25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11,694,978.55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323,401.02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10,509,780.25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11,371,577.53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管井租赁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10,418,473.14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830,680.12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1,231,029.55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19,037.96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9,999,085.75</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中金云网数据中心 改造</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11,649,286.95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9,129,672.53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8,867,894.04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11,911,065.44</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中金云网数据中心 环境维护</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5,501,157.27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838,546.64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1,459,706.57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4,879,997.34</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燕郊光环云谷二期 房屋租金</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28,730,905.40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14,365,452.72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14,365,452.68</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酒仙桥机房外电源 改造工程</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4,120,546.00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120,168.51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4,000,377.49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86,253,685.04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89,644,413.58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30,429,125.17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10,528,818.21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134,940,155.24</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rFonts w:ascii="Times New Roman" w:hAnsi="Times New Roman" w:cs="Times New Roman" w:eastAsia="Times New Roman" w:hint="default"/>
        </w:rPr>
        <w:t>15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839"/>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16,093,225.04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2,432,094.72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12,094,510.56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1,771,332.20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7,912,293.48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1,978,073.37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4,695,307.96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1,173,826.99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52,569,451.53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7,885,417.73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76,574,970.05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12,295,585.82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16,789,818.52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2,945,159.19</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43"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4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5"/>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114,893,595.87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17,960,918.01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118,756,304.43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18,562,350.92</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加速折旧</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17,120,135.27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2,568,020.29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10,640,177.26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1,596,026.59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132,013,731.14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20,528,938.30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129,396,481.69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20,158,377.51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2839"/>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2" w:right="51"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4"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12,295,585.82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2,945,159.19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20,528,938.30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20,158,377.51</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rFonts w:ascii="Times New Roman" w:hAnsi="Times New Roman" w:cs="Times New Roman" w:eastAsia="Times New Roman" w:hint="default"/>
        </w:rPr>
        <w:t>16</w:t>
      </w:r>
      <w:r>
        <w:rPr/>
        <w:t>、其他非流动资产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预付购房款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75,082,477.85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77,149,685.41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75,082,477.85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77,149,685.41</w:t>
            </w:r>
          </w:p>
        </w:tc>
      </w:tr>
    </w:tbl>
    <w:p>
      <w:pPr>
        <w:pStyle w:val="BodyText"/>
        <w:spacing w:line="240" w:lineRule="auto" w:before="49"/>
        <w:ind w:right="2839"/>
        <w:jc w:val="left"/>
      </w:pPr>
      <w:r>
        <w:rPr/>
        <w:t>其他说明：</w:t>
      </w:r>
    </w:p>
    <w:p>
      <w:pPr>
        <w:pStyle w:val="BodyText"/>
        <w:spacing w:line="300" w:lineRule="auto" w:before="115"/>
        <w:ind w:right="151" w:firstLine="360"/>
        <w:jc w:val="both"/>
      </w:pPr>
      <w:r>
        <w:rPr/>
        <w:t>（</w:t>
      </w:r>
      <w:r>
        <w:rPr>
          <w:rFonts w:ascii="Times New Roman" w:hAnsi="Times New Roman" w:cs="Times New Roman" w:eastAsia="Times New Roman" w:hint="default"/>
        </w:rPr>
        <w:t>1</w:t>
      </w:r>
      <w:r>
        <w:rPr/>
        <w:t>）本公司分别在</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9</w:t>
      </w:r>
      <w:r>
        <w:rPr/>
        <w:t>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13</w:t>
      </w:r>
      <w:r>
        <w:rPr/>
        <w:t>日与德信智能手机技术（北京）有限公司签订了《房 屋买卖合同》、《</w:t>
      </w:r>
      <w:r>
        <w:rPr>
          <w:rFonts w:ascii="Times New Roman" w:hAnsi="Times New Roman" w:cs="Times New Roman" w:eastAsia="Times New Roman" w:hint="default"/>
        </w:rPr>
        <w:t>&lt;</w:t>
      </w:r>
      <w:r>
        <w:rPr/>
        <w:t>房屋买卖合同</w:t>
      </w:r>
      <w:r>
        <w:rPr>
          <w:rFonts w:ascii="Times New Roman" w:hAnsi="Times New Roman" w:cs="Times New Roman" w:eastAsia="Times New Roman" w:hint="default"/>
        </w:rPr>
        <w:t>&gt;</w:t>
      </w:r>
      <w:r>
        <w:rPr/>
        <w:t>之补充合同》、《</w:t>
      </w:r>
      <w:r>
        <w:rPr>
          <w:rFonts w:ascii="Times New Roman" w:hAnsi="Times New Roman" w:cs="Times New Roman" w:eastAsia="Times New Roman" w:hint="default"/>
        </w:rPr>
        <w:t>&lt;</w:t>
      </w:r>
      <w:r>
        <w:rPr/>
        <w:t>房屋买卖合同</w:t>
      </w:r>
      <w:r>
        <w:rPr>
          <w:rFonts w:ascii="Times New Roman" w:hAnsi="Times New Roman" w:cs="Times New Roman" w:eastAsia="Times New Roman" w:hint="default"/>
        </w:rPr>
        <w:t>&gt;</w:t>
      </w:r>
      <w:r>
        <w:rPr/>
        <w:t>之补充合同二》约定其向公司出售房屋（朝阳区酒仙 桥北路甲</w:t>
      </w:r>
      <w:r>
        <w:rPr>
          <w:rFonts w:ascii="Times New Roman" w:hAnsi="Times New Roman" w:cs="Times New Roman" w:eastAsia="Times New Roman" w:hint="default"/>
        </w:rPr>
        <w:t>10</w:t>
      </w:r>
      <w:r>
        <w:rPr/>
        <w:t>号院</w:t>
      </w:r>
      <w:r>
        <w:rPr>
          <w:rFonts w:ascii="Times New Roman" w:hAnsi="Times New Roman" w:cs="Times New Roman" w:eastAsia="Times New Roman" w:hint="default"/>
        </w:rPr>
        <w:t>402</w:t>
      </w:r>
      <w:r>
        <w:rPr/>
        <w:t>号楼</w:t>
      </w:r>
      <w:r>
        <w:rPr>
          <w:rFonts w:ascii="Times New Roman" w:hAnsi="Times New Roman" w:cs="Times New Roman" w:eastAsia="Times New Roman" w:hint="default"/>
        </w:rPr>
        <w:t>5</w:t>
      </w:r>
      <w:r>
        <w:rPr/>
        <w:t>层）作为数据机房使用，交易价格为</w:t>
      </w:r>
      <w:r>
        <w:rPr>
          <w:rFonts w:ascii="Times New Roman" w:hAnsi="Times New Roman" w:cs="Times New Roman" w:eastAsia="Times New Roman" w:hint="default"/>
        </w:rPr>
        <w:t>41,634,880.00</w:t>
      </w:r>
      <w:r>
        <w:rPr/>
        <w:t>元，公司已累计支付交易价款</w:t>
      </w:r>
      <w:r>
        <w:rPr>
          <w:rFonts w:ascii="Times New Roman" w:hAnsi="Times New Roman" w:cs="Times New Roman" w:eastAsia="Times New Roman" w:hint="default"/>
        </w:rPr>
        <w:t>41,634,880.00</w:t>
      </w:r>
      <w:r>
        <w:rPr/>
        <w:t>元， 截至报告日房屋产权证尚在办理中，未过户至本公司；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月，公司在标的房屋建设的酒仙桥机房二期已投入使用并结 </w:t>
      </w:r>
      <w:r>
        <w:rPr>
          <w:spacing w:val="-2"/>
        </w:rPr>
        <w:t>转固定资产，出于谨慎性和配比原则考虑，公司比照房屋建筑物折旧政策进行摊销，摊销年限</w:t>
      </w:r>
      <w:r>
        <w:rPr>
          <w:rFonts w:ascii="Times New Roman" w:hAnsi="Times New Roman" w:cs="Times New Roman" w:eastAsia="Times New Roman" w:hint="default"/>
          <w:spacing w:val="-2"/>
        </w:rPr>
        <w:t>40</w:t>
      </w:r>
      <w:r>
        <w:rPr>
          <w:spacing w:val="-2"/>
        </w:rPr>
        <w:t>年，截至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日累</w:t>
      </w:r>
      <w:r>
        <w:rPr>
          <w:spacing w:val="-60"/>
        </w:rPr>
        <w:t> </w:t>
      </w:r>
      <w:r>
        <w:rPr/>
        <w:t>计摊销</w:t>
      </w:r>
      <w:r>
        <w:rPr>
          <w:rFonts w:ascii="Times New Roman" w:hAnsi="Times New Roman" w:cs="Times New Roman" w:eastAsia="Times New Roman" w:hint="default"/>
        </w:rPr>
        <w:t>64</w:t>
      </w:r>
      <w:r>
        <w:rPr/>
        <w:t>个月，摊销金额</w:t>
      </w:r>
      <w:r>
        <w:rPr>
          <w:rFonts w:ascii="Times New Roman" w:hAnsi="Times New Roman" w:cs="Times New Roman" w:eastAsia="Times New Roman" w:hint="default"/>
        </w:rPr>
        <w:t>5,532,224.55</w:t>
      </w:r>
      <w:r>
        <w:rPr/>
        <w:t>元，摊销后余额</w:t>
      </w:r>
      <w:r>
        <w:rPr>
          <w:rFonts w:ascii="Times New Roman" w:hAnsi="Times New Roman" w:cs="Times New Roman" w:eastAsia="Times New Roman" w:hint="default"/>
        </w:rPr>
        <w:t>36,102,655.45</w:t>
      </w:r>
      <w:r>
        <w:rPr/>
        <w:t>元。</w:t>
      </w:r>
    </w:p>
    <w:p>
      <w:pPr>
        <w:pStyle w:val="BodyText"/>
        <w:spacing w:line="300" w:lineRule="auto" w:before="13"/>
        <w:ind w:right="146" w:firstLine="360"/>
        <w:jc w:val="both"/>
      </w:pPr>
      <w:r>
        <w:rPr/>
        <w:t>（</w:t>
      </w:r>
      <w:r>
        <w:rPr>
          <w:rFonts w:ascii="Times New Roman" w:hAnsi="Times New Roman" w:cs="Times New Roman" w:eastAsia="Times New Roman" w:hint="default"/>
        </w:rPr>
        <w:t>2</w:t>
      </w:r>
      <w:r>
        <w:rPr/>
        <w:t>）本公司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日与德信智能手机技术（北京）有限公司签订了《</w:t>
      </w:r>
      <w:r>
        <w:rPr>
          <w:rFonts w:ascii="Times New Roman" w:hAnsi="Times New Roman" w:cs="Times New Roman" w:eastAsia="Times New Roman" w:hint="default"/>
        </w:rPr>
        <w:t>&lt;</w:t>
      </w:r>
      <w:r>
        <w:rPr/>
        <w:t>房屋买卖合同</w:t>
      </w:r>
      <w:r>
        <w:rPr>
          <w:rFonts w:ascii="Times New Roman" w:hAnsi="Times New Roman" w:cs="Times New Roman" w:eastAsia="Times New Roman" w:hint="default"/>
        </w:rPr>
        <w:t>&gt;</w:t>
      </w:r>
      <w:r>
        <w:rPr/>
        <w:t>之补充合同三》约定其向</w:t>
      </w:r>
      <w:r>
        <w:rPr>
          <w:spacing w:val="2"/>
        </w:rPr>
        <w:t> </w:t>
      </w:r>
      <w:r>
        <w:rPr>
          <w:spacing w:val="-1"/>
        </w:rPr>
        <w:t>公司出售房屋（朝阳区酒仙桥北路甲</w:t>
      </w:r>
      <w:r>
        <w:rPr>
          <w:rFonts w:ascii="Times New Roman" w:hAnsi="Times New Roman" w:cs="Times New Roman" w:eastAsia="Times New Roman" w:hint="default"/>
          <w:spacing w:val="-1"/>
        </w:rPr>
        <w:t>10</w:t>
      </w:r>
      <w:r>
        <w:rPr>
          <w:spacing w:val="-1"/>
        </w:rPr>
        <w:t>号院</w:t>
      </w:r>
      <w:r>
        <w:rPr>
          <w:rFonts w:ascii="Times New Roman" w:hAnsi="Times New Roman" w:cs="Times New Roman" w:eastAsia="Times New Roman" w:hint="default"/>
          <w:spacing w:val="-1"/>
        </w:rPr>
        <w:t>402</w:t>
      </w:r>
      <w:r>
        <w:rPr>
          <w:spacing w:val="-1"/>
        </w:rPr>
        <w:t>号楼</w:t>
      </w:r>
      <w:r>
        <w:rPr>
          <w:rFonts w:ascii="Times New Roman" w:hAnsi="Times New Roman" w:cs="Times New Roman" w:eastAsia="Times New Roman" w:hint="default"/>
          <w:spacing w:val="-1"/>
        </w:rPr>
        <w:t>4</w:t>
      </w:r>
      <w:r>
        <w:rPr>
          <w:spacing w:val="-1"/>
        </w:rPr>
        <w:t>层）作为数据机房使用，交易价格为</w:t>
      </w:r>
      <w:r>
        <w:rPr>
          <w:rFonts w:ascii="Times New Roman" w:hAnsi="Times New Roman" w:cs="Times New Roman" w:eastAsia="Times New Roman" w:hint="default"/>
          <w:spacing w:val="-1"/>
        </w:rPr>
        <w:t>41,034,880.00</w:t>
      </w:r>
      <w:r>
        <w:rPr>
          <w:spacing w:val="-1"/>
        </w:rPr>
        <w:t>元，截止</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spacing w:val="-70"/>
        </w:rPr>
        <w:t> </w:t>
      </w:r>
      <w:r>
        <w:rPr>
          <w:rFonts w:ascii="Times New Roman" w:hAnsi="Times New Roman" w:cs="Times New Roman" w:eastAsia="Times New Roman" w:hint="default"/>
          <w:spacing w:val="-1"/>
        </w:rPr>
        <w:t>31</w:t>
      </w:r>
      <w:r>
        <w:rPr>
          <w:spacing w:val="-1"/>
        </w:rPr>
        <w:t>日，公司已累计支付交易价款</w:t>
      </w:r>
      <w:r>
        <w:rPr>
          <w:rFonts w:ascii="Times New Roman" w:hAnsi="Times New Roman" w:cs="Times New Roman" w:eastAsia="Times New Roman" w:hint="default"/>
          <w:spacing w:val="-1"/>
        </w:rPr>
        <w:t>41,031,392.00</w:t>
      </w:r>
      <w:r>
        <w:rPr>
          <w:spacing w:val="-1"/>
        </w:rPr>
        <w:t>元，截至报告日房屋产权证尚在办理中，未过户至本公司，</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月四层机</w:t>
      </w:r>
      <w:r>
        <w:rPr>
          <w:spacing w:val="-74"/>
        </w:rPr>
        <w:t> </w:t>
      </w:r>
      <w:r>
        <w:rPr>
          <w:spacing w:val="-74"/>
        </w:rPr>
      </w:r>
      <w:r>
        <w:rPr>
          <w:spacing w:val="-4"/>
        </w:rPr>
        <w:t>房已经建设完工，投入使用</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11"/>
        </w:rPr>
        <w:t> </w:t>
      </w:r>
      <w:r>
        <w:rPr>
          <w:spacing w:val="-4"/>
        </w:rPr>
        <w:t>出于谨慎性和配比原则考虑，公司比照房屋建筑物折旧政策进行摊销，摊销年限</w:t>
      </w:r>
      <w:r>
        <w:rPr>
          <w:rFonts w:ascii="Times New Roman" w:hAnsi="Times New Roman" w:cs="Times New Roman" w:eastAsia="Times New Roman" w:hint="default"/>
          <w:spacing w:val="-4"/>
        </w:rPr>
        <w:t>40</w:t>
      </w:r>
      <w:r>
        <w:rPr>
          <w:spacing w:val="-4"/>
        </w:rPr>
        <w:t>年，截至</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日累计摊销</w:t>
      </w:r>
      <w:r>
        <w:rPr>
          <w:rFonts w:ascii="Times New Roman" w:hAnsi="Times New Roman" w:cs="Times New Roman" w:eastAsia="Times New Roman" w:hint="default"/>
        </w:rPr>
        <w:t>24</w:t>
      </w:r>
      <w:r>
        <w:rPr/>
        <w:t>个月，摊销金额</w:t>
      </w:r>
      <w:r>
        <w:rPr>
          <w:rFonts w:ascii="Times New Roman" w:hAnsi="Times New Roman" w:cs="Times New Roman" w:eastAsia="Times New Roman" w:hint="default"/>
        </w:rPr>
        <w:t>2,051,569.60</w:t>
      </w:r>
      <w:r>
        <w:rPr/>
        <w:t>元，摊销后余额</w:t>
      </w:r>
      <w:r>
        <w:rPr>
          <w:rFonts w:ascii="Times New Roman" w:hAnsi="Times New Roman" w:cs="Times New Roman" w:eastAsia="Times New Roman" w:hint="default"/>
        </w:rPr>
        <w:t>38,979,822.40</w:t>
      </w:r>
      <w:r>
        <w:rPr/>
        <w:t>元。</w:t>
      </w:r>
    </w:p>
    <w:p>
      <w:pPr>
        <w:pStyle w:val="BodyText"/>
        <w:spacing w:line="240" w:lineRule="auto" w:before="13"/>
        <w:ind w:left="0" w:right="152"/>
        <w:jc w:val="right"/>
      </w:pPr>
      <w:r>
        <w:rPr>
          <w:spacing w:val="-4"/>
        </w:rPr>
        <w:t>（</w:t>
      </w:r>
      <w:r>
        <w:rPr>
          <w:rFonts w:ascii="Times New Roman" w:hAnsi="Times New Roman" w:cs="Times New Roman" w:eastAsia="Times New Roman" w:hint="default"/>
          <w:spacing w:val="-4"/>
        </w:rPr>
        <w:t>3</w:t>
      </w:r>
      <w:r>
        <w:rPr>
          <w:spacing w:val="-4"/>
        </w:rPr>
        <w:t>）为保证公司权益，公司已与德信智能手机技术（北京）有限公司签订不动产抵押合同，将上述房屋抵押给本公司。</w:t>
      </w:r>
    </w:p>
    <w:p>
      <w:pPr>
        <w:spacing w:line="240" w:lineRule="auto" w:before="2"/>
        <w:rPr>
          <w:rFonts w:ascii="宋体" w:hAnsi="宋体" w:cs="宋体" w:eastAsia="宋体" w:hint="default"/>
          <w:sz w:val="26"/>
          <w:szCs w:val="26"/>
        </w:rPr>
      </w:pPr>
    </w:p>
    <w:p>
      <w:pPr>
        <w:pStyle w:val="Heading3"/>
        <w:spacing w:line="240" w:lineRule="auto"/>
        <w:ind w:right="2839"/>
        <w:jc w:val="left"/>
        <w:rPr>
          <w:b w:val="0"/>
          <w:bCs w:val="0"/>
        </w:rPr>
      </w:pPr>
      <w:r>
        <w:rPr>
          <w:rFonts w:ascii="Times New Roman" w:hAnsi="Times New Roman" w:cs="Times New Roman" w:eastAsia="Times New Roman" w:hint="default"/>
        </w:rPr>
        <w:t>17</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2839"/>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60,000,000.00</w:t>
            </w:r>
          </w:p>
        </w:tc>
      </w:tr>
    </w:tbl>
    <w:p>
      <w:pPr>
        <w:pStyle w:val="BodyText"/>
        <w:spacing w:line="240" w:lineRule="auto" w:before="49"/>
        <w:ind w:right="2839"/>
        <w:jc w:val="left"/>
      </w:pPr>
      <w:r>
        <w:rPr/>
        <w:t>短期借款分类的说明：</w:t>
      </w:r>
    </w:p>
    <w:p>
      <w:pPr>
        <w:pStyle w:val="BodyText"/>
        <w:spacing w:line="240" w:lineRule="auto" w:before="117"/>
        <w:ind w:left="513" w:right="0"/>
        <w:jc w:val="left"/>
      </w:pPr>
      <w:r>
        <w:rPr/>
        <w:t>（</w:t>
      </w:r>
      <w:r>
        <w:rPr>
          <w:rFonts w:ascii="宋体" w:hAnsi="宋体" w:cs="宋体" w:eastAsia="宋体" w:hint="default"/>
        </w:rPr>
        <w:t>1</w:t>
      </w:r>
      <w:r>
        <w:rPr/>
        <w:t>）</w:t>
      </w:r>
      <w:r>
        <w:rPr>
          <w:rFonts w:ascii="宋体" w:hAnsi="宋体" w:cs="宋体" w:eastAsia="宋体" w:hint="default"/>
        </w:rPr>
        <w:t>2016</w:t>
      </w:r>
      <w:r>
        <w:rPr/>
        <w:t>年</w:t>
      </w:r>
      <w:r>
        <w:rPr>
          <w:rFonts w:ascii="宋体" w:hAnsi="宋体" w:cs="宋体" w:eastAsia="宋体" w:hint="default"/>
        </w:rPr>
        <w:t>9</w:t>
      </w:r>
      <w:r>
        <w:rPr/>
        <w:t>月</w:t>
      </w:r>
      <w:r>
        <w:rPr>
          <w:rFonts w:ascii="宋体" w:hAnsi="宋体" w:cs="宋体" w:eastAsia="宋体" w:hint="default"/>
        </w:rPr>
        <w:t>12</w:t>
      </w:r>
      <w:r>
        <w:rPr/>
        <w:t>日，北京无双科技有限公司与浦发硅谷银行有限公司签订【</w:t>
      </w:r>
      <w:r>
        <w:rPr>
          <w:rFonts w:ascii="宋体" w:hAnsi="宋体" w:cs="宋体" w:eastAsia="宋体" w:hint="default"/>
        </w:rPr>
        <w:t>CL201607006</w:t>
      </w:r>
      <w:r>
        <w:rPr/>
        <w:t>】《流动资金借款合同》，</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16" w:lineRule="auto" w:before="44"/>
        <w:ind w:right="148"/>
        <w:jc w:val="both"/>
      </w:pPr>
      <w:r>
        <w:rPr>
          <w:spacing w:val="-7"/>
        </w:rPr>
        <w:t>累计取得借款肆仟万元整，借款期限</w:t>
      </w:r>
      <w:r>
        <w:rPr>
          <w:rFonts w:ascii="宋体" w:hAnsi="宋体" w:cs="宋体" w:eastAsia="宋体" w:hint="default"/>
          <w:spacing w:val="-7"/>
        </w:rPr>
        <w:t>1</w:t>
      </w:r>
      <w:r>
        <w:rPr>
          <w:spacing w:val="-7"/>
        </w:rPr>
        <w:t>年，同时，</w:t>
      </w:r>
      <w:r>
        <w:rPr>
          <w:rFonts w:ascii="宋体" w:hAnsi="宋体" w:cs="宋体" w:eastAsia="宋体" w:hint="default"/>
          <w:spacing w:val="-7"/>
        </w:rPr>
        <w:t>2016</w:t>
      </w:r>
      <w:r>
        <w:rPr>
          <w:spacing w:val="-7"/>
        </w:rPr>
        <w:t>年</w:t>
      </w:r>
      <w:r>
        <w:rPr>
          <w:rFonts w:ascii="宋体" w:hAnsi="宋体" w:cs="宋体" w:eastAsia="宋体" w:hint="default"/>
          <w:spacing w:val="-7"/>
        </w:rPr>
        <w:t>9</w:t>
      </w:r>
      <w:r>
        <w:rPr>
          <w:spacing w:val="-7"/>
        </w:rPr>
        <w:t>月</w:t>
      </w:r>
      <w:r>
        <w:rPr>
          <w:rFonts w:ascii="宋体" w:hAnsi="宋体" w:cs="宋体" w:eastAsia="宋体" w:hint="default"/>
          <w:spacing w:val="-7"/>
        </w:rPr>
        <w:t>12</w:t>
      </w:r>
      <w:r>
        <w:rPr>
          <w:spacing w:val="-7"/>
        </w:rPr>
        <w:t>日又签订【</w:t>
      </w:r>
      <w:r>
        <w:rPr>
          <w:rFonts w:ascii="宋体" w:hAnsi="宋体" w:cs="宋体" w:eastAsia="宋体" w:hint="default"/>
          <w:spacing w:val="-7"/>
        </w:rPr>
        <w:t>CL201607006-AR</w:t>
      </w:r>
      <w:r>
        <w:rPr>
          <w:spacing w:val="-7"/>
        </w:rPr>
        <w:t>】《应收账款质押协议（最高额）》，</w:t>
      </w:r>
      <w:r>
        <w:rPr>
          <w:spacing w:val="-76"/>
        </w:rPr>
        <w:t> </w:t>
      </w:r>
      <w:r>
        <w:rPr>
          <w:spacing w:val="-76"/>
        </w:rPr>
      </w:r>
      <w:r>
        <w:rPr>
          <w:spacing w:val="-2"/>
        </w:rPr>
        <w:t>以全部应收账款做为该借款合同的质押，期间为</w:t>
      </w:r>
      <w:r>
        <w:rPr>
          <w:rFonts w:ascii="宋体" w:hAnsi="宋体" w:cs="宋体" w:eastAsia="宋体" w:hint="default"/>
          <w:spacing w:val="-2"/>
        </w:rPr>
        <w:t>2016</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12</w:t>
      </w:r>
      <w:r>
        <w:rPr>
          <w:spacing w:val="-2"/>
        </w:rPr>
        <w:t>日至</w:t>
      </w:r>
      <w:r>
        <w:rPr>
          <w:rFonts w:ascii="宋体" w:hAnsi="宋体" w:cs="宋体" w:eastAsia="宋体" w:hint="default"/>
          <w:spacing w:val="-2"/>
        </w:rPr>
        <w:t>2018</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11</w:t>
      </w:r>
      <w:r>
        <w:rPr>
          <w:spacing w:val="-2"/>
        </w:rPr>
        <w:t>日止，并签订了【</w:t>
      </w:r>
      <w:r>
        <w:rPr>
          <w:rFonts w:ascii="宋体" w:hAnsi="宋体" w:cs="宋体" w:eastAsia="宋体" w:hint="default"/>
          <w:spacing w:val="-2"/>
        </w:rPr>
        <w:t>CL201607006-RA</w:t>
      </w:r>
      <w:r>
        <w:rPr>
          <w:spacing w:val="-2"/>
        </w:rPr>
        <w:t>】《应收账</w:t>
      </w:r>
      <w:r>
        <w:rPr>
          <w:spacing w:val="-46"/>
        </w:rPr>
        <w:t> </w:t>
      </w:r>
      <w:r>
        <w:rPr>
          <w:spacing w:val="-46"/>
        </w:rPr>
      </w:r>
      <w:r>
        <w:rPr/>
        <w:t>款质押登记协议》。截止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日，贷款余额</w:t>
      </w:r>
      <w:r>
        <w:rPr>
          <w:rFonts w:ascii="宋体" w:hAnsi="宋体" w:cs="宋体" w:eastAsia="宋体" w:hint="default"/>
        </w:rPr>
        <w:t>30,000,000.00</w:t>
      </w:r>
      <w:r>
        <w:rPr/>
        <w:t>元。</w:t>
      </w:r>
    </w:p>
    <w:p>
      <w:pPr>
        <w:pStyle w:val="BodyText"/>
        <w:spacing w:line="316" w:lineRule="auto" w:before="19"/>
        <w:ind w:right="144" w:firstLine="360"/>
        <w:jc w:val="left"/>
      </w:pPr>
      <w:r>
        <w:rPr/>
        <w:t>（</w:t>
      </w:r>
      <w:r>
        <w:rPr>
          <w:rFonts w:ascii="宋体" w:hAnsi="宋体" w:cs="宋体" w:eastAsia="宋体" w:hint="default"/>
        </w:rPr>
        <w:t>2</w:t>
      </w:r>
      <w:r>
        <w:rPr/>
        <w:t>）</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16</w:t>
      </w:r>
      <w:r>
        <w:rPr/>
        <w:t>日，北京光环新网科技股份有限公司与中国民生银行有限公司北京分行签订（公授信字第 </w:t>
      </w:r>
      <w:r>
        <w:rPr>
          <w:rFonts w:ascii="宋体" w:hAnsi="宋体" w:cs="宋体" w:eastAsia="宋体" w:hint="default"/>
        </w:rPr>
        <w:t>1700000114229</w:t>
      </w:r>
      <w:r>
        <w:rPr/>
        <w:t>）综合授信合同，授信期限</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16</w:t>
      </w:r>
      <w:r>
        <w:rPr/>
        <w:t>日至</w:t>
      </w:r>
      <w:r>
        <w:rPr>
          <w:rFonts w:ascii="宋体" w:hAnsi="宋体" w:cs="宋体" w:eastAsia="宋体" w:hint="default"/>
        </w:rPr>
        <w:t>2018</w:t>
      </w:r>
      <w:r>
        <w:rPr/>
        <w:t>年</w:t>
      </w:r>
      <w:r>
        <w:rPr>
          <w:rFonts w:ascii="宋体" w:hAnsi="宋体" w:cs="宋体" w:eastAsia="宋体" w:hint="default"/>
        </w:rPr>
        <w:t>10</w:t>
      </w:r>
      <w:r>
        <w:rPr/>
        <w:t>月</w:t>
      </w:r>
      <w:r>
        <w:rPr>
          <w:rFonts w:ascii="宋体" w:hAnsi="宋体" w:cs="宋体" w:eastAsia="宋体" w:hint="default"/>
        </w:rPr>
        <w:t>15</w:t>
      </w:r>
      <w:r>
        <w:rPr/>
        <w:t>日，授信额度为壹亿元；同时耿殿根与中国民生 银行有限公司北京分行签订（个高保字第</w:t>
      </w:r>
      <w:r>
        <w:rPr>
          <w:rFonts w:ascii="宋体" w:hAnsi="宋体" w:cs="宋体" w:eastAsia="宋体" w:hint="default"/>
        </w:rPr>
        <w:t>1700000114229</w:t>
      </w:r>
      <w:r>
        <w:rPr/>
        <w:t>号）最高额担保合同，担保最高债权额壹亿元。截止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rFonts w:ascii="宋体" w:hAnsi="宋体" w:cs="宋体" w:eastAsia="宋体" w:hint="default"/>
          <w:spacing w:val="-2"/>
        </w:rPr>
        <w:t> </w:t>
      </w:r>
      <w:r>
        <w:rPr/>
        <w:t>日，贷款余额</w:t>
      </w:r>
      <w:r>
        <w:rPr>
          <w:rFonts w:ascii="宋体" w:hAnsi="宋体" w:cs="宋体" w:eastAsia="宋体" w:hint="default"/>
        </w:rPr>
        <w:t>50,000,000.00</w:t>
      </w:r>
      <w:r>
        <w:rPr/>
        <w:t>元。</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18</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871,957,989.97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548,360,295.65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44,465,552.59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2,365,173.07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713,989.55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652,353.85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2,212,296.59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4,389,484.50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919,349,828.70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555,767,307.07</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北京亿动长盛信息系统有限公司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668,070.72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天津国际机械阀门有限公司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296,793.95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北京天云动力科技有限公司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1,619,338.15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北京博威能源科技股份有限公司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深圳市龙控计算机技术有限公司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上海电力设计院有限公司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3,174,833.65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上海汇源建设开发有限公司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北京自来水集团有限责任公司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341,130.00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北京影谱科技股份有限公司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370,754.72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北京城建二建设工程有限公司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8,961,488.76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捷联克莱门特商贸（上海）有限公司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3,419,899.13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北京贝盟国际建筑装饰工程有限公司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3,211,625.48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北京鼎汉技术股份有限公司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2,841,647.90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北京磊鑫建筑工程有限公司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2,822,738.62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常州市汇丽活动地板有限公司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1,246,207.57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珠海派诺科技股份有限公司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930,170.94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北京博程伟业国际工程咨询有限公司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892,390.65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克莱门特制冷设备（上海）有限公司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701,372.50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江苏华东机房集团有限公司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698,726.26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33,361,189.00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2839"/>
        <w:jc w:val="left"/>
      </w:pPr>
      <w:r>
        <w:rPr/>
        <w:t>其他说明：</w:t>
      </w:r>
    </w:p>
    <w:p>
      <w:pPr>
        <w:pStyle w:val="BodyText"/>
        <w:spacing w:line="240" w:lineRule="auto" w:before="115"/>
        <w:ind w:left="513" w:right="2839"/>
        <w:jc w:val="left"/>
      </w:pPr>
      <w:r>
        <w:rPr/>
        <w:t>本报告期无应付持有公司</w:t>
      </w:r>
      <w:r>
        <w:rPr>
          <w:rFonts w:ascii="宋体" w:hAnsi="宋体" w:cs="宋体" w:eastAsia="宋体" w:hint="default"/>
        </w:rPr>
        <w:t>5%</w:t>
      </w:r>
      <w:r>
        <w:rPr/>
        <w:t>（含</w:t>
      </w:r>
      <w:r>
        <w:rPr>
          <w:rFonts w:ascii="宋体" w:hAnsi="宋体" w:cs="宋体" w:eastAsia="宋体" w:hint="default"/>
        </w:rPr>
        <w:t>5%</w:t>
      </w:r>
      <w:r>
        <w:rPr/>
        <w:t>）以上表决权股份的股东单位或关联方的款项。</w:t>
      </w:r>
    </w:p>
    <w:p>
      <w:pPr>
        <w:spacing w:line="240" w:lineRule="auto" w:before="0"/>
        <w:rPr>
          <w:rFonts w:ascii="宋体" w:hAnsi="宋体" w:cs="宋体" w:eastAsia="宋体" w:hint="default"/>
          <w:sz w:val="18"/>
          <w:szCs w:val="18"/>
        </w:rPr>
      </w:pPr>
    </w:p>
    <w:p>
      <w:pPr>
        <w:pStyle w:val="Heading3"/>
        <w:spacing w:line="240" w:lineRule="auto" w:before="121"/>
        <w:ind w:right="2839"/>
        <w:jc w:val="left"/>
        <w:rPr>
          <w:b w:val="0"/>
          <w:bCs w:val="0"/>
        </w:rPr>
      </w:pPr>
      <w:r>
        <w:rPr>
          <w:rFonts w:ascii="Times New Roman" w:hAnsi="Times New Roman" w:cs="Times New Roman" w:eastAsia="Times New Roman" w:hint="default"/>
        </w:rPr>
        <w:t>19</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2839"/>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136,454,389.34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202,362,325.72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2,347,596.88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37,274,370.05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1,649,927.35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3,579,579.84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830,181.18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514,323.23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141,282,094.75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243,730,598.84</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中国纺织信息中心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137,741.90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合同执行中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优客工场（北京）创业投资有限公司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154,758.01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合同执行中</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化学工业出版社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152,638.93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合同执行中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北京安贞和家宾馆有限公司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合同执行中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北京东荣联合广告有限公司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185,879.26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合同执行中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银客金融信息服务（北京）有限公司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201,056.60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合同执行中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国美在线电子商务有限公司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213,311.85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合同执行中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1,275,386.55</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2839"/>
        <w:jc w:val="left"/>
        <w:rPr>
          <w:b w:val="0"/>
          <w:bCs w:val="0"/>
        </w:rPr>
      </w:pPr>
      <w:r>
        <w:rPr>
          <w:rFonts w:ascii="Times New Roman" w:hAnsi="Times New Roman" w:cs="Times New Roman" w:eastAsia="Times New Roman" w:hint="default"/>
        </w:rPr>
        <w:t>20</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2839"/>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10,944,580.38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140,832,667.20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137,162,199.98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14,615,047.60</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1,033,547.46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13,813,586.16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13,638,649.66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1,208,483.96</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5"/>
              <w:jc w:val="left"/>
              <w:rPr>
                <w:rFonts w:ascii="宋体" w:hAnsi="宋体" w:cs="宋体" w:eastAsia="宋体" w:hint="default"/>
                <w:sz w:val="18"/>
                <w:szCs w:val="18"/>
              </w:rPr>
            </w:pPr>
            <w:r>
              <w:rPr>
                <w:rFonts w:ascii="宋体" w:hAnsi="宋体" w:cs="宋体" w:eastAsia="宋体" w:hint="default"/>
                <w:sz w:val="18"/>
                <w:szCs w:val="18"/>
              </w:rPr>
              <w:t>四、一年内到期的其他 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11,978,127.84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154,678,253.36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150,832,849.64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15,823,531.56</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46"/>
        <w:gridCol w:w="1571"/>
        <w:gridCol w:w="1916"/>
        <w:gridCol w:w="1913"/>
        <w:gridCol w:w="1916"/>
      </w:tblGrid>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、工资、奖金、津贴和补贴</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9,546,204.26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122,547,952.64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118,882,653.23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13,211,503.67</w:t>
            </w:r>
          </w:p>
        </w:tc>
      </w:tr>
      <w:tr>
        <w:trPr>
          <w:trHeight w:val="404"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31,043.58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606,930.16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573,250.52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64,723.22</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562,644.07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7,487,991.35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7,339,979.57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710,655.85</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493,344.64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6,634,800.66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6,504,432.20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623,713.10</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32,743.97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308,802.63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304,440.83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37,105.77</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36,555.46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518,330.96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505,049.44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49,836.98</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59"/>
              <w:jc w:val="right"/>
              <w:rPr>
                <w:rFonts w:ascii="宋体" w:hAnsi="宋体" w:cs="宋体" w:eastAsia="宋体" w:hint="default"/>
                <w:sz w:val="18"/>
                <w:szCs w:val="18"/>
              </w:rPr>
            </w:pPr>
            <w:r>
              <w:rPr>
                <w:rFonts w:ascii="宋体" w:hAnsi="宋体" w:cs="宋体" w:eastAsia="宋体" w:hint="default"/>
                <w:sz w:val="18"/>
                <w:szCs w:val="18"/>
              </w:rPr>
              <w:t>补充医疗保险费</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26,057.10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26,057.10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416,289.00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8,457,058.00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8,648,569.00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224,778.00</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、工会经费和职工教育经费</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388,399.47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1,732,735.05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1,717,747.66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403,386.86</w:t>
            </w:r>
          </w:p>
        </w:tc>
      </w:tr>
      <w:tr>
        <w:trPr>
          <w:trHeight w:val="404"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10,944,580.38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140,832,667.20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137,162,199.98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14,615,047.60</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996,959.74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13,280,311.34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13,116,255.84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1,161,015.24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36,587.72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533,274.82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522,393.82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47,468.72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1,033,547.46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13,813,586.16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13,638,649.66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1,208,483.96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2839"/>
        <w:jc w:val="left"/>
        <w:rPr>
          <w:b w:val="0"/>
          <w:bCs w:val="0"/>
        </w:rPr>
      </w:pPr>
      <w:r>
        <w:rPr>
          <w:rFonts w:ascii="Times New Roman" w:hAnsi="Times New Roman" w:cs="Times New Roman" w:eastAsia="Times New Roman" w:hint="default"/>
        </w:rPr>
        <w:t>21</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37,391,446.67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10,116,866.86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60,232,174.37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44,412,528.12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839,875.40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665,339.57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2,562,204.21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682,643.35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1,098,543.16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292,561.50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732,362.08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195,040.99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72,282.91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84,782.91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102,928,888.80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56,449,763.30</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rFonts w:ascii="Times New Roman" w:hAnsi="Times New Roman" w:cs="Times New Roman" w:eastAsia="Times New Roman" w:hint="default"/>
        </w:rPr>
        <w:t>22</w:t>
      </w:r>
      <w:r>
        <w:rPr/>
        <w:t>、应付利息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2,249,656.32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1,826,611.12</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127,270.89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395,166.68</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2,376,927.21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2,221,777.80</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rFonts w:ascii="Times New Roman" w:hAnsi="Times New Roman" w:cs="Times New Roman" w:eastAsia="Times New Roman" w:hint="default"/>
        </w:rPr>
        <w:t>23</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2839"/>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6"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7" w:lineRule="auto" w:before="52"/>
              <w:ind w:left="22" w:right="91"/>
              <w:jc w:val="left"/>
              <w:rPr>
                <w:rFonts w:ascii="宋体" w:hAnsi="宋体" w:cs="宋体" w:eastAsia="宋体" w:hint="default"/>
                <w:sz w:val="18"/>
                <w:szCs w:val="18"/>
              </w:rPr>
            </w:pPr>
            <w:r>
              <w:rPr>
                <w:rFonts w:ascii="宋体" w:hAnsi="宋体" w:cs="宋体" w:eastAsia="宋体" w:hint="default"/>
                <w:sz w:val="18"/>
                <w:szCs w:val="18"/>
              </w:rPr>
              <w:t>股权收购款</w:t>
            </w:r>
            <w:r>
              <w:rPr>
                <w:rFonts w:ascii="Times New Roman" w:hAnsi="Times New Roman" w:cs="Times New Roman" w:eastAsia="Times New Roman" w:hint="default"/>
                <w:sz w:val="18"/>
                <w:szCs w:val="18"/>
              </w:rPr>
              <w:t>-</w:t>
            </w:r>
            <w:r>
              <w:rPr>
                <w:rFonts w:ascii="宋体" w:hAnsi="宋体" w:cs="宋体" w:eastAsia="宋体" w:hint="default"/>
                <w:sz w:val="18"/>
                <w:szCs w:val="18"/>
              </w:rPr>
              <w:t>德信无线通讯科技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2,979,484.95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2,979,484.95</w:t>
            </w:r>
          </w:p>
        </w:tc>
      </w:tr>
      <w:tr>
        <w:trPr>
          <w:trHeight w:val="7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2" w:right="32"/>
              <w:jc w:val="left"/>
              <w:rPr>
                <w:rFonts w:ascii="宋体" w:hAnsi="宋体" w:cs="宋体" w:eastAsia="宋体" w:hint="default"/>
                <w:sz w:val="18"/>
                <w:szCs w:val="18"/>
              </w:rPr>
            </w:pPr>
            <w:r>
              <w:rPr>
                <w:rFonts w:ascii="宋体" w:hAnsi="宋体" w:cs="宋体" w:eastAsia="宋体" w:hint="default"/>
                <w:sz w:val="18"/>
                <w:szCs w:val="18"/>
              </w:rPr>
              <w:t>股权收购款</w:t>
            </w:r>
            <w:r>
              <w:rPr>
                <w:rFonts w:ascii="Times New Roman" w:hAnsi="Times New Roman" w:cs="Times New Roman" w:eastAsia="Times New Roman" w:hint="default"/>
                <w:sz w:val="18"/>
                <w:szCs w:val="18"/>
              </w:rPr>
              <w:t>-</w:t>
            </w:r>
            <w:r>
              <w:rPr>
                <w:rFonts w:ascii="宋体" w:hAnsi="宋体" w:cs="宋体" w:eastAsia="宋体" w:hint="default"/>
                <w:sz w:val="18"/>
                <w:szCs w:val="18"/>
              </w:rPr>
              <w:t>德信无线通讯科技（杭州） 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11,638,756.65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7,567,621.28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16,215,819.90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78,171,758.01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65,619,812.17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1,089,203.33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295,984.36</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797,161.00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412,732.59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90,605,228.57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97,162,590.62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2839"/>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南京安与吉信息技术有限公司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4,340,186.56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保证金未退</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山西云购电子商务有限公司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保证金未退</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北京融联世纪信息技术有限公司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保证金未退</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北京汇聚广告有限公司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保证金未退</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北京车之家信息技术有限公司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保证金未退</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北京创鑫旅程网络技术有限公司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保证金未退</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上海稳护信息技术中心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月已支付</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北京好租科技发展有限公司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保证金未退</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35,695,186.56</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rFonts w:ascii="Times New Roman" w:hAnsi="Times New Roman" w:cs="Times New Roman" w:eastAsia="Times New Roman" w:hint="default"/>
        </w:rPr>
        <w:t>24</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2839"/>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166,189,912.80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1,544,924,128.91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1,220,000,000.00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1,544,924,128.91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1,386,189,912.80</w:t>
            </w:r>
          </w:p>
        </w:tc>
      </w:tr>
    </w:tbl>
    <w:p>
      <w:pPr>
        <w:pStyle w:val="BodyText"/>
        <w:spacing w:line="240" w:lineRule="auto" w:before="49"/>
        <w:ind w:right="2839"/>
        <w:jc w:val="left"/>
      </w:pPr>
      <w:r>
        <w:rPr/>
        <w:t>长期借款分类的说明：</w:t>
      </w:r>
    </w:p>
    <w:p>
      <w:pPr>
        <w:pStyle w:val="BodyText"/>
        <w:spacing w:line="240" w:lineRule="auto" w:before="117"/>
        <w:ind w:left="513" w:right="0"/>
        <w:jc w:val="left"/>
      </w:pPr>
      <w:r>
        <w:rPr/>
        <w:t>（</w:t>
      </w:r>
      <w:r>
        <w:rPr>
          <w:rFonts w:ascii="宋体" w:hAnsi="宋体" w:cs="宋体" w:eastAsia="宋体" w:hint="default"/>
        </w:rPr>
        <w:t>1</w:t>
      </w:r>
      <w:r>
        <w:rPr/>
        <w:t>）子公司北京中金云网科技有限公司以其位于北京经济技术开发区博兴八路</w:t>
      </w:r>
      <w:r>
        <w:rPr>
          <w:rFonts w:ascii="宋体" w:hAnsi="宋体" w:cs="宋体" w:eastAsia="宋体" w:hint="default"/>
        </w:rPr>
        <w:t>1</w:t>
      </w:r>
      <w:r>
        <w:rPr/>
        <w:t>号</w:t>
      </w:r>
      <w:r>
        <w:rPr>
          <w:rFonts w:ascii="宋体" w:hAnsi="宋体" w:cs="宋体" w:eastAsia="宋体" w:hint="default"/>
        </w:rPr>
        <w:t>1</w:t>
      </w:r>
      <w:r>
        <w:rPr/>
        <w:t>幢和</w:t>
      </w:r>
      <w:r>
        <w:rPr>
          <w:rFonts w:ascii="宋体" w:hAnsi="宋体" w:cs="宋体" w:eastAsia="宋体" w:hint="default"/>
        </w:rPr>
        <w:t>2</w:t>
      </w:r>
      <w:r>
        <w:rPr/>
        <w:t>幢房产（不动产权证号：京</w:t>
      </w:r>
    </w:p>
    <w:p>
      <w:pPr>
        <w:pStyle w:val="BodyText"/>
        <w:spacing w:line="319" w:lineRule="auto" w:before="76"/>
        <w:ind w:right="151"/>
        <w:jc w:val="both"/>
      </w:pPr>
      <w:r>
        <w:rPr/>
        <w:t>【</w:t>
      </w:r>
      <w:r>
        <w:rPr>
          <w:rFonts w:ascii="宋体" w:hAnsi="宋体" w:cs="宋体" w:eastAsia="宋体" w:hint="default"/>
        </w:rPr>
        <w:t>2016</w:t>
      </w:r>
      <w:r>
        <w:rPr/>
        <w:t>】开发区不动产权第</w:t>
      </w:r>
      <w:r>
        <w:rPr>
          <w:rFonts w:ascii="宋体" w:hAnsi="宋体" w:cs="宋体" w:eastAsia="宋体" w:hint="default"/>
        </w:rPr>
        <w:t>0011007</w:t>
      </w:r>
      <w:r>
        <w:rPr/>
        <w:t>号）设定抵押，抵押期限</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9</w:t>
      </w:r>
      <w:r>
        <w:rPr/>
        <w:t>日至</w:t>
      </w:r>
      <w:r>
        <w:rPr>
          <w:rFonts w:ascii="宋体" w:hAnsi="宋体" w:cs="宋体" w:eastAsia="宋体" w:hint="default"/>
        </w:rPr>
        <w:t>2023</w:t>
      </w:r>
      <w:r>
        <w:rPr/>
        <w:t>年</w:t>
      </w:r>
      <w:r>
        <w:rPr>
          <w:rFonts w:ascii="宋体" w:hAnsi="宋体" w:cs="宋体" w:eastAsia="宋体" w:hint="default"/>
        </w:rPr>
        <w:t>3</w:t>
      </w:r>
      <w:r>
        <w:rPr/>
        <w:t>月</w:t>
      </w:r>
      <w:r>
        <w:rPr>
          <w:rFonts w:ascii="宋体" w:hAnsi="宋体" w:cs="宋体" w:eastAsia="宋体" w:hint="default"/>
        </w:rPr>
        <w:t>8</w:t>
      </w:r>
      <w:r>
        <w:rPr/>
        <w:t>日；以融资期内北京数据中心一期 </w:t>
      </w:r>
      <w:r>
        <w:rPr>
          <w:spacing w:val="-2"/>
        </w:rPr>
        <w:t>产生的全部经营收入及该合同下应收账款设定质押并由董事长杨洁及其配偶张利做为连带责任保证人，与中国工商银行股份</w:t>
      </w:r>
      <w:r>
        <w:rPr>
          <w:spacing w:val="-64"/>
        </w:rPr>
        <w:t> </w:t>
      </w:r>
      <w:r>
        <w:rPr>
          <w:spacing w:val="-64"/>
        </w:rPr>
      </w:r>
      <w:r>
        <w:rPr>
          <w:spacing w:val="-2"/>
        </w:rPr>
        <w:t>有限公司北京经济技术开发区支行于</w:t>
      </w:r>
      <w:r>
        <w:rPr>
          <w:rFonts w:ascii="宋体" w:hAnsi="宋体" w:cs="宋体" w:eastAsia="宋体" w:hint="default"/>
          <w:spacing w:val="-2"/>
        </w:rPr>
        <w:t>2015</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10</w:t>
      </w:r>
      <w:r>
        <w:rPr>
          <w:spacing w:val="-2"/>
        </w:rPr>
        <w:t>日签订《固定资产融资借款合同》（编号：</w:t>
      </w:r>
      <w:r>
        <w:rPr>
          <w:rFonts w:ascii="宋体" w:hAnsi="宋体" w:cs="宋体" w:eastAsia="宋体" w:hint="default"/>
          <w:spacing w:val="-2"/>
        </w:rPr>
        <w:t>0020000094-2015</w:t>
      </w:r>
      <w:r>
        <w:rPr>
          <w:spacing w:val="-2"/>
        </w:rPr>
        <w:t>年（亦庄）字</w:t>
      </w:r>
      <w:r>
        <w:rPr>
          <w:spacing w:val="-51"/>
        </w:rPr>
        <w:t> </w:t>
      </w:r>
      <w:r>
        <w:rPr>
          <w:spacing w:val="-51"/>
        </w:rPr>
      </w:r>
      <w:r>
        <w:rPr>
          <w:rFonts w:ascii="宋体" w:hAnsi="宋体" w:cs="宋体" w:eastAsia="宋体" w:hint="default"/>
        </w:rPr>
        <w:t>0014</w:t>
      </w:r>
      <w:r>
        <w:rPr/>
        <w:t>号）贷款额度伍亿整，截至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日贷款余额</w:t>
      </w:r>
      <w:r>
        <w:rPr>
          <w:rFonts w:ascii="宋体" w:hAnsi="宋体" w:cs="宋体" w:eastAsia="宋体" w:hint="default"/>
        </w:rPr>
        <w:t>407,460,000.00</w:t>
      </w:r>
      <w:r>
        <w:rPr/>
        <w:t>元。</w:t>
      </w:r>
    </w:p>
    <w:p>
      <w:pPr>
        <w:pStyle w:val="BodyText"/>
        <w:spacing w:line="240" w:lineRule="auto" w:before="17"/>
        <w:ind w:left="513" w:right="0"/>
        <w:jc w:val="left"/>
      </w:pPr>
      <w:r>
        <w:rPr/>
        <w:t>（</w:t>
      </w:r>
      <w:r>
        <w:rPr>
          <w:rFonts w:ascii="宋体" w:hAnsi="宋体" w:cs="宋体" w:eastAsia="宋体" w:hint="default"/>
        </w:rPr>
        <w:t>2</w:t>
      </w:r>
      <w:r>
        <w:rPr/>
        <w:t>）子公司北京中金云网科技有限公司以其位于北京经济技术开发区博兴八路</w:t>
      </w:r>
      <w:r>
        <w:rPr>
          <w:rFonts w:ascii="宋体" w:hAnsi="宋体" w:cs="宋体" w:eastAsia="宋体" w:hint="default"/>
        </w:rPr>
        <w:t>1</w:t>
      </w:r>
      <w:r>
        <w:rPr/>
        <w:t>号</w:t>
      </w:r>
      <w:r>
        <w:rPr>
          <w:rFonts w:ascii="宋体" w:hAnsi="宋体" w:cs="宋体" w:eastAsia="宋体" w:hint="default"/>
        </w:rPr>
        <w:t>2</w:t>
      </w:r>
      <w:r>
        <w:rPr/>
        <w:t>幢和</w:t>
      </w:r>
      <w:r>
        <w:rPr>
          <w:rFonts w:ascii="宋体" w:hAnsi="宋体" w:cs="宋体" w:eastAsia="宋体" w:hint="default"/>
        </w:rPr>
        <w:t>3</w:t>
      </w:r>
      <w:r>
        <w:rPr/>
        <w:t>幢房产（不动产权证号：京</w:t>
      </w:r>
    </w:p>
    <w:p>
      <w:pPr>
        <w:pStyle w:val="BodyText"/>
        <w:spacing w:line="316" w:lineRule="auto" w:before="76"/>
        <w:ind w:right="148"/>
        <w:jc w:val="left"/>
      </w:pPr>
      <w:r>
        <w:rPr>
          <w:spacing w:val="-2"/>
        </w:rPr>
        <w:t>【</w:t>
      </w:r>
      <w:r>
        <w:rPr>
          <w:rFonts w:ascii="宋体" w:hAnsi="宋体" w:cs="宋体" w:eastAsia="宋体" w:hint="default"/>
          <w:spacing w:val="-2"/>
        </w:rPr>
        <w:t>2016</w:t>
      </w:r>
      <w:r>
        <w:rPr>
          <w:spacing w:val="-2"/>
        </w:rPr>
        <w:t>】开发区不动产权第</w:t>
      </w:r>
      <w:r>
        <w:rPr>
          <w:rFonts w:ascii="宋体" w:hAnsi="宋体" w:cs="宋体" w:eastAsia="宋体" w:hint="default"/>
          <w:spacing w:val="-2"/>
        </w:rPr>
        <w:t>0011007</w:t>
      </w:r>
      <w:r>
        <w:rPr>
          <w:spacing w:val="-2"/>
        </w:rPr>
        <w:t>号）、位于北京经济技术开发区博兴八路</w:t>
      </w:r>
      <w:r>
        <w:rPr>
          <w:rFonts w:ascii="宋体" w:hAnsi="宋体" w:cs="宋体" w:eastAsia="宋体" w:hint="default"/>
          <w:spacing w:val="-2"/>
        </w:rPr>
        <w:t>1</w:t>
      </w:r>
      <w:r>
        <w:rPr>
          <w:spacing w:val="-2"/>
        </w:rPr>
        <w:t>号的土地（不动产权证号：京【</w:t>
      </w:r>
      <w:r>
        <w:rPr>
          <w:rFonts w:ascii="宋体" w:hAnsi="宋体" w:cs="宋体" w:eastAsia="宋体" w:hint="default"/>
          <w:spacing w:val="-2"/>
        </w:rPr>
        <w:t>2016</w:t>
      </w:r>
      <w:r>
        <w:rPr>
          <w:spacing w:val="-2"/>
        </w:rPr>
        <w:t>】开发区</w:t>
      </w:r>
      <w:r>
        <w:rPr>
          <w:spacing w:val="-62"/>
        </w:rPr>
        <w:t> </w:t>
      </w:r>
      <w:r>
        <w:rPr>
          <w:spacing w:val="-62"/>
        </w:rPr>
      </w:r>
      <w:r>
        <w:rPr/>
        <w:t>不动产权第</w:t>
      </w:r>
      <w:r>
        <w:rPr>
          <w:rFonts w:ascii="宋体" w:hAnsi="宋体" w:cs="宋体" w:eastAsia="宋体" w:hint="default"/>
        </w:rPr>
        <w:t>0011007</w:t>
      </w:r>
      <w:r>
        <w:rPr/>
        <w:t>号）及土地上在建工程（当期已转固）设定抵押；以融资期内北京数据中心二期项目产生全部经营收入 及该合同下应收账款设定质押并由董事长杨洁及其配偶张利做为连带责任保证人与主办银行中国工商银行股份有限公司北 京经济技术开发区支行于</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10</w:t>
      </w:r>
      <w:r>
        <w:rPr/>
        <w:t>日签订《北京数据中心二期项目银团贷款合同》（编号：</w:t>
      </w:r>
      <w:r>
        <w:rPr>
          <w:rFonts w:ascii="宋体" w:hAnsi="宋体" w:cs="宋体" w:eastAsia="宋体" w:hint="default"/>
        </w:rPr>
        <w:t>0020000094-2015</w:t>
      </w:r>
      <w:r>
        <w:rPr/>
        <w:t>年</w:t>
      </w:r>
      <w:r>
        <w:rPr>
          <w:rFonts w:ascii="宋体" w:hAnsi="宋体" w:cs="宋体" w:eastAsia="宋体" w:hint="default"/>
        </w:rPr>
        <w:t>(</w:t>
      </w:r>
      <w:r>
        <w:rPr/>
        <w:t>亦庄</w:t>
      </w:r>
      <w:r>
        <w:rPr>
          <w:rFonts w:ascii="宋体" w:hAnsi="宋体" w:cs="宋体" w:eastAsia="宋体" w:hint="default"/>
        </w:rPr>
        <w:t>) </w:t>
      </w:r>
      <w:r>
        <w:rPr>
          <w:spacing w:val="-2"/>
        </w:rPr>
        <w:t>字</w:t>
      </w:r>
      <w:r>
        <w:rPr>
          <w:rFonts w:ascii="宋体" w:hAnsi="宋体" w:cs="宋体" w:eastAsia="宋体" w:hint="default"/>
          <w:spacing w:val="-2"/>
        </w:rPr>
        <w:t>0023</w:t>
      </w:r>
      <w:r>
        <w:rPr>
          <w:spacing w:val="-2"/>
        </w:rPr>
        <w:t>号），贷款额度分别为中国工商银行股份有限公司北京经济技术开发区支行叁亿元整，北京农村商业银行经济技术开</w:t>
      </w:r>
      <w:r>
        <w:rPr>
          <w:spacing w:val="-63"/>
        </w:rPr>
        <w:t> </w:t>
      </w:r>
      <w:r>
        <w:rPr>
          <w:spacing w:val="-63"/>
        </w:rPr>
      </w:r>
      <w:r>
        <w:rPr>
          <w:spacing w:val="-2"/>
        </w:rPr>
        <w:t>发区支行叁亿元整，北京银行黄村支行贰亿元整。贷款期限</w:t>
      </w:r>
      <w:r>
        <w:rPr>
          <w:rFonts w:ascii="宋体" w:hAnsi="宋体" w:cs="宋体" w:eastAsia="宋体" w:hint="default"/>
          <w:spacing w:val="-2"/>
        </w:rPr>
        <w:t>2015</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10</w:t>
      </w:r>
      <w:r>
        <w:rPr>
          <w:spacing w:val="-2"/>
        </w:rPr>
        <w:t>日至</w:t>
      </w:r>
      <w:r>
        <w:rPr>
          <w:rFonts w:ascii="宋体" w:hAnsi="宋体" w:cs="宋体" w:eastAsia="宋体" w:hint="default"/>
          <w:spacing w:val="-2"/>
        </w:rPr>
        <w:t>2023</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30</w:t>
      </w:r>
      <w:r>
        <w:rPr>
          <w:spacing w:val="-2"/>
        </w:rPr>
        <w:t>日。截至</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日贷款余额</w:t>
      </w:r>
      <w:r>
        <w:rPr>
          <w:spacing w:val="-50"/>
        </w:rPr>
        <w:t> </w:t>
      </w:r>
      <w:r>
        <w:rPr>
          <w:spacing w:val="-50"/>
        </w:rPr>
      </w:r>
      <w:r>
        <w:rPr>
          <w:rFonts w:ascii="宋体" w:hAnsi="宋体" w:cs="宋体" w:eastAsia="宋体" w:hint="default"/>
        </w:rPr>
        <w:t>727,540,000.00</w:t>
      </w:r>
      <w:r>
        <w:rPr/>
        <w:t>元。</w:t>
      </w:r>
    </w:p>
    <w:p>
      <w:pPr>
        <w:pStyle w:val="BodyText"/>
        <w:spacing w:line="319" w:lineRule="auto" w:before="19"/>
        <w:ind w:right="151" w:firstLine="360"/>
        <w:jc w:val="both"/>
      </w:pPr>
      <w:r>
        <w:rPr/>
        <w:t>（</w:t>
      </w:r>
      <w:r>
        <w:rPr>
          <w:rFonts w:ascii="宋体" w:hAnsi="宋体" w:cs="宋体" w:eastAsia="宋体" w:hint="default"/>
        </w:rPr>
        <w:t>3</w:t>
      </w:r>
      <w:r>
        <w:rPr/>
        <w:t>）子公司北京科信盛彩云计算有限公司以北京金田恒业置业有限公司位于北京经济技术开发区经海二路</w:t>
      </w:r>
      <w:r>
        <w:rPr>
          <w:rFonts w:ascii="宋体" w:hAnsi="宋体" w:cs="宋体" w:eastAsia="宋体" w:hint="default"/>
        </w:rPr>
        <w:t>28</w:t>
      </w:r>
      <w:r>
        <w:rPr/>
        <w:t>号自有物 业（房产证编号：</w:t>
      </w:r>
      <w:r>
        <w:rPr>
          <w:rFonts w:ascii="宋体" w:hAnsi="宋体" w:cs="宋体" w:eastAsia="宋体" w:hint="default"/>
        </w:rPr>
        <w:t>X</w:t>
      </w:r>
      <w:r>
        <w:rPr/>
        <w:t>房权证开字第</w:t>
      </w:r>
      <w:r>
        <w:rPr>
          <w:rFonts w:ascii="宋体" w:hAnsi="宋体" w:cs="宋体" w:eastAsia="宋体" w:hint="default"/>
        </w:rPr>
        <w:t>005009</w:t>
      </w:r>
      <w:r>
        <w:rPr/>
        <w:t>号、土地证编号：开有限国用</w:t>
      </w:r>
      <w:r>
        <w:rPr>
          <w:rFonts w:ascii="宋体" w:hAnsi="宋体" w:cs="宋体" w:eastAsia="宋体" w:hint="default"/>
        </w:rPr>
        <w:t>2016</w:t>
      </w:r>
      <w:r>
        <w:rPr/>
        <w:t>第</w:t>
      </w:r>
      <w:r>
        <w:rPr>
          <w:rFonts w:ascii="宋体" w:hAnsi="宋体" w:cs="宋体" w:eastAsia="宋体" w:hint="default"/>
        </w:rPr>
        <w:t>48</w:t>
      </w:r>
      <w:r>
        <w:rPr/>
        <w:t>号）设定抵押；以融资期限内亦庄云计算基 </w:t>
      </w:r>
      <w:r>
        <w:rPr>
          <w:spacing w:val="-2"/>
        </w:rPr>
        <w:t>地产生的全部经营收入（人行征信动产权属统一登记证明编号</w:t>
      </w:r>
      <w:r>
        <w:rPr>
          <w:rFonts w:ascii="宋体" w:hAnsi="宋体" w:cs="宋体" w:eastAsia="宋体" w:hint="default"/>
          <w:spacing w:val="-2"/>
        </w:rPr>
        <w:t>02661269000322397736</w:t>
      </w:r>
      <w:r>
        <w:rPr>
          <w:spacing w:val="-2"/>
        </w:rPr>
        <w:t>）及该合同下应收账款设定质押并由北</w:t>
      </w:r>
    </w:p>
    <w:p>
      <w:pPr>
        <w:spacing w:after="0" w:line="319"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16" w:lineRule="auto" w:before="44"/>
        <w:ind w:right="288"/>
        <w:jc w:val="left"/>
      </w:pPr>
      <w:r>
        <w:rPr/>
        <w:t>京百汇达投资管理有限公司作为连带责任保证人与中国工商银行股份有限公司北京经济技术开发区支行于</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13</w:t>
      </w:r>
      <w:r>
        <w:rPr/>
        <w:t>日签</w:t>
      </w:r>
      <w:r>
        <w:rPr>
          <w:spacing w:val="-3"/>
        </w:rPr>
        <w:t> </w:t>
      </w:r>
      <w:r>
        <w:rPr/>
        <w:t>订《固定资产借款合同》（编号：</w:t>
      </w:r>
      <w:r>
        <w:rPr>
          <w:rFonts w:ascii="宋体" w:hAnsi="宋体" w:cs="宋体" w:eastAsia="宋体" w:hint="default"/>
        </w:rPr>
        <w:t>0020000094-2016</w:t>
      </w:r>
      <w:r>
        <w:rPr/>
        <w:t>年</w:t>
      </w:r>
      <w:r>
        <w:rPr>
          <w:rFonts w:ascii="宋体" w:hAnsi="宋体" w:cs="宋体" w:eastAsia="宋体" w:hint="default"/>
        </w:rPr>
        <w:t>(</w:t>
      </w:r>
      <w:r>
        <w:rPr/>
        <w:t>亦庄</w:t>
      </w:r>
      <w:r>
        <w:rPr>
          <w:rFonts w:ascii="宋体" w:hAnsi="宋体" w:cs="宋体" w:eastAsia="宋体" w:hint="default"/>
        </w:rPr>
        <w:t>)</w:t>
      </w:r>
      <w:r>
        <w:rPr/>
        <w:t>字</w:t>
      </w:r>
      <w:r>
        <w:rPr>
          <w:rFonts w:ascii="宋体" w:hAnsi="宋体" w:cs="宋体" w:eastAsia="宋体" w:hint="default"/>
        </w:rPr>
        <w:t>0049</w:t>
      </w:r>
      <w:r>
        <w:rPr/>
        <w:t>号），贷款额度为贰亿捌仟万元整。贷款期限</w:t>
      </w:r>
      <w:r>
        <w:rPr>
          <w:rFonts w:ascii="宋体" w:hAnsi="宋体" w:cs="宋体" w:eastAsia="宋体" w:hint="default"/>
        </w:rPr>
        <w:t>2016</w:t>
      </w:r>
      <w:r>
        <w:rPr/>
        <w:t>年</w:t>
      </w:r>
      <w:r>
        <w:rPr>
          <w:rFonts w:ascii="宋体" w:hAnsi="宋体" w:cs="宋体" w:eastAsia="宋体" w:hint="default"/>
        </w:rPr>
        <w:t>4 </w:t>
      </w:r>
      <w:r>
        <w:rPr/>
        <w:t>月</w:t>
      </w:r>
      <w:r>
        <w:rPr>
          <w:rFonts w:ascii="宋体" w:hAnsi="宋体" w:cs="宋体" w:eastAsia="宋体" w:hint="default"/>
        </w:rPr>
        <w:t>22</w:t>
      </w:r>
      <w:r>
        <w:rPr/>
        <w:t>日至</w:t>
      </w:r>
      <w:r>
        <w:rPr>
          <w:rFonts w:ascii="宋体" w:hAnsi="宋体" w:cs="宋体" w:eastAsia="宋体" w:hint="default"/>
        </w:rPr>
        <w:t>2024</w:t>
      </w:r>
      <w:r>
        <w:rPr/>
        <w:t>年</w:t>
      </w:r>
      <w:r>
        <w:rPr>
          <w:rFonts w:ascii="宋体" w:hAnsi="宋体" w:cs="宋体" w:eastAsia="宋体" w:hint="default"/>
        </w:rPr>
        <w:t>4</w:t>
      </w:r>
      <w:r>
        <w:rPr/>
        <w:t>月</w:t>
      </w:r>
      <w:r>
        <w:rPr>
          <w:rFonts w:ascii="宋体" w:hAnsi="宋体" w:cs="宋体" w:eastAsia="宋体" w:hint="default"/>
        </w:rPr>
        <w:t>21</w:t>
      </w:r>
      <w:r>
        <w:rPr/>
        <w:t>日。</w:t>
      </w:r>
      <w:r>
        <w:rPr>
          <w:rFonts w:ascii="宋体" w:hAnsi="宋体" w:cs="宋体" w:eastAsia="宋体" w:hint="default"/>
        </w:rPr>
        <w:t>2017</w:t>
      </w:r>
      <w:r>
        <w:rPr/>
        <w:t>年</w:t>
      </w:r>
      <w:r>
        <w:rPr>
          <w:rFonts w:ascii="宋体" w:hAnsi="宋体" w:cs="宋体" w:eastAsia="宋体" w:hint="default"/>
        </w:rPr>
        <w:t>3</w:t>
      </w:r>
      <w:r>
        <w:rPr/>
        <w:t>月，子公司北京科信盛彩云计算有限公司根据</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13</w:t>
      </w:r>
      <w:r>
        <w:rPr/>
        <w:t>日与中国工商银行股份有限公 </w:t>
      </w:r>
      <w:r>
        <w:rPr>
          <w:spacing w:val="-2"/>
        </w:rPr>
        <w:t>司北京经济技术开发区支行签订的最高额抵押合同，将抵押物变更为该公司位于北京经济技术开发区瑞合西二路</w:t>
      </w:r>
      <w:r>
        <w:rPr>
          <w:rFonts w:ascii="宋体" w:hAnsi="宋体" w:cs="宋体" w:eastAsia="宋体" w:hint="default"/>
          <w:spacing w:val="-2"/>
        </w:rPr>
        <w:t>6</w:t>
      </w:r>
      <w:r>
        <w:rPr>
          <w:spacing w:val="-2"/>
        </w:rPr>
        <w:t>号院</w:t>
      </w:r>
      <w:r>
        <w:rPr>
          <w:rFonts w:ascii="宋体" w:hAnsi="宋体" w:cs="宋体" w:eastAsia="宋体" w:hint="default"/>
          <w:spacing w:val="-2"/>
        </w:rPr>
        <w:t>1</w:t>
      </w:r>
      <w:r>
        <w:rPr>
          <w:spacing w:val="-2"/>
        </w:rPr>
        <w:t>号楼</w:t>
      </w:r>
      <w:r>
        <w:rPr>
          <w:spacing w:val="-65"/>
        </w:rPr>
        <w:t> </w:t>
      </w:r>
      <w:r>
        <w:rPr/>
        <w:t>等六幢楼的房屋所有权及对应的土地使用权（不动产权号：京（</w:t>
      </w:r>
      <w:r>
        <w:rPr>
          <w:rFonts w:ascii="宋体" w:hAnsi="宋体" w:cs="宋体" w:eastAsia="宋体" w:hint="default"/>
        </w:rPr>
        <w:t>2016</w:t>
      </w:r>
      <w:r>
        <w:rPr/>
        <w:t>）开发区不动产第</w:t>
      </w:r>
      <w:r>
        <w:rPr>
          <w:rFonts w:ascii="宋体" w:hAnsi="宋体" w:cs="宋体" w:eastAsia="宋体" w:hint="default"/>
        </w:rPr>
        <w:t>0019466</w:t>
      </w:r>
      <w:r>
        <w:rPr/>
        <w:t>号、京（</w:t>
      </w:r>
      <w:r>
        <w:rPr>
          <w:rFonts w:ascii="宋体" w:hAnsi="宋体" w:cs="宋体" w:eastAsia="宋体" w:hint="default"/>
        </w:rPr>
        <w:t>2016</w:t>
      </w:r>
      <w:r>
        <w:rPr/>
        <w:t>）开发区不动 </w:t>
      </w:r>
      <w:r>
        <w:rPr>
          <w:spacing w:val="-2"/>
        </w:rPr>
        <w:t>产权第</w:t>
      </w:r>
      <w:r>
        <w:rPr>
          <w:rFonts w:ascii="宋体" w:hAnsi="宋体" w:cs="宋体" w:eastAsia="宋体" w:hint="default"/>
          <w:spacing w:val="-2"/>
        </w:rPr>
        <w:t>0019668</w:t>
      </w:r>
      <w:r>
        <w:rPr>
          <w:spacing w:val="-2"/>
        </w:rPr>
        <w:t>号）；</w:t>
      </w:r>
      <w:r>
        <w:rPr>
          <w:rFonts w:ascii="宋体" w:hAnsi="宋体" w:cs="宋体" w:eastAsia="宋体" w:hint="default"/>
          <w:spacing w:val="-2"/>
        </w:rPr>
        <w:t>2017</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15</w:t>
      </w:r>
      <w:r>
        <w:rPr>
          <w:spacing w:val="-2"/>
        </w:rPr>
        <w:t>日签订《固定资产借款合同》（编号：</w:t>
      </w:r>
      <w:r>
        <w:rPr>
          <w:rFonts w:ascii="宋体" w:hAnsi="宋体" w:cs="宋体" w:eastAsia="宋体" w:hint="default"/>
          <w:spacing w:val="-2"/>
        </w:rPr>
        <w:t>0020000094-2017</w:t>
      </w:r>
      <w:r>
        <w:rPr>
          <w:spacing w:val="-2"/>
        </w:rPr>
        <w:t>年</w:t>
      </w:r>
      <w:r>
        <w:rPr>
          <w:rFonts w:ascii="宋体" w:hAnsi="宋体" w:cs="宋体" w:eastAsia="宋体" w:hint="default"/>
          <w:spacing w:val="-2"/>
        </w:rPr>
        <w:t>(</w:t>
      </w:r>
      <w:r>
        <w:rPr>
          <w:spacing w:val="-2"/>
        </w:rPr>
        <w:t>亦庄</w:t>
      </w:r>
      <w:r>
        <w:rPr>
          <w:rFonts w:ascii="宋体" w:hAnsi="宋体" w:cs="宋体" w:eastAsia="宋体" w:hint="default"/>
          <w:spacing w:val="-2"/>
        </w:rPr>
        <w:t>)</w:t>
      </w:r>
      <w:r>
        <w:rPr>
          <w:spacing w:val="-2"/>
        </w:rPr>
        <w:t>字</w:t>
      </w:r>
      <w:r>
        <w:rPr>
          <w:rFonts w:ascii="宋体" w:hAnsi="宋体" w:cs="宋体" w:eastAsia="宋体" w:hint="default"/>
          <w:spacing w:val="-2"/>
        </w:rPr>
        <w:t>00073</w:t>
      </w:r>
      <w:r>
        <w:rPr>
          <w:spacing w:val="-2"/>
        </w:rPr>
        <w:t>号），贷款额度</w:t>
      </w:r>
      <w:r>
        <w:rPr>
          <w:spacing w:val="-46"/>
        </w:rPr>
        <w:t> </w:t>
      </w:r>
      <w:r>
        <w:rPr>
          <w:spacing w:val="-46"/>
        </w:rPr>
      </w:r>
      <w:r>
        <w:rPr>
          <w:spacing w:val="-3"/>
        </w:rPr>
        <w:t>为壹亿肆仟伍佰万元整，贷款期限自实际开始提款日起不超过</w:t>
      </w:r>
      <w:r>
        <w:rPr>
          <w:rFonts w:ascii="宋体" w:hAnsi="宋体" w:cs="宋体" w:eastAsia="宋体" w:hint="default"/>
          <w:spacing w:val="-3"/>
        </w:rPr>
        <w:t>8</w:t>
      </w:r>
      <w:r>
        <w:rPr>
          <w:spacing w:val="-3"/>
        </w:rPr>
        <w:t>年。截止</w:t>
      </w:r>
      <w:r>
        <w:rPr>
          <w:rFonts w:ascii="宋体" w:hAnsi="宋体" w:cs="宋体" w:eastAsia="宋体" w:hint="default"/>
          <w:spacing w:val="-3"/>
        </w:rPr>
        <w:t>2017</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日，公司贷款余额</w:t>
      </w:r>
      <w:r>
        <w:rPr>
          <w:rFonts w:ascii="宋体" w:hAnsi="宋体" w:cs="宋体" w:eastAsia="宋体" w:hint="default"/>
          <w:spacing w:val="-3"/>
        </w:rPr>
        <w:t>409,924,128.91</w:t>
      </w:r>
      <w:r>
        <w:rPr>
          <w:spacing w:val="-3"/>
        </w:rPr>
        <w:t>元。</w:t>
      </w:r>
    </w:p>
    <w:p>
      <w:pPr>
        <w:pStyle w:val="BodyText"/>
        <w:spacing w:line="316" w:lineRule="auto" w:before="19"/>
        <w:ind w:left="513" w:right="4873"/>
        <w:jc w:val="left"/>
      </w:pPr>
      <w:r>
        <w:rPr/>
        <w:t>其他说明，包括利率区间： 上述长期借款利率均为中国人民银行同期限贷款基准利率。</w:t>
      </w:r>
    </w:p>
    <w:p>
      <w:pPr>
        <w:spacing w:line="240" w:lineRule="auto" w:before="10"/>
        <w:rPr>
          <w:rFonts w:ascii="宋体" w:hAnsi="宋体" w:cs="宋体" w:eastAsia="宋体" w:hint="default"/>
          <w:sz w:val="22"/>
          <w:szCs w:val="22"/>
        </w:rPr>
      </w:pPr>
    </w:p>
    <w:p>
      <w:pPr>
        <w:pStyle w:val="Heading3"/>
        <w:spacing w:line="240" w:lineRule="auto"/>
        <w:ind w:right="110"/>
        <w:jc w:val="left"/>
        <w:rPr>
          <w:b w:val="0"/>
          <w:bCs w:val="0"/>
        </w:rPr>
      </w:pPr>
      <w:r>
        <w:rPr>
          <w:rFonts w:ascii="Times New Roman" w:hAnsi="Times New Roman" w:cs="Times New Roman" w:eastAsia="Times New Roman" w:hint="default"/>
        </w:rPr>
        <w:t>25</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2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应付融资租赁款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9,055,534.51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25,003,432.55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分期付款购买固定资产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858,617,286.28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14,380,827.30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867,672,820.79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39,384,259.85</w:t>
            </w:r>
          </w:p>
        </w:tc>
      </w:tr>
    </w:tbl>
    <w:p>
      <w:pPr>
        <w:pStyle w:val="BodyText"/>
        <w:spacing w:line="240" w:lineRule="auto" w:before="49"/>
        <w:ind w:right="110"/>
        <w:jc w:val="left"/>
      </w:pPr>
      <w:r>
        <w:rPr/>
        <w:t>其他说明：</w:t>
      </w:r>
    </w:p>
    <w:p>
      <w:pPr>
        <w:pStyle w:val="BodyText"/>
        <w:spacing w:line="300" w:lineRule="auto" w:before="115"/>
        <w:ind w:right="110" w:firstLine="360"/>
        <w:jc w:val="left"/>
      </w:pPr>
      <w:r>
        <w:rPr>
          <w:spacing w:val="-5"/>
        </w:rPr>
        <w:t>公司</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11</w:t>
      </w:r>
      <w:r>
        <w:rPr>
          <w:spacing w:val="-5"/>
        </w:rPr>
        <w:t>月</w:t>
      </w:r>
      <w:r>
        <w:rPr>
          <w:rFonts w:ascii="Times New Roman" w:hAnsi="Times New Roman" w:cs="Times New Roman" w:eastAsia="Times New Roman" w:hint="default"/>
          <w:spacing w:val="-5"/>
        </w:rPr>
        <w:t>10</w:t>
      </w:r>
      <w:r>
        <w:rPr>
          <w:spacing w:val="-5"/>
        </w:rPr>
        <w:t>日与亚马逊通技术服务（北京）有限公司签署了分期资产出售主协议，拟向亚马逊通技术服务（北京）</w:t>
      </w:r>
      <w:r>
        <w:rPr/>
        <w:t> </w:t>
      </w:r>
      <w:r>
        <w:rPr>
          <w:spacing w:val="-2"/>
        </w:rPr>
        <w:t>有限公司购买不超过</w:t>
      </w:r>
      <w:r>
        <w:rPr>
          <w:rFonts w:ascii="Times New Roman" w:hAnsi="Times New Roman" w:cs="Times New Roman" w:eastAsia="Times New Roman" w:hint="default"/>
          <w:spacing w:val="-2"/>
        </w:rPr>
        <w:t>20</w:t>
      </w:r>
      <w:r>
        <w:rPr>
          <w:spacing w:val="-2"/>
        </w:rPr>
        <w:t>亿元的基于亚马逊云技术的云服务相关的特定经营性资产。</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29</w:t>
      </w:r>
      <w:r>
        <w:rPr>
          <w:spacing w:val="-2"/>
        </w:rPr>
        <w:t>日亚马逊出具了购买确认函，</w:t>
      </w:r>
      <w:r>
        <w:rPr>
          <w:spacing w:val="-56"/>
        </w:rPr>
        <w:t> </w:t>
      </w:r>
      <w:r>
        <w:rPr>
          <w:spacing w:val="-56"/>
        </w:rPr>
      </w:r>
      <w:r>
        <w:rPr/>
        <w:t>公司向亚马逊通技术服务（北京）有限公司已购买设备不含税金额</w:t>
      </w:r>
      <w:r>
        <w:rPr>
          <w:rFonts w:ascii="Times New Roman" w:hAnsi="Times New Roman" w:cs="Times New Roman" w:eastAsia="Times New Roman" w:hint="default"/>
        </w:rPr>
        <w:t>845,834,318.98</w:t>
      </w:r>
      <w:r>
        <w:rPr/>
        <w:t>元，并分为</w:t>
      </w:r>
      <w:r>
        <w:rPr>
          <w:rFonts w:ascii="Times New Roman" w:hAnsi="Times New Roman" w:cs="Times New Roman" w:eastAsia="Times New Roman" w:hint="default"/>
        </w:rPr>
        <w:t>84</w:t>
      </w:r>
      <w:r>
        <w:rPr/>
        <w:t>期（每月为一期）分期支付 给亚马逊通，期限为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2024</w:t>
      </w:r>
      <w:r>
        <w:rPr/>
        <w:t>年</w:t>
      </w:r>
      <w:r>
        <w:rPr>
          <w:rFonts w:ascii="Times New Roman" w:hAnsi="Times New Roman" w:cs="Times New Roman" w:eastAsia="Times New Roman" w:hint="default"/>
        </w:rPr>
        <w:t>12</w:t>
      </w:r>
      <w:r>
        <w:rPr/>
        <w:t>月，并按期计算支付相应的利息费用，利息费用合计</w:t>
      </w:r>
      <w:r>
        <w:rPr>
          <w:rFonts w:ascii="Times New Roman" w:hAnsi="Times New Roman" w:cs="Times New Roman" w:eastAsia="Times New Roman" w:hint="default"/>
        </w:rPr>
        <w:t>132,864,819.71</w:t>
      </w:r>
      <w:r>
        <w:rPr/>
        <w:t>元。</w:t>
      </w:r>
    </w:p>
    <w:p>
      <w:pPr>
        <w:spacing w:line="240" w:lineRule="auto" w:before="4"/>
        <w:rPr>
          <w:rFonts w:ascii="宋体" w:hAnsi="宋体" w:cs="宋体" w:eastAsia="宋体" w:hint="default"/>
          <w:sz w:val="22"/>
          <w:szCs w:val="22"/>
        </w:rPr>
      </w:pPr>
    </w:p>
    <w:p>
      <w:pPr>
        <w:pStyle w:val="Heading3"/>
        <w:spacing w:line="240" w:lineRule="auto"/>
        <w:ind w:right="110"/>
        <w:jc w:val="left"/>
        <w:rPr>
          <w:b w:val="0"/>
          <w:bCs w:val="0"/>
        </w:rPr>
      </w:pPr>
      <w:r>
        <w:rPr>
          <w:rFonts w:ascii="Times New Roman" w:hAnsi="Times New Roman" w:cs="Times New Roman" w:eastAsia="Times New Roman" w:hint="default"/>
        </w:rPr>
        <w:t>26</w:t>
      </w:r>
      <w:r>
        <w:rPr/>
        <w:t>、递延收益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2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见说明</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864,000.00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192,000.00</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672,000.00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0"/>
        <w:jc w:val="left"/>
      </w:pPr>
      <w:r>
        <w:rPr/>
        <w:t>涉及政府补助的项目：</w:t>
      </w:r>
    </w:p>
    <w:p>
      <w:pPr>
        <w:pStyle w:val="BodyText"/>
        <w:spacing w:line="240" w:lineRule="auto" w:before="115"/>
        <w:ind w:left="0" w:right="2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6" w:hanging="272"/>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07" w:right="23" w:hanging="38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互联网数据服务 一体化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864,000.00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672,000.00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672,000.00</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0"/>
        <w:jc w:val="left"/>
      </w:pPr>
      <w:r>
        <w:rPr/>
        <w:t>其他说明：</w:t>
      </w:r>
    </w:p>
    <w:p>
      <w:pPr>
        <w:pStyle w:val="BodyText"/>
        <w:spacing w:line="240" w:lineRule="auto" w:before="115"/>
        <w:ind w:left="513" w:right="110"/>
        <w:jc w:val="left"/>
        <w:rPr>
          <w:rFonts w:ascii="宋体" w:hAnsi="宋体" w:cs="宋体" w:eastAsia="宋体" w:hint="default"/>
        </w:rPr>
      </w:pPr>
      <w:r>
        <w:rPr/>
        <w:t>依</w:t>
      </w:r>
      <w:r>
        <w:rPr>
          <w:spacing w:val="-58"/>
        </w:rPr>
        <w:t>据</w:t>
      </w:r>
      <w:r>
        <w:rPr/>
        <w:t>《北京市经济和信息化委员会关于下达</w:t>
      </w: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0</w:t>
      </w:r>
      <w:r>
        <w:rPr/>
        <w:t>年度第二</w:t>
      </w:r>
      <w:r>
        <w:rPr>
          <w:spacing w:val="-3"/>
        </w:rPr>
        <w:t>批</w:t>
      </w:r>
      <w:r>
        <w:rPr/>
        <w:t>中小企业发展专项资金计划的通知</w:t>
      </w:r>
      <w:r>
        <w:rPr>
          <w:spacing w:val="-116"/>
        </w:rPr>
        <w:t>》</w:t>
      </w:r>
      <w:r>
        <w:rPr/>
        <w:t>（京经信委发</w:t>
      </w:r>
      <w:r>
        <w:rPr>
          <w:rFonts w:ascii="宋体" w:hAnsi="宋体" w:cs="宋体" w:eastAsia="宋体" w:hint="default"/>
          <w:spacing w:val="1"/>
        </w:rPr>
        <w:t>[2</w:t>
      </w:r>
      <w:r>
        <w:rPr>
          <w:rFonts w:ascii="宋体" w:hAnsi="宋体" w:cs="宋体" w:eastAsia="宋体" w:hint="default"/>
          <w:spacing w:val="-2"/>
        </w:rPr>
        <w:t>0</w:t>
      </w:r>
      <w:r>
        <w:rPr>
          <w:rFonts w:ascii="宋体" w:hAnsi="宋体" w:cs="宋体" w:eastAsia="宋体" w:hint="default"/>
          <w:spacing w:val="1"/>
        </w:rPr>
        <w:t>1</w:t>
      </w:r>
      <w:r>
        <w:rPr>
          <w:rFonts w:ascii="宋体" w:hAnsi="宋体" w:cs="宋体" w:eastAsia="宋体" w:hint="default"/>
          <w:spacing w:val="-2"/>
        </w:rPr>
        <w:t>0</w:t>
      </w:r>
      <w:r>
        <w:rPr>
          <w:rFonts w:ascii="宋体" w:hAnsi="宋体" w:cs="宋体" w:eastAsia="宋体" w:hint="default"/>
          <w:spacing w:val="1"/>
        </w:rPr>
        <w:t>]</w:t>
      </w:r>
      <w:r>
        <w:rPr>
          <w:rFonts w:ascii="宋体" w:hAnsi="宋体" w:cs="宋体" w:eastAsia="宋体" w:hint="default"/>
          <w:spacing w:val="-2"/>
        </w:rPr>
        <w:t>2</w:t>
      </w:r>
      <w:r>
        <w:rPr>
          <w:rFonts w:ascii="宋体" w:hAnsi="宋体" w:cs="宋体" w:eastAsia="宋体" w:hint="default"/>
          <w:spacing w:val="1"/>
        </w:rPr>
        <w:t>0</w:t>
      </w:r>
      <w:r>
        <w:rPr>
          <w:rFonts w:ascii="宋体" w:hAnsi="宋体" w:cs="宋体" w:eastAsia="宋体" w:hint="default"/>
        </w:rPr>
        <w:t>0</w:t>
      </w:r>
    </w:p>
    <w:p>
      <w:pPr>
        <w:spacing w:after="0" w:line="240" w:lineRule="auto"/>
        <w:jc w:val="left"/>
        <w:rPr>
          <w:rFonts w:ascii="宋体" w:hAnsi="宋体" w:cs="宋体" w:eastAsia="宋体" w:hint="default"/>
        </w:rPr>
        <w:sectPr>
          <w:pgSz w:w="11910" w:h="16840"/>
          <w:pgMar w:header="745" w:footer="979" w:top="1060" w:bottom="1160" w:left="980" w:right="840"/>
        </w:sectPr>
      </w:pPr>
    </w:p>
    <w:p>
      <w:pPr>
        <w:spacing w:line="240" w:lineRule="auto" w:before="10"/>
        <w:rPr>
          <w:rFonts w:ascii="宋体" w:hAnsi="宋体" w:cs="宋体" w:eastAsia="宋体" w:hint="default"/>
          <w:sz w:val="25"/>
          <w:szCs w:val="25"/>
        </w:rPr>
      </w:pPr>
    </w:p>
    <w:p>
      <w:pPr>
        <w:pStyle w:val="BodyText"/>
        <w:spacing w:line="316" w:lineRule="auto" w:before="44"/>
        <w:ind w:right="0"/>
        <w:jc w:val="left"/>
      </w:pPr>
      <w:r>
        <w:rPr>
          <w:spacing w:val="-2"/>
        </w:rPr>
        <w:t>号），本公司</w:t>
      </w:r>
      <w:r>
        <w:rPr>
          <w:rFonts w:ascii="宋体" w:hAnsi="宋体" w:cs="宋体" w:eastAsia="宋体" w:hint="default"/>
          <w:spacing w:val="-2"/>
        </w:rPr>
        <w:t>2010</w:t>
      </w:r>
      <w:r>
        <w:rPr>
          <w:spacing w:val="-2"/>
        </w:rPr>
        <w:t>年</w:t>
      </w:r>
      <w:r>
        <w:rPr>
          <w:rFonts w:ascii="宋体" w:hAnsi="宋体" w:cs="宋体" w:eastAsia="宋体" w:hint="default"/>
          <w:spacing w:val="-2"/>
        </w:rPr>
        <w:t>12</w:t>
      </w:r>
      <w:r>
        <w:rPr>
          <w:spacing w:val="-2"/>
        </w:rPr>
        <w:t>月收到北京市经济和信息化委员会拨付的互联网数据服务一体化财政资金</w:t>
      </w:r>
      <w:r>
        <w:rPr>
          <w:rFonts w:ascii="宋体" w:hAnsi="宋体" w:cs="宋体" w:eastAsia="宋体" w:hint="default"/>
          <w:spacing w:val="-2"/>
        </w:rPr>
        <w:t>1,920,000.00</w:t>
      </w:r>
      <w:r>
        <w:rPr>
          <w:spacing w:val="-2"/>
        </w:rPr>
        <w:t>元，属于与资</w:t>
      </w:r>
      <w:r>
        <w:rPr>
          <w:spacing w:val="-56"/>
        </w:rPr>
        <w:t> </w:t>
      </w:r>
      <w:r>
        <w:rPr>
          <w:spacing w:val="-56"/>
        </w:rPr>
      </w:r>
      <w:r>
        <w:rPr/>
        <w:t>产相关的政府补助，从</w:t>
      </w:r>
      <w:r>
        <w:rPr>
          <w:rFonts w:ascii="宋体" w:hAnsi="宋体" w:cs="宋体" w:eastAsia="宋体" w:hint="default"/>
        </w:rPr>
        <w:t>2011</w:t>
      </w:r>
      <w:r>
        <w:rPr/>
        <w:t>年</w:t>
      </w:r>
      <w:r>
        <w:rPr>
          <w:rFonts w:ascii="宋体" w:hAnsi="宋体" w:cs="宋体" w:eastAsia="宋体" w:hint="default"/>
        </w:rPr>
        <w:t>7</w:t>
      </w:r>
      <w:r>
        <w:rPr/>
        <w:t>月起按</w:t>
      </w:r>
      <w:r>
        <w:rPr>
          <w:rFonts w:ascii="宋体" w:hAnsi="宋体" w:cs="宋体" w:eastAsia="宋体" w:hint="default"/>
        </w:rPr>
        <w:t>10</w:t>
      </w:r>
      <w:r>
        <w:rPr/>
        <w:t>年结转递延收益，本期结转营业外收入</w:t>
      </w:r>
      <w:r>
        <w:rPr>
          <w:rFonts w:ascii="宋体" w:hAnsi="宋体" w:cs="宋体" w:eastAsia="宋体" w:hint="default"/>
        </w:rPr>
        <w:t>192,000.00</w:t>
      </w:r>
      <w:r>
        <w:rPr/>
        <w:t>元。</w:t>
      </w:r>
    </w:p>
    <w:p>
      <w:pPr>
        <w:spacing w:line="240" w:lineRule="auto" w:before="10"/>
        <w:rPr>
          <w:rFonts w:ascii="宋体" w:hAnsi="宋体" w:cs="宋体" w:eastAsia="宋体" w:hint="default"/>
          <w:sz w:val="22"/>
          <w:szCs w:val="22"/>
        </w:rPr>
      </w:pPr>
    </w:p>
    <w:p>
      <w:pPr>
        <w:pStyle w:val="Heading3"/>
        <w:spacing w:line="240" w:lineRule="auto"/>
        <w:ind w:right="2839"/>
        <w:jc w:val="left"/>
        <w:rPr>
          <w:b w:val="0"/>
          <w:bCs w:val="0"/>
        </w:rPr>
      </w:pPr>
      <w:r>
        <w:rPr>
          <w:rFonts w:ascii="Times New Roman" w:hAnsi="Times New Roman" w:cs="Times New Roman" w:eastAsia="Times New Roman" w:hint="default"/>
        </w:rPr>
        <w:t>27</w:t>
      </w:r>
      <w:r>
        <w:rPr/>
        <w:t>、股本</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96"/>
        <w:gridCol w:w="119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vMerge/>
            <w:tcBorders>
              <w:left w:val="single" w:sz="4" w:space="0" w:color="000000"/>
              <w:bottom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723,175,694.00</w:t>
            </w:r>
          </w:p>
        </w:tc>
        <w:tc>
          <w:tcPr>
            <w:tcW w:w="1196"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723,175,694.00</w:t>
            </w:r>
          </w:p>
        </w:tc>
        <w:tc>
          <w:tcPr>
            <w:tcW w:w="1195"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723,175,694.00</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1,446,351,388.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394"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161"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2839"/>
        <w:jc w:val="left"/>
      </w:pPr>
      <w:r>
        <w:rPr/>
        <w:t>其他说明：</w:t>
      </w:r>
    </w:p>
    <w:p>
      <w:pPr>
        <w:pStyle w:val="BodyText"/>
        <w:spacing w:line="240" w:lineRule="auto" w:before="115"/>
        <w:ind w:left="513" w:right="0"/>
        <w:jc w:val="left"/>
      </w:pPr>
      <w:r>
        <w:rPr/>
        <w:t>公司于</w:t>
      </w:r>
      <w:r>
        <w:rPr>
          <w:rFonts w:ascii="宋体" w:hAnsi="宋体" w:cs="宋体" w:eastAsia="宋体" w:hint="default"/>
        </w:rPr>
        <w:t>2017</w:t>
      </w:r>
      <w:r>
        <w:rPr/>
        <w:t>年以现有总股本 </w:t>
      </w:r>
      <w:r>
        <w:rPr>
          <w:rFonts w:ascii="宋体" w:hAnsi="宋体" w:cs="宋体" w:eastAsia="宋体" w:hint="default"/>
        </w:rPr>
        <w:t>723,175,694 </w:t>
      </w:r>
      <w:r>
        <w:rPr/>
        <w:t>股为基数，以资本公积金每 </w:t>
      </w:r>
      <w:r>
        <w:rPr>
          <w:rFonts w:ascii="宋体" w:hAnsi="宋体" w:cs="宋体" w:eastAsia="宋体" w:hint="default"/>
        </w:rPr>
        <w:t>10 </w:t>
      </w:r>
      <w:r>
        <w:rPr/>
        <w:t>股转增 </w:t>
      </w:r>
      <w:r>
        <w:rPr>
          <w:rFonts w:ascii="宋体" w:hAnsi="宋体" w:cs="宋体" w:eastAsia="宋体" w:hint="default"/>
        </w:rPr>
        <w:t>10</w:t>
      </w:r>
      <w:r>
        <w:rPr>
          <w:rFonts w:ascii="宋体" w:hAnsi="宋体" w:cs="宋体" w:eastAsia="宋体" w:hint="default"/>
          <w:spacing w:val="-8"/>
        </w:rPr>
        <w:t> </w:t>
      </w:r>
      <w:r>
        <w:rPr/>
        <w:t>股。转增前本公司总股本为</w:t>
      </w:r>
    </w:p>
    <w:p>
      <w:pPr>
        <w:pStyle w:val="BodyText"/>
        <w:spacing w:line="240" w:lineRule="auto" w:before="76"/>
        <w:ind w:right="2839"/>
        <w:jc w:val="left"/>
      </w:pPr>
      <w:r>
        <w:rPr>
          <w:rFonts w:ascii="宋体" w:hAnsi="宋体" w:cs="宋体" w:eastAsia="宋体" w:hint="default"/>
        </w:rPr>
        <w:t>723,175,694 </w:t>
      </w:r>
      <w:r>
        <w:rPr/>
        <w:t>股，转增后总股本增至 </w:t>
      </w:r>
      <w:r>
        <w:rPr>
          <w:rFonts w:ascii="宋体" w:hAnsi="宋体" w:cs="宋体" w:eastAsia="宋体" w:hint="default"/>
        </w:rPr>
        <w:t>1,446,351,388</w:t>
      </w:r>
      <w:r>
        <w:rPr>
          <w:rFonts w:ascii="宋体" w:hAnsi="宋体" w:cs="宋体" w:eastAsia="宋体" w:hint="default"/>
          <w:spacing w:val="-6"/>
        </w:rPr>
        <w:t> </w:t>
      </w:r>
      <w:r>
        <w:rPr/>
        <w:t>股。</w:t>
      </w:r>
    </w:p>
    <w:p>
      <w:pPr>
        <w:spacing w:line="240" w:lineRule="auto" w:before="0"/>
        <w:rPr>
          <w:rFonts w:ascii="宋体" w:hAnsi="宋体" w:cs="宋体" w:eastAsia="宋体" w:hint="default"/>
          <w:sz w:val="18"/>
          <w:szCs w:val="18"/>
        </w:rPr>
      </w:pPr>
    </w:p>
    <w:p>
      <w:pPr>
        <w:pStyle w:val="Heading3"/>
        <w:spacing w:line="240" w:lineRule="auto" w:before="120"/>
        <w:ind w:right="2839"/>
        <w:jc w:val="left"/>
        <w:rPr>
          <w:b w:val="0"/>
          <w:bCs w:val="0"/>
        </w:rPr>
      </w:pPr>
      <w:r>
        <w:rPr>
          <w:rFonts w:ascii="Times New Roman" w:hAnsi="Times New Roman" w:cs="Times New Roman" w:eastAsia="Times New Roman" w:hint="default"/>
        </w:rPr>
        <w:t>28</w:t>
      </w:r>
      <w:r>
        <w:rPr/>
        <w:t>、资本公积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4,788,329,504.93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723,175,694.00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4,065,153,810.93</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14,756,521.60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11,704,369.15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26,460,890.75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4,803,086,026.53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11,704,369.15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723,175,694.00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4,091,614,701.68</w:t>
            </w:r>
          </w:p>
        </w:tc>
      </w:tr>
    </w:tbl>
    <w:p>
      <w:pPr>
        <w:pStyle w:val="BodyText"/>
        <w:spacing w:line="240" w:lineRule="auto" w:before="49"/>
        <w:ind w:right="2839"/>
        <w:jc w:val="left"/>
      </w:pPr>
      <w:r>
        <w:rPr/>
        <w:t>其他说明，包括本期增减变动情况、变动原因说明：</w:t>
      </w:r>
    </w:p>
    <w:p>
      <w:pPr>
        <w:pStyle w:val="BodyText"/>
        <w:spacing w:line="240" w:lineRule="auto" w:before="115"/>
        <w:ind w:left="513" w:right="2839"/>
        <w:jc w:val="left"/>
      </w:pPr>
      <w:r>
        <w:rPr/>
        <w:t>（</w:t>
      </w:r>
      <w:r>
        <w:rPr>
          <w:rFonts w:ascii="宋体" w:hAnsi="宋体" w:cs="宋体" w:eastAsia="宋体" w:hint="default"/>
        </w:rPr>
        <w:t>1</w:t>
      </w:r>
      <w:r>
        <w:rPr/>
        <w:t>）股本溢价本期减少原因同股本。</w:t>
      </w:r>
    </w:p>
    <w:p>
      <w:pPr>
        <w:pStyle w:val="BodyText"/>
        <w:spacing w:line="240" w:lineRule="auto" w:before="76"/>
        <w:ind w:left="513" w:right="0"/>
        <w:jc w:val="left"/>
      </w:pPr>
      <w:r>
        <w:rPr/>
        <w:t>（</w:t>
      </w:r>
      <w:r>
        <w:rPr>
          <w:rFonts w:ascii="宋体" w:hAnsi="宋体" w:cs="宋体" w:eastAsia="宋体" w:hint="default"/>
        </w:rPr>
        <w:t>2</w:t>
      </w:r>
      <w:r>
        <w:rPr/>
        <w:t>）其他资本公积的增加为当期股权激励费用，详见</w:t>
      </w:r>
      <w:r>
        <w:rPr>
          <w:rFonts w:ascii="宋体" w:hAnsi="宋体" w:cs="宋体" w:eastAsia="宋体" w:hint="default"/>
        </w:rPr>
        <w:t>"</w:t>
      </w:r>
      <w:r>
        <w:rPr/>
        <w:t>十一节、财务报告、十二、股份支付</w:t>
      </w:r>
      <w:r>
        <w:rPr>
          <w:rFonts w:ascii="宋体" w:hAnsi="宋体" w:cs="宋体" w:eastAsia="宋体" w:hint="default"/>
        </w:rPr>
        <w:t>"</w:t>
      </w:r>
      <w:r>
        <w:rPr/>
        <w:t>。</w:t>
      </w:r>
    </w:p>
    <w:p>
      <w:pPr>
        <w:spacing w:line="240" w:lineRule="auto" w:before="0"/>
        <w:rPr>
          <w:rFonts w:ascii="宋体" w:hAnsi="宋体" w:cs="宋体" w:eastAsia="宋体" w:hint="default"/>
          <w:sz w:val="18"/>
          <w:szCs w:val="18"/>
        </w:rPr>
      </w:pPr>
    </w:p>
    <w:p>
      <w:pPr>
        <w:pStyle w:val="Heading3"/>
        <w:spacing w:line="240" w:lineRule="auto" w:before="120"/>
        <w:ind w:right="2839"/>
        <w:jc w:val="left"/>
        <w:rPr>
          <w:b w:val="0"/>
          <w:bCs w:val="0"/>
        </w:rPr>
      </w:pPr>
      <w:r>
        <w:rPr>
          <w:rFonts w:ascii="Times New Roman" w:hAnsi="Times New Roman" w:cs="Times New Roman" w:eastAsia="Times New Roman" w:hint="default"/>
        </w:rPr>
        <w:t>29</w:t>
      </w:r>
      <w:r>
        <w:rPr/>
        <w:t>、盈余公积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51,437,323.68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9,718,097.28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61,155,420.96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51,437,323.68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9,718,097.28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61,155,420.96</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rFonts w:ascii="Times New Roman" w:hAnsi="Times New Roman" w:cs="Times New Roman" w:eastAsia="Times New Roman" w:hint="default"/>
        </w:rPr>
        <w:t>30</w:t>
      </w:r>
      <w:r>
        <w:rPr/>
        <w:t>、未分配利润</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478,084,255.82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165,694,962.49</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478,084,255.82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165,694,962.49</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435,862,060.15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335,159,778.67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9,718,097.28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11,854,485.34</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72,298,349.76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10,916,000.00</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831,929,868.93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478,084,255.82</w:t>
            </w:r>
          </w:p>
        </w:tc>
      </w:tr>
    </w:tbl>
    <w:p>
      <w:pPr>
        <w:pStyle w:val="BodyText"/>
        <w:spacing w:line="240" w:lineRule="auto" w:before="49"/>
        <w:ind w:right="2839"/>
        <w:jc w:val="left"/>
      </w:pPr>
      <w:r>
        <w:rPr/>
        <w:t>调整期初未分配利润明细：</w:t>
      </w:r>
    </w:p>
    <w:p>
      <w:pPr>
        <w:pStyle w:val="BodyText"/>
        <w:spacing w:line="240" w:lineRule="auto" w:before="115"/>
        <w:ind w:left="513"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63"/>
        <w:ind w:left="513" w:right="2839"/>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63"/>
        <w:ind w:left="513" w:right="2839"/>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63"/>
        <w:ind w:left="513" w:right="2839"/>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63"/>
        <w:ind w:left="513" w:right="2839"/>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3"/>
        <w:rPr>
          <w:rFonts w:ascii="宋体" w:hAnsi="宋体" w:cs="宋体" w:eastAsia="宋体" w:hint="default"/>
          <w:sz w:val="26"/>
          <w:szCs w:val="26"/>
        </w:rPr>
      </w:pPr>
    </w:p>
    <w:p>
      <w:pPr>
        <w:pStyle w:val="Heading3"/>
        <w:spacing w:line="240" w:lineRule="auto"/>
        <w:ind w:right="2839"/>
        <w:jc w:val="left"/>
        <w:rPr>
          <w:b w:val="0"/>
          <w:bCs w:val="0"/>
        </w:rPr>
      </w:pPr>
      <w:r>
        <w:rPr>
          <w:rFonts w:ascii="Times New Roman" w:hAnsi="Times New Roman" w:cs="Times New Roman" w:eastAsia="Times New Roman" w:hint="default"/>
        </w:rPr>
        <w:t>31</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4,055,765,335.34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3,224,517,855.70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2,286,657,142.00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1,669,237,347.85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21,403,349.28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3,355,307.70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30,969,499.04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8,254,864.11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4,077,168,684.62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3,227,873,163.40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2,317,626,641.04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1,677,492,211.96</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rFonts w:ascii="Times New Roman" w:hAnsi="Times New Roman" w:cs="Times New Roman" w:eastAsia="Times New Roman" w:hint="default"/>
        </w:rPr>
        <w:t>32</w:t>
      </w:r>
      <w:r>
        <w:rPr/>
        <w:t>、税金及附加</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3,420,176.21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1,477,691.81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1,468,403.36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633,249.56</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19,349,375.32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8,090,874.87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765,327.29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189,262.80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23,193.33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16,335.84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767,076.60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934,041.26</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316,782.01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978,935.60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422,166.39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26,772,487.71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12,080,404.54</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rFonts w:ascii="Times New Roman" w:hAnsi="Times New Roman" w:cs="Times New Roman" w:eastAsia="Times New Roman" w:hint="default"/>
        </w:rPr>
        <w:t>33</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25,091,302.82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20,344,363.54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22,641,500.00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1,632,075.43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718,934.73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645,552.21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680,026.04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398,602.74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753,861.16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529,712.52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18,515.80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293,817.82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401,138.52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209,012.16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51,937,354.50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22,421,060.99</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rFonts w:ascii="Times New Roman" w:hAnsi="Times New Roman" w:cs="Times New Roman" w:eastAsia="Times New Roman" w:hint="default"/>
        </w:rPr>
        <w:t>34</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45,119,738.91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42,050,903.60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房租、物业管理费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9,727,323.30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6,565,177.85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5,688,952.68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3,705,673.59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8,769,081.36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9,118,572.03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6,328,504.42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3,658,134.74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19,329,662.16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17,340,242.46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465,176.73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163,197.24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111,994,123.16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111,781,070.19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775,758.01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3,377,499.68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审计、评估、咨询费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4,354,270.43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2,425,331.86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299,304.71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5,940,132.94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2,095,221.49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11,704,369.15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13,759,200.00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6,256,626.34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1,918,800.66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236,741,719.59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218,258,330.10</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rFonts w:ascii="Times New Roman" w:hAnsi="Times New Roman" w:cs="Times New Roman" w:eastAsia="Times New Roman" w:hint="default"/>
        </w:rPr>
        <w:t>35</w:t>
      </w:r>
      <w:r>
        <w:rPr/>
        <w:t>、财务费用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68,596,034.37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68,810,253.28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1,255,947.84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5,534,819.75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利息净支出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67,340,086.53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63,275,433.53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39,554.49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汇兑净损失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-39,554.49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金融机构手续费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375,681.69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123,129.74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67,676,213.73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63,398,563.27</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rFonts w:ascii="Times New Roman" w:hAnsi="Times New Roman" w:cs="Times New Roman" w:eastAsia="Times New Roman" w:hint="default"/>
        </w:rPr>
        <w:t>36</w:t>
      </w:r>
      <w:r>
        <w:rPr/>
        <w:t>、资产减值损失</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3,995,909.22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2,074,620.41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3,995,909.22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2,074,620.41</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rFonts w:ascii="Times New Roman" w:hAnsi="Times New Roman" w:cs="Times New Roman" w:eastAsia="Times New Roman" w:hint="default"/>
        </w:rPr>
        <w:t>37</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-1,672,137.64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-950,722.20</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45,143,215.27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21,429,807.15</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43,471,077.63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20,479,084.95</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rFonts w:ascii="Times New Roman" w:hAnsi="Times New Roman" w:cs="Times New Roman" w:eastAsia="Times New Roman" w:hint="default"/>
        </w:rPr>
        <w:t>38</w:t>
      </w:r>
      <w:r>
        <w:rPr/>
        <w:t>、资产处置收益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-1,574,720.06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-941,498.91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-1,574,720.06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-941,498.91</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rFonts w:ascii="Times New Roman" w:hAnsi="Times New Roman" w:cs="Times New Roman" w:eastAsia="Times New Roman" w:hint="default"/>
        </w:rPr>
        <w:t>39</w:t>
      </w:r>
      <w:r>
        <w:rPr/>
        <w:t>、其他收益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174,845.84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174,845.84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rFonts w:ascii="Times New Roman" w:hAnsi="Times New Roman" w:cs="Times New Roman" w:eastAsia="Times New Roman" w:hint="default"/>
        </w:rPr>
        <w:t>40</w:t>
      </w:r>
      <w:r>
        <w:rPr/>
        <w:t>、营业外收入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6,366,600.00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50,108,497.79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30,006.93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6,396,606.93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50,108,499.57</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2839"/>
        <w:jc w:val="left"/>
      </w:pPr>
      <w:r>
        <w:rPr/>
        <w:t>计入当期损益的政府补助：</w:t>
      </w:r>
    </w:p>
    <w:p>
      <w:pPr>
        <w:pStyle w:val="BodyText"/>
        <w:spacing w:line="240" w:lineRule="auto" w:before="115"/>
        <w:ind w:left="0" w:right="151"/>
        <w:jc w:val="right"/>
      </w:pPr>
      <w:r>
        <w:rPr/>
        <w:pict>
          <v:group style="position:absolute;margin-left:56.400002pt;margin-top:22.741707pt;width:479.05pt;height:561pt;mso-position-horizontal-relative:page;mso-position-vertical-relative:paragraph;z-index:-1814752" coordorigin="1128,455" coordsize="9581,11220">
            <v:group style="position:absolute;left:1140;top:469;width:1055;height:156" coordorigin="1140,469" coordsize="1055,156">
              <v:shape style="position:absolute;left:1140;top:469;width:1055;height:156" coordorigin="1140,469" coordsize="1055,156" path="m1140,625l2194,625,2194,469,1140,469,1140,625xe" filled="true" fillcolor="#d2d2d2" stroked="false">
                <v:path arrowok="t"/>
                <v:fill type="solid"/>
              </v:shape>
            </v:group>
            <v:group style="position:absolute;left:1151;top:625;width:2;height:394" coordorigin="1151,625" coordsize="2,394">
              <v:shape style="position:absolute;left:1151;top:625;width:2;height:394" coordorigin="1151,625" coordsize="0,394" path="m1151,625l1151,1019e" filled="false" stroked="true" strokeweight="1.08pt" strokecolor="#d2d2d2">
                <v:path arrowok="t"/>
              </v:shape>
            </v:group>
            <v:group style="position:absolute;left:2183;top:625;width:2;height:394" coordorigin="2183,625" coordsize="2,394">
              <v:shape style="position:absolute;left:2183;top:625;width:2;height:394" coordorigin="2183,625" coordsize="0,394" path="m2183,625l2183,1019e" filled="false" stroked="true" strokeweight="1.08pt" strokecolor="#d2d2d2">
                <v:path arrowok="t"/>
              </v:shape>
            </v:group>
            <v:group style="position:absolute;left:1140;top:1019;width:1055;height:156" coordorigin="1140,1019" coordsize="1055,156">
              <v:shape style="position:absolute;left:1140;top:1019;width:1055;height:156" coordorigin="1140,1019" coordsize="1055,156" path="m1140,1175l2194,1175,2194,1019,1140,1019,1140,1175xe" filled="true" fillcolor="#d2d2d2" stroked="false">
                <v:path arrowok="t"/>
                <v:fill type="solid"/>
              </v:shape>
            </v:group>
            <v:group style="position:absolute;left:1162;top:625;width:1011;height:394" coordorigin="1162,625" coordsize="1011,394">
              <v:shape style="position:absolute;left:1162;top:625;width:1011;height:394" coordorigin="1162,625" coordsize="1011,394" path="m1162,1019l2172,1019,2172,625,1162,625,1162,1019xe" filled="true" fillcolor="#d2d2d2" stroked="false">
                <v:path arrowok="t"/>
                <v:fill type="solid"/>
              </v:shape>
            </v:group>
            <v:group style="position:absolute;left:2204;top:469;width:1054;height:156" coordorigin="2204,469" coordsize="1054,156">
              <v:shape style="position:absolute;left:2204;top:469;width:1054;height:156" coordorigin="2204,469" coordsize="1054,156" path="m2204,625l3257,625,3257,469,2204,469,2204,625xe" filled="true" fillcolor="#d2d2d2" stroked="false">
                <v:path arrowok="t"/>
                <v:fill type="solid"/>
              </v:shape>
            </v:group>
            <v:group style="position:absolute;left:2216;top:625;width:2;height:394" coordorigin="2216,625" coordsize="2,394">
              <v:shape style="position:absolute;left:2216;top:625;width:2;height:394" coordorigin="2216,625" coordsize="0,394" path="m2216,625l2216,1019e" filled="false" stroked="true" strokeweight="1.2pt" strokecolor="#d2d2d2">
                <v:path arrowok="t"/>
              </v:shape>
            </v:group>
            <v:group style="position:absolute;left:3245;top:625;width:2;height:394" coordorigin="3245,625" coordsize="2,394">
              <v:shape style="position:absolute;left:3245;top:625;width:2;height:394" coordorigin="3245,625" coordsize="0,394" path="m3245,625l3245,1019e" filled="false" stroked="true" strokeweight="1.2pt" strokecolor="#d2d2d2">
                <v:path arrowok="t"/>
              </v:shape>
            </v:group>
            <v:group style="position:absolute;left:2204;top:1019;width:1054;height:156" coordorigin="2204,1019" coordsize="1054,156">
              <v:shape style="position:absolute;left:2204;top:1019;width:1054;height:156" coordorigin="2204,1019" coordsize="1054,156" path="m2204,1175l3257,1175,3257,1019,2204,1019,2204,1175xe" filled="true" fillcolor="#d2d2d2" stroked="false">
                <v:path arrowok="t"/>
                <v:fill type="solid"/>
              </v:shape>
            </v:group>
            <v:group style="position:absolute;left:2228;top:625;width:1006;height:394" coordorigin="2228,625" coordsize="1006,394">
              <v:shape style="position:absolute;left:2228;top:625;width:1006;height:394" coordorigin="2228,625" coordsize="1006,394" path="m2228,1019l3233,1019,3233,625,2228,625,2228,1019xe" filled="true" fillcolor="#d2d2d2" stroked="false">
                <v:path arrowok="t"/>
                <v:fill type="solid"/>
              </v:shape>
            </v:group>
            <v:group style="position:absolute;left:3267;top:469;width:1055;height:156" coordorigin="3267,469" coordsize="1055,156">
              <v:shape style="position:absolute;left:3267;top:469;width:1055;height:156" coordorigin="3267,469" coordsize="1055,156" path="m3267,625l4321,625,4321,469,3267,469,3267,625xe" filled="true" fillcolor="#d2d2d2" stroked="false">
                <v:path arrowok="t"/>
                <v:fill type="solid"/>
              </v:shape>
            </v:group>
            <v:group style="position:absolute;left:3279;top:625;width:2;height:394" coordorigin="3279,625" coordsize="2,394">
              <v:shape style="position:absolute;left:3279;top:625;width:2;height:394" coordorigin="3279,625" coordsize="0,394" path="m3279,625l3279,1019e" filled="false" stroked="true" strokeweight="1.2pt" strokecolor="#d2d2d2">
                <v:path arrowok="t"/>
              </v:shape>
            </v:group>
            <v:group style="position:absolute;left:4309;top:625;width:2;height:394" coordorigin="4309,625" coordsize="2,394">
              <v:shape style="position:absolute;left:4309;top:625;width:2;height:394" coordorigin="4309,625" coordsize="0,394" path="m4309,625l4309,1019e" filled="false" stroked="true" strokeweight="1.2pt" strokecolor="#d2d2d2">
                <v:path arrowok="t"/>
              </v:shape>
            </v:group>
            <v:group style="position:absolute;left:3267;top:1019;width:1055;height:156" coordorigin="3267,1019" coordsize="1055,156">
              <v:shape style="position:absolute;left:3267;top:1019;width:1055;height:156" coordorigin="3267,1019" coordsize="1055,156" path="m3267,1175l4321,1175,4321,1019,3267,1019,3267,1175xe" filled="true" fillcolor="#d2d2d2" stroked="false">
                <v:path arrowok="t"/>
                <v:fill type="solid"/>
              </v:shape>
            </v:group>
            <v:group style="position:absolute;left:3291;top:625;width:1007;height:394" coordorigin="3291,625" coordsize="1007,394">
              <v:shape style="position:absolute;left:3291;top:625;width:1007;height:394" coordorigin="3291,625" coordsize="1007,394" path="m3291,1019l4297,1019,4297,625,3291,625,3291,1019xe" filled="true" fillcolor="#d2d2d2" stroked="false">
                <v:path arrowok="t"/>
                <v:fill type="solid"/>
              </v:shape>
            </v:group>
            <v:group style="position:absolute;left:4331;top:469;width:1054;height:156" coordorigin="4331,469" coordsize="1054,156">
              <v:shape style="position:absolute;left:4331;top:469;width:1054;height:156" coordorigin="4331,469" coordsize="1054,156" path="m4331,625l5384,625,5384,469,4331,469,4331,625xe" filled="true" fillcolor="#d2d2d2" stroked="false">
                <v:path arrowok="t"/>
                <v:fill type="solid"/>
              </v:shape>
            </v:group>
            <v:group style="position:absolute;left:4343;top:625;width:2;height:394" coordorigin="4343,625" coordsize="2,394">
              <v:shape style="position:absolute;left:4343;top:625;width:2;height:394" coordorigin="4343,625" coordsize="0,394" path="m4343,625l4343,1019e" filled="false" stroked="true" strokeweight="1.2pt" strokecolor="#d2d2d2">
                <v:path arrowok="t"/>
              </v:shape>
            </v:group>
            <v:group style="position:absolute;left:5372;top:625;width:2;height:394" coordorigin="5372,625" coordsize="2,394">
              <v:shape style="position:absolute;left:5372;top:625;width:2;height:394" coordorigin="5372,625" coordsize="0,394" path="m5372,625l5372,1019e" filled="false" stroked="true" strokeweight="1.2pt" strokecolor="#d2d2d2">
                <v:path arrowok="t"/>
              </v:shape>
            </v:group>
            <v:group style="position:absolute;left:4331;top:1019;width:1054;height:156" coordorigin="4331,1019" coordsize="1054,156">
              <v:shape style="position:absolute;left:4331;top:1019;width:1054;height:156" coordorigin="4331,1019" coordsize="1054,156" path="m4331,1175l5384,1175,5384,1019,4331,1019,4331,1175xe" filled="true" fillcolor="#d2d2d2" stroked="false">
                <v:path arrowok="t"/>
                <v:fill type="solid"/>
              </v:shape>
            </v:group>
            <v:group style="position:absolute;left:4355;top:625;width:1006;height:394" coordorigin="4355,625" coordsize="1006,394">
              <v:shape style="position:absolute;left:4355;top:625;width:1006;height:394" coordorigin="4355,625" coordsize="1006,394" path="m4355,1019l5360,1019,5360,625,4355,625,4355,1019xe" filled="true" fillcolor="#d2d2d2" stroked="false">
                <v:path arrowok="t"/>
                <v:fill type="solid"/>
              </v:shape>
            </v:group>
            <v:group style="position:absolute;left:5406;top:469;width:2;height:706" coordorigin="5406,469" coordsize="2,706">
              <v:shape style="position:absolute;left:5406;top:469;width:2;height:706" coordorigin="5406,469" coordsize="0,706" path="m5406,469l5406,1175e" filled="false" stroked="true" strokeweight="1.2pt" strokecolor="#d2d2d2">
                <v:path arrowok="t"/>
              </v:shape>
            </v:group>
            <v:group style="position:absolute;left:6436;top:469;width:2;height:706" coordorigin="6436,469" coordsize="2,706">
              <v:shape style="position:absolute;left:6436;top:469;width:2;height:706" coordorigin="6436,469" coordsize="0,706" path="m6436,469l6436,1175e" filled="false" stroked="true" strokeweight="1.2pt" strokecolor="#d2d2d2">
                <v:path arrowok="t"/>
              </v:shape>
            </v:group>
            <v:group style="position:absolute;left:5418;top:469;width:1007;height:353" coordorigin="5418,469" coordsize="1007,353">
              <v:shape style="position:absolute;left:5418;top:469;width:1007;height:353" coordorigin="5418,469" coordsize="1007,353" path="m5418,822l6424,822,6424,469,5418,469,5418,822xe" filled="true" fillcolor="#d2d2d2" stroked="false">
                <v:path arrowok="t"/>
                <v:fill type="solid"/>
              </v:shape>
            </v:group>
            <v:group style="position:absolute;left:5418;top:822;width:1007;height:353" coordorigin="5418,822" coordsize="1007,353">
              <v:shape style="position:absolute;left:5418;top:822;width:1007;height:353" coordorigin="5418,822" coordsize="1007,353" path="m5418,1175l6424,1175,6424,822,5418,822,5418,1175xe" filled="true" fillcolor="#d2d2d2" stroked="false">
                <v:path arrowok="t"/>
                <v:fill type="solid"/>
              </v:shape>
            </v:group>
            <v:group style="position:absolute;left:6469;top:469;width:2;height:706" coordorigin="6469,469" coordsize="2,706">
              <v:shape style="position:absolute;left:6469;top:469;width:2;height:706" coordorigin="6469,469" coordsize="0,706" path="m6469,469l6469,1175e" filled="false" stroked="true" strokeweight="1.2pt" strokecolor="#d2d2d2">
                <v:path arrowok="t"/>
              </v:shape>
            </v:group>
            <v:group style="position:absolute;left:7499;top:469;width:2;height:706" coordorigin="7499,469" coordsize="2,706">
              <v:shape style="position:absolute;left:7499;top:469;width:2;height:706" coordorigin="7499,469" coordsize="0,706" path="m7499,469l7499,1175e" filled="false" stroked="true" strokeweight="1.2pt" strokecolor="#d2d2d2">
                <v:path arrowok="t"/>
              </v:shape>
            </v:group>
            <v:group style="position:absolute;left:6481;top:469;width:1006;height:353" coordorigin="6481,469" coordsize="1006,353">
              <v:shape style="position:absolute;left:6481;top:469;width:1006;height:353" coordorigin="6481,469" coordsize="1006,353" path="m6481,822l7487,822,7487,469,6481,469,6481,822xe" filled="true" fillcolor="#d2d2d2" stroked="false">
                <v:path arrowok="t"/>
                <v:fill type="solid"/>
              </v:shape>
            </v:group>
            <v:group style="position:absolute;left:6481;top:822;width:1006;height:353" coordorigin="6481,822" coordsize="1006,353">
              <v:shape style="position:absolute;left:6481;top:822;width:1006;height:353" coordorigin="6481,822" coordsize="1006,353" path="m6481,1175l7487,1175,7487,822,6481,822,6481,1175xe" filled="true" fillcolor="#d2d2d2" stroked="false">
                <v:path arrowok="t"/>
                <v:fill type="solid"/>
              </v:shape>
            </v:group>
            <v:group style="position:absolute;left:7531;top:469;width:2;height:706" coordorigin="7531,469" coordsize="2,706">
              <v:shape style="position:absolute;left:7531;top:469;width:2;height:706" coordorigin="7531,469" coordsize="0,706" path="m7531,469l7531,1175e" filled="false" stroked="true" strokeweight="1.08pt" strokecolor="#d2d2d2">
                <v:path arrowok="t"/>
              </v:shape>
            </v:group>
            <v:group style="position:absolute;left:8562;top:469;width:2;height:706" coordorigin="8562,469" coordsize="2,706">
              <v:shape style="position:absolute;left:8562;top:469;width:2;height:706" coordorigin="8562,469" coordsize="0,706" path="m8562,469l8562,1175e" filled="false" stroked="true" strokeweight="1.2pt" strokecolor="#d2d2d2">
                <v:path arrowok="t"/>
              </v:shape>
            </v:group>
            <v:group style="position:absolute;left:7542;top:469;width:1008;height:353" coordorigin="7542,469" coordsize="1008,353">
              <v:shape style="position:absolute;left:7542;top:469;width:1008;height:353" coordorigin="7542,469" coordsize="1008,353" path="m7542,822l8550,822,8550,469,7542,469,7542,822xe" filled="true" fillcolor="#d2d2d2" stroked="false">
                <v:path arrowok="t"/>
                <v:fill type="solid"/>
              </v:shape>
            </v:group>
            <v:group style="position:absolute;left:7542;top:822;width:1008;height:353" coordorigin="7542,822" coordsize="1008,353">
              <v:shape style="position:absolute;left:7542;top:822;width:1008;height:353" coordorigin="7542,822" coordsize="1008,353" path="m7542,1175l8550,1175,8550,822,7542,822,7542,1175xe" filled="true" fillcolor="#d2d2d2" stroked="false">
                <v:path arrowok="t"/>
                <v:fill type="solid"/>
              </v:shape>
            </v:group>
            <v:group style="position:absolute;left:8595;top:469;width:2;height:706" coordorigin="8595,469" coordsize="2,706">
              <v:shape style="position:absolute;left:8595;top:469;width:2;height:706" coordorigin="8595,469" coordsize="0,706" path="m8595,469l8595,1175e" filled="false" stroked="true" strokeweight="1.08pt" strokecolor="#d2d2d2">
                <v:path arrowok="t"/>
              </v:shape>
            </v:group>
            <v:group style="position:absolute;left:9626;top:469;width:2;height:706" coordorigin="9626,469" coordsize="2,706">
              <v:shape style="position:absolute;left:9626;top:469;width:2;height:706" coordorigin="9626,469" coordsize="0,706" path="m9626,469l9626,1175e" filled="false" stroked="true" strokeweight="1.2pt" strokecolor="#d2d2d2">
                <v:path arrowok="t"/>
              </v:shape>
            </v:group>
            <v:group style="position:absolute;left:8605;top:469;width:1009;height:353" coordorigin="8605,469" coordsize="1009,353">
              <v:shape style="position:absolute;left:8605;top:469;width:1009;height:353" coordorigin="8605,469" coordsize="1009,353" path="m8605,822l9614,822,9614,469,8605,469,8605,822xe" filled="true" fillcolor="#d2d2d2" stroked="false">
                <v:path arrowok="t"/>
                <v:fill type="solid"/>
              </v:shape>
            </v:group>
            <v:group style="position:absolute;left:8605;top:822;width:1009;height:353" coordorigin="8605,822" coordsize="1009,353">
              <v:shape style="position:absolute;left:8605;top:822;width:1009;height:353" coordorigin="8605,822" coordsize="1009,353" path="m8605,1175l9614,1175,9614,822,8605,822,8605,1175xe" filled="true" fillcolor="#d2d2d2" stroked="false">
                <v:path arrowok="t"/>
                <v:fill type="solid"/>
              </v:shape>
            </v:group>
            <v:group style="position:absolute;left:9658;top:469;width:2;height:706" coordorigin="9658,469" coordsize="2,706">
              <v:shape style="position:absolute;left:9658;top:469;width:2;height:706" coordorigin="9658,469" coordsize="0,706" path="m9658,469l9658,1175e" filled="false" stroked="true" strokeweight="1.08pt" strokecolor="#d2d2d2">
                <v:path arrowok="t"/>
              </v:shape>
            </v:group>
            <v:group style="position:absolute;left:10688;top:469;width:2;height:706" coordorigin="10688,469" coordsize="2,706">
              <v:shape style="position:absolute;left:10688;top:469;width:2;height:706" coordorigin="10688,469" coordsize="0,706" path="m10688,469l10688,1175e" filled="false" stroked="true" strokeweight="1.08pt" strokecolor="#d2d2d2">
                <v:path arrowok="t"/>
              </v:shape>
            </v:group>
            <v:group style="position:absolute;left:9669;top:469;width:1008;height:353" coordorigin="9669,469" coordsize="1008,353">
              <v:shape style="position:absolute;left:9669;top:469;width:1008;height:353" coordorigin="9669,469" coordsize="1008,353" path="m9669,822l10677,822,10677,469,9669,469,9669,822xe" filled="true" fillcolor="#d2d2d2" stroked="false">
                <v:path arrowok="t"/>
                <v:fill type="solid"/>
              </v:shape>
            </v:group>
            <v:group style="position:absolute;left:9669;top:822;width:1008;height:353" coordorigin="9669,822" coordsize="1008,353">
              <v:shape style="position:absolute;left:9669;top:822;width:1008;height:353" coordorigin="9669,822" coordsize="1008,353" path="m9669,1175l10677,1175,10677,822,9669,822,9669,1175xe" filled="true" fillcolor="#d2d2d2" stroked="false">
                <v:path arrowok="t"/>
                <v:fill type="solid"/>
              </v:shape>
            </v:group>
            <v:group style="position:absolute;left:1138;top:464;width:1057;height:2" coordorigin="1138,464" coordsize="1057,2">
              <v:shape style="position:absolute;left:1138;top:464;width:1057;height:2" coordorigin="1138,464" coordsize="1057,0" path="m1138,464l2194,464e" filled="false" stroked="true" strokeweight=".48001pt" strokecolor="#000000">
                <v:path arrowok="t"/>
              </v:shape>
            </v:group>
            <v:group style="position:absolute;left:2204;top:464;width:1054;height:2" coordorigin="2204,464" coordsize="1054,2">
              <v:shape style="position:absolute;left:2204;top:464;width:1054;height:2" coordorigin="2204,464" coordsize="1054,0" path="m2204,464l3257,464e" filled="false" stroked="true" strokeweight=".48001pt" strokecolor="#000000">
                <v:path arrowok="t"/>
              </v:shape>
            </v:group>
            <v:group style="position:absolute;left:3267;top:464;width:1055;height:2" coordorigin="3267,464" coordsize="1055,2">
              <v:shape style="position:absolute;left:3267;top:464;width:1055;height:2" coordorigin="3267,464" coordsize="1055,0" path="m3267,464l4321,464e" filled="false" stroked="true" strokeweight=".48001pt" strokecolor="#000000">
                <v:path arrowok="t"/>
              </v:shape>
            </v:group>
            <v:group style="position:absolute;left:4331;top:464;width:1054;height:2" coordorigin="4331,464" coordsize="1054,2">
              <v:shape style="position:absolute;left:4331;top:464;width:1054;height:2" coordorigin="4331,464" coordsize="1054,0" path="m4331,464l5384,464e" filled="false" stroked="true" strokeweight=".48001pt" strokecolor="#000000">
                <v:path arrowok="t"/>
              </v:shape>
            </v:group>
            <v:group style="position:absolute;left:5394;top:464;width:1052;height:2" coordorigin="5394,464" coordsize="1052,2">
              <v:shape style="position:absolute;left:5394;top:464;width:1052;height:2" coordorigin="5394,464" coordsize="1052,0" path="m5394,464l6445,464e" filled="false" stroked="true" strokeweight=".48001pt" strokecolor="#000000">
                <v:path arrowok="t"/>
              </v:shape>
            </v:group>
            <v:group style="position:absolute;left:6455;top:464;width:1054;height:2" coordorigin="6455,464" coordsize="1054,2">
              <v:shape style="position:absolute;left:6455;top:464;width:1054;height:2" coordorigin="6455,464" coordsize="1054,0" path="m6455,464l7509,464e" filled="false" stroked="true" strokeweight=".48001pt" strokecolor="#000000">
                <v:path arrowok="t"/>
              </v:shape>
            </v:group>
            <v:group style="position:absolute;left:7518;top:464;width:1054;height:2" coordorigin="7518,464" coordsize="1054,2">
              <v:shape style="position:absolute;left:7518;top:464;width:1054;height:2" coordorigin="7518,464" coordsize="1054,0" path="m7518,464l8572,464e" filled="false" stroked="true" strokeweight=".48001pt" strokecolor="#000000">
                <v:path arrowok="t"/>
              </v:shape>
            </v:group>
            <v:group style="position:absolute;left:8581;top:464;width:1055;height:2" coordorigin="8581,464" coordsize="1055,2">
              <v:shape style="position:absolute;left:8581;top:464;width:1055;height:2" coordorigin="8581,464" coordsize="1055,0" path="m8581,464l9635,464e" filled="false" stroked="true" strokeweight=".48001pt" strokecolor="#000000">
                <v:path arrowok="t"/>
              </v:shape>
            </v:group>
            <v:group style="position:absolute;left:9645;top:464;width:1054;height:2" coordorigin="9645,464" coordsize="1054,2">
              <v:shape style="position:absolute;left:9645;top:464;width:1054;height:2" coordorigin="9645,464" coordsize="1054,0" path="m9645,464l10699,464e" filled="false" stroked="true" strokeweight=".48001pt" strokecolor="#000000">
                <v:path arrowok="t"/>
              </v:shape>
            </v:group>
            <v:group style="position:absolute;left:5394;top:1185;width:1055;height:469" coordorigin="5394,1185" coordsize="1055,469">
              <v:shape style="position:absolute;left:5394;top:1185;width:1055;height:469" coordorigin="5394,1185" coordsize="1055,469" path="m5394,1653l6448,1653,6448,1185,5394,1185,5394,1653xe" filled="true" fillcolor="#ffffff" stroked="false">
                <v:path arrowok="t"/>
                <v:fill type="solid"/>
              </v:shape>
            </v:group>
            <v:group style="position:absolute;left:1138;top:1180;width:1057;height:2" coordorigin="1138,1180" coordsize="1057,2">
              <v:shape style="position:absolute;left:1138;top:1180;width:1057;height:2" coordorigin="1138,1180" coordsize="1057,0" path="m1138,1180l2194,1180e" filled="false" stroked="true" strokeweight=".48pt" strokecolor="#000000">
                <v:path arrowok="t"/>
              </v:shape>
            </v:group>
            <v:group style="position:absolute;left:2204;top:1180;width:1054;height:2" coordorigin="2204,1180" coordsize="1054,2">
              <v:shape style="position:absolute;left:2204;top:1180;width:1054;height:2" coordorigin="2204,1180" coordsize="1054,0" path="m2204,1180l3257,1180e" filled="false" stroked="true" strokeweight=".48pt" strokecolor="#000000">
                <v:path arrowok="t"/>
              </v:shape>
            </v:group>
            <v:group style="position:absolute;left:3267;top:1180;width:1055;height:2" coordorigin="3267,1180" coordsize="1055,2">
              <v:shape style="position:absolute;left:3267;top:1180;width:1055;height:2" coordorigin="3267,1180" coordsize="1055,0" path="m3267,1180l4321,1180e" filled="false" stroked="true" strokeweight=".48pt" strokecolor="#000000">
                <v:path arrowok="t"/>
              </v:shape>
            </v:group>
            <v:group style="position:absolute;left:4331;top:1180;width:1054;height:2" coordorigin="4331,1180" coordsize="1054,2">
              <v:shape style="position:absolute;left:4331;top:1180;width:1054;height:2" coordorigin="4331,1180" coordsize="1054,0" path="m4331,1180l5384,1180e" filled="false" stroked="true" strokeweight=".48pt" strokecolor="#000000">
                <v:path arrowok="t"/>
              </v:shape>
            </v:group>
            <v:group style="position:absolute;left:5394;top:1180;width:1052;height:2" coordorigin="5394,1180" coordsize="1052,2">
              <v:shape style="position:absolute;left:5394;top:1180;width:1052;height:2" coordorigin="5394,1180" coordsize="1052,0" path="m5394,1180l6445,1180e" filled="false" stroked="true" strokeweight=".48pt" strokecolor="#000000">
                <v:path arrowok="t"/>
              </v:shape>
            </v:group>
            <v:group style="position:absolute;left:6455;top:1180;width:1054;height:2" coordorigin="6455,1180" coordsize="1054,2">
              <v:shape style="position:absolute;left:6455;top:1180;width:1054;height:2" coordorigin="6455,1180" coordsize="1054,0" path="m6455,1180l7509,1180e" filled="false" stroked="true" strokeweight=".48pt" strokecolor="#000000">
                <v:path arrowok="t"/>
              </v:shape>
            </v:group>
            <v:group style="position:absolute;left:7518;top:1180;width:1054;height:2" coordorigin="7518,1180" coordsize="1054,2">
              <v:shape style="position:absolute;left:7518;top:1180;width:1054;height:2" coordorigin="7518,1180" coordsize="1054,0" path="m7518,1180l8572,1180e" filled="false" stroked="true" strokeweight=".48pt" strokecolor="#000000">
                <v:path arrowok="t"/>
              </v:shape>
            </v:group>
            <v:group style="position:absolute;left:8581;top:1180;width:1055;height:2" coordorigin="8581,1180" coordsize="1055,2">
              <v:shape style="position:absolute;left:8581;top:1180;width:1055;height:2" coordorigin="8581,1180" coordsize="1055,0" path="m8581,1180l9635,1180e" filled="false" stroked="true" strokeweight=".48pt" strokecolor="#000000">
                <v:path arrowok="t"/>
              </v:shape>
            </v:group>
            <v:group style="position:absolute;left:9645;top:1180;width:1054;height:2" coordorigin="9645,1180" coordsize="1054,2">
              <v:shape style="position:absolute;left:9645;top:1180;width:1054;height:2" coordorigin="9645,1180" coordsize="1054,0" path="m9645,1180l10699,1180e" filled="false" stroked="true" strokeweight=".48pt" strokecolor="#000000">
                <v:path arrowok="t"/>
              </v:shape>
            </v:group>
            <v:group style="position:absolute;left:5394;top:2522;width:1055;height:780" coordorigin="5394,2522" coordsize="1055,780">
              <v:shape style="position:absolute;left:5394;top:2522;width:1055;height:780" coordorigin="5394,2522" coordsize="1055,780" path="m5394,3302l6448,3302,6448,2522,5394,2522,5394,3302xe" filled="true" fillcolor="#ffffff" stroked="false">
                <v:path arrowok="t"/>
                <v:fill type="solid"/>
              </v:shape>
            </v:group>
            <v:group style="position:absolute;left:1138;top:2517;width:1057;height:2" coordorigin="1138,2517" coordsize="1057,2">
              <v:shape style="position:absolute;left:1138;top:2517;width:1057;height:2" coordorigin="1138,2517" coordsize="1057,0" path="m1138,2517l2194,2517e" filled="false" stroked="true" strokeweight=".48001pt" strokecolor="#000000">
                <v:path arrowok="t"/>
              </v:shape>
            </v:group>
            <v:group style="position:absolute;left:2204;top:2517;width:1054;height:2" coordorigin="2204,2517" coordsize="1054,2">
              <v:shape style="position:absolute;left:2204;top:2517;width:1054;height:2" coordorigin="2204,2517" coordsize="1054,0" path="m2204,2517l3257,2517e" filled="false" stroked="true" strokeweight=".48001pt" strokecolor="#000000">
                <v:path arrowok="t"/>
              </v:shape>
            </v:group>
            <v:group style="position:absolute;left:3267;top:2517;width:1055;height:2" coordorigin="3267,2517" coordsize="1055,2">
              <v:shape style="position:absolute;left:3267;top:2517;width:1055;height:2" coordorigin="3267,2517" coordsize="1055,0" path="m3267,2517l4321,2517e" filled="false" stroked="true" strokeweight=".48001pt" strokecolor="#000000">
                <v:path arrowok="t"/>
              </v:shape>
            </v:group>
            <v:group style="position:absolute;left:4331;top:2517;width:1054;height:2" coordorigin="4331,2517" coordsize="1054,2">
              <v:shape style="position:absolute;left:4331;top:2517;width:1054;height:2" coordorigin="4331,2517" coordsize="1054,0" path="m4331,2517l5384,2517e" filled="false" stroked="true" strokeweight=".48001pt" strokecolor="#000000">
                <v:path arrowok="t"/>
              </v:shape>
            </v:group>
            <v:group style="position:absolute;left:5394;top:2517;width:1052;height:2" coordorigin="5394,2517" coordsize="1052,2">
              <v:shape style="position:absolute;left:5394;top:2517;width:1052;height:2" coordorigin="5394,2517" coordsize="1052,0" path="m5394,2517l6445,2517e" filled="false" stroked="true" strokeweight=".48001pt" strokecolor="#000000">
                <v:path arrowok="t"/>
              </v:shape>
            </v:group>
            <v:group style="position:absolute;left:6455;top:2517;width:1054;height:2" coordorigin="6455,2517" coordsize="1054,2">
              <v:shape style="position:absolute;left:6455;top:2517;width:1054;height:2" coordorigin="6455,2517" coordsize="1054,0" path="m6455,2517l7509,2517e" filled="false" stroked="true" strokeweight=".48001pt" strokecolor="#000000">
                <v:path arrowok="t"/>
              </v:shape>
            </v:group>
            <v:group style="position:absolute;left:7518;top:2517;width:1054;height:2" coordorigin="7518,2517" coordsize="1054,2">
              <v:shape style="position:absolute;left:7518;top:2517;width:1054;height:2" coordorigin="7518,2517" coordsize="1054,0" path="m7518,2517l8572,2517e" filled="false" stroked="true" strokeweight=".48001pt" strokecolor="#000000">
                <v:path arrowok="t"/>
              </v:shape>
            </v:group>
            <v:group style="position:absolute;left:8581;top:2517;width:1055;height:2" coordorigin="8581,2517" coordsize="1055,2">
              <v:shape style="position:absolute;left:8581;top:2517;width:1055;height:2" coordorigin="8581,2517" coordsize="1055,0" path="m8581,2517l9635,2517e" filled="false" stroked="true" strokeweight=".48001pt" strokecolor="#000000">
                <v:path arrowok="t"/>
              </v:shape>
            </v:group>
            <v:group style="position:absolute;left:9645;top:2517;width:1054;height:2" coordorigin="9645,2517" coordsize="1054,2">
              <v:shape style="position:absolute;left:9645;top:2517;width:1054;height:2" coordorigin="9645,2517" coordsize="1054,0" path="m9645,2517l10699,2517e" filled="false" stroked="true" strokeweight=".48001pt" strokecolor="#000000">
                <v:path arrowok="t"/>
              </v:shape>
            </v:group>
            <v:group style="position:absolute;left:5394;top:4485;width:1055;height:469" coordorigin="5394,4485" coordsize="1055,469">
              <v:shape style="position:absolute;left:5394;top:4485;width:1055;height:469" coordorigin="5394,4485" coordsize="1055,469" path="m5394,4953l6448,4953,6448,4485,5394,4485,5394,4953xe" filled="true" fillcolor="#ffffff" stroked="false">
                <v:path arrowok="t"/>
                <v:fill type="solid"/>
              </v:shape>
            </v:group>
            <v:group style="position:absolute;left:1138;top:4480;width:1057;height:2" coordorigin="1138,4480" coordsize="1057,2">
              <v:shape style="position:absolute;left:1138;top:4480;width:1057;height:2" coordorigin="1138,4480" coordsize="1057,0" path="m1138,4480l2194,4480e" filled="false" stroked="true" strokeweight=".48001pt" strokecolor="#000000">
                <v:path arrowok="t"/>
              </v:shape>
            </v:group>
            <v:group style="position:absolute;left:2204;top:4480;width:1054;height:2" coordorigin="2204,4480" coordsize="1054,2">
              <v:shape style="position:absolute;left:2204;top:4480;width:1054;height:2" coordorigin="2204,4480" coordsize="1054,0" path="m2204,4480l3257,4480e" filled="false" stroked="true" strokeweight=".48001pt" strokecolor="#000000">
                <v:path arrowok="t"/>
              </v:shape>
            </v:group>
            <v:group style="position:absolute;left:3267;top:4480;width:1055;height:2" coordorigin="3267,4480" coordsize="1055,2">
              <v:shape style="position:absolute;left:3267;top:4480;width:1055;height:2" coordorigin="3267,4480" coordsize="1055,0" path="m3267,4480l4321,4480e" filled="false" stroked="true" strokeweight=".48001pt" strokecolor="#000000">
                <v:path arrowok="t"/>
              </v:shape>
            </v:group>
            <v:group style="position:absolute;left:4331;top:4480;width:1054;height:2" coordorigin="4331,4480" coordsize="1054,2">
              <v:shape style="position:absolute;left:4331;top:4480;width:1054;height:2" coordorigin="4331,4480" coordsize="1054,0" path="m4331,4480l5384,4480e" filled="false" stroked="true" strokeweight=".48001pt" strokecolor="#000000">
                <v:path arrowok="t"/>
              </v:shape>
            </v:group>
            <v:group style="position:absolute;left:5394;top:4480;width:1052;height:2" coordorigin="5394,4480" coordsize="1052,2">
              <v:shape style="position:absolute;left:5394;top:4480;width:1052;height:2" coordorigin="5394,4480" coordsize="1052,0" path="m5394,4480l6445,4480e" filled="false" stroked="true" strokeweight=".48001pt" strokecolor="#000000">
                <v:path arrowok="t"/>
              </v:shape>
            </v:group>
            <v:group style="position:absolute;left:6455;top:4480;width:1054;height:2" coordorigin="6455,4480" coordsize="1054,2">
              <v:shape style="position:absolute;left:6455;top:4480;width:1054;height:2" coordorigin="6455,4480" coordsize="1054,0" path="m6455,4480l7509,4480e" filled="false" stroked="true" strokeweight=".48001pt" strokecolor="#000000">
                <v:path arrowok="t"/>
              </v:shape>
            </v:group>
            <v:group style="position:absolute;left:7518;top:4480;width:1054;height:2" coordorigin="7518,4480" coordsize="1054,2">
              <v:shape style="position:absolute;left:7518;top:4480;width:1054;height:2" coordorigin="7518,4480" coordsize="1054,0" path="m7518,4480l8572,4480e" filled="false" stroked="true" strokeweight=".48001pt" strokecolor="#000000">
                <v:path arrowok="t"/>
              </v:shape>
            </v:group>
            <v:group style="position:absolute;left:8581;top:4480;width:1055;height:2" coordorigin="8581,4480" coordsize="1055,2">
              <v:shape style="position:absolute;left:8581;top:4480;width:1055;height:2" coordorigin="8581,4480" coordsize="1055,0" path="m8581,4480l9635,4480e" filled="false" stroked="true" strokeweight=".48001pt" strokecolor="#000000">
                <v:path arrowok="t"/>
              </v:shape>
            </v:group>
            <v:group style="position:absolute;left:9645;top:4480;width:1054;height:2" coordorigin="9645,4480" coordsize="1054,2">
              <v:shape style="position:absolute;left:9645;top:4480;width:1054;height:2" coordorigin="9645,4480" coordsize="1054,0" path="m9645,4480l10699,4480e" filled="false" stroked="true" strokeweight=".48001pt" strokecolor="#000000">
                <v:path arrowok="t"/>
              </v:shape>
            </v:group>
            <v:group style="position:absolute;left:3267;top:5822;width:1055;height:624" coordorigin="3267,5822" coordsize="1055,624">
              <v:shape style="position:absolute;left:3267;top:5822;width:1055;height:624" coordorigin="3267,5822" coordsize="1055,624" path="m3267,6446l4321,6446,4321,5822,3267,5822,3267,6446xe" filled="true" fillcolor="#ffffff" stroked="false">
                <v:path arrowok="t"/>
                <v:fill type="solid"/>
              </v:shape>
            </v:group>
            <v:group style="position:absolute;left:3279;top:6446;width:2;height:394" coordorigin="3279,6446" coordsize="2,394">
              <v:shape style="position:absolute;left:3279;top:6446;width:2;height:394" coordorigin="3279,6446" coordsize="0,394" path="m3279,6446l3279,6840e" filled="false" stroked="true" strokeweight="1.2pt" strokecolor="#ffffff">
                <v:path arrowok="t"/>
              </v:shape>
            </v:group>
            <v:group style="position:absolute;left:1138;top:5817;width:1057;height:2" coordorigin="1138,5817" coordsize="1057,2">
              <v:shape style="position:absolute;left:1138;top:5817;width:1057;height:2" coordorigin="1138,5817" coordsize="1057,0" path="m1138,5817l2194,5817e" filled="false" stroked="true" strokeweight=".48001pt" strokecolor="#000000">
                <v:path arrowok="t"/>
              </v:shape>
            </v:group>
            <v:group style="position:absolute;left:2204;top:5817;width:1054;height:2" coordorigin="2204,5817" coordsize="1054,2">
              <v:shape style="position:absolute;left:2204;top:5817;width:1054;height:2" coordorigin="2204,5817" coordsize="1054,0" path="m2204,5817l3257,5817e" filled="false" stroked="true" strokeweight=".48001pt" strokecolor="#000000">
                <v:path arrowok="t"/>
              </v:shape>
            </v:group>
            <v:group style="position:absolute;left:3267;top:5817;width:1055;height:2" coordorigin="3267,5817" coordsize="1055,2">
              <v:shape style="position:absolute;left:3267;top:5817;width:1055;height:2" coordorigin="3267,5817" coordsize="1055,0" path="m3267,5817l4321,5817e" filled="false" stroked="true" strokeweight=".48001pt" strokecolor="#000000">
                <v:path arrowok="t"/>
              </v:shape>
            </v:group>
            <v:group style="position:absolute;left:4331;top:5817;width:1054;height:2" coordorigin="4331,5817" coordsize="1054,2">
              <v:shape style="position:absolute;left:4331;top:5817;width:1054;height:2" coordorigin="4331,5817" coordsize="1054,0" path="m4331,5817l5384,5817e" filled="false" stroked="true" strokeweight=".48001pt" strokecolor="#000000">
                <v:path arrowok="t"/>
              </v:shape>
            </v:group>
            <v:group style="position:absolute;left:5394;top:5817;width:1052;height:2" coordorigin="5394,5817" coordsize="1052,2">
              <v:shape style="position:absolute;left:5394;top:5817;width:1052;height:2" coordorigin="5394,5817" coordsize="1052,0" path="m5394,5817l6445,5817e" filled="false" stroked="true" strokeweight=".48001pt" strokecolor="#000000">
                <v:path arrowok="t"/>
              </v:shape>
            </v:group>
            <v:group style="position:absolute;left:6455;top:5817;width:1054;height:2" coordorigin="6455,5817" coordsize="1054,2">
              <v:shape style="position:absolute;left:6455;top:5817;width:1054;height:2" coordorigin="6455,5817" coordsize="1054,0" path="m6455,5817l7509,5817e" filled="false" stroked="true" strokeweight=".48001pt" strokecolor="#000000">
                <v:path arrowok="t"/>
              </v:shape>
            </v:group>
            <v:group style="position:absolute;left:7518;top:5817;width:1054;height:2" coordorigin="7518,5817" coordsize="1054,2">
              <v:shape style="position:absolute;left:7518;top:5817;width:1054;height:2" coordorigin="7518,5817" coordsize="1054,0" path="m7518,5817l8572,5817e" filled="false" stroked="true" strokeweight=".48001pt" strokecolor="#000000">
                <v:path arrowok="t"/>
              </v:shape>
            </v:group>
            <v:group style="position:absolute;left:8581;top:5817;width:1055;height:2" coordorigin="8581,5817" coordsize="1055,2">
              <v:shape style="position:absolute;left:8581;top:5817;width:1055;height:2" coordorigin="8581,5817" coordsize="1055,0" path="m8581,5817l9635,5817e" filled="false" stroked="true" strokeweight=".48001pt" strokecolor="#000000">
                <v:path arrowok="t"/>
              </v:shape>
            </v:group>
            <v:group style="position:absolute;left:9645;top:5817;width:1054;height:2" coordorigin="9645,5817" coordsize="1054,2">
              <v:shape style="position:absolute;left:9645;top:5817;width:1054;height:2" coordorigin="9645,5817" coordsize="1054,0" path="m9645,5817l10699,5817e" filled="false" stroked="true" strokeweight=".48001pt" strokecolor="#000000">
                <v:path arrowok="t"/>
              </v:shape>
            </v:group>
            <v:group style="position:absolute;left:1138;top:7469;width:1057;height:2" coordorigin="1138,7469" coordsize="1057,2">
              <v:shape style="position:absolute;left:1138;top:7469;width:1057;height:2" coordorigin="1138,7469" coordsize="1057,0" path="m1138,7469l2194,7469e" filled="false" stroked="true" strokeweight=".48004pt" strokecolor="#000000">
                <v:path arrowok="t"/>
              </v:shape>
            </v:group>
            <v:group style="position:absolute;left:2204;top:7469;width:1054;height:2" coordorigin="2204,7469" coordsize="1054,2">
              <v:shape style="position:absolute;left:2204;top:7469;width:1054;height:2" coordorigin="2204,7469" coordsize="1054,0" path="m2204,7469l3257,7469e" filled="false" stroked="true" strokeweight=".48004pt" strokecolor="#000000">
                <v:path arrowok="t"/>
              </v:shape>
            </v:group>
            <v:group style="position:absolute;left:3267;top:7469;width:1055;height:2" coordorigin="3267,7469" coordsize="1055,2">
              <v:shape style="position:absolute;left:3267;top:7469;width:1055;height:2" coordorigin="3267,7469" coordsize="1055,0" path="m3267,7469l4321,7469e" filled="false" stroked="true" strokeweight=".48004pt" strokecolor="#000000">
                <v:path arrowok="t"/>
              </v:shape>
            </v:group>
            <v:group style="position:absolute;left:4331;top:7469;width:1054;height:2" coordorigin="4331,7469" coordsize="1054,2">
              <v:shape style="position:absolute;left:4331;top:7469;width:1054;height:2" coordorigin="4331,7469" coordsize="1054,0" path="m4331,7469l5384,7469e" filled="false" stroked="true" strokeweight=".48004pt" strokecolor="#000000">
                <v:path arrowok="t"/>
              </v:shape>
            </v:group>
            <v:group style="position:absolute;left:5394;top:7469;width:1052;height:2" coordorigin="5394,7469" coordsize="1052,2">
              <v:shape style="position:absolute;left:5394;top:7469;width:1052;height:2" coordorigin="5394,7469" coordsize="1052,0" path="m5394,7469l6445,7469e" filled="false" stroked="true" strokeweight=".48004pt" strokecolor="#000000">
                <v:path arrowok="t"/>
              </v:shape>
            </v:group>
            <v:group style="position:absolute;left:6455;top:7469;width:1054;height:2" coordorigin="6455,7469" coordsize="1054,2">
              <v:shape style="position:absolute;left:6455;top:7469;width:1054;height:2" coordorigin="6455,7469" coordsize="1054,0" path="m6455,7469l7509,7469e" filled="false" stroked="true" strokeweight=".48004pt" strokecolor="#000000">
                <v:path arrowok="t"/>
              </v:shape>
            </v:group>
            <v:group style="position:absolute;left:7518;top:7469;width:1054;height:2" coordorigin="7518,7469" coordsize="1054,2">
              <v:shape style="position:absolute;left:7518;top:7469;width:1054;height:2" coordorigin="7518,7469" coordsize="1054,0" path="m7518,7469l8572,7469e" filled="false" stroked="true" strokeweight=".48004pt" strokecolor="#000000">
                <v:path arrowok="t"/>
              </v:shape>
            </v:group>
            <v:group style="position:absolute;left:8581;top:7469;width:1055;height:2" coordorigin="8581,7469" coordsize="1055,2">
              <v:shape style="position:absolute;left:8581;top:7469;width:1055;height:2" coordorigin="8581,7469" coordsize="1055,0" path="m8581,7469l9635,7469e" filled="false" stroked="true" strokeweight=".48004pt" strokecolor="#000000">
                <v:path arrowok="t"/>
              </v:shape>
            </v:group>
            <v:group style="position:absolute;left:9645;top:7469;width:1054;height:2" coordorigin="9645,7469" coordsize="1054,2">
              <v:shape style="position:absolute;left:9645;top:7469;width:1054;height:2" coordorigin="9645,7469" coordsize="1054,0" path="m9645,7469l10699,7469e" filled="false" stroked="true" strokeweight=".48004pt" strokecolor="#000000">
                <v:path arrowok="t"/>
              </v:shape>
            </v:group>
            <v:group style="position:absolute;left:1138;top:10054;width:1057;height:2" coordorigin="1138,10054" coordsize="1057,2">
              <v:shape style="position:absolute;left:1138;top:10054;width:1057;height:2" coordorigin="1138,10054" coordsize="1057,0" path="m1138,10054l2194,10054e" filled="false" stroked="true" strokeweight=".47998pt" strokecolor="#000000">
                <v:path arrowok="t"/>
              </v:shape>
            </v:group>
            <v:group style="position:absolute;left:2204;top:10054;width:1054;height:2" coordorigin="2204,10054" coordsize="1054,2">
              <v:shape style="position:absolute;left:2204;top:10054;width:1054;height:2" coordorigin="2204,10054" coordsize="1054,0" path="m2204,10054l3257,10054e" filled="false" stroked="true" strokeweight=".47998pt" strokecolor="#000000">
                <v:path arrowok="t"/>
              </v:shape>
            </v:group>
            <v:group style="position:absolute;left:3267;top:10054;width:1055;height:2" coordorigin="3267,10054" coordsize="1055,2">
              <v:shape style="position:absolute;left:3267;top:10054;width:1055;height:2" coordorigin="3267,10054" coordsize="1055,0" path="m3267,10054l4321,10054e" filled="false" stroked="true" strokeweight=".47998pt" strokecolor="#000000">
                <v:path arrowok="t"/>
              </v:shape>
            </v:group>
            <v:group style="position:absolute;left:4331;top:10054;width:1054;height:2" coordorigin="4331,10054" coordsize="1054,2">
              <v:shape style="position:absolute;left:4331;top:10054;width:1054;height:2" coordorigin="4331,10054" coordsize="1054,0" path="m4331,10054l5384,10054e" filled="false" stroked="true" strokeweight=".47998pt" strokecolor="#000000">
                <v:path arrowok="t"/>
              </v:shape>
            </v:group>
            <v:group style="position:absolute;left:5394;top:10054;width:1052;height:2" coordorigin="5394,10054" coordsize="1052,2">
              <v:shape style="position:absolute;left:5394;top:10054;width:1052;height:2" coordorigin="5394,10054" coordsize="1052,0" path="m5394,10054l6445,10054e" filled="false" stroked="true" strokeweight=".47998pt" strokecolor="#000000">
                <v:path arrowok="t"/>
              </v:shape>
            </v:group>
            <v:group style="position:absolute;left:6455;top:10054;width:1054;height:2" coordorigin="6455,10054" coordsize="1054,2">
              <v:shape style="position:absolute;left:6455;top:10054;width:1054;height:2" coordorigin="6455,10054" coordsize="1054,0" path="m6455,10054l7509,10054e" filled="false" stroked="true" strokeweight=".47998pt" strokecolor="#000000">
                <v:path arrowok="t"/>
              </v:shape>
            </v:group>
            <v:group style="position:absolute;left:7518;top:10054;width:1054;height:2" coordorigin="7518,10054" coordsize="1054,2">
              <v:shape style="position:absolute;left:7518;top:10054;width:1054;height:2" coordorigin="7518,10054" coordsize="1054,0" path="m7518,10054l8572,10054e" filled="false" stroked="true" strokeweight=".47998pt" strokecolor="#000000">
                <v:path arrowok="t"/>
              </v:shape>
            </v:group>
            <v:group style="position:absolute;left:8581;top:10054;width:1055;height:2" coordorigin="8581,10054" coordsize="1055,2">
              <v:shape style="position:absolute;left:8581;top:10054;width:1055;height:2" coordorigin="8581,10054" coordsize="1055,0" path="m8581,10054l9635,10054e" filled="false" stroked="true" strokeweight=".47998pt" strokecolor="#000000">
                <v:path arrowok="t"/>
              </v:shape>
            </v:group>
            <v:group style="position:absolute;left:9645;top:10054;width:1054;height:2" coordorigin="9645,10054" coordsize="1054,2">
              <v:shape style="position:absolute;left:9645;top:10054;width:1054;height:2" coordorigin="9645,10054" coordsize="1054,0" path="m9645,10054l10699,10054e" filled="false" stroked="true" strokeweight=".47998pt" strokecolor="#000000">
                <v:path arrowok="t"/>
              </v:shape>
            </v:group>
            <v:group style="position:absolute;left:1133;top:460;width:2;height:11210" coordorigin="1133,460" coordsize="2,11210">
              <v:shape style="position:absolute;left:1133;top:460;width:2;height:11210" coordorigin="1133,460" coordsize="0,11210" path="m1133,460l1133,11670e" filled="false" stroked="true" strokeweight=".48pt" strokecolor="#000000">
                <v:path arrowok="t"/>
              </v:shape>
            </v:group>
            <v:group style="position:absolute;left:1138;top:11665;width:1057;height:2" coordorigin="1138,11665" coordsize="1057,2">
              <v:shape style="position:absolute;left:1138;top:11665;width:1057;height:2" coordorigin="1138,11665" coordsize="1057,0" path="m1138,11665l2194,11665e" filled="false" stroked="true" strokeweight=".47998pt" strokecolor="#000000">
                <v:path arrowok="t"/>
              </v:shape>
            </v:group>
            <v:group style="position:absolute;left:2199;top:460;width:2;height:11210" coordorigin="2199,460" coordsize="2,11210">
              <v:shape style="position:absolute;left:2199;top:460;width:2;height:11210" coordorigin="2199,460" coordsize="0,11210" path="m2199,460l2199,11670e" filled="false" stroked="true" strokeweight=".48pt" strokecolor="#000000">
                <v:path arrowok="t"/>
              </v:shape>
            </v:group>
            <v:group style="position:absolute;left:2204;top:11665;width:1054;height:2" coordorigin="2204,11665" coordsize="1054,2">
              <v:shape style="position:absolute;left:2204;top:11665;width:1054;height:2" coordorigin="2204,11665" coordsize="1054,0" path="m2204,11665l3257,11665e" filled="false" stroked="true" strokeweight=".47998pt" strokecolor="#000000">
                <v:path arrowok="t"/>
              </v:shape>
            </v:group>
            <v:group style="position:absolute;left:3262;top:460;width:2;height:11210" coordorigin="3262,460" coordsize="2,11210">
              <v:shape style="position:absolute;left:3262;top:460;width:2;height:11210" coordorigin="3262,460" coordsize="0,11210" path="m3262,460l3262,11670e" filled="false" stroked="true" strokeweight=".48pt" strokecolor="#000000">
                <v:path arrowok="t"/>
              </v:shape>
            </v:group>
            <v:group style="position:absolute;left:3267;top:11665;width:1055;height:2" coordorigin="3267,11665" coordsize="1055,2">
              <v:shape style="position:absolute;left:3267;top:11665;width:1055;height:2" coordorigin="3267,11665" coordsize="1055,0" path="m3267,11665l4321,11665e" filled="false" stroked="true" strokeweight=".47998pt" strokecolor="#000000">
                <v:path arrowok="t"/>
              </v:shape>
            </v:group>
            <v:group style="position:absolute;left:4326;top:460;width:2;height:11210" coordorigin="4326,460" coordsize="2,11210">
              <v:shape style="position:absolute;left:4326;top:460;width:2;height:11210" coordorigin="4326,460" coordsize="0,11210" path="m4326,460l4326,11670e" filled="false" stroked="true" strokeweight=".48pt" strokecolor="#000000">
                <v:path arrowok="t"/>
              </v:shape>
            </v:group>
            <v:group style="position:absolute;left:4331;top:11665;width:1054;height:2" coordorigin="4331,11665" coordsize="1054,2">
              <v:shape style="position:absolute;left:4331;top:11665;width:1054;height:2" coordorigin="4331,11665" coordsize="1054,0" path="m4331,11665l5384,11665e" filled="false" stroked="true" strokeweight=".47998pt" strokecolor="#000000">
                <v:path arrowok="t"/>
              </v:shape>
            </v:group>
            <v:group style="position:absolute;left:5389;top:460;width:2;height:11210" coordorigin="5389,460" coordsize="2,11210">
              <v:shape style="position:absolute;left:5389;top:460;width:2;height:11210" coordorigin="5389,460" coordsize="0,11210" path="m5389,460l5389,11670e" filled="false" stroked="true" strokeweight=".47998pt" strokecolor="#000000">
                <v:path arrowok="t"/>
              </v:shape>
            </v:group>
            <v:group style="position:absolute;left:5394;top:11665;width:1052;height:2" coordorigin="5394,11665" coordsize="1052,2">
              <v:shape style="position:absolute;left:5394;top:11665;width:1052;height:2" coordorigin="5394,11665" coordsize="1052,0" path="m5394,11665l6445,11665e" filled="false" stroked="true" strokeweight=".47998pt" strokecolor="#000000">
                <v:path arrowok="t"/>
              </v:shape>
            </v:group>
            <v:group style="position:absolute;left:6450;top:460;width:2;height:11210" coordorigin="6450,460" coordsize="2,11210">
              <v:shape style="position:absolute;left:6450;top:460;width:2;height:11210" coordorigin="6450,460" coordsize="0,11210" path="m6450,460l6450,11670e" filled="false" stroked="true" strokeweight=".48001pt" strokecolor="#000000">
                <v:path arrowok="t"/>
              </v:shape>
            </v:group>
            <v:group style="position:absolute;left:6455;top:11665;width:1054;height:2" coordorigin="6455,11665" coordsize="1054,2">
              <v:shape style="position:absolute;left:6455;top:11665;width:1054;height:2" coordorigin="6455,11665" coordsize="1054,0" path="m6455,11665l7509,11665e" filled="false" stroked="true" strokeweight=".47998pt" strokecolor="#000000">
                <v:path arrowok="t"/>
              </v:shape>
            </v:group>
            <v:group style="position:absolute;left:7513;top:460;width:2;height:11210" coordorigin="7513,460" coordsize="2,11210">
              <v:shape style="position:absolute;left:7513;top:460;width:2;height:11210" coordorigin="7513,460" coordsize="0,11210" path="m7513,460l7513,11670e" filled="false" stroked="true" strokeweight=".48001pt" strokecolor="#000000">
                <v:path arrowok="t"/>
              </v:shape>
            </v:group>
            <v:group style="position:absolute;left:7518;top:11665;width:1054;height:2" coordorigin="7518,11665" coordsize="1054,2">
              <v:shape style="position:absolute;left:7518;top:11665;width:1054;height:2" coordorigin="7518,11665" coordsize="1054,0" path="m7518,11665l8572,11665e" filled="false" stroked="true" strokeweight=".47998pt" strokecolor="#000000">
                <v:path arrowok="t"/>
              </v:shape>
            </v:group>
            <v:group style="position:absolute;left:8577;top:460;width:2;height:11210" coordorigin="8577,460" coordsize="2,11210">
              <v:shape style="position:absolute;left:8577;top:460;width:2;height:11210" coordorigin="8577,460" coordsize="0,11210" path="m8577,460l8577,11670e" filled="false" stroked="true" strokeweight=".47998pt" strokecolor="#000000">
                <v:path arrowok="t"/>
              </v:shape>
            </v:group>
            <v:group style="position:absolute;left:8581;top:11665;width:1055;height:2" coordorigin="8581,11665" coordsize="1055,2">
              <v:shape style="position:absolute;left:8581;top:11665;width:1055;height:2" coordorigin="8581,11665" coordsize="1055,0" path="m8581,11665l9635,11665e" filled="false" stroked="true" strokeweight=".47998pt" strokecolor="#000000">
                <v:path arrowok="t"/>
              </v:shape>
            </v:group>
            <v:group style="position:absolute;left:9640;top:460;width:2;height:11210" coordorigin="9640,460" coordsize="2,11210">
              <v:shape style="position:absolute;left:9640;top:460;width:2;height:11210" coordorigin="9640,460" coordsize="0,11210" path="m9640,460l9640,11670e" filled="false" stroked="true" strokeweight=".48001pt" strokecolor="#000000">
                <v:path arrowok="t"/>
              </v:shape>
            </v:group>
            <v:group style="position:absolute;left:9645;top:11665;width:1054;height:2" coordorigin="9645,11665" coordsize="1054,2">
              <v:shape style="position:absolute;left:9645;top:11665;width:1054;height:2" coordorigin="9645,11665" coordsize="1054,0" path="m9645,11665l10699,11665e" filled="false" stroked="true" strokeweight=".47998pt" strokecolor="#000000">
                <v:path arrowok="t"/>
              </v:shape>
            </v:group>
            <v:group style="position:absolute;left:10704;top:460;width:2;height:11210" coordorigin="10704,460" coordsize="2,11210">
              <v:shape style="position:absolute;left:10704;top:460;width:2;height:11210" coordorigin="10704,460" coordsize="0,11210" path="m10704,460l10704,11670e" filled="false" stroked="true" strokeweight=".47998pt" strokecolor="#000000">
                <v:path arrowok="t"/>
              </v:shape>
            </v:group>
            <w10:wrap type="none"/>
          </v:group>
        </w:pict>
      </w:r>
      <w:r>
        <w:rPr/>
        <w:t>单位：</w:t>
      </w:r>
      <w:r>
        <w:rPr>
          <w:spacing w:val="1"/>
        </w:rPr>
        <w:t> </w:t>
      </w:r>
      <w:r>
        <w:rPr/>
        <w:t>元</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45" w:footer="979" w:top="1060" w:bottom="1160" w:left="980" w:right="980"/>
        </w:sectPr>
      </w:pPr>
    </w:p>
    <w:p>
      <w:pPr>
        <w:spacing w:line="240" w:lineRule="auto" w:before="4"/>
        <w:rPr>
          <w:rFonts w:ascii="宋体" w:hAnsi="宋体" w:cs="宋体" w:eastAsia="宋体" w:hint="default"/>
          <w:sz w:val="15"/>
          <w:szCs w:val="15"/>
        </w:rPr>
      </w:pPr>
    </w:p>
    <w:p>
      <w:pPr>
        <w:pStyle w:val="BodyText"/>
        <w:tabs>
          <w:tab w:pos="1391" w:val="left" w:leader="none"/>
          <w:tab w:pos="2454" w:val="left" w:leader="none"/>
          <w:tab w:pos="3518" w:val="left" w:leader="none"/>
        </w:tabs>
        <w:spacing w:line="240" w:lineRule="auto"/>
        <w:ind w:left="326" w:right="-20"/>
        <w:jc w:val="left"/>
      </w:pPr>
      <w:r>
        <w:rPr/>
        <w:t>补助项目</w:t>
        <w:tab/>
        <w:t>发放主体</w:t>
        <w:tab/>
        <w:t>发放原因</w:t>
        <w:tab/>
        <w:t>性质类型</w:t>
      </w:r>
    </w:p>
    <w:p>
      <w:pPr>
        <w:pStyle w:val="BodyText"/>
        <w:spacing w:line="316" w:lineRule="auto" w:before="44"/>
        <w:ind w:left="211" w:right="-19"/>
        <w:jc w:val="left"/>
      </w:pPr>
      <w:r>
        <w:rPr/>
        <w:br w:type="column"/>
      </w:r>
      <w:r>
        <w:rPr/>
        <w:t>补贴是否影 响当年盈亏</w:t>
      </w:r>
    </w:p>
    <w:p>
      <w:pPr>
        <w:pStyle w:val="BodyText"/>
        <w:spacing w:line="316" w:lineRule="auto" w:before="44"/>
        <w:ind w:left="483" w:right="-20" w:hanging="360"/>
        <w:jc w:val="left"/>
      </w:pPr>
      <w:r>
        <w:rPr/>
        <w:br w:type="column"/>
      </w:r>
      <w:r>
        <w:rPr/>
        <w:t>是否特殊补 贴</w:t>
      </w:r>
    </w:p>
    <w:p>
      <w:pPr>
        <w:pStyle w:val="BodyText"/>
        <w:spacing w:line="316" w:lineRule="auto" w:before="44"/>
        <w:ind w:left="480" w:right="-20" w:hanging="360"/>
        <w:jc w:val="left"/>
      </w:pPr>
      <w:r>
        <w:rPr/>
        <w:br w:type="column"/>
      </w:r>
      <w:r>
        <w:rPr/>
        <w:t>本期发生金 额</w:t>
      </w:r>
    </w:p>
    <w:p>
      <w:pPr>
        <w:pStyle w:val="BodyText"/>
        <w:spacing w:line="316" w:lineRule="auto" w:before="44"/>
        <w:ind w:left="483" w:right="-19" w:hanging="361"/>
        <w:jc w:val="left"/>
      </w:pPr>
      <w:r>
        <w:rPr/>
        <w:br w:type="column"/>
      </w:r>
      <w:r>
        <w:rPr/>
        <w:t>上期发生金 额</w:t>
      </w:r>
    </w:p>
    <w:p>
      <w:pPr>
        <w:pStyle w:val="BodyText"/>
        <w:spacing w:line="300" w:lineRule="auto" w:before="44"/>
        <w:ind w:left="123" w:right="259" w:hanging="24"/>
        <w:jc w:val="left"/>
      </w:pPr>
      <w:r>
        <w:rPr/>
        <w:br w:type="column"/>
      </w:r>
      <w:r>
        <w:rPr/>
        <w:t>与资产相关</w:t>
      </w:r>
      <w:r>
        <w:rPr>
          <w:rFonts w:ascii="Times New Roman" w:hAnsi="Times New Roman" w:cs="Times New Roman" w:eastAsia="Times New Roman" w:hint="default"/>
        </w:rPr>
        <w:t>/ </w:t>
      </w:r>
      <w:r>
        <w:rPr/>
        <w:t>与收益相关</w:t>
      </w:r>
    </w:p>
    <w:p>
      <w:pPr>
        <w:spacing w:after="0" w:line="300" w:lineRule="auto"/>
        <w:jc w:val="left"/>
        <w:sectPr>
          <w:type w:val="continuous"/>
          <w:pgSz w:w="11910" w:h="16840"/>
          <w:pgMar w:top="1060" w:bottom="1160" w:left="980" w:right="980"/>
          <w:cols w:num="6" w:equalWidth="0">
            <w:col w:w="4239" w:space="40"/>
            <w:col w:w="1113" w:space="40"/>
            <w:col w:w="1024" w:space="40"/>
            <w:col w:w="1021" w:space="40"/>
            <w:col w:w="1024" w:space="40"/>
            <w:col w:w="1329"/>
          </w:cols>
        </w:sect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BodyText"/>
        <w:spacing w:line="314" w:lineRule="auto"/>
        <w:ind w:left="181" w:right="-20"/>
        <w:jc w:val="left"/>
      </w:pPr>
      <w:r>
        <w:rPr/>
        <w:t>互联网数据 服务一体化</w:t>
      </w:r>
    </w:p>
    <w:p>
      <w:pPr>
        <w:spacing w:line="240" w:lineRule="auto" w:before="5"/>
        <w:rPr>
          <w:rFonts w:ascii="宋体" w:hAnsi="宋体" w:cs="宋体" w:eastAsia="宋体" w:hint="default"/>
          <w:sz w:val="20"/>
          <w:szCs w:val="20"/>
        </w:rPr>
      </w:pPr>
      <w:r>
        <w:rPr/>
        <w:br w:type="column"/>
      </w:r>
      <w:r>
        <w:rPr>
          <w:rFonts w:ascii="宋体"/>
          <w:sz w:val="20"/>
        </w:rPr>
      </w:r>
    </w:p>
    <w:p>
      <w:pPr>
        <w:pStyle w:val="BodyText"/>
        <w:spacing w:line="316" w:lineRule="auto"/>
        <w:ind w:left="125" w:right="-19"/>
        <w:jc w:val="left"/>
      </w:pPr>
      <w:r>
        <w:rPr/>
        <w:t>北京市经济 和信息化委</w:t>
      </w:r>
      <w:r>
        <w:rPr>
          <w:spacing w:val="73"/>
        </w:rPr>
        <w:t> </w:t>
      </w:r>
      <w:r>
        <w:rPr/>
        <w:t>补助</w:t>
      </w:r>
      <w:r>
        <w:rPr/>
        <w:t> 员会</w:t>
      </w:r>
    </w:p>
    <w:p>
      <w:pPr>
        <w:pStyle w:val="BodyText"/>
        <w:spacing w:line="310" w:lineRule="atLeast" w:before="36"/>
        <w:ind w:left="181" w:right="5472"/>
        <w:jc w:val="left"/>
      </w:pPr>
      <w:r>
        <w:rPr/>
        <w:br w:type="column"/>
      </w:r>
      <w:r>
        <w:rPr/>
        <w:t>因研究开发、 技术更新及</w:t>
      </w:r>
    </w:p>
    <w:p>
      <w:pPr>
        <w:pStyle w:val="BodyText"/>
        <w:tabs>
          <w:tab w:pos="2308" w:val="left" w:leader="none"/>
          <w:tab w:pos="3565" w:val="left" w:leader="none"/>
          <w:tab w:pos="4629" w:val="left" w:leader="none"/>
        </w:tabs>
        <w:spacing w:line="124" w:lineRule="exact"/>
        <w:ind w:left="1244" w:right="0"/>
        <w:jc w:val="left"/>
      </w:pPr>
      <w:r>
        <w:rPr/>
        <w:t>否</w:t>
        <w:tab/>
        <w:t>否</w:t>
        <w:tab/>
      </w:r>
      <w:r>
        <w:rPr>
          <w:rFonts w:ascii="Times New Roman" w:hAnsi="Times New Roman" w:cs="Times New Roman" w:eastAsia="Times New Roman" w:hint="default"/>
          <w:spacing w:val="-1"/>
        </w:rPr>
        <w:t>192,000.00</w:t>
        <w:tab/>
        <w:t>192,000.00</w:t>
      </w:r>
      <w:r>
        <w:rPr>
          <w:rFonts w:ascii="Times New Roman" w:hAnsi="Times New Roman" w:cs="Times New Roman" w:eastAsia="Times New Roman" w:hint="default"/>
          <w:spacing w:val="19"/>
        </w:rPr>
        <w:t> </w:t>
      </w:r>
      <w:r>
        <w:rPr/>
        <w:t>与资产相关</w:t>
      </w:r>
    </w:p>
    <w:p>
      <w:pPr>
        <w:pStyle w:val="BodyText"/>
        <w:spacing w:line="188"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082" w:space="40"/>
            <w:col w:w="1550" w:space="522"/>
            <w:col w:w="6756"/>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980"/>
        </w:sectPr>
      </w:pPr>
    </w:p>
    <w:p>
      <w:pPr>
        <w:pStyle w:val="BodyText"/>
        <w:spacing w:line="316" w:lineRule="auto" w:before="44"/>
        <w:ind w:left="181" w:right="0"/>
        <w:jc w:val="both"/>
      </w:pPr>
      <w:r>
        <w:rPr/>
        <w:t>基于云计算 的生态驾驶 行为车载反 馈装置及培 训平台研发 项目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spacing w:line="196" w:lineRule="exact"/>
        <w:ind w:left="125" w:right="-19"/>
        <w:jc w:val="left"/>
      </w:pPr>
      <w:r>
        <w:rPr/>
        <w:t>北京市朝阳</w:t>
      </w:r>
    </w:p>
    <w:p>
      <w:pPr>
        <w:pStyle w:val="BodyText"/>
        <w:spacing w:line="156" w:lineRule="exact"/>
        <w:ind w:left="0" w:right="0"/>
        <w:jc w:val="right"/>
      </w:pPr>
      <w:r>
        <w:rPr/>
        <w:t>补助</w:t>
      </w:r>
    </w:p>
    <w:p>
      <w:pPr>
        <w:pStyle w:val="BodyText"/>
        <w:spacing w:line="196" w:lineRule="exact"/>
        <w:ind w:left="125" w:right="-19"/>
        <w:jc w:val="left"/>
      </w:pPr>
      <w:r>
        <w:rPr/>
        <w:t>区财政局</w:t>
      </w:r>
    </w:p>
    <w:p>
      <w:pPr>
        <w:spacing w:line="240" w:lineRule="auto" w:before="7"/>
        <w:rPr>
          <w:rFonts w:ascii="宋体" w:hAnsi="宋体" w:cs="宋体" w:eastAsia="宋体" w:hint="default"/>
          <w:sz w:val="21"/>
          <w:szCs w:val="21"/>
        </w:rPr>
      </w:pPr>
      <w:r>
        <w:rPr/>
        <w:br w:type="column"/>
      </w:r>
      <w:r>
        <w:rPr>
          <w:rFonts w:ascii="宋体"/>
          <w:sz w:val="21"/>
        </w:rPr>
      </w:r>
    </w:p>
    <w:p>
      <w:pPr>
        <w:pStyle w:val="BodyText"/>
        <w:spacing w:line="310" w:lineRule="atLeast"/>
        <w:ind w:left="181" w:right="5472"/>
        <w:jc w:val="left"/>
      </w:pPr>
      <w:r>
        <w:rPr/>
        <w:t>因研究开发、 技术更新及</w:t>
      </w:r>
    </w:p>
    <w:p>
      <w:pPr>
        <w:pStyle w:val="BodyText"/>
        <w:tabs>
          <w:tab w:pos="2308" w:val="left" w:leader="none"/>
          <w:tab w:pos="4062" w:val="left" w:leader="none"/>
          <w:tab w:pos="4629" w:val="left" w:leader="none"/>
        </w:tabs>
        <w:spacing w:line="123" w:lineRule="exact"/>
        <w:ind w:left="1244" w:right="0"/>
        <w:jc w:val="left"/>
      </w:pPr>
      <w:r>
        <w:rPr/>
        <w:t>否</w:t>
        <w:tab/>
        <w:t>否</w:t>
        <w:tab/>
      </w:r>
      <w:r>
        <w:rPr>
          <w:rFonts w:ascii="Times New Roman" w:hAnsi="Times New Roman" w:cs="Times New Roman" w:eastAsia="Times New Roman" w:hint="default"/>
          <w:spacing w:val="-1"/>
        </w:rPr>
        <w:t>0.00</w:t>
        <w:tab/>
        <w:t>100,000.00</w:t>
      </w:r>
      <w:r>
        <w:rPr>
          <w:rFonts w:ascii="Times New Roman" w:hAnsi="Times New Roman" w:cs="Times New Roman" w:eastAsia="Times New Roman" w:hint="default"/>
          <w:spacing w:val="19"/>
        </w:rPr>
        <w:t> </w:t>
      </w:r>
      <w:r>
        <w:rPr/>
        <w:t>与收益相关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082" w:space="40"/>
            <w:col w:w="1550" w:space="522"/>
            <w:col w:w="6756"/>
          </w:cols>
        </w:sect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BodyText"/>
        <w:spacing w:line="314" w:lineRule="auto"/>
        <w:ind w:left="181" w:right="-20"/>
        <w:jc w:val="left"/>
      </w:pPr>
      <w:r>
        <w:rPr/>
        <w:t>科技中介服 务费用补贴</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4"/>
          <w:szCs w:val="14"/>
        </w:rPr>
      </w:pPr>
    </w:p>
    <w:p>
      <w:pPr>
        <w:pStyle w:val="BodyText"/>
        <w:spacing w:line="196" w:lineRule="exact"/>
        <w:ind w:left="125" w:right="-19"/>
        <w:jc w:val="left"/>
      </w:pPr>
      <w:r>
        <w:rPr/>
        <w:t>中关村企业</w:t>
      </w:r>
    </w:p>
    <w:p>
      <w:pPr>
        <w:pStyle w:val="BodyText"/>
        <w:spacing w:line="155" w:lineRule="exact"/>
        <w:ind w:left="0" w:right="0"/>
        <w:jc w:val="right"/>
      </w:pPr>
      <w:r>
        <w:rPr/>
        <w:t>补助</w:t>
      </w:r>
    </w:p>
    <w:p>
      <w:pPr>
        <w:pStyle w:val="BodyText"/>
        <w:spacing w:line="195" w:lineRule="exact"/>
        <w:ind w:left="125" w:right="-19"/>
        <w:jc w:val="left"/>
      </w:pPr>
      <w:r>
        <w:rPr/>
        <w:t>信用促进会</w:t>
      </w:r>
    </w:p>
    <w:p>
      <w:pPr>
        <w:pStyle w:val="BodyText"/>
        <w:spacing w:line="310" w:lineRule="atLeast" w:before="36"/>
        <w:ind w:left="181" w:right="5472"/>
        <w:jc w:val="left"/>
      </w:pPr>
      <w:r>
        <w:rPr/>
        <w:br w:type="column"/>
      </w:r>
      <w:r>
        <w:rPr/>
        <w:t>因研究开发、 技术更新及</w:t>
      </w:r>
    </w:p>
    <w:p>
      <w:pPr>
        <w:pStyle w:val="BodyText"/>
        <w:tabs>
          <w:tab w:pos="2308" w:val="left" w:leader="none"/>
          <w:tab w:pos="4062" w:val="left" w:leader="none"/>
          <w:tab w:pos="4720" w:val="left" w:leader="none"/>
        </w:tabs>
        <w:spacing w:line="124" w:lineRule="exact"/>
        <w:ind w:left="1244" w:right="0"/>
        <w:jc w:val="left"/>
      </w:pPr>
      <w:r>
        <w:rPr/>
        <w:t>否</w:t>
        <w:tab/>
        <w:t>否</w:t>
        <w:tab/>
      </w:r>
      <w:r>
        <w:rPr>
          <w:rFonts w:ascii="Times New Roman" w:hAnsi="Times New Roman" w:cs="Times New Roman" w:eastAsia="Times New Roman" w:hint="default"/>
          <w:spacing w:val="-1"/>
        </w:rPr>
        <w:t>0.00</w:t>
        <w:tab/>
        <w:t>10,000.00</w:t>
      </w:r>
      <w:r>
        <w:rPr>
          <w:rFonts w:ascii="Times New Roman" w:hAnsi="Times New Roman" w:cs="Times New Roman" w:eastAsia="Times New Roman" w:hint="default"/>
          <w:spacing w:val="16"/>
        </w:rPr>
        <w:t> </w:t>
      </w:r>
      <w:r>
        <w:rPr/>
        <w:t>与收益相关</w:t>
      </w:r>
    </w:p>
    <w:p>
      <w:pPr>
        <w:pStyle w:val="BodyText"/>
        <w:spacing w:line="188"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082" w:space="40"/>
            <w:col w:w="1550" w:space="522"/>
            <w:col w:w="6756"/>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980"/>
        </w:sectPr>
      </w:pPr>
    </w:p>
    <w:p>
      <w:pPr>
        <w:spacing w:line="240" w:lineRule="auto" w:before="4"/>
        <w:rPr>
          <w:rFonts w:ascii="宋体" w:hAnsi="宋体" w:cs="宋体" w:eastAsia="宋体" w:hint="default"/>
          <w:sz w:val="15"/>
          <w:szCs w:val="15"/>
        </w:rPr>
      </w:pPr>
    </w:p>
    <w:p>
      <w:pPr>
        <w:pStyle w:val="BodyText"/>
        <w:spacing w:line="316" w:lineRule="auto"/>
        <w:ind w:left="181" w:right="0"/>
        <w:jc w:val="both"/>
      </w:pPr>
      <w:r>
        <w:rPr/>
        <w:t>光环新网房 山绿色云计 算基地项目 扶持资金</w:t>
      </w:r>
    </w:p>
    <w:p>
      <w:pPr>
        <w:pStyle w:val="BodyText"/>
        <w:spacing w:line="310" w:lineRule="atLeast" w:before="126"/>
        <w:ind w:left="125" w:right="324"/>
        <w:jc w:val="left"/>
      </w:pPr>
      <w:r>
        <w:rPr/>
        <w:br w:type="column"/>
      </w:r>
      <w:r>
        <w:rPr/>
        <w:t>北京高端制 造业（房山）</w:t>
      </w:r>
    </w:p>
    <w:p>
      <w:pPr>
        <w:pStyle w:val="BodyText"/>
        <w:spacing w:line="116" w:lineRule="exact"/>
        <w:ind w:left="0" w:right="0"/>
        <w:jc w:val="right"/>
      </w:pPr>
      <w:r>
        <w:rPr/>
        <w:t>补助</w:t>
      </w:r>
    </w:p>
    <w:p>
      <w:pPr>
        <w:pStyle w:val="BodyText"/>
        <w:spacing w:line="196" w:lineRule="exact"/>
        <w:ind w:left="125" w:right="-19"/>
        <w:jc w:val="left"/>
      </w:pPr>
      <w:r>
        <w:rPr/>
        <w:t>基地管理委</w:t>
      </w:r>
    </w:p>
    <w:p>
      <w:pPr>
        <w:pStyle w:val="BodyText"/>
        <w:spacing w:line="240" w:lineRule="auto" w:before="76"/>
        <w:ind w:left="125" w:right="-19"/>
        <w:jc w:val="left"/>
      </w:pPr>
      <w:r>
        <w:rPr/>
        <w:t>员会</w:t>
      </w:r>
    </w:p>
    <w:p>
      <w:pPr>
        <w:pStyle w:val="BodyText"/>
        <w:spacing w:line="316" w:lineRule="auto" w:before="44"/>
        <w:ind w:left="181" w:right="0"/>
        <w:jc w:val="both"/>
      </w:pPr>
      <w:r>
        <w:rPr/>
        <w:br w:type="column"/>
      </w:r>
      <w:r>
        <w:rPr/>
        <w:t>因符合地方 政府招商引 资等地方性 扶持政策而 获得的补助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tabs>
          <w:tab w:pos="1186" w:val="left" w:leader="none"/>
          <w:tab w:pos="2941" w:val="left" w:leader="none"/>
        </w:tabs>
        <w:spacing w:line="240" w:lineRule="auto"/>
        <w:ind w:left="123" w:right="-20"/>
        <w:jc w:val="left"/>
        <w:rPr>
          <w:rFonts w:ascii="Times New Roman" w:hAnsi="Times New Roman" w:cs="Times New Roman" w:eastAsia="Times New Roman" w:hint="default"/>
        </w:rPr>
      </w:pPr>
      <w:r>
        <w:rPr/>
        <w:t>否</w:t>
        <w:tab/>
        <w:t>否</w:t>
      </w:r>
      <w:r>
        <w:rPr>
          <w:rFonts w:ascii="Times New Roman" w:hAnsi="Times New Roman" w:cs="Times New Roman" w:eastAsia="Times New Roman" w:hint="default"/>
        </w:rPr>
        <w:tab/>
        <w:t>0.00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pStyle w:val="BodyText"/>
        <w:spacing w:line="240" w:lineRule="auto" w:before="140"/>
        <w:ind w:left="0" w:right="0"/>
        <w:jc w:val="right"/>
        <w:rPr>
          <w:rFonts w:ascii="Times New Roman" w:hAnsi="Times New Roman" w:cs="Times New Roman" w:eastAsia="Times New Roman" w:hint="default"/>
        </w:rPr>
      </w:pPr>
      <w:r>
        <w:rPr>
          <w:rFonts w:ascii="Times New Roman"/>
          <w:spacing w:val="-1"/>
        </w:rPr>
        <w:t>49,492,032.5</w:t>
      </w:r>
    </w:p>
    <w:p>
      <w:pPr>
        <w:pStyle w:val="BodyText"/>
        <w:spacing w:line="240" w:lineRule="auto" w:before="105"/>
        <w:ind w:left="0" w:right="0"/>
        <w:jc w:val="right"/>
        <w:rPr>
          <w:rFonts w:ascii="Times New Roman" w:hAnsi="Times New Roman" w:cs="Times New Roman" w:eastAsia="Times New Roman" w:hint="default"/>
        </w:rPr>
      </w:pPr>
      <w:r>
        <w:rPr>
          <w:rFonts w:ascii="Times New Roman"/>
        </w:rPr>
        <w:t>2</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2"/>
          <w:szCs w:val="22"/>
        </w:rPr>
      </w:pPr>
    </w:p>
    <w:p>
      <w:pPr>
        <w:pStyle w:val="BodyText"/>
        <w:spacing w:line="240" w:lineRule="auto"/>
        <w:ind w:left="15" w:right="0"/>
        <w:jc w:val="left"/>
      </w:pPr>
      <w:r>
        <w:rPr/>
        <w:t>与收益相关</w:t>
      </w:r>
    </w:p>
    <w:p>
      <w:pPr>
        <w:spacing w:after="0" w:line="240" w:lineRule="auto"/>
        <w:jc w:val="left"/>
        <w:sectPr>
          <w:type w:val="continuous"/>
          <w:pgSz w:w="11910" w:h="16840"/>
          <w:pgMar w:top="1060" w:bottom="1160" w:left="980" w:right="980"/>
          <w:cols w:num="6" w:equalWidth="0">
            <w:col w:w="1082" w:space="40"/>
            <w:col w:w="1550" w:space="522"/>
            <w:col w:w="1082" w:space="40"/>
            <w:col w:w="3257" w:space="40"/>
            <w:col w:w="1023" w:space="40"/>
            <w:col w:w="1274"/>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9"/>
          <w:szCs w:val="19"/>
        </w:rPr>
      </w:pPr>
    </w:p>
    <w:p>
      <w:pPr>
        <w:pStyle w:val="BodyText"/>
        <w:spacing w:line="240" w:lineRule="auto"/>
        <w:ind w:left="181" w:right="-20"/>
        <w:jc w:val="left"/>
      </w:pPr>
      <w:r>
        <w:rPr/>
        <w:t>残疾人补贴</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5"/>
          <w:szCs w:val="25"/>
        </w:rPr>
      </w:pPr>
    </w:p>
    <w:p>
      <w:pPr>
        <w:pStyle w:val="BodyText"/>
        <w:spacing w:line="196" w:lineRule="exact"/>
        <w:ind w:left="125" w:right="-19"/>
        <w:jc w:val="left"/>
      </w:pPr>
      <w:r>
        <w:rPr/>
        <w:t>北京市门头</w:t>
      </w:r>
    </w:p>
    <w:p>
      <w:pPr>
        <w:pStyle w:val="BodyText"/>
        <w:spacing w:line="155" w:lineRule="exact"/>
        <w:ind w:left="0" w:right="0"/>
        <w:jc w:val="right"/>
      </w:pPr>
      <w:r>
        <w:rPr/>
        <w:t>补助</w:t>
      </w:r>
    </w:p>
    <w:p>
      <w:pPr>
        <w:pStyle w:val="BodyText"/>
        <w:spacing w:line="195" w:lineRule="exact"/>
        <w:ind w:left="125" w:right="-19"/>
        <w:jc w:val="left"/>
      </w:pPr>
      <w:r>
        <w:rPr/>
        <w:t>沟区财政局</w:t>
      </w:r>
    </w:p>
    <w:p>
      <w:pPr>
        <w:pStyle w:val="BodyText"/>
        <w:spacing w:line="316" w:lineRule="auto" w:before="110"/>
        <w:ind w:left="181" w:right="0"/>
        <w:jc w:val="both"/>
      </w:pPr>
      <w:r>
        <w:rPr/>
        <w:br w:type="column"/>
      </w:r>
      <w:r>
        <w:rPr/>
        <w:t>因承担国家 为保障某种 公用事业或 社会必要产 品供应或价 格控制职能 而获得的补 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9"/>
          <w:szCs w:val="19"/>
        </w:rPr>
      </w:pPr>
    </w:p>
    <w:p>
      <w:pPr>
        <w:pStyle w:val="BodyText"/>
        <w:tabs>
          <w:tab w:pos="1186" w:val="left" w:leader="none"/>
          <w:tab w:pos="2941" w:val="left" w:leader="none"/>
          <w:tab w:pos="3688" w:val="left" w:leader="none"/>
        </w:tabs>
        <w:spacing w:line="240" w:lineRule="auto"/>
        <w:ind w:left="123" w:right="0"/>
        <w:jc w:val="left"/>
      </w:pPr>
      <w:r>
        <w:rPr/>
        <w:t>否</w:t>
        <w:tab/>
        <w:t>否</w:t>
        <w:tab/>
      </w:r>
      <w:r>
        <w:rPr>
          <w:rFonts w:ascii="Times New Roman" w:hAnsi="Times New Roman" w:cs="Times New Roman" w:eastAsia="Times New Roman" w:hint="default"/>
          <w:spacing w:val="-1"/>
        </w:rPr>
        <w:t>0.00</w:t>
        <w:tab/>
      </w:r>
      <w:r>
        <w:rPr>
          <w:rFonts w:ascii="Times New Roman" w:hAnsi="Times New Roman" w:cs="Times New Roman" w:eastAsia="Times New Roman" w:hint="default"/>
        </w:rPr>
        <w:t>7,000.00</w:t>
      </w:r>
      <w:r>
        <w:rPr>
          <w:rFonts w:ascii="Times New Roman" w:hAnsi="Times New Roman" w:cs="Times New Roman" w:eastAsia="Times New Roman" w:hint="default"/>
          <w:spacing w:val="9"/>
        </w:rPr>
        <w:t> </w:t>
      </w:r>
      <w:r>
        <w:rPr/>
        <w:t>与收益相关</w:t>
      </w:r>
    </w:p>
    <w:p>
      <w:pPr>
        <w:spacing w:after="0" w:line="240" w:lineRule="auto"/>
        <w:jc w:val="left"/>
        <w:sectPr>
          <w:type w:val="continuous"/>
          <w:pgSz w:w="11910" w:h="16840"/>
          <w:pgMar w:top="1060" w:bottom="1160" w:left="980" w:right="980"/>
          <w:cols w:num="4" w:equalWidth="0">
            <w:col w:w="1082" w:space="40"/>
            <w:col w:w="1550" w:space="522"/>
            <w:col w:w="1082" w:space="40"/>
            <w:col w:w="5634"/>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8"/>
          <w:szCs w:val="18"/>
        </w:rPr>
      </w:pPr>
    </w:p>
    <w:p>
      <w:pPr>
        <w:pStyle w:val="BodyText"/>
        <w:spacing w:line="240" w:lineRule="auto"/>
        <w:ind w:left="181" w:right="-20"/>
        <w:jc w:val="left"/>
      </w:pPr>
      <w:r>
        <w:rPr/>
        <w:t>稳岗补贴</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24"/>
          <w:szCs w:val="24"/>
        </w:rPr>
      </w:pPr>
    </w:p>
    <w:p>
      <w:pPr>
        <w:pStyle w:val="BodyText"/>
        <w:spacing w:line="196" w:lineRule="exact"/>
        <w:ind w:left="181" w:right="0"/>
        <w:jc w:val="left"/>
      </w:pPr>
      <w:r>
        <w:rPr/>
        <w:t>社会保险基</w:t>
      </w:r>
    </w:p>
    <w:p>
      <w:pPr>
        <w:pStyle w:val="BodyText"/>
        <w:spacing w:line="156" w:lineRule="exact"/>
        <w:ind w:left="0" w:right="0"/>
        <w:jc w:val="right"/>
      </w:pPr>
      <w:r>
        <w:rPr/>
        <w:t>补助</w:t>
      </w:r>
    </w:p>
    <w:p>
      <w:pPr>
        <w:pStyle w:val="BodyText"/>
        <w:spacing w:line="196" w:lineRule="exact"/>
        <w:ind w:left="181" w:right="0"/>
        <w:jc w:val="left"/>
      </w:pPr>
      <w:r>
        <w:rPr/>
        <w:t>金管理中心</w:t>
      </w:r>
    </w:p>
    <w:p>
      <w:pPr>
        <w:pStyle w:val="BodyText"/>
        <w:spacing w:line="319" w:lineRule="auto" w:before="110"/>
        <w:ind w:left="181" w:right="0"/>
        <w:jc w:val="both"/>
      </w:pPr>
      <w:r>
        <w:rPr/>
        <w:br w:type="column"/>
      </w:r>
      <w:r>
        <w:rPr/>
        <w:t>因承担国家 为保障某种 公用事业或 社会必要产 品供应或价</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8"/>
          <w:szCs w:val="18"/>
        </w:rPr>
      </w:pPr>
    </w:p>
    <w:p>
      <w:pPr>
        <w:pStyle w:val="BodyText"/>
        <w:tabs>
          <w:tab w:pos="1186" w:val="left" w:leader="none"/>
          <w:tab w:pos="2941" w:val="left" w:leader="none"/>
          <w:tab w:pos="3507" w:val="left" w:leader="none"/>
        </w:tabs>
        <w:spacing w:line="240" w:lineRule="auto"/>
        <w:ind w:left="123" w:right="0"/>
        <w:jc w:val="left"/>
      </w:pPr>
      <w:r>
        <w:rPr/>
        <w:t>否</w:t>
        <w:tab/>
        <w:t>否</w:t>
        <w:tab/>
      </w:r>
      <w:r>
        <w:rPr>
          <w:rFonts w:ascii="Times New Roman" w:hAnsi="Times New Roman" w:cs="Times New Roman" w:eastAsia="Times New Roman" w:hint="default"/>
          <w:spacing w:val="-1"/>
        </w:rPr>
        <w:t>0.00</w:t>
        <w:tab/>
        <w:t>107,465.27</w:t>
      </w:r>
      <w:r>
        <w:rPr>
          <w:rFonts w:ascii="Times New Roman" w:hAnsi="Times New Roman" w:cs="Times New Roman" w:eastAsia="Times New Roman" w:hint="default"/>
          <w:spacing w:val="19"/>
        </w:rPr>
        <w:t> </w:t>
      </w:r>
      <w:r>
        <w:rPr/>
        <w:t>与收益相关</w:t>
      </w:r>
    </w:p>
    <w:p>
      <w:pPr>
        <w:spacing w:after="0" w:line="240" w:lineRule="auto"/>
        <w:jc w:val="left"/>
        <w:sectPr>
          <w:type w:val="continuous"/>
          <w:pgSz w:w="11910" w:h="16840"/>
          <w:pgMar w:top="1060" w:bottom="1160" w:left="980" w:right="980"/>
          <w:cols w:num="4" w:equalWidth="0">
            <w:col w:w="902" w:space="164"/>
            <w:col w:w="1605" w:space="522"/>
            <w:col w:w="1082" w:space="40"/>
            <w:col w:w="5635"/>
          </w:cols>
        </w:sectPr>
      </w:pPr>
    </w:p>
    <w:p>
      <w:pPr>
        <w:spacing w:line="240" w:lineRule="auto" w:before="0"/>
        <w:rPr>
          <w:rFonts w:ascii="Times New Roman" w:hAnsi="Times New Roman" w:cs="Times New Roman" w:eastAsia="Times New Roman" w:hint="default"/>
          <w:sz w:val="20"/>
          <w:szCs w:val="20"/>
        </w:rPr>
      </w:pPr>
      <w:r>
        <w:rPr/>
        <w:pict>
          <v:group style="position:absolute;margin-left:269.690002pt;margin-top:121.819984pt;width:52.75pt;height:23.4pt;mso-position-horizontal-relative:page;mso-position-vertical-relative:page;z-index:-1814728" coordorigin="5394,2436" coordsize="1055,468">
            <v:shape style="position:absolute;left:5394;top:2436;width:1055;height:468" coordorigin="5394,2436" coordsize="1055,468" path="m5394,2904l6448,2904,6448,2436,5394,2436,5394,2904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987"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27"/>
              <w:jc w:val="both"/>
              <w:rPr>
                <w:rFonts w:ascii="宋体" w:hAnsi="宋体" w:cs="宋体" w:eastAsia="宋体" w:hint="default"/>
                <w:sz w:val="18"/>
                <w:szCs w:val="18"/>
              </w:rPr>
            </w:pPr>
            <w:r>
              <w:rPr>
                <w:rFonts w:ascii="宋体" w:hAnsi="宋体" w:cs="宋体" w:eastAsia="宋体" w:hint="default"/>
                <w:sz w:val="18"/>
                <w:szCs w:val="18"/>
              </w:rPr>
              <w:t>格控制职能 而获得的补 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30"/>
              <w:jc w:val="left"/>
              <w:rPr>
                <w:rFonts w:ascii="宋体" w:hAnsi="宋体" w:cs="宋体" w:eastAsia="宋体" w:hint="default"/>
                <w:sz w:val="18"/>
                <w:szCs w:val="18"/>
              </w:rPr>
            </w:pPr>
            <w:r>
              <w:rPr>
                <w:rFonts w:ascii="宋体" w:hAnsi="宋体" w:cs="宋体" w:eastAsia="宋体" w:hint="default"/>
                <w:sz w:val="18"/>
                <w:szCs w:val="18"/>
              </w:rPr>
              <w:t>知识产权奖 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北京石龙经 济开发区管 理委员会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4" w:right="130"/>
              <w:jc w:val="both"/>
              <w:rPr>
                <w:rFonts w:ascii="宋体" w:hAnsi="宋体" w:cs="宋体" w:eastAsia="宋体" w:hint="default"/>
                <w:sz w:val="18"/>
                <w:szCs w:val="18"/>
              </w:rPr>
            </w:pPr>
            <w:r>
              <w:rPr>
                <w:rFonts w:ascii="宋体" w:hAnsi="宋体" w:cs="宋体" w:eastAsia="宋体" w:hint="default"/>
                <w:sz w:val="18"/>
                <w:szCs w:val="18"/>
              </w:rPr>
              <w:t>创新创业和 产业发展专 项资金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127"/>
              <w:jc w:val="both"/>
              <w:rPr>
                <w:rFonts w:ascii="宋体" w:hAnsi="宋体" w:cs="宋体" w:eastAsia="宋体" w:hint="default"/>
                <w:sz w:val="18"/>
                <w:szCs w:val="18"/>
              </w:rPr>
            </w:pPr>
            <w:r>
              <w:rPr>
                <w:rFonts w:ascii="宋体" w:hAnsi="宋体" w:cs="宋体" w:eastAsia="宋体" w:hint="default"/>
                <w:sz w:val="18"/>
                <w:szCs w:val="18"/>
              </w:rPr>
              <w:t>北京石龙经 济开发区管 理委员会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4,450,000.00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30"/>
              <w:jc w:val="both"/>
              <w:rPr>
                <w:rFonts w:ascii="宋体" w:hAnsi="宋体" w:cs="宋体" w:eastAsia="宋体" w:hint="default"/>
                <w:sz w:val="18"/>
                <w:szCs w:val="18"/>
              </w:rPr>
            </w:pPr>
            <w:r>
              <w:rPr>
                <w:rFonts w:ascii="宋体" w:hAnsi="宋体" w:cs="宋体" w:eastAsia="宋体" w:hint="default"/>
                <w:sz w:val="18"/>
                <w:szCs w:val="18"/>
              </w:rPr>
              <w:t>中关村企业 促进会融资 租赁补贴款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中关村企业 信用促进会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926,800.00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4" w:right="130"/>
              <w:jc w:val="both"/>
              <w:rPr>
                <w:rFonts w:ascii="宋体" w:hAnsi="宋体" w:cs="宋体" w:eastAsia="宋体" w:hint="default"/>
                <w:sz w:val="18"/>
                <w:szCs w:val="18"/>
              </w:rPr>
            </w:pPr>
            <w:r>
              <w:rPr>
                <w:rFonts w:ascii="宋体" w:hAnsi="宋体" w:cs="宋体" w:eastAsia="宋体" w:hint="default"/>
                <w:sz w:val="18"/>
                <w:szCs w:val="18"/>
              </w:rPr>
              <w:t>中关村企业 信用促进会 认证补贴款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中关村企业 信用促进会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65,800.00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30"/>
              <w:jc w:val="left"/>
              <w:rPr>
                <w:rFonts w:ascii="宋体" w:hAnsi="宋体" w:cs="宋体" w:eastAsia="宋体" w:hint="default"/>
                <w:sz w:val="18"/>
                <w:szCs w:val="18"/>
              </w:rPr>
            </w:pPr>
            <w:r>
              <w:rPr>
                <w:rFonts w:ascii="宋体" w:hAnsi="宋体" w:cs="宋体" w:eastAsia="宋体" w:hint="default"/>
                <w:sz w:val="18"/>
                <w:szCs w:val="18"/>
              </w:rPr>
              <w:t>企业并购支 持资金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7"/>
              <w:jc w:val="both"/>
              <w:rPr>
                <w:rFonts w:ascii="宋体" w:hAnsi="宋体" w:cs="宋体" w:eastAsia="宋体" w:hint="default"/>
                <w:sz w:val="18"/>
                <w:szCs w:val="18"/>
              </w:rPr>
            </w:pPr>
            <w:r>
              <w:rPr>
                <w:rFonts w:ascii="宋体" w:hAnsi="宋体" w:cs="宋体" w:eastAsia="宋体" w:hint="default"/>
                <w:sz w:val="18"/>
                <w:szCs w:val="18"/>
              </w:rPr>
              <w:t>中关村科技 园区管理委 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130"/>
              <w:jc w:val="left"/>
              <w:rPr>
                <w:rFonts w:ascii="宋体" w:hAnsi="宋体" w:cs="宋体" w:eastAsia="宋体" w:hint="default"/>
                <w:sz w:val="18"/>
                <w:szCs w:val="18"/>
              </w:rPr>
            </w:pPr>
            <w:r>
              <w:rPr>
                <w:rFonts w:ascii="宋体" w:hAnsi="宋体" w:cs="宋体" w:eastAsia="宋体" w:hint="default"/>
                <w:sz w:val="18"/>
                <w:szCs w:val="18"/>
              </w:rPr>
              <w:t>节能考核奖 励资金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3" w:right="127"/>
              <w:jc w:val="both"/>
              <w:rPr>
                <w:rFonts w:ascii="宋体" w:hAnsi="宋体" w:cs="宋体" w:eastAsia="宋体" w:hint="default"/>
                <w:sz w:val="18"/>
                <w:szCs w:val="18"/>
              </w:rPr>
            </w:pPr>
            <w:r>
              <w:rPr>
                <w:rFonts w:ascii="宋体" w:hAnsi="宋体" w:cs="宋体" w:eastAsia="宋体" w:hint="default"/>
                <w:sz w:val="18"/>
                <w:szCs w:val="18"/>
              </w:rPr>
              <w:t>北京市东城 区发展和改 革委员会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 而获得的补 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3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北京市环境 保护局老旧 车更新淘汰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4" w:lineRule="auto"/>
              <w:ind w:left="23" w:right="127"/>
              <w:jc w:val="left"/>
              <w:rPr>
                <w:rFonts w:ascii="宋体" w:hAnsi="宋体" w:cs="宋体" w:eastAsia="宋体" w:hint="default"/>
                <w:sz w:val="18"/>
                <w:szCs w:val="18"/>
              </w:rPr>
            </w:pPr>
            <w:r>
              <w:rPr>
                <w:rFonts w:ascii="宋体" w:hAnsi="宋体" w:cs="宋体" w:eastAsia="宋体" w:hint="default"/>
                <w:sz w:val="18"/>
                <w:szCs w:val="18"/>
              </w:rPr>
              <w:t>北京市环境 保护局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 而获得的补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5"/>
        <w:gridCol w:w="1063"/>
        <w:gridCol w:w="1064"/>
        <w:gridCol w:w="1063"/>
        <w:gridCol w:w="1061"/>
        <w:gridCol w:w="1063"/>
        <w:gridCol w:w="1063"/>
        <w:gridCol w:w="1065"/>
        <w:gridCol w:w="1062"/>
      </w:tblGrid>
      <w:tr>
        <w:trPr>
          <w:trHeight w:val="363" w:hRule="exact"/>
        </w:trPr>
        <w:tc>
          <w:tcPr>
            <w:tcW w:w="106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6,366,600.00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50,108,497.7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2839"/>
        <w:jc w:val="left"/>
        <w:rPr>
          <w:b w:val="0"/>
          <w:bCs w:val="0"/>
        </w:rPr>
      </w:pPr>
      <w:r>
        <w:rPr>
          <w:rFonts w:ascii="Times New Roman" w:hAnsi="Times New Roman" w:cs="Times New Roman" w:eastAsia="Times New Roman" w:hint="default"/>
        </w:rPr>
        <w:t>41</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26,829.08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123,319.93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碳排放交易费用</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161,850.00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211,747.60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188,679.08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335,067.53</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rFonts w:ascii="Times New Roman" w:hAnsi="Times New Roman" w:cs="Times New Roman" w:eastAsia="Times New Roman" w:hint="default"/>
        </w:rPr>
        <w:t>42</w:t>
      </w:r>
      <w:r>
        <w:rPr/>
        <w:t>、所得税费用</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2839"/>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75,152,525.81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60,253,100.80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-8,979,865.84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-254,057.29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66,172,659.97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59,999,043.51</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510,450,967.73</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76,567,645.16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3,485,901.93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-8,140,946.91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3,758,125.07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-220,660.65</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5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-595,287.98</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加速折旧、加计扣除费用的影响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-8,642,254.54</w:t>
            </w:r>
          </w:p>
        </w:tc>
      </w:tr>
      <w:tr>
        <w:trPr>
          <w:trHeight w:val="404"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境外所得的影响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-39,862.11</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66,172,659.97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2839"/>
        <w:jc w:val="left"/>
        <w:rPr>
          <w:b w:val="0"/>
          <w:bCs w:val="0"/>
        </w:rPr>
      </w:pPr>
      <w:r>
        <w:rPr>
          <w:rFonts w:ascii="Times New Roman" w:hAnsi="Times New Roman" w:cs="Times New Roman" w:eastAsia="Times New Roman" w:hint="default"/>
        </w:rPr>
        <w:t>43</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2839"/>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1,255,947.84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5,534,819.75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103,564,435.91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136,995,983.89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收回保证金、押金、备用金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53,992,555.91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72,696,073.50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6,283,038.77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49,806,530.78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4,246,116.04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2,380,403.48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169,342,094.47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267,413,811.40</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92,817,619.01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52,760,383.63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87,056,125.40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147,551,277.35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支付押金、保证金、备用金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93,374,955.38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60,183,088.00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8,706,002.77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2,848,996.91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281,954,702.56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263,343,745.89</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t>（</w:t>
      </w:r>
      <w:r>
        <w:rPr>
          <w:rFonts w:ascii="Times New Roman" w:hAnsi="Times New Roman" w:cs="Times New Roman" w:eastAsia="Times New Roman" w:hint="default"/>
        </w:rPr>
        <w:t>3</w:t>
      </w:r>
      <w:r>
        <w:rPr/>
        <w:t>）收到的其他与筹资活动有关的现金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收回借款保证金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6,426,095.00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6,426,095.00</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t>（</w:t>
      </w:r>
      <w:r>
        <w:rPr>
          <w:rFonts w:ascii="Times New Roman" w:hAnsi="Times New Roman" w:cs="Times New Roman" w:eastAsia="Times New Roman" w:hint="default"/>
        </w:rPr>
        <w:t>4</w:t>
      </w:r>
      <w:r>
        <w:rPr/>
        <w:t>）支付的其他与筹资活动有关的现金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14,545,585.00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19,426,115.00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银行贷款咨询费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融资租入固定资产所支付的租赁费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2,870,294.17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15,545,585.00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22,296,409.17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r>
        <w:rPr/>
        <w:pict>
          <v:group style="position:absolute;margin-left:223.369995pt;margin-top:383.149994pt;width:151.25pt;height:40.85pt;mso-position-horizontal-relative:page;mso-position-vertical-relative:page;z-index:-1814704" coordorigin="4467,7663" coordsize="3025,817">
            <v:group style="position:absolute;left:4478;top:7674;width:2;height:392" coordorigin="4478,7674" coordsize="2,392">
              <v:shape style="position:absolute;left:4478;top:7674;width:2;height:392" coordorigin="4478,7674" coordsize="0,392" path="m4478,7674l4478,8065e" filled="false" stroked="true" strokeweight="1.08pt" strokecolor="#ffffff">
                <v:path arrowok="t"/>
              </v:shape>
            </v:group>
            <v:group style="position:absolute;left:4489;top:7674;width:3003;height:392" coordorigin="4489,7674" coordsize="3003,392">
              <v:shape style="position:absolute;left:4489;top:7674;width:3003;height:392" coordorigin="4489,7674" coordsize="3003,392" path="m4489,8065l7492,8065,7492,7674,4489,7674,4489,8065xe" filled="true" fillcolor="#ffffff" stroked="false">
                <v:path arrowok="t"/>
                <v:fill type="solid"/>
              </v:shape>
            </v:group>
            <v:group style="position:absolute;left:4478;top:8075;width:2;height:395" coordorigin="4478,8075" coordsize="2,395">
              <v:shape style="position:absolute;left:4478;top:8075;width:2;height:395" coordorigin="4478,8075" coordsize="0,395" path="m4478,8075l4478,8469e" filled="false" stroked="true" strokeweight="1.08pt" strokecolor="#ffffff">
                <v:path arrowok="t"/>
              </v:shape>
            </v:group>
            <v:group style="position:absolute;left:4489;top:8075;width:3003;height:395" coordorigin="4489,8075" coordsize="3003,395">
              <v:shape style="position:absolute;left:4489;top:8075;width:3003;height:395" coordorigin="4489,8075" coordsize="3003,395" path="m4489,8469l7492,8469,7492,8075,4489,8075,4489,8469xe" filled="true" fillcolor="#ffffff" stroked="false">
                <v:path arrowok="t"/>
                <v:fill type="solid"/>
              </v:shape>
            </v:group>
            <w10:wrap type="none"/>
          </v:group>
        </w:pict>
      </w:r>
    </w:p>
    <w:p>
      <w:pPr>
        <w:pStyle w:val="Heading3"/>
        <w:spacing w:line="240" w:lineRule="auto" w:before="36"/>
        <w:ind w:right="2839"/>
        <w:jc w:val="left"/>
        <w:rPr>
          <w:b w:val="0"/>
          <w:bCs w:val="0"/>
        </w:rPr>
      </w:pPr>
      <w:r>
        <w:rPr>
          <w:rFonts w:ascii="Times New Roman" w:hAnsi="Times New Roman" w:cs="Times New Roman" w:eastAsia="Times New Roman" w:hint="default"/>
        </w:rPr>
        <w:t>44</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2839"/>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1054"/>
        <w:gridCol w:w="2015"/>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444,278,307.76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331,213,424.34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3,995,909.22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2,074,620.41</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2" w:right="0"/>
              <w:jc w:val="left"/>
              <w:rPr>
                <w:rFonts w:ascii="Times New Roman" w:hAnsi="Times New Roman" w:cs="Times New Roman" w:eastAsia="Times New Roman" w:hint="default"/>
                <w:sz w:val="18"/>
                <w:szCs w:val="18"/>
              </w:rPr>
            </w:pPr>
            <w:r>
              <w:rPr>
                <w:rFonts w:ascii="Times New Roman"/>
                <w:sz w:val="18"/>
              </w:rPr>
              <w:t>151,493,092.73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115,348,806.00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6,628,561.20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9,557,563.91</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16,063,672.45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10,656,691.75</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1,574,720.06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941,498.91</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68,596,034.37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68,810,253.28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33" w:right="0"/>
              <w:jc w:val="left"/>
              <w:rPr>
                <w:rFonts w:ascii="Times New Roman" w:hAnsi="Times New Roman" w:cs="Times New Roman" w:eastAsia="Times New Roman" w:hint="default"/>
                <w:sz w:val="18"/>
                <w:szCs w:val="18"/>
              </w:rPr>
            </w:pPr>
            <w:r>
              <w:rPr>
                <w:rFonts w:ascii="Times New Roman"/>
                <w:sz w:val="18"/>
              </w:rPr>
              <w:t>-43,471,077.63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-20,479,084.95</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4"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2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-9,350,426.63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-1,303,535.24</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4"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2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370,560.79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1,049,477.95</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22" w:right="0"/>
              <w:jc w:val="left"/>
              <w:rPr>
                <w:rFonts w:ascii="Times New Roman" w:hAnsi="Times New Roman" w:cs="Times New Roman" w:eastAsia="Times New Roman" w:hint="default"/>
                <w:sz w:val="18"/>
                <w:szCs w:val="18"/>
              </w:rPr>
            </w:pPr>
            <w:r>
              <w:rPr>
                <w:rFonts w:ascii="Times New Roman"/>
                <w:sz w:val="18"/>
              </w:rPr>
              <w:t>-1,616,483.10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-1,404,371.40</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2" w:right="0"/>
              <w:jc w:val="left"/>
              <w:rPr>
                <w:rFonts w:ascii="Times New Roman" w:hAnsi="Times New Roman" w:cs="Times New Roman" w:eastAsia="Times New Roman" w:hint="default"/>
                <w:sz w:val="18"/>
                <w:szCs w:val="18"/>
              </w:rPr>
            </w:pPr>
            <w:r>
              <w:rPr>
                <w:rFonts w:ascii="Times New Roman"/>
                <w:sz w:val="18"/>
              </w:rPr>
              <w:t>-474,065,553.07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-162,536,891.70</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2" w:right="0"/>
              <w:jc w:val="left"/>
              <w:rPr>
                <w:rFonts w:ascii="Times New Roman" w:hAnsi="Times New Roman" w:cs="Times New Roman" w:eastAsia="Times New Roman" w:hint="default"/>
                <w:sz w:val="18"/>
                <w:szCs w:val="18"/>
              </w:rPr>
            </w:pPr>
            <w:r>
              <w:rPr>
                <w:rFonts w:ascii="Times New Roman"/>
                <w:sz w:val="18"/>
              </w:rPr>
              <w:t>241,200,132.44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125,587,628.46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405,697,450.59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479,516,081.72</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494,246,688.16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264,654,041.76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264,654,041.76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178,407,653.53</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229,592,646.40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86,246,388.23</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15,388,756.65</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北京德信致远科技有限公司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15,388,756.65</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15,388,756.65</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494,246,688.16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264,654,041.76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30,071.43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69,342.15</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494,216,616.73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264,584,699.61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494,246,688.16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264,654,041.76</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rFonts w:ascii="Times New Roman" w:hAnsi="Times New Roman" w:cs="Times New Roman" w:eastAsia="Times New Roman" w:hint="default"/>
        </w:rPr>
        <w:t>45</w:t>
      </w:r>
      <w:r>
        <w:rPr/>
        <w:t>、所有权或使用权受到限制的资产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1,436,052,532.09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贷款抵押担保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25,100,371.24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贷款抵押担保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517,666,861.64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贷款质押担保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1,978,819,764.97</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2839"/>
        <w:jc w:val="left"/>
      </w:pPr>
      <w:r>
        <w:rPr/>
        <w:t>其他说明：</w:t>
      </w:r>
    </w:p>
    <w:p>
      <w:pPr>
        <w:pStyle w:val="BodyText"/>
        <w:spacing w:line="240" w:lineRule="auto" w:before="115"/>
        <w:ind w:right="0"/>
        <w:jc w:val="left"/>
      </w:pPr>
      <w:r>
        <w:rPr/>
        <w:t>（</w:t>
      </w:r>
      <w:r>
        <w:rPr>
          <w:rFonts w:ascii="Times New Roman" w:hAnsi="Times New Roman" w:cs="Times New Roman" w:eastAsia="Times New Roman" w:hint="default"/>
        </w:rPr>
        <w:t>1</w:t>
      </w:r>
      <w:r>
        <w:rPr/>
        <w:t>）贷款质押担保情况详见</w:t>
      </w:r>
      <w:r>
        <w:rPr>
          <w:rFonts w:ascii="Times New Roman" w:hAnsi="Times New Roman" w:cs="Times New Roman" w:eastAsia="Times New Roman" w:hint="default"/>
        </w:rPr>
        <w:t>“</w:t>
      </w:r>
      <w:r>
        <w:rPr/>
        <w:t>第十一节 财务报告、七 合并财务报表项目注释、</w:t>
      </w:r>
      <w:r>
        <w:rPr>
          <w:rFonts w:ascii="宋体" w:hAnsi="宋体" w:cs="宋体" w:eastAsia="宋体" w:hint="default"/>
        </w:rPr>
        <w:t>2</w:t>
      </w:r>
      <w:r>
        <w:rPr>
          <w:rFonts w:ascii="宋体" w:hAnsi="宋体" w:cs="宋体" w:eastAsia="宋体" w:hint="default"/>
          <w:spacing w:val="-5"/>
        </w:rPr>
        <w:t> </w:t>
      </w:r>
      <w:r>
        <w:rPr/>
        <w:t>应收账款</w:t>
      </w:r>
      <w:r>
        <w:rPr>
          <w:rFonts w:ascii="Times New Roman" w:hAnsi="Times New Roman" w:cs="Times New Roman" w:eastAsia="Times New Roman" w:hint="default"/>
        </w:rPr>
        <w:t>”</w:t>
      </w:r>
      <w:r>
        <w:rPr/>
        <w:t>。</w:t>
      </w:r>
    </w:p>
    <w:p>
      <w:pPr>
        <w:pStyle w:val="BodyText"/>
        <w:spacing w:line="240" w:lineRule="auto" w:before="63"/>
        <w:ind w:right="0"/>
        <w:jc w:val="left"/>
      </w:pPr>
      <w:r>
        <w:rPr>
          <w:spacing w:val="-7"/>
        </w:rPr>
        <w:t>（</w:t>
      </w:r>
      <w:r>
        <w:rPr>
          <w:rFonts w:ascii="Times New Roman" w:hAnsi="Times New Roman" w:cs="Times New Roman" w:eastAsia="Times New Roman" w:hint="default"/>
          <w:spacing w:val="-7"/>
        </w:rPr>
        <w:t>2</w:t>
      </w:r>
      <w:r>
        <w:rPr>
          <w:spacing w:val="-7"/>
        </w:rPr>
        <w:t>）贷款抵押担保情况详见</w:t>
      </w:r>
      <w:r>
        <w:rPr>
          <w:rFonts w:ascii="Times New Roman" w:hAnsi="Times New Roman" w:cs="Times New Roman" w:eastAsia="Times New Roman" w:hint="default"/>
          <w:spacing w:val="-7"/>
        </w:rPr>
        <w:t>“</w:t>
      </w:r>
      <w:r>
        <w:rPr>
          <w:spacing w:val="-7"/>
        </w:rPr>
        <w:t>第十一节、财务报告、七 </w:t>
      </w:r>
      <w:r>
        <w:rPr>
          <w:spacing w:val="-5"/>
        </w:rPr>
        <w:t>合并财务报表项目注释、</w:t>
      </w:r>
      <w:r>
        <w:rPr>
          <w:rFonts w:ascii="宋体" w:hAnsi="宋体" w:cs="宋体" w:eastAsia="宋体" w:hint="default"/>
          <w:spacing w:val="-5"/>
        </w:rPr>
        <w:t>10 </w:t>
      </w:r>
      <w:r>
        <w:rPr>
          <w:spacing w:val="-9"/>
        </w:rPr>
        <w:t>固定资产、</w:t>
      </w:r>
      <w:r>
        <w:rPr>
          <w:rFonts w:ascii="Times New Roman" w:hAnsi="Times New Roman" w:cs="Times New Roman" w:eastAsia="Times New Roman" w:hint="default"/>
          <w:spacing w:val="-9"/>
        </w:rPr>
        <w:t>12   </w:t>
      </w:r>
      <w:r>
        <w:rPr>
          <w:spacing w:val="-9"/>
        </w:rPr>
        <w:t>无形资产、</w:t>
      </w:r>
      <w:r>
        <w:rPr>
          <w:rFonts w:ascii="宋体" w:hAnsi="宋体" w:cs="宋体" w:eastAsia="宋体" w:hint="default"/>
          <w:spacing w:val="-9"/>
        </w:rPr>
        <w:t>24</w:t>
      </w:r>
      <w:r>
        <w:rPr>
          <w:rFonts w:ascii="宋体" w:hAnsi="宋体" w:cs="宋体" w:eastAsia="宋体" w:hint="default"/>
          <w:spacing w:val="20"/>
        </w:rPr>
        <w:t> </w:t>
      </w:r>
      <w:r>
        <w:rPr/>
        <w:t>长期借款</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24"/>
          <w:szCs w:val="24"/>
        </w:rPr>
      </w:pPr>
    </w:p>
    <w:p>
      <w:pPr>
        <w:pStyle w:val="Heading2"/>
        <w:spacing w:line="240" w:lineRule="auto"/>
        <w:ind w:right="2839"/>
        <w:jc w:val="left"/>
        <w:rPr>
          <w:b w:val="0"/>
          <w:bCs w:val="0"/>
        </w:rPr>
      </w:pP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2839"/>
        <w:jc w:val="left"/>
        <w:rPr>
          <w:b w:val="0"/>
          <w:bCs w:val="0"/>
        </w:rPr>
      </w:pPr>
      <w:r>
        <w:rPr>
          <w:rFonts w:ascii="Times New Roman" w:hAnsi="Times New Roman" w:cs="Times New Roman" w:eastAsia="Times New Roman" w:hint="default"/>
        </w:rPr>
        <w:t>1</w:t>
      </w:r>
      <w:r>
        <w:rPr/>
        <w:t>、其他原因的合并范围变动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2839"/>
        <w:jc w:val="left"/>
      </w:pPr>
      <w:r>
        <w:rPr/>
        <w:t>说明其他原因导致的合并范围变动（如，新设子公司、清算子公司等）及其相关情况：</w:t>
      </w:r>
    </w:p>
    <w:p>
      <w:pPr>
        <w:pStyle w:val="BodyText"/>
        <w:spacing w:line="240" w:lineRule="auto" w:before="117"/>
        <w:ind w:left="513" w:right="2839"/>
        <w:jc w:val="left"/>
      </w:pPr>
      <w:r>
        <w:rPr>
          <w:rFonts w:ascii="Times New Roman" w:hAnsi="Times New Roman" w:cs="Times New Roman" w:eastAsia="Times New Roman" w:hint="default"/>
        </w:rPr>
        <w:t>2017</w:t>
      </w:r>
      <w:r>
        <w:rPr/>
        <w:t>年度合并范围共增加两户。具体如下：</w:t>
      </w:r>
    </w:p>
    <w:p>
      <w:pPr>
        <w:pStyle w:val="BodyText"/>
        <w:spacing w:line="300" w:lineRule="auto" w:before="63"/>
        <w:ind w:right="0" w:firstLine="360"/>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30</w:t>
      </w:r>
      <w:r>
        <w:rPr>
          <w:spacing w:val="-2"/>
        </w:rPr>
        <w:t>日，本公司与北京无双科技有限公司、西藏瀚博投资管理合伙企业共同投资设立北京光环凯旋管理咨询</w:t>
      </w:r>
      <w:r>
        <w:rPr/>
        <w:t> 有限公司，注册资本</w:t>
      </w:r>
      <w:r>
        <w:rPr>
          <w:rFonts w:ascii="Times New Roman" w:hAnsi="Times New Roman" w:cs="Times New Roman" w:eastAsia="Times New Roman" w:hint="default"/>
        </w:rPr>
        <w:t>1000</w:t>
      </w:r>
      <w:r>
        <w:rPr/>
        <w:t>万元，公司持股比例为</w:t>
      </w:r>
      <w:r>
        <w:rPr>
          <w:rFonts w:ascii="Times New Roman" w:hAnsi="Times New Roman" w:cs="Times New Roman" w:eastAsia="Times New Roman" w:hint="default"/>
        </w:rPr>
        <w:t>40%</w:t>
      </w:r>
      <w:r>
        <w:rPr/>
        <w:t>；北京无双科技有限公司持股比例为</w:t>
      </w:r>
      <w:r>
        <w:rPr>
          <w:rFonts w:ascii="Times New Roman" w:hAnsi="Times New Roman" w:cs="Times New Roman" w:eastAsia="Times New Roman" w:hint="default"/>
        </w:rPr>
        <w:t>20%</w:t>
      </w:r>
      <w:r>
        <w:rPr/>
        <w:t>。</w:t>
      </w:r>
    </w:p>
    <w:p>
      <w:pPr>
        <w:pStyle w:val="BodyText"/>
        <w:spacing w:line="300" w:lineRule="auto" w:before="13"/>
        <w:ind w:right="0" w:firstLine="360"/>
        <w:jc w:val="left"/>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25</w:t>
      </w:r>
      <w:r>
        <w:rPr>
          <w:spacing w:val="-2"/>
        </w:rPr>
        <w:t>日，光环有云（北京）网络服务有限公司在香港投资设立了光环有云（香港）网络科技有限公司，注册</w:t>
      </w:r>
      <w:r>
        <w:rPr/>
        <w:t> 资本</w:t>
      </w:r>
      <w:r>
        <w:rPr>
          <w:rFonts w:ascii="Times New Roman" w:hAnsi="Times New Roman" w:cs="Times New Roman" w:eastAsia="Times New Roman" w:hint="default"/>
        </w:rPr>
        <w:t>1</w:t>
      </w:r>
      <w:r>
        <w:rPr/>
        <w:t>美元。</w:t>
      </w:r>
    </w:p>
    <w:p>
      <w:pPr>
        <w:spacing w:after="0" w:line="300"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r>
        <w:rPr/>
        <w:pict>
          <v:shape style="position:absolute;margin-left:92.279999pt;margin-top:256.009979pt;width:101.1pt;height:15.6pt;mso-position-horizontal-relative:page;mso-position-vertical-relative:page;z-index:-1814608" type="#_x0000_t202" filled="false" stroked="false">
            <v:textbox inset="0,0,0,0">
              <w:txbxContent>
                <w:p>
                  <w:pPr>
                    <w:pStyle w:val="BodyText"/>
                    <w:spacing w:line="240" w:lineRule="auto" w:before="49"/>
                    <w:ind w:left="0" w:right="0"/>
                    <w:jc w:val="left"/>
                  </w:pPr>
                  <w:r>
                    <w:rPr/>
                    <w:t>（上海）</w:t>
                  </w:r>
                </w:p>
              </w:txbxContent>
            </v:textbox>
            <w10:wrap type="none"/>
          </v:shape>
        </w:pict>
      </w:r>
      <w:r>
        <w:rPr/>
        <w:pict>
          <v:shape style="position:absolute;margin-left:92.279999pt;margin-top:675.459961pt;width:101.1pt;height:15.6pt;mso-position-horizontal-relative:page;mso-position-vertical-relative:page;z-index:-1814584" type="#_x0000_t202" filled="false" stroked="false">
            <v:textbox inset="0,0,0,0">
              <w:txbxContent>
                <w:p>
                  <w:pPr>
                    <w:pStyle w:val="BodyText"/>
                    <w:spacing w:line="240" w:lineRule="auto" w:before="49"/>
                    <w:ind w:left="0" w:right="0"/>
                    <w:jc w:val="left"/>
                  </w:pPr>
                  <w:r>
                    <w:rPr/>
                    <w:t>（香港）</w:t>
                  </w:r>
                </w:p>
              </w:txbxContent>
            </v:textbox>
            <w10:wrap type="none"/>
          </v:shape>
        </w:pict>
      </w:r>
      <w:r>
        <w:rPr/>
        <w:pict>
          <v:group style="position:absolute;margin-left:330.670013pt;margin-top:572.859985pt;width:67.8pt;height:28.05pt;mso-position-horizontal-relative:page;mso-position-vertical-relative:page;z-index:-1814560" coordorigin="6613,11457" coordsize="1356,561">
            <v:group style="position:absolute;left:6613;top:11457;width:1356;height:156" coordorigin="6613,11457" coordsize="1356,156">
              <v:shape style="position:absolute;left:6613;top:11457;width:1356;height:156" coordorigin="6613,11457" coordsize="1356,156" path="m6613,11613l7969,11613,7969,11457,6613,11457,6613,11613xe" filled="true" fillcolor="#ffffff" stroked="false">
                <v:path arrowok="t"/>
                <v:fill type="solid"/>
              </v:shape>
            </v:group>
            <v:group style="position:absolute;left:6624;top:11613;width:2;height:394" coordorigin="6624,11613" coordsize="2,394">
              <v:shape style="position:absolute;left:6624;top:11613;width:2;height:394" coordorigin="6624,11613" coordsize="0,394" path="m6624,11613l6624,12007e" filled="false" stroked="true" strokeweight="1.08pt" strokecolor="#ffffff">
                <v:path arrowok="t"/>
              </v:shape>
            </v:group>
            <v:group style="position:absolute;left:6635;top:11613;width:1311;height:394" coordorigin="6635,11613" coordsize="1311,394">
              <v:shape style="position:absolute;left:6635;top:11613;width:1311;height:394" coordorigin="6635,11613" coordsize="1311,394" path="m6635,12007l7945,12007,7945,11613,6635,11613,6635,12007xe" filled="true" fillcolor="#ffffff" stroked="false">
                <v:path arrowok="t"/>
                <v:fill type="solid"/>
              </v:shape>
            </v:group>
            <w10:wrap type="none"/>
          </v:group>
        </w:pict>
      </w:r>
    </w:p>
    <w:p>
      <w:pPr>
        <w:pStyle w:val="Heading2"/>
        <w:spacing w:line="240" w:lineRule="auto" w:before="26"/>
        <w:ind w:right="2839"/>
        <w:jc w:val="left"/>
        <w:rPr>
          <w:b w:val="0"/>
          <w:bCs w:val="0"/>
        </w:rPr>
      </w:pP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2839"/>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2839"/>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379"/>
        <w:gridCol w:w="989"/>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4" w:right="75"/>
              <w:jc w:val="left"/>
              <w:rPr>
                <w:rFonts w:ascii="宋体" w:hAnsi="宋体" w:cs="宋体" w:eastAsia="宋体" w:hint="default"/>
                <w:sz w:val="18"/>
                <w:szCs w:val="18"/>
              </w:rPr>
            </w:pPr>
            <w:r>
              <w:rPr>
                <w:rFonts w:ascii="宋体" w:hAnsi="宋体" w:cs="宋体" w:eastAsia="宋体" w:hint="default"/>
                <w:sz w:val="18"/>
                <w:szCs w:val="18"/>
              </w:rPr>
              <w:t>光环云谷科技有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燕郊</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燕郊</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软件和信息技术 服务业、互联网 和相关服务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光环新网 信息服务有限公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2"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67.850pt;height:15.6pt;mso-position-horizontal-relative:char;mso-position-vertical-relative:line" coordorigin="0,0" coordsize="1357,312">
                  <v:group style="position:absolute;left:0;top:0;width:1357;height:312" coordorigin="0,0" coordsize="1357,312">
                    <v:shape style="position:absolute;left:0;top:0;width:1357;height:312" coordorigin="0,0" coordsize="1357,312" path="m0,312l1356,312,1356,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软件和信息技术 服务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北京德信致远科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互联网信息服务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北京光环金网科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软件和信息技术 服务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西安博凯创达数 字科技有限公司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软件和信息技术 服务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北京瑞科新网科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软件和信息技术 服务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业合并购买</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北京科信盛彩云 计算有限公司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软件和信息技术 服务、物业管理</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15.00%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光环新网国际有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4" w:right="75"/>
              <w:jc w:val="left"/>
              <w:rPr>
                <w:rFonts w:ascii="宋体" w:hAnsi="宋体" w:cs="宋体" w:eastAsia="宋体" w:hint="default"/>
                <w:sz w:val="18"/>
                <w:szCs w:val="18"/>
              </w:rPr>
            </w:pPr>
            <w:r>
              <w:rPr>
                <w:rFonts w:ascii="宋体" w:hAnsi="宋体" w:cs="宋体" w:eastAsia="宋体" w:hint="default"/>
                <w:sz w:val="18"/>
                <w:szCs w:val="18"/>
              </w:rPr>
              <w:t>北京中金云网科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技术服务；计算 机系统服务、数 据处理</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业合并购买</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北京无双科技有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8"/>
              <w:jc w:val="left"/>
              <w:rPr>
                <w:rFonts w:ascii="宋体" w:hAnsi="宋体" w:cs="宋体" w:eastAsia="宋体" w:hint="default"/>
                <w:sz w:val="18"/>
                <w:szCs w:val="18"/>
              </w:rPr>
            </w:pPr>
            <w:r>
              <w:rPr>
                <w:rFonts w:ascii="宋体" w:hAnsi="宋体" w:cs="宋体" w:eastAsia="宋体" w:hint="default"/>
                <w:spacing w:val="-6"/>
                <w:sz w:val="18"/>
                <w:szCs w:val="18"/>
              </w:rPr>
              <w:t>代理、发布广告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技术服务</w:t>
            </w:r>
          </w:p>
        </w:tc>
        <w:tc>
          <w:tcPr>
            <w:tcW w:w="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业合并购买</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24" w:right="75"/>
              <w:jc w:val="left"/>
              <w:rPr>
                <w:rFonts w:ascii="宋体" w:hAnsi="宋体" w:cs="宋体" w:eastAsia="宋体" w:hint="default"/>
                <w:sz w:val="18"/>
                <w:szCs w:val="18"/>
              </w:rPr>
            </w:pPr>
            <w:r>
              <w:rPr>
                <w:rFonts w:ascii="宋体" w:hAnsi="宋体" w:cs="宋体" w:eastAsia="宋体" w:hint="default"/>
                <w:sz w:val="18"/>
                <w:szCs w:val="18"/>
              </w:rPr>
              <w:t>北京光环凯旋管 理咨询有限公司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企业管理咨询； 设计、代理、发 布广告；技术服 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20.00%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光环有云 网络科技有限公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2"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67.850pt;height:15.6pt;mso-position-horizontal-relative:char;mso-position-vertical-relative:line" coordorigin="0,0" coordsize="1357,312">
                  <v:group style="position:absolute;left:0;top:0;width:1357;height:312" coordorigin="0,0" coordsize="1357,312">
                    <v:shape style="position:absolute;left:0;top:0;width:1357;height:312" coordorigin="0,0" coordsize="1357,312" path="m0,312l1356,312,1356,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技术服务，云计 算，计算机系统 服务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67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pacing w:val="-6"/>
                <w:sz w:val="18"/>
                <w:szCs w:val="18"/>
              </w:rPr>
              <w:t>光环有云（北京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网络服务有限公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5" w:lineRule="exact"/>
              <w:ind w:left="23"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539" w:lineRule="exact"/>
              <w:ind w:left="2" w:right="-39"/>
              <w:jc w:val="left"/>
              <w:rPr>
                <w:rFonts w:ascii="宋体" w:hAnsi="宋体" w:cs="宋体" w:eastAsia="宋体" w:hint="default"/>
                <w:sz w:val="20"/>
                <w:szCs w:val="20"/>
              </w:rPr>
            </w:pPr>
            <w:r>
              <w:rPr>
                <w:rFonts w:ascii="宋体" w:hAnsi="宋体" w:cs="宋体" w:eastAsia="宋体" w:hint="default"/>
                <w:position w:val="-10"/>
                <w:sz w:val="20"/>
                <w:szCs w:val="20"/>
              </w:rPr>
              <w:pict>
                <v:group style="width:67.850pt;height:27pt;mso-position-horizontal-relative:char;mso-position-vertical-relative:line" coordorigin="0,0" coordsize="1357,540">
                  <v:group style="position:absolute;left:0;top:0;width:1357;height:135" coordorigin="0,0" coordsize="1357,135">
                    <v:shape style="position:absolute;left:0;top:0;width:1357;height:135" coordorigin="0,0" coordsize="1357,135" path="m0,134l1356,134,1356,0,0,0,0,134xe" filled="true" fillcolor="#ffffff" stroked="false">
                      <v:path arrowok="t"/>
                      <v:fill type="solid"/>
                    </v:shape>
                  </v:group>
                  <v:group style="position:absolute;left:11;top:134;width:2;height:395" coordorigin="11,134" coordsize="2,395">
                    <v:shape style="position:absolute;left:11;top:134;width:2;height:395" coordorigin="11,134" coordsize="0,395" path="m11,134l11,528e" filled="false" stroked="true" strokeweight="1.08pt" strokecolor="#ffffff">
                      <v:path arrowok="t"/>
                    </v:shape>
                  </v:group>
                  <v:group style="position:absolute;left:22;top:134;width:1314;height:395" coordorigin="22,134" coordsize="1314,395">
                    <v:shape style="position:absolute;left:22;top:134;width:1314;height:395" coordorigin="22,134" coordsize="1314,395" path="m22,528l1335,528,1335,134,22,134,22,528xe" filled="true" fillcolor="#ffffff" stroked="false">
                      <v:path arrowok="t"/>
                      <v:fill type="solid"/>
                    </v:shape>
                  </v:group>
                </v:group>
              </w:pict>
            </w:r>
            <w:r>
              <w:rPr>
                <w:rFonts w:ascii="宋体" w:hAnsi="宋体" w:cs="宋体" w:eastAsia="宋体" w:hint="default"/>
                <w:position w:val="-10"/>
                <w:sz w:val="20"/>
                <w:szCs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技术服务，云计 算，计算机系统</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45.00%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4" w:right="75"/>
              <w:jc w:val="left"/>
              <w:rPr>
                <w:rFonts w:ascii="宋体" w:hAnsi="宋体" w:cs="宋体" w:eastAsia="宋体" w:hint="default"/>
                <w:sz w:val="18"/>
                <w:szCs w:val="18"/>
              </w:rPr>
            </w:pPr>
            <w:r>
              <w:rPr>
                <w:rFonts w:ascii="宋体" w:hAnsi="宋体" w:cs="宋体" w:eastAsia="宋体" w:hint="default"/>
                <w:sz w:val="18"/>
                <w:szCs w:val="18"/>
              </w:rPr>
              <w:t>北京亚逊新网科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技术推广；计算 机系统服务；软 件开发；出租商 业用房。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4" w:right="75"/>
              <w:jc w:val="left"/>
              <w:rPr>
                <w:rFonts w:ascii="宋体" w:hAnsi="宋体" w:cs="宋体" w:eastAsia="宋体" w:hint="default"/>
                <w:sz w:val="18"/>
                <w:szCs w:val="18"/>
              </w:rPr>
            </w:pPr>
            <w:r>
              <w:rPr>
                <w:rFonts w:ascii="宋体" w:hAnsi="宋体" w:cs="宋体" w:eastAsia="宋体" w:hint="default"/>
                <w:spacing w:val="-6"/>
                <w:sz w:val="18"/>
                <w:szCs w:val="18"/>
              </w:rPr>
              <w:t>光环新网（宁夏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云服务有限公司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196" w:lineRule="exact" w:before="125"/>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中卫市</w:t>
            </w:r>
          </w:p>
          <w:p>
            <w:pPr>
              <w:pStyle w:val="TableParagraph"/>
              <w:spacing w:line="872" w:lineRule="exact"/>
              <w:ind w:left="2" w:right="-39"/>
              <w:jc w:val="left"/>
              <w:rPr>
                <w:rFonts w:ascii="宋体" w:hAnsi="宋体" w:cs="宋体" w:eastAsia="宋体" w:hint="default"/>
                <w:sz w:val="20"/>
                <w:szCs w:val="20"/>
              </w:rPr>
            </w:pPr>
            <w:r>
              <w:rPr>
                <w:rFonts w:ascii="宋体" w:hAnsi="宋体" w:cs="宋体" w:eastAsia="宋体" w:hint="default"/>
                <w:position w:val="-16"/>
                <w:sz w:val="20"/>
                <w:szCs w:val="20"/>
              </w:rPr>
              <w:pict>
                <v:group style="width:67.850pt;height:43.65pt;mso-position-horizontal-relative:char;mso-position-vertical-relative:line" coordorigin="0,0" coordsize="1357,873">
                  <v:group style="position:absolute;left:0;top:0;width:1357;height:468" coordorigin="0,0" coordsize="1357,468">
                    <v:shape style="position:absolute;left:0;top:0;width:1357;height:468" coordorigin="0,0" coordsize="1357,468" path="m0,468l1356,468,1356,0,0,0,0,468xe" filled="true" fillcolor="#ffffff" stroked="false">
                      <v:path arrowok="t"/>
                      <v:fill type="solid"/>
                    </v:shape>
                  </v:group>
                  <v:group style="position:absolute;left:11;top:468;width:2;height:394" coordorigin="11,468" coordsize="2,394">
                    <v:shape style="position:absolute;left:11;top:468;width:2;height:394" coordorigin="11,468" coordsize="0,394" path="m11,468l11,862e" filled="false" stroked="true" strokeweight="1.08pt" strokecolor="#ffffff">
                      <v:path arrowok="t"/>
                    </v:shape>
                  </v:group>
                  <v:group style="position:absolute;left:22;top:468;width:1314;height:394" coordorigin="22,468" coordsize="1314,394">
                    <v:shape style="position:absolute;left:22;top:468;width:1314;height:394" coordorigin="22,468" coordsize="1314,394" path="m22,862l1335,862,1335,468,22,468,22,862xe" filled="true" fillcolor="#ffffff" stroked="false">
                      <v:path arrowok="t"/>
                      <v:fill type="solid"/>
                    </v:shape>
                  </v:group>
                </v:group>
              </w:pict>
            </w:r>
            <w:r>
              <w:rPr>
                <w:rFonts w:ascii="宋体" w:hAnsi="宋体" w:cs="宋体" w:eastAsia="宋体" w:hint="default"/>
                <w:position w:val="-16"/>
                <w:sz w:val="20"/>
                <w:szCs w:val="20"/>
              </w:rPr>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14"/>
                <w:szCs w:val="14"/>
              </w:rPr>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中卫市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云平台服务、云 基础设施服务、 云软件服务；软 件技术开发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240" w:lineRule="auto" w:before="49"/>
        <w:ind w:right="0"/>
        <w:jc w:val="both"/>
      </w:pPr>
      <w:r>
        <w:rPr/>
        <w:t>在子公司的持股比例不同于表决权比例的说明：</w:t>
      </w:r>
    </w:p>
    <w:p>
      <w:pPr>
        <w:pStyle w:val="BodyText"/>
        <w:spacing w:line="240" w:lineRule="auto" w:before="115"/>
        <w:ind w:left="573" w:right="110"/>
        <w:jc w:val="left"/>
      </w:pPr>
      <w:r>
        <w:rPr/>
        <w:t>（</w:t>
      </w:r>
      <w:r>
        <w:rPr>
          <w:rFonts w:ascii="Times New Roman" w:hAnsi="Times New Roman" w:cs="Times New Roman" w:eastAsia="Times New Roman" w:hint="default"/>
        </w:rPr>
        <w:t>1</w:t>
      </w:r>
      <w:r>
        <w:rPr/>
        <w:t>）公司在光环有云（北京）网络服务有限公司的</w:t>
      </w:r>
      <w:r>
        <w:rPr>
          <w:rFonts w:ascii="Times New Roman" w:hAnsi="Times New Roman" w:cs="Times New Roman" w:eastAsia="Times New Roman" w:hint="default"/>
        </w:rPr>
        <w:t>5</w:t>
      </w:r>
      <w:r>
        <w:rPr/>
        <w:t>名董事中占有</w:t>
      </w:r>
      <w:r>
        <w:rPr>
          <w:rFonts w:ascii="Times New Roman" w:hAnsi="Times New Roman" w:cs="Times New Roman" w:eastAsia="Times New Roman" w:hint="default"/>
        </w:rPr>
        <w:t>3</w:t>
      </w:r>
      <w:r>
        <w:rPr/>
        <w:t>名成员，具有实质控制权。</w:t>
      </w:r>
    </w:p>
    <w:p>
      <w:pPr>
        <w:pStyle w:val="BodyText"/>
        <w:spacing w:line="240" w:lineRule="auto" w:before="63"/>
        <w:ind w:left="573" w:right="11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20 </w:t>
      </w:r>
      <w:r>
        <w:rPr/>
        <w:t>日第二届董事会 </w:t>
      </w:r>
      <w:r>
        <w:rPr>
          <w:rFonts w:ascii="Times New Roman" w:hAnsi="Times New Roman" w:cs="Times New Roman" w:eastAsia="Times New Roman" w:hint="default"/>
        </w:rPr>
        <w:t>2015 </w:t>
      </w:r>
      <w:r>
        <w:rPr>
          <w:rFonts w:ascii="Times New Roman" w:hAnsi="Times New Roman" w:cs="Times New Roman" w:eastAsia="Times New Roman" w:hint="default"/>
          <w:spacing w:val="24"/>
        </w:rPr>
        <w:t> </w:t>
      </w:r>
      <w:r>
        <w:rPr/>
        <w:t>年第二次会议审议通过了《关于公司与控股股东共同投资的议案》，公</w:t>
      </w:r>
    </w:p>
    <w:p>
      <w:pPr>
        <w:pStyle w:val="BodyText"/>
        <w:spacing w:line="309" w:lineRule="auto" w:before="63"/>
        <w:ind w:right="290"/>
        <w:jc w:val="both"/>
      </w:pPr>
      <w:r>
        <w:rPr/>
        <w:t>司与控股股东北京百汇达投资管理有限公司共同投资北京科信盛彩置业有限公司，其中公司投资人民币</w:t>
      </w:r>
      <w:r>
        <w:rPr>
          <w:spacing w:val="28"/>
        </w:rPr>
        <w:t> </w:t>
      </w:r>
      <w:r>
        <w:rPr>
          <w:rFonts w:ascii="Times New Roman" w:hAnsi="Times New Roman" w:cs="Times New Roman" w:eastAsia="Times New Roman" w:hint="default"/>
        </w:rPr>
        <w:t>6,870</w:t>
      </w:r>
      <w:r>
        <w:rPr>
          <w:rFonts w:ascii="Times New Roman" w:hAnsi="Times New Roman" w:cs="Times New Roman" w:eastAsia="Times New Roman" w:hint="default"/>
          <w:spacing w:val="10"/>
        </w:rPr>
        <w:t> </w:t>
      </w:r>
      <w:r>
        <w:rPr/>
        <w:t>万元持有其</w:t>
      </w:r>
      <w:r>
        <w:rPr>
          <w:spacing w:val="-84"/>
        </w:rPr>
        <w:t> </w:t>
      </w:r>
      <w:r>
        <w:rPr>
          <w:spacing w:val="-84"/>
        </w:rPr>
      </w:r>
      <w:r>
        <w:rPr>
          <w:rFonts w:ascii="Times New Roman" w:hAnsi="Times New Roman" w:cs="Times New Roman" w:eastAsia="Times New Roman" w:hint="default"/>
        </w:rPr>
        <w:t>15%</w:t>
      </w:r>
      <w:r>
        <w:rPr/>
        <w:t>的股权，北京百汇达投资管理有限公司投资人民币 </w:t>
      </w:r>
      <w:r>
        <w:rPr>
          <w:rFonts w:ascii="Times New Roman" w:hAnsi="Times New Roman" w:cs="Times New Roman" w:eastAsia="Times New Roman" w:hint="default"/>
        </w:rPr>
        <w:t>16,488 </w:t>
      </w:r>
      <w:r>
        <w:rPr/>
        <w:t>万元持有其</w:t>
      </w:r>
      <w:r>
        <w:rPr>
          <w:spacing w:val="-25"/>
        </w:rPr>
        <w:t> </w:t>
      </w:r>
      <w:r>
        <w:rPr>
          <w:rFonts w:ascii="Times New Roman" w:hAnsi="Times New Roman" w:cs="Times New Roman" w:eastAsia="Times New Roman" w:hint="default"/>
        </w:rPr>
        <w:t>36%</w:t>
      </w:r>
      <w:r>
        <w:rPr/>
        <w:t>的股权，同时本公司与北京百汇达投资管理 </w:t>
      </w:r>
      <w:r>
        <w:rPr>
          <w:spacing w:val="-2"/>
        </w:rPr>
        <w:t>有限公司签订一致行动协议，约定自投资完成之日起，在决定北京科信盛彩置业有限公司有关经营发展、且须北京科信盛彩</w:t>
      </w:r>
      <w:r>
        <w:rPr>
          <w:spacing w:val="-63"/>
        </w:rPr>
        <w:t> </w:t>
      </w:r>
      <w:r>
        <w:rPr>
          <w:spacing w:val="-63"/>
        </w:rPr>
      </w:r>
      <w:r>
        <w:rPr>
          <w:spacing w:val="-2"/>
        </w:rPr>
        <w:t>置业有限公司股东会批准的重大事项时，北京百汇达投资管理有限公司将跟随本公司行使股东权利，与本公司保持一致，特</w:t>
      </w:r>
      <w:r>
        <w:rPr>
          <w:spacing w:val="-88"/>
        </w:rPr>
        <w:t> </w:t>
      </w:r>
      <w:r>
        <w:rPr>
          <w:spacing w:val="-88"/>
        </w:rPr>
      </w:r>
      <w:r>
        <w:rPr/>
        <w:t>别是行使股东会召集权、提案权、表决权时采取一致行动。</w:t>
      </w:r>
    </w:p>
    <w:p>
      <w:pPr>
        <w:pStyle w:val="BodyText"/>
        <w:spacing w:line="309" w:lineRule="auto" w:before="24"/>
        <w:ind w:right="194" w:firstLine="42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6</w:t>
      </w:r>
      <w:r>
        <w:rPr/>
        <w:t>日第二届董事会</w:t>
      </w:r>
      <w:r>
        <w:rPr>
          <w:rFonts w:ascii="Times New Roman" w:hAnsi="Times New Roman" w:cs="Times New Roman" w:eastAsia="Times New Roman" w:hint="default"/>
        </w:rPr>
        <w:t>2016</w:t>
      </w:r>
      <w:r>
        <w:rPr/>
        <w:t>年第一次会议及</w:t>
      </w:r>
      <w:r>
        <w:rPr>
          <w:rFonts w:ascii="Times New Roman" w:hAnsi="Times New Roman" w:cs="Times New Roman" w:eastAsia="Times New Roman" w:hint="default"/>
        </w:rPr>
        <w:t>2016</w:t>
      </w:r>
      <w:r>
        <w:rPr/>
        <w:t>年第一次临时股东大会审议通过了《关于公司放弃北京科信盛彩 </w:t>
      </w:r>
      <w:r>
        <w:rPr>
          <w:spacing w:val="-5"/>
          <w:w w:val="100"/>
        </w:rPr>
        <w:t>置业有限公司股权转让优先购买权暨关联交易的议案》，共青城云创投资管理合伙企业（有限合伙）（以下简称</w:t>
      </w:r>
      <w:r>
        <w:rPr>
          <w:rFonts w:ascii="Times New Roman" w:hAnsi="Times New Roman" w:cs="Times New Roman" w:eastAsia="Times New Roman" w:hint="default"/>
          <w:spacing w:val="-5"/>
          <w:w w:val="100"/>
        </w:rPr>
        <w:t>“</w:t>
      </w:r>
      <w:r>
        <w:rPr>
          <w:spacing w:val="-5"/>
          <w:w w:val="100"/>
        </w:rPr>
        <w:t>云创投资</w:t>
      </w:r>
      <w:r>
        <w:rPr>
          <w:rFonts w:ascii="Times New Roman" w:hAnsi="Times New Roman" w:cs="Times New Roman" w:eastAsia="Times New Roman" w:hint="default"/>
          <w:spacing w:val="-5"/>
          <w:w w:val="100"/>
        </w:rPr>
        <w:t>”</w:t>
      </w:r>
      <w:r>
        <w:rPr>
          <w:spacing w:val="-5"/>
          <w:w w:val="100"/>
        </w:rPr>
        <w:t>）</w:t>
      </w:r>
      <w:r>
        <w:rPr>
          <w:spacing w:val="-53"/>
          <w:w w:val="100"/>
        </w:rPr>
        <w:t> </w:t>
      </w:r>
      <w:r>
        <w:rPr/>
        <w:t>以</w:t>
      </w:r>
      <w:r>
        <w:rPr>
          <w:rFonts w:ascii="Times New Roman" w:hAnsi="Times New Roman" w:cs="Times New Roman" w:eastAsia="Times New Roman" w:hint="default"/>
        </w:rPr>
        <w:t>6,870</w:t>
      </w:r>
      <w:r>
        <w:rPr/>
        <w:t>万元的价格收购共青城国创投资管理合伙企业（有限合伙）持有的科信盛彩</w:t>
      </w:r>
      <w:r>
        <w:rPr>
          <w:rFonts w:ascii="Times New Roman" w:hAnsi="Times New Roman" w:cs="Times New Roman" w:eastAsia="Times New Roman" w:hint="default"/>
        </w:rPr>
        <w:t>15%</w:t>
      </w:r>
      <w:r>
        <w:rPr/>
        <w:t>的股权，公司放弃优先购买权。为</w:t>
      </w:r>
      <w:r>
        <w:rPr>
          <w:spacing w:val="-17"/>
        </w:rPr>
        <w:t> </w:t>
      </w:r>
      <w:r>
        <w:rPr>
          <w:spacing w:val="-17"/>
        </w:rPr>
      </w:r>
      <w:r>
        <w:rPr>
          <w:spacing w:val="-2"/>
        </w:rPr>
        <w:t>避免产生同业竞争，公司与云创投资签署了《关于北京科信盛彩置业有限公司之一致行动协议》，约定：自本次收购完成之</w:t>
      </w:r>
      <w:r>
        <w:rPr>
          <w:spacing w:val="-65"/>
        </w:rPr>
        <w:t> </w:t>
      </w:r>
      <w:r>
        <w:rPr>
          <w:spacing w:val="-65"/>
        </w:rPr>
      </w:r>
      <w:r>
        <w:rPr/>
        <w:t>日起，在决定标的公司有关经营发展、且需经标的公司股东会审议批准的重大事项时，云创投资将跟随公司行使股东权利，</w:t>
      </w:r>
      <w:r>
        <w:rPr>
          <w:spacing w:val="-83"/>
        </w:rPr>
        <w:t> </w:t>
      </w:r>
      <w:r>
        <w:rPr>
          <w:spacing w:val="-83"/>
        </w:rPr>
      </w:r>
      <w:r>
        <w:rPr>
          <w:spacing w:val="-2"/>
        </w:rPr>
        <w:t>与公司保持一致；如一方拟就协议约定的重大事项向股东会提出议案时，须事先与另一方进行充分的沟通、协商，最终按照</w:t>
      </w:r>
      <w:r>
        <w:rPr>
          <w:spacing w:val="-64"/>
        </w:rPr>
        <w:t> </w:t>
      </w:r>
      <w:r>
        <w:rPr>
          <w:spacing w:val="-64"/>
        </w:rPr>
      </w:r>
      <w:r>
        <w:rPr>
          <w:spacing w:val="-2"/>
        </w:rPr>
        <w:t>公司决定的意见以双方名义共同向股东会提出提案；双方在标的公司召开股东会审议协议约定的重大事项前须进行充分沟通</w:t>
      </w:r>
      <w:r>
        <w:rPr>
          <w:spacing w:val="-64"/>
        </w:rPr>
        <w:t> </w:t>
      </w:r>
      <w:r>
        <w:rPr>
          <w:spacing w:val="-64"/>
        </w:rPr>
      </w:r>
      <w:r>
        <w:rPr/>
        <w:t>协商，最终按照公司决定的意见在股东会上对该等事项行使表决权。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月北京科信盛彩置业有限公司变更名称为北京</w:t>
      </w:r>
      <w:r>
        <w:rPr>
          <w:spacing w:val="-85"/>
        </w:rPr>
        <w:t> </w:t>
      </w:r>
      <w:r>
        <w:rPr>
          <w:spacing w:val="-85"/>
        </w:rPr>
      </w:r>
      <w:r>
        <w:rPr/>
        <w:t>科信盛彩云计算有限公司。</w:t>
      </w:r>
    </w:p>
    <w:p>
      <w:pPr>
        <w:pStyle w:val="BodyText"/>
        <w:spacing w:line="300" w:lineRule="auto" w:before="24"/>
        <w:ind w:right="286" w:firstLine="42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日，北京百汇达投资管理有限公司因内部组织架构调整，将其持有的北京科信盛彩云计算有限公司</w:t>
      </w:r>
      <w:r>
        <w:rPr>
          <w:rFonts w:ascii="Times New Roman" w:hAnsi="Times New Roman" w:cs="Times New Roman" w:eastAsia="Times New Roman" w:hint="default"/>
        </w:rPr>
        <w:t>36%</w:t>
      </w:r>
      <w:r>
        <w:rPr>
          <w:rFonts w:ascii="Times New Roman" w:hAnsi="Times New Roman" w:cs="Times New Roman" w:eastAsia="Times New Roman" w:hint="default"/>
          <w:spacing w:val="1"/>
        </w:rPr>
        <w:t> </w:t>
      </w:r>
      <w:r>
        <w:rPr>
          <w:spacing w:val="-1"/>
        </w:rPr>
        <w:t>的股权以</w:t>
      </w:r>
      <w:r>
        <w:rPr>
          <w:rFonts w:ascii="Times New Roman" w:hAnsi="Times New Roman" w:cs="Times New Roman" w:eastAsia="Times New Roman" w:hint="default"/>
          <w:spacing w:val="-1"/>
        </w:rPr>
        <w:t>16,488</w:t>
      </w:r>
      <w:r>
        <w:rPr>
          <w:spacing w:val="-1"/>
        </w:rPr>
        <w:t>万元的价格转让给全资下属公司光环控股有限公司，且光环控股有限公司同意继续履行北京百汇达投资管理</w:t>
      </w:r>
      <w:r>
        <w:rPr>
          <w:spacing w:val="-72"/>
        </w:rPr>
        <w:t> </w:t>
      </w:r>
      <w:r>
        <w:rPr>
          <w:spacing w:val="-72"/>
        </w:rPr>
      </w:r>
      <w:r>
        <w:rPr/>
        <w:t>有限公司与公司签署的一致行动协议及其作出的相关承诺，并与公司重新签署一致行动协议及出具承诺函。</w:t>
      </w:r>
    </w:p>
    <w:p>
      <w:pPr>
        <w:spacing w:line="240" w:lineRule="auto" w:before="0"/>
        <w:rPr>
          <w:rFonts w:ascii="宋体" w:hAnsi="宋体" w:cs="宋体" w:eastAsia="宋体" w:hint="default"/>
          <w:sz w:val="18"/>
          <w:szCs w:val="18"/>
        </w:rPr>
      </w:pPr>
    </w:p>
    <w:p>
      <w:pPr>
        <w:pStyle w:val="BodyText"/>
        <w:spacing w:line="240" w:lineRule="auto" w:before="148"/>
        <w:ind w:right="0"/>
        <w:jc w:val="both"/>
      </w:pPr>
      <w:r>
        <w:rPr/>
        <w:t>持有半数或以下表决权但仍控制被投资单位、以及持有半数以上表决权但不控制被投资单位的依据：</w:t>
      </w:r>
    </w:p>
    <w:p>
      <w:pPr>
        <w:pStyle w:val="BodyText"/>
        <w:spacing w:line="240" w:lineRule="auto" w:before="118"/>
        <w:ind w:left="573" w:right="110"/>
        <w:jc w:val="left"/>
      </w:pPr>
      <w:r>
        <w:rPr/>
        <w:t>（</w:t>
      </w:r>
      <w:r>
        <w:rPr>
          <w:rFonts w:ascii="宋体" w:hAnsi="宋体" w:cs="宋体" w:eastAsia="宋体" w:hint="default"/>
        </w:rPr>
        <w:t>1</w:t>
      </w:r>
      <w:r>
        <w:rPr/>
        <w:t>）公司在光环有云（北京）网络服务有限公司的</w:t>
      </w:r>
      <w:r>
        <w:rPr>
          <w:rFonts w:ascii="宋体" w:hAnsi="宋体" w:cs="宋体" w:eastAsia="宋体" w:hint="default"/>
        </w:rPr>
        <w:t>5</w:t>
      </w:r>
      <w:r>
        <w:rPr/>
        <w:t>名董事中占有</w:t>
      </w:r>
      <w:r>
        <w:rPr>
          <w:rFonts w:ascii="宋体" w:hAnsi="宋体" w:cs="宋体" w:eastAsia="宋体" w:hint="default"/>
        </w:rPr>
        <w:t>3</w:t>
      </w:r>
      <w:r>
        <w:rPr/>
        <w:t>名成员，具有实质控制权。</w:t>
      </w:r>
    </w:p>
    <w:p>
      <w:pPr>
        <w:pStyle w:val="BodyText"/>
        <w:spacing w:line="316" w:lineRule="auto" w:before="76"/>
        <w:ind w:right="110" w:firstLine="420"/>
        <w:jc w:val="left"/>
      </w:pPr>
      <w:r>
        <w:rPr/>
        <w:t>（</w:t>
      </w:r>
      <w:r>
        <w:rPr>
          <w:rFonts w:ascii="宋体" w:hAnsi="宋体" w:cs="宋体" w:eastAsia="宋体" w:hint="default"/>
        </w:rPr>
        <w:t>2</w:t>
      </w:r>
      <w:r>
        <w:rPr/>
        <w:t>）</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20</w:t>
      </w:r>
      <w:r>
        <w:rPr/>
        <w:t>日第二届董事会</w:t>
      </w:r>
      <w:r>
        <w:rPr>
          <w:rFonts w:ascii="宋体" w:hAnsi="宋体" w:cs="宋体" w:eastAsia="宋体" w:hint="default"/>
        </w:rPr>
        <w:t>2015</w:t>
      </w:r>
      <w:r>
        <w:rPr/>
        <w:t>年第二次会议审议通过了《关于公司与控股股东共同投资的议案》，公司与控 </w:t>
      </w:r>
      <w:r>
        <w:rPr>
          <w:spacing w:val="-2"/>
        </w:rPr>
        <w:t>股股东北京百汇达投资管理有限公司共同投资北京科信盛彩置业有限公司，其中公司投资人民币</w:t>
      </w:r>
      <w:r>
        <w:rPr>
          <w:rFonts w:ascii="宋体" w:hAnsi="宋体" w:cs="宋体" w:eastAsia="宋体" w:hint="default"/>
          <w:spacing w:val="-2"/>
        </w:rPr>
        <w:t>6,870</w:t>
      </w:r>
      <w:r>
        <w:rPr>
          <w:spacing w:val="-2"/>
        </w:rPr>
        <w:t>万元持有其</w:t>
      </w:r>
      <w:r>
        <w:rPr>
          <w:rFonts w:ascii="宋体" w:hAnsi="宋体" w:cs="宋体" w:eastAsia="宋体" w:hint="default"/>
          <w:spacing w:val="-2"/>
        </w:rPr>
        <w:t>15%</w:t>
      </w:r>
      <w:r>
        <w:rPr>
          <w:spacing w:val="-2"/>
        </w:rPr>
        <w:t>的股权，</w:t>
      </w:r>
      <w:r>
        <w:rPr>
          <w:spacing w:val="-56"/>
        </w:rPr>
        <w:t> </w:t>
      </w:r>
      <w:r>
        <w:rPr>
          <w:spacing w:val="-56"/>
        </w:rPr>
      </w:r>
      <w:r>
        <w:rPr/>
        <w:t>北京百汇达投资管理有限公司投资人民币</w:t>
      </w:r>
      <w:r>
        <w:rPr>
          <w:rFonts w:ascii="宋体" w:hAnsi="宋体" w:cs="宋体" w:eastAsia="宋体" w:hint="default"/>
        </w:rPr>
        <w:t>16,488</w:t>
      </w:r>
      <w:r>
        <w:rPr/>
        <w:t>万元持有其</w:t>
      </w:r>
      <w:r>
        <w:rPr>
          <w:rFonts w:ascii="宋体" w:hAnsi="宋体" w:cs="宋体" w:eastAsia="宋体" w:hint="default"/>
        </w:rPr>
        <w:t>36%</w:t>
      </w:r>
      <w:r>
        <w:rPr/>
        <w:t>的股权，同时本公司与北京百汇达投资管理有限公司签订一</w:t>
      </w:r>
      <w:r>
        <w:rPr>
          <w:spacing w:val="-85"/>
        </w:rPr>
        <w:t> </w:t>
      </w:r>
      <w:r>
        <w:rPr>
          <w:spacing w:val="-85"/>
        </w:rPr>
      </w:r>
      <w:r>
        <w:rPr/>
        <w:t>致行动协议，约定自投资完成之日起，在决定北京科信盛彩置业有限公司有关经营发展、且须北京科信盛彩置业有限公司股</w:t>
      </w:r>
      <w:r>
        <w:rPr/>
        <w:t> 东会批准的重大事项时，北京百汇达投资管理有限公司将跟随本公司行使股东权利，与本公司保持一致，特别是行使股东会 召集权、提案权、表决权时采取一致行动。</w:t>
      </w:r>
    </w:p>
    <w:p>
      <w:pPr>
        <w:pStyle w:val="BodyText"/>
        <w:spacing w:line="319" w:lineRule="auto" w:before="19"/>
        <w:ind w:right="289" w:firstLine="420"/>
        <w:jc w:val="both"/>
      </w:pP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6</w:t>
      </w:r>
      <w:r>
        <w:rPr/>
        <w:t>日第二届董事会</w:t>
      </w:r>
      <w:r>
        <w:rPr>
          <w:rFonts w:ascii="宋体" w:hAnsi="宋体" w:cs="宋体" w:eastAsia="宋体" w:hint="default"/>
        </w:rPr>
        <w:t>2016</w:t>
      </w:r>
      <w:r>
        <w:rPr/>
        <w:t>年第一次会议及</w:t>
      </w:r>
      <w:r>
        <w:rPr>
          <w:rFonts w:ascii="宋体" w:hAnsi="宋体" w:cs="宋体" w:eastAsia="宋体" w:hint="default"/>
        </w:rPr>
        <w:t>2016</w:t>
      </w:r>
      <w:r>
        <w:rPr/>
        <w:t>年第一次临时股东大会审议通过了《关于公司放弃北京科信盛彩 </w:t>
      </w:r>
      <w:r>
        <w:rPr>
          <w:spacing w:val="-8"/>
        </w:rPr>
        <w:t>置业有限公司股权转让优先购买权暨关联交易的议案》，共青城云创投资管理合伙企业（有限合伙）（以下简称“云创投资”）</w:t>
      </w:r>
      <w:r>
        <w:rPr>
          <w:spacing w:val="-85"/>
        </w:rPr>
        <w:t> </w:t>
      </w:r>
      <w:r>
        <w:rPr>
          <w:spacing w:val="-85"/>
        </w:rPr>
      </w:r>
      <w:r>
        <w:rPr>
          <w:spacing w:val="-2"/>
        </w:rPr>
        <w:t>以</w:t>
      </w:r>
      <w:r>
        <w:rPr>
          <w:rFonts w:ascii="宋体" w:hAnsi="宋体" w:cs="宋体" w:eastAsia="宋体" w:hint="default"/>
          <w:spacing w:val="-2"/>
        </w:rPr>
        <w:t>6,870</w:t>
      </w:r>
      <w:r>
        <w:rPr>
          <w:spacing w:val="-2"/>
        </w:rPr>
        <w:t>万元的价格收购共青城国创投资管理合伙企业（有限合伙）持有的科信盛彩</w:t>
      </w:r>
      <w:r>
        <w:rPr>
          <w:rFonts w:ascii="宋体" w:hAnsi="宋体" w:cs="宋体" w:eastAsia="宋体" w:hint="default"/>
          <w:spacing w:val="-2"/>
        </w:rPr>
        <w:t>15%</w:t>
      </w:r>
      <w:r>
        <w:rPr>
          <w:spacing w:val="-2"/>
        </w:rPr>
        <w:t>的股权，公司放弃优先购买权。为避</w:t>
      </w:r>
      <w:r>
        <w:rPr>
          <w:spacing w:val="-58"/>
        </w:rPr>
        <w:t> </w:t>
      </w:r>
      <w:r>
        <w:rPr>
          <w:spacing w:val="-58"/>
        </w:rPr>
      </w:r>
      <w:r>
        <w:rPr>
          <w:spacing w:val="-2"/>
        </w:rPr>
        <w:t>免产生同业竞争，公司与云创投资签署了《关于北京科信盛彩置业有限公司之一致行动协议》，约定：自本次收购完成之日</w:t>
      </w:r>
      <w:r>
        <w:rPr>
          <w:spacing w:val="-65"/>
        </w:rPr>
        <w:t> </w:t>
      </w:r>
      <w:r>
        <w:rPr>
          <w:spacing w:val="-65"/>
        </w:rPr>
      </w:r>
      <w:r>
        <w:rPr>
          <w:spacing w:val="-2"/>
        </w:rPr>
        <w:t>起，在决定标的公司有关经营发展、且需经标的公司股东会审议批准的重大事项时，云创投资将跟随公司行使股东权利，与</w:t>
      </w:r>
    </w:p>
    <w:p>
      <w:pPr>
        <w:spacing w:after="0" w:line="319" w:lineRule="auto"/>
        <w:jc w:val="both"/>
        <w:sectPr>
          <w:pgSz w:w="11910" w:h="16840"/>
          <w:pgMar w:header="745" w:footer="979" w:top="1060" w:bottom="1160" w:left="980" w:right="840"/>
        </w:sectPr>
      </w:pPr>
    </w:p>
    <w:p>
      <w:pPr>
        <w:spacing w:line="240" w:lineRule="auto" w:before="10"/>
        <w:rPr>
          <w:rFonts w:ascii="宋体" w:hAnsi="宋体" w:cs="宋体" w:eastAsia="宋体" w:hint="default"/>
          <w:sz w:val="25"/>
          <w:szCs w:val="25"/>
        </w:rPr>
      </w:pPr>
    </w:p>
    <w:p>
      <w:pPr>
        <w:pStyle w:val="BodyText"/>
        <w:spacing w:line="316" w:lineRule="auto" w:before="44"/>
        <w:ind w:right="151"/>
        <w:jc w:val="both"/>
      </w:pPr>
      <w:r>
        <w:rPr>
          <w:spacing w:val="-2"/>
        </w:rPr>
        <w:t>公司保持一致；如一方拟就协议约定的重大事项向股东会提出议案时，须事先与另一方进行充分的沟通、协商，最终按照公</w:t>
      </w:r>
      <w:r>
        <w:rPr>
          <w:spacing w:val="-64"/>
        </w:rPr>
        <w:t> </w:t>
      </w:r>
      <w:r>
        <w:rPr>
          <w:spacing w:val="-64"/>
        </w:rPr>
      </w:r>
      <w:r>
        <w:rPr>
          <w:spacing w:val="-2"/>
        </w:rPr>
        <w:t>司决定的意见以双方名义共同向股东会提出提案；双方在标的公司召开股东会审议协议约定的重大事项前须进行充分沟通协</w:t>
      </w:r>
      <w:r>
        <w:rPr>
          <w:spacing w:val="-64"/>
        </w:rPr>
        <w:t> </w:t>
      </w:r>
      <w:r>
        <w:rPr>
          <w:spacing w:val="-64"/>
        </w:rPr>
      </w:r>
      <w:r>
        <w:rPr/>
        <w:t>商，最终按照公司决定的意见在股东会上对该等事项行使表决权。</w:t>
      </w:r>
      <w:r>
        <w:rPr>
          <w:rFonts w:ascii="宋体" w:hAnsi="宋体" w:cs="宋体" w:eastAsia="宋体" w:hint="default"/>
        </w:rPr>
        <w:t>2016</w:t>
      </w:r>
      <w:r>
        <w:rPr/>
        <w:t>年</w:t>
      </w:r>
      <w:r>
        <w:rPr>
          <w:rFonts w:ascii="宋体" w:hAnsi="宋体" w:cs="宋体" w:eastAsia="宋体" w:hint="default"/>
        </w:rPr>
        <w:t>9</w:t>
      </w:r>
      <w:r>
        <w:rPr/>
        <w:t>月北京科信盛彩置业有限公司变更名称为北京科</w:t>
      </w:r>
      <w:r>
        <w:rPr>
          <w:spacing w:val="-85"/>
        </w:rPr>
        <w:t> </w:t>
      </w:r>
      <w:r>
        <w:rPr>
          <w:spacing w:val="-85"/>
        </w:rPr>
      </w:r>
      <w:r>
        <w:rPr/>
        <w:t>信盛彩云计算有限公司。</w:t>
      </w:r>
    </w:p>
    <w:p>
      <w:pPr>
        <w:pStyle w:val="BodyText"/>
        <w:spacing w:line="316" w:lineRule="auto" w:before="19"/>
        <w:ind w:right="148" w:firstLine="420"/>
        <w:jc w:val="both"/>
      </w:pPr>
      <w:r>
        <w:rPr>
          <w:rFonts w:ascii="宋体" w:hAnsi="宋体" w:cs="宋体" w:eastAsia="宋体" w:hint="default"/>
          <w:spacing w:val="2"/>
        </w:rPr>
        <w:t>2017</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10</w:t>
      </w:r>
      <w:r>
        <w:rPr>
          <w:spacing w:val="2"/>
        </w:rPr>
        <w:t>日，北京百汇达投资管理有限公司因内部组织架构调整，将其持有的北京科信盛彩云计算有限公司</w:t>
      </w:r>
      <w:r>
        <w:rPr>
          <w:rFonts w:ascii="宋体" w:hAnsi="宋体" w:cs="宋体" w:eastAsia="宋体" w:hint="default"/>
          <w:spacing w:val="2"/>
        </w:rPr>
        <w:t>36%</w:t>
      </w:r>
      <w:r>
        <w:rPr>
          <w:rFonts w:ascii="宋体" w:hAnsi="宋体" w:cs="宋体" w:eastAsia="宋体" w:hint="default"/>
          <w:spacing w:val="1"/>
        </w:rPr>
        <w:t> </w:t>
      </w:r>
      <w:r>
        <w:rPr>
          <w:spacing w:val="-2"/>
        </w:rPr>
        <w:t>的股权以</w:t>
      </w:r>
      <w:r>
        <w:rPr>
          <w:rFonts w:ascii="宋体" w:hAnsi="宋体" w:cs="宋体" w:eastAsia="宋体" w:hint="default"/>
          <w:spacing w:val="-2"/>
        </w:rPr>
        <w:t>16,488</w:t>
      </w:r>
      <w:r>
        <w:rPr>
          <w:spacing w:val="-2"/>
        </w:rPr>
        <w:t>万元的价格转让给全资下属公司光环控股有限公司，且光环控股有限公司同意继续履行北京百汇达投资管理</w:t>
      </w:r>
      <w:r>
        <w:rPr>
          <w:spacing w:val="-61"/>
        </w:rPr>
        <w:t> </w:t>
      </w:r>
      <w:r>
        <w:rPr>
          <w:spacing w:val="-61"/>
        </w:rPr>
      </w:r>
      <w:r>
        <w:rPr/>
        <w:t>有限公司与公司签署的一致行动协议及其作出的相关承诺，并与公司重新签署一致行动协议及出具承诺函。</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6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6"/>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6"/>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北京科信盛彩云计算有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10,185,382.13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396,668,449.11</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北京光环金网科技有限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1,036.66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492,923.75</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光环有云（北京）网络 服务有限公司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-1,770,171.18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-810,934.83</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tabs>
                <w:tab w:pos="478" w:val="left" w:leader="none"/>
              </w:tabs>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8,416,247.61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396,350,438.03</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401"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82"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4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北京科 信盛彩 云计算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159,579,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361.75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614,109,</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384.40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773,688,</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746.15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111,684,</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119.67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409,924,</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128.91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521,608,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248.58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30,052,5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34.52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412,033,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640.72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442,086,</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175.24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41,085,4</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24.78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166,189,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912.80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207,275,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337.58</w:t>
            </w:r>
          </w:p>
        </w:tc>
      </w:tr>
      <w:tr>
        <w:trPr>
          <w:trHeight w:val="133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北京光 环金网 科技有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1,006,42</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3.94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1,006,42</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3.94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457.10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457.10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1,003,81</w:t>
            </w:r>
          </w:p>
          <w:p>
            <w:pPr>
              <w:pStyle w:val="TableParagraph"/>
              <w:spacing w:line="240" w:lineRule="auto" w:before="102"/>
              <w:ind w:left="389" w:right="0"/>
              <w:jc w:val="left"/>
              <w:rPr>
                <w:rFonts w:ascii="Times New Roman" w:hAnsi="Times New Roman" w:cs="Times New Roman" w:eastAsia="Times New Roman" w:hint="default"/>
                <w:sz w:val="18"/>
                <w:szCs w:val="18"/>
              </w:rPr>
            </w:pPr>
            <w:r>
              <w:rPr>
                <w:rFonts w:ascii="Times New Roman"/>
                <w:sz w:val="18"/>
              </w:rPr>
              <w:t>0.92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1,003,81</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0.92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-40.29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-40.29</w:t>
            </w:r>
          </w:p>
        </w:tc>
      </w:tr>
      <w:tr>
        <w:trPr>
          <w:trHeight w:val="165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光环有 云（北 </w:t>
            </w:r>
            <w:r>
              <w:rPr>
                <w:rFonts w:ascii="宋体" w:hAnsi="宋体" w:cs="宋体" w:eastAsia="宋体" w:hint="default"/>
                <w:spacing w:val="-11"/>
                <w:sz w:val="18"/>
                <w:szCs w:val="18"/>
              </w:rPr>
              <w:t>京）网络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服务有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1,633,45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9.31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7,097.70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1,640,55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7.01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1,654,75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1,654,75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6.71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913,144.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4,861.43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918,005.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401,212.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401,212.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401"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北京科信盛 彩云计算有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80,809,548.2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17,269,659.9</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17,269,659.9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-9,267,973.09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16,054,900.9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-1,144,687.05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-1,144,687.05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7,080,434.13</w:t>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北京光环金 网科技有限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2,115.63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2,115.63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2,613.02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1,868.56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1,868.56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1,815.99</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both"/>
              <w:rPr>
                <w:rFonts w:ascii="宋体" w:hAnsi="宋体" w:cs="宋体" w:eastAsia="宋体" w:hint="default"/>
                <w:sz w:val="18"/>
                <w:szCs w:val="18"/>
              </w:rPr>
            </w:pPr>
            <w:r>
              <w:rPr>
                <w:rFonts w:ascii="宋体" w:hAnsi="宋体" w:cs="宋体" w:eastAsia="宋体" w:hint="default"/>
                <w:spacing w:val="-13"/>
                <w:sz w:val="18"/>
                <w:szCs w:val="18"/>
              </w:rPr>
              <w:t>光环有云（北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京）网络服务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1,995,108.91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-3,218,493.06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-3,218,493.06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-2,537,882.64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-983,206.64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-983,206.64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-581,636.70</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73" w:right="2839"/>
        <w:jc w:val="left"/>
      </w:pPr>
      <w:r>
        <w:rPr/>
        <w:t>本公司使用企业集团资产和清偿企业集团债务不存在重大限制。</w:t>
      </w:r>
    </w:p>
    <w:p>
      <w:pPr>
        <w:spacing w:line="240" w:lineRule="auto" w:before="0"/>
        <w:rPr>
          <w:rFonts w:ascii="宋体" w:hAnsi="宋体" w:cs="宋体" w:eastAsia="宋体" w:hint="default"/>
          <w:sz w:val="18"/>
          <w:szCs w:val="18"/>
        </w:rPr>
      </w:pPr>
    </w:p>
    <w:p>
      <w:pPr>
        <w:pStyle w:val="Heading3"/>
        <w:spacing w:line="240" w:lineRule="auto" w:before="120"/>
        <w:ind w:right="2839"/>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73" w:right="2839"/>
        <w:jc w:val="left"/>
      </w:pPr>
      <w:r>
        <w:rPr/>
        <w:t>本公司未向纳入合并财务报表范围的结构化主体提供重大财务支持或其他支持。</w:t>
      </w:r>
    </w:p>
    <w:p>
      <w:pPr>
        <w:spacing w:line="240" w:lineRule="auto" w:before="0"/>
        <w:rPr>
          <w:rFonts w:ascii="宋体" w:hAnsi="宋体" w:cs="宋体" w:eastAsia="宋体" w:hint="default"/>
          <w:sz w:val="18"/>
          <w:szCs w:val="18"/>
        </w:rPr>
      </w:pPr>
    </w:p>
    <w:p>
      <w:pPr>
        <w:pStyle w:val="Heading3"/>
        <w:spacing w:line="240" w:lineRule="auto" w:before="120"/>
        <w:ind w:right="2839"/>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2839"/>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22"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北京长城光环宽 带网络技术有限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北京华爱光环科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陕西广电新网云 服务有限公司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49"/>
        <w:ind w:right="2839"/>
        <w:jc w:val="left"/>
      </w:pPr>
      <w:r>
        <w:rPr/>
        <w:t>在合营企业或联营企业的持股比例不同于表决权比例的说明：</w:t>
      </w:r>
    </w:p>
    <w:p>
      <w:pPr>
        <w:pStyle w:val="BodyText"/>
        <w:spacing w:line="316" w:lineRule="auto" w:before="115"/>
        <w:ind w:left="513" w:right="0"/>
        <w:jc w:val="left"/>
      </w:pPr>
      <w:r>
        <w:rPr/>
        <w:t>持有</w:t>
      </w:r>
      <w:r>
        <w:rPr>
          <w:spacing w:val="-46"/>
        </w:rPr>
        <w:t> </w:t>
      </w:r>
      <w:r>
        <w:rPr>
          <w:rFonts w:ascii="宋体" w:hAnsi="宋体" w:cs="宋体" w:eastAsia="宋体" w:hint="default"/>
        </w:rPr>
        <w:t>20%</w:t>
      </w:r>
      <w:r>
        <w:rPr/>
        <w:t>以下表决权但具有重大影响，或者持有</w:t>
      </w:r>
      <w:r>
        <w:rPr>
          <w:spacing w:val="-45"/>
        </w:rPr>
        <w:t> </w:t>
      </w:r>
      <w:r>
        <w:rPr>
          <w:rFonts w:ascii="宋体" w:hAnsi="宋体" w:cs="宋体" w:eastAsia="宋体" w:hint="default"/>
        </w:rPr>
        <w:t>20%</w:t>
      </w:r>
      <w:r>
        <w:rPr/>
        <w:t>或以上表决权但不具有重大影响的依据： </w:t>
      </w:r>
      <w:r>
        <w:rPr>
          <w:spacing w:val="-2"/>
        </w:rPr>
        <w:t>公司在北京华爱光环科技有限公司的董事会中派有代表，通过在北京华爱光环科技有限公司生产经营决策制定过程中的</w:t>
      </w:r>
    </w:p>
    <w:p>
      <w:pPr>
        <w:pStyle w:val="BodyText"/>
        <w:spacing w:line="240" w:lineRule="auto" w:before="19"/>
        <w:ind w:right="2839"/>
        <w:jc w:val="left"/>
      </w:pPr>
      <w:r>
        <w:rPr/>
        <w:t>参与权实施重大影响。</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2839"/>
        <w:jc w:val="left"/>
        <w:rPr>
          <w:b w:val="0"/>
          <w:bCs w:val="0"/>
        </w:rPr>
      </w:pP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925"/>
        <w:gridCol w:w="1916"/>
        <w:gridCol w:w="1913"/>
        <w:gridCol w:w="1916"/>
      </w:tblGrid>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8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61" w:hRule="exact"/>
        </w:trPr>
        <w:tc>
          <w:tcPr>
            <w:tcW w:w="1892" w:type="dxa"/>
            <w:tcBorders>
              <w:top w:val="single" w:sz="4" w:space="0" w:color="000000"/>
              <w:left w:val="single" w:sz="4" w:space="0" w:color="000000"/>
              <w:bottom w:val="nil" w:sz="6" w:space="0" w:color="auto"/>
              <w:right w:val="single" w:sz="10" w:space="0" w:color="E0FFFF"/>
            </w:tcBorders>
            <w:shd w:val="clear" w:color="auto" w:fill="D2D2D2"/>
          </w:tcPr>
          <w:p>
            <w:pPr/>
          </w:p>
        </w:tc>
        <w:tc>
          <w:tcPr>
            <w:tcW w:w="1925" w:type="dxa"/>
            <w:vMerge w:val="restart"/>
            <w:tcBorders>
              <w:top w:val="single" w:sz="4" w:space="0" w:color="000000"/>
              <w:left w:val="single" w:sz="10" w:space="0" w:color="D2D2D2"/>
              <w:right w:val="single" w:sz="4" w:space="0" w:color="000000"/>
            </w:tcBorders>
            <w:shd w:val="clear" w:color="auto" w:fill="E0FFFF"/>
          </w:tcPr>
          <w:p>
            <w:pPr>
              <w:pStyle w:val="TableParagraph"/>
              <w:spacing w:line="316" w:lineRule="auto" w:before="49"/>
              <w:ind w:left="686" w:right="50" w:hanging="629"/>
              <w:jc w:val="left"/>
              <w:rPr>
                <w:rFonts w:ascii="宋体" w:hAnsi="宋体" w:cs="宋体" w:eastAsia="宋体" w:hint="default"/>
                <w:sz w:val="18"/>
                <w:szCs w:val="18"/>
              </w:rPr>
            </w:pPr>
            <w:r>
              <w:rPr>
                <w:rFonts w:ascii="宋体" w:hAnsi="宋体" w:cs="宋体" w:eastAsia="宋体" w:hint="default"/>
                <w:sz w:val="18"/>
                <w:szCs w:val="18"/>
              </w:rPr>
              <w:t>陕西广电新网云服务有 限公司</w:t>
            </w:r>
          </w:p>
        </w:tc>
        <w:tc>
          <w:tcPr>
            <w:tcW w:w="1916"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49"/>
              <w:ind w:left="772" w:right="51" w:hanging="720"/>
              <w:jc w:val="left"/>
              <w:rPr>
                <w:rFonts w:ascii="宋体" w:hAnsi="宋体" w:cs="宋体" w:eastAsia="宋体" w:hint="default"/>
                <w:sz w:val="18"/>
                <w:szCs w:val="18"/>
              </w:rPr>
            </w:pPr>
            <w:r>
              <w:rPr>
                <w:rFonts w:ascii="宋体" w:hAnsi="宋体" w:cs="宋体" w:eastAsia="宋体" w:hint="default"/>
                <w:sz w:val="18"/>
                <w:szCs w:val="18"/>
              </w:rPr>
              <w:t>北京华爱光环科技有限 公司</w:t>
            </w:r>
          </w:p>
        </w:tc>
        <w:tc>
          <w:tcPr>
            <w:tcW w:w="1913"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49"/>
              <w:ind w:left="681" w:right="48" w:hanging="629"/>
              <w:jc w:val="left"/>
              <w:rPr>
                <w:rFonts w:ascii="宋体" w:hAnsi="宋体" w:cs="宋体" w:eastAsia="宋体" w:hint="default"/>
                <w:sz w:val="18"/>
                <w:szCs w:val="18"/>
              </w:rPr>
            </w:pPr>
            <w:r>
              <w:rPr>
                <w:rFonts w:ascii="宋体" w:hAnsi="宋体" w:cs="宋体" w:eastAsia="宋体" w:hint="default"/>
                <w:sz w:val="18"/>
                <w:szCs w:val="18"/>
              </w:rPr>
              <w:t>陕西广电新网云服务有 限公司</w:t>
            </w:r>
          </w:p>
        </w:tc>
        <w:tc>
          <w:tcPr>
            <w:tcW w:w="1916"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49"/>
              <w:ind w:left="773" w:right="51" w:hanging="721"/>
              <w:jc w:val="left"/>
              <w:rPr>
                <w:rFonts w:ascii="宋体" w:hAnsi="宋体" w:cs="宋体" w:eastAsia="宋体" w:hint="default"/>
                <w:sz w:val="18"/>
                <w:szCs w:val="18"/>
              </w:rPr>
            </w:pPr>
            <w:r>
              <w:rPr>
                <w:rFonts w:ascii="宋体" w:hAnsi="宋体" w:cs="宋体" w:eastAsia="宋体" w:hint="default"/>
                <w:sz w:val="18"/>
                <w:szCs w:val="18"/>
              </w:rPr>
              <w:t>北京华爱光环科技有限 公司</w:t>
            </w:r>
          </w:p>
        </w:tc>
      </w:tr>
      <w:tr>
        <w:trPr>
          <w:trHeight w:val="391" w:hRule="exact"/>
        </w:trPr>
        <w:tc>
          <w:tcPr>
            <w:tcW w:w="1892" w:type="dxa"/>
            <w:tcBorders>
              <w:top w:val="nil" w:sz="6" w:space="0" w:color="auto"/>
              <w:left w:val="single" w:sz="4" w:space="0" w:color="000000"/>
              <w:bottom w:val="nil" w:sz="6" w:space="0" w:color="auto"/>
              <w:right w:val="single" w:sz="10" w:space="0" w:color="E0FFFF"/>
            </w:tcBorders>
            <w:shd w:val="clear" w:color="auto" w:fill="D2D2D2"/>
          </w:tcPr>
          <w:p>
            <w:pPr/>
          </w:p>
        </w:tc>
        <w:tc>
          <w:tcPr>
            <w:tcW w:w="1925" w:type="dxa"/>
            <w:vMerge/>
            <w:tcBorders>
              <w:left w:val="single" w:sz="10" w:space="0" w:color="D2D2D2"/>
              <w:right w:val="single" w:sz="4" w:space="0" w:color="000000"/>
            </w:tcBorders>
            <w:shd w:val="clear" w:color="auto" w:fill="E0FFFF"/>
          </w:tcPr>
          <w:p>
            <w:pPr/>
          </w:p>
        </w:tc>
        <w:tc>
          <w:tcPr>
            <w:tcW w:w="1916" w:type="dxa"/>
            <w:vMerge/>
            <w:tcBorders>
              <w:left w:val="single" w:sz="4" w:space="0" w:color="000000"/>
              <w:right w:val="single" w:sz="4" w:space="0" w:color="000000"/>
            </w:tcBorders>
            <w:shd w:val="clear" w:color="auto" w:fill="E0FFFF"/>
          </w:tcPr>
          <w:p>
            <w:pPr/>
          </w:p>
        </w:tc>
        <w:tc>
          <w:tcPr>
            <w:tcW w:w="1913" w:type="dxa"/>
            <w:vMerge/>
            <w:tcBorders>
              <w:left w:val="single" w:sz="4" w:space="0" w:color="000000"/>
              <w:right w:val="single" w:sz="4" w:space="0" w:color="000000"/>
            </w:tcBorders>
            <w:shd w:val="clear" w:color="auto" w:fill="E0FFFF"/>
          </w:tcPr>
          <w:p>
            <w:pPr/>
          </w:p>
        </w:tc>
        <w:tc>
          <w:tcPr>
            <w:tcW w:w="1916" w:type="dxa"/>
            <w:vMerge/>
            <w:tcBorders>
              <w:left w:val="single" w:sz="4" w:space="0" w:color="000000"/>
              <w:right w:val="single" w:sz="4" w:space="0" w:color="000000"/>
            </w:tcBorders>
            <w:shd w:val="clear" w:color="auto" w:fill="E0FFFF"/>
          </w:tcPr>
          <w:p>
            <w:pPr/>
          </w:p>
        </w:tc>
      </w:tr>
      <w:tr>
        <w:trPr>
          <w:trHeight w:val="161" w:hRule="exact"/>
        </w:trPr>
        <w:tc>
          <w:tcPr>
            <w:tcW w:w="1892" w:type="dxa"/>
            <w:tcBorders>
              <w:top w:val="nil" w:sz="6" w:space="0" w:color="auto"/>
              <w:left w:val="single" w:sz="4" w:space="0" w:color="000000"/>
              <w:bottom w:val="single" w:sz="4" w:space="0" w:color="000000"/>
              <w:right w:val="single" w:sz="10" w:space="0" w:color="E0FFFF"/>
            </w:tcBorders>
            <w:shd w:val="clear" w:color="auto" w:fill="D2D2D2"/>
          </w:tcPr>
          <w:p>
            <w:pPr/>
          </w:p>
        </w:tc>
        <w:tc>
          <w:tcPr>
            <w:tcW w:w="1925" w:type="dxa"/>
            <w:vMerge/>
            <w:tcBorders>
              <w:left w:val="single" w:sz="10" w:space="0" w:color="D2D2D2"/>
              <w:bottom w:val="single" w:sz="4" w:space="0" w:color="000000"/>
              <w:right w:val="single" w:sz="4" w:space="0" w:color="000000"/>
            </w:tcBorders>
            <w:shd w:val="clear" w:color="auto" w:fill="E0FFFF"/>
          </w:tcPr>
          <w:p>
            <w:pPr/>
          </w:p>
        </w:tc>
        <w:tc>
          <w:tcPr>
            <w:tcW w:w="1916" w:type="dxa"/>
            <w:vMerge/>
            <w:tcBorders>
              <w:left w:val="single" w:sz="4" w:space="0" w:color="000000"/>
              <w:bottom w:val="single" w:sz="4" w:space="0" w:color="000000"/>
              <w:right w:val="single" w:sz="4" w:space="0" w:color="000000"/>
            </w:tcBorders>
            <w:shd w:val="clear" w:color="auto" w:fill="E0FFFF"/>
          </w:tcPr>
          <w:p>
            <w:pPr/>
          </w:p>
        </w:tc>
        <w:tc>
          <w:tcPr>
            <w:tcW w:w="1913" w:type="dxa"/>
            <w:vMerge/>
            <w:tcBorders>
              <w:left w:val="single" w:sz="4" w:space="0" w:color="000000"/>
              <w:bottom w:val="single" w:sz="4" w:space="0" w:color="000000"/>
              <w:right w:val="single" w:sz="4" w:space="0" w:color="000000"/>
            </w:tcBorders>
            <w:shd w:val="clear" w:color="auto" w:fill="E0FFFF"/>
          </w:tcPr>
          <w:p>
            <w:pPr/>
          </w:p>
        </w:tc>
        <w:tc>
          <w:tcPr>
            <w:tcW w:w="1916" w:type="dxa"/>
            <w:vMerge/>
            <w:tcBorders>
              <w:left w:val="single" w:sz="4" w:space="0" w:color="000000"/>
              <w:bottom w:val="single" w:sz="4" w:space="0" w:color="000000"/>
              <w:right w:val="single" w:sz="4" w:space="0" w:color="000000"/>
            </w:tcBorders>
            <w:shd w:val="clear" w:color="auto" w:fill="E0FFFF"/>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12,844,635.03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3,706,790.16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14,619,801.44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6,071,150.31</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4,488,151.77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26,043.29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4,474,530.45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23,657.84</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17,332,786.80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3,732,833.45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19,094,331.89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6,094,808.15</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352,309.78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800,507.96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77,599.30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352,309.78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800,507.96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77,599.30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16,980,477.02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2,932,325.49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19,016,732.59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6,094,808.15</w:t>
            </w:r>
          </w:p>
        </w:tc>
      </w:tr>
      <w:tr>
        <w:trPr>
          <w:trHeight w:val="715"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9"/>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8,320,433.74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439,848.82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9,318,198.97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914,221.21</w:t>
            </w:r>
          </w:p>
        </w:tc>
      </w:tr>
      <w:tr>
        <w:trPr>
          <w:trHeight w:val="71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9"/>
              <w:jc w:val="left"/>
              <w:rPr>
                <w:rFonts w:ascii="宋体" w:hAnsi="宋体" w:cs="宋体" w:eastAsia="宋体" w:hint="default"/>
                <w:sz w:val="18"/>
                <w:szCs w:val="18"/>
              </w:rPr>
            </w:pPr>
            <w:r>
              <w:rPr>
                <w:rFonts w:ascii="宋体" w:hAnsi="宋体" w:cs="宋体" w:eastAsia="宋体" w:hint="default"/>
                <w:sz w:val="18"/>
                <w:szCs w:val="18"/>
              </w:rPr>
              <w:t>对联营企业权益投资的 账面价值</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8,320,433.74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439,848.82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9,518,198.98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914,221.21</w:t>
            </w:r>
          </w:p>
        </w:tc>
      </w:tr>
      <w:tr>
        <w:trPr>
          <w:trHeight w:val="182"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5" w:type="dxa"/>
            <w:vMerge w:val="restart"/>
            <w:tcBorders>
              <w:top w:val="single" w:sz="4" w:space="0" w:color="000000"/>
              <w:left w:val="single" w:sz="10" w:space="0" w:color="D2D2D2"/>
              <w:right w:val="single" w:sz="4" w:space="0" w:color="000000"/>
            </w:tcBorders>
          </w:tcPr>
          <w:p>
            <w:pPr/>
          </w:p>
        </w:tc>
        <w:tc>
          <w:tcPr>
            <w:tcW w:w="1916" w:type="dxa"/>
            <w:vMerge w:val="restart"/>
            <w:tcBorders>
              <w:top w:val="single" w:sz="4" w:space="0" w:color="000000"/>
              <w:left w:val="single" w:sz="4" w:space="0" w:color="000000"/>
              <w:right w:val="single" w:sz="4" w:space="0" w:color="000000"/>
            </w:tcBorders>
          </w:tcPr>
          <w:p>
            <w:pPr>
              <w:pStyle w:val="TableParagraph"/>
              <w:spacing w:line="240" w:lineRule="auto" w:before="91"/>
              <w:ind w:left="1068" w:right="0"/>
              <w:jc w:val="left"/>
              <w:rPr>
                <w:rFonts w:ascii="Times New Roman" w:hAnsi="Times New Roman" w:cs="Times New Roman" w:eastAsia="Times New Roman" w:hint="default"/>
                <w:sz w:val="18"/>
                <w:szCs w:val="18"/>
              </w:rPr>
            </w:pPr>
            <w:r>
              <w:rPr>
                <w:rFonts w:ascii="Times New Roman"/>
                <w:sz w:val="18"/>
              </w:rPr>
              <w:t>124,153.56</w:t>
            </w:r>
          </w:p>
        </w:tc>
        <w:tc>
          <w:tcPr>
            <w:tcW w:w="1913" w:type="dxa"/>
            <w:vMerge w:val="restart"/>
            <w:tcBorders>
              <w:top w:val="single" w:sz="4" w:space="0" w:color="000000"/>
              <w:left w:val="single" w:sz="4" w:space="0" w:color="000000"/>
              <w:right w:val="single" w:sz="4" w:space="0" w:color="000000"/>
            </w:tcBorders>
          </w:tcPr>
          <w:p>
            <w:pPr/>
          </w:p>
        </w:tc>
        <w:tc>
          <w:tcPr>
            <w:tcW w:w="1916" w:type="dxa"/>
            <w:vMerge w:val="restart"/>
            <w:tcBorders>
              <w:top w:val="single" w:sz="4" w:space="0" w:color="000000"/>
              <w:left w:val="single" w:sz="4" w:space="0" w:color="000000"/>
              <w:right w:val="single" w:sz="4" w:space="0" w:color="000000"/>
            </w:tcBorders>
          </w:tcPr>
          <w:p>
            <w:pPr/>
          </w:p>
        </w:tc>
      </w:tr>
      <w:tr>
        <w:trPr>
          <w:trHeight w:val="391"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25" w:type="dxa"/>
            <w:vMerge/>
            <w:tcBorders>
              <w:left w:val="single" w:sz="10" w:space="0" w:color="D2D2D2"/>
              <w:right w:val="single" w:sz="4" w:space="0" w:color="000000"/>
            </w:tcBorders>
          </w:tcPr>
          <w:p>
            <w:pPr/>
          </w:p>
        </w:tc>
        <w:tc>
          <w:tcPr>
            <w:tcW w:w="1916"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c>
          <w:tcPr>
            <w:tcW w:w="1916" w:type="dxa"/>
            <w:vMerge/>
            <w:tcBorders>
              <w:left w:val="single" w:sz="4" w:space="0" w:color="000000"/>
              <w:right w:val="single" w:sz="4" w:space="0" w:color="000000"/>
            </w:tcBorders>
          </w:tcPr>
          <w:p>
            <w:pPr/>
          </w:p>
        </w:tc>
      </w:tr>
      <w:tr>
        <w:trPr>
          <w:trHeight w:val="180"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5" w:type="dxa"/>
            <w:vMerge/>
            <w:tcBorders>
              <w:left w:val="single" w:sz="10" w:space="0" w:color="D2D2D2"/>
              <w:bottom w:val="single" w:sz="4" w:space="0" w:color="000000"/>
              <w:right w:val="single" w:sz="4" w:space="0" w:color="000000"/>
            </w:tcBorders>
          </w:tcPr>
          <w:p>
            <w:pPr/>
          </w:p>
        </w:tc>
        <w:tc>
          <w:tcPr>
            <w:tcW w:w="1916"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c>
          <w:tcPr>
            <w:tcW w:w="1916" w:type="dxa"/>
            <w:vMerge/>
            <w:tcBorders>
              <w:left w:val="single" w:sz="4" w:space="0" w:color="000000"/>
              <w:bottom w:val="single" w:sz="4" w:space="0" w:color="000000"/>
              <w:right w:val="single" w:sz="4" w:space="0" w:color="000000"/>
            </w:tcBorders>
          </w:tcPr>
          <w:p>
            <w:pPr/>
          </w:p>
        </w:tc>
      </w:tr>
      <w:tr>
        <w:trPr>
          <w:trHeight w:val="40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-1,955,645.82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-2,429,449.66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-983,267.41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-3,126,141.14</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-1,955,645.82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-2,429,449.66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-983,267.41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-3,126,141.14</w:t>
            </w:r>
          </w:p>
        </w:tc>
      </w:tr>
    </w:tbl>
    <w:p>
      <w:pPr>
        <w:spacing w:line="240" w:lineRule="auto" w:before="1"/>
        <w:rPr>
          <w:rFonts w:ascii="宋体" w:hAnsi="宋体" w:cs="宋体" w:eastAsia="宋体" w:hint="default"/>
          <w:sz w:val="18"/>
          <w:szCs w:val="18"/>
        </w:rPr>
      </w:pPr>
    </w:p>
    <w:p>
      <w:pPr>
        <w:pStyle w:val="Heading2"/>
        <w:spacing w:line="240" w:lineRule="auto" w:before="26"/>
        <w:ind w:right="2839"/>
        <w:jc w:val="left"/>
        <w:rPr>
          <w:b w:val="0"/>
          <w:bCs w:val="0"/>
        </w:rPr>
      </w:pPr>
      <w:r>
        <w:rPr/>
        <w:t>十、与金融工具相关的风险</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2" w:firstLine="360"/>
        <w:jc w:val="both"/>
      </w:pPr>
      <w:r>
        <w:rPr>
          <w:spacing w:val="-2"/>
        </w:rPr>
        <w:t>本公司具有多种因经营而直接产生的其他金融资产和负债，如应收账款和应付账款等。各项金融工具的详细情况说明见</w:t>
      </w:r>
      <w:r>
        <w:rPr/>
        <w:t> 附注“七、合并财务报表主要项目注释”。公司在经营过程中面临各种金融风险：信用风险、市场风险和流动性风险。</w:t>
      </w:r>
    </w:p>
    <w:p>
      <w:pPr>
        <w:pStyle w:val="BodyText"/>
        <w:spacing w:line="316" w:lineRule="auto" w:before="19"/>
        <w:ind w:left="513" w:right="0"/>
        <w:jc w:val="left"/>
      </w:pPr>
      <w:r>
        <w:rPr>
          <w:rFonts w:ascii="宋体" w:hAnsi="宋体" w:cs="宋体" w:eastAsia="宋体" w:hint="default"/>
        </w:rPr>
        <w:t>1</w:t>
      </w:r>
      <w:r>
        <w:rPr/>
        <w:t>、各类风险管理目标和政策 </w:t>
      </w:r>
      <w:r>
        <w:rPr>
          <w:spacing w:val="-2"/>
        </w:rPr>
        <w:t>公司经营管理层全面负责风险管理目标和政策的确定，并对风险管理目标和政策承担最终责任。公司风险管理的总体目</w:t>
      </w:r>
    </w:p>
    <w:p>
      <w:pPr>
        <w:pStyle w:val="BodyText"/>
        <w:spacing w:line="319" w:lineRule="auto" w:before="19"/>
        <w:ind w:left="513" w:right="2754" w:hanging="361"/>
        <w:jc w:val="left"/>
      </w:pPr>
      <w:r>
        <w:rPr/>
        <w:t>标是在不过度影响公司竞争力和应变力的情况下，制定尽可能降低风险的风险管理政策。 </w:t>
      </w:r>
      <w:r>
        <w:rPr>
          <w:rFonts w:ascii="宋体" w:hAnsi="宋体" w:cs="宋体" w:eastAsia="宋体" w:hint="default"/>
        </w:rPr>
        <w:t>2</w:t>
      </w:r>
      <w:r>
        <w:rPr/>
        <w:t>、风险管理</w:t>
      </w:r>
    </w:p>
    <w:p>
      <w:pPr>
        <w:pStyle w:val="BodyText"/>
        <w:spacing w:line="316" w:lineRule="auto" w:before="17"/>
        <w:ind w:left="513" w:right="233"/>
        <w:jc w:val="left"/>
        <w:rPr>
          <w:rFonts w:ascii="宋体" w:hAnsi="宋体" w:cs="宋体" w:eastAsia="宋体" w:hint="default"/>
        </w:rPr>
      </w:pPr>
      <w:r>
        <w:rPr/>
        <w:t>（</w:t>
      </w:r>
      <w:r>
        <w:rPr>
          <w:rFonts w:ascii="宋体" w:hAnsi="宋体" w:cs="宋体" w:eastAsia="宋体" w:hint="default"/>
        </w:rPr>
        <w:t>1</w:t>
      </w:r>
      <w:r>
        <w:rPr/>
        <w:t>）信用风险 信用风险是指金融工具的一方不履行义务，造成另一方发生财务损失的风险</w:t>
      </w:r>
      <w:r>
        <w:rPr>
          <w:rFonts w:ascii="宋体" w:hAnsi="宋体" w:cs="宋体" w:eastAsia="宋体" w:hint="default"/>
        </w:rPr>
        <w:t>,</w:t>
      </w:r>
      <w:r>
        <w:rPr/>
        <w:t>本公司对信用风险按组合分类进行管理</w:t>
      </w:r>
      <w:r>
        <w:rPr>
          <w:rFonts w:ascii="宋体" w:hAnsi="宋体" w:cs="宋体" w:eastAsia="宋体" w:hint="default"/>
        </w:rPr>
        <w:t>,</w:t>
      </w:r>
    </w:p>
    <w:p>
      <w:pPr>
        <w:pStyle w:val="BodyText"/>
        <w:spacing w:line="316" w:lineRule="auto" w:before="19"/>
        <w:ind w:left="513" w:right="0" w:hanging="361"/>
        <w:jc w:val="left"/>
      </w:pPr>
      <w:r>
        <w:rPr/>
        <w:t>信用风险主要产生于银行存款、应收账款和其他应收款等。 本公司的流动资金存放在信用评级较高的银行，故流动资金的信用风险较低。 </w:t>
      </w:r>
      <w:r>
        <w:rPr>
          <w:spacing w:val="-2"/>
        </w:rPr>
        <w:t>对于应收账款本公司采用了必要的政策确保所有销售客户均具有良好的信用记录。本公司基于对客户的财务状况、从第</w:t>
      </w:r>
    </w:p>
    <w:p>
      <w:pPr>
        <w:pStyle w:val="BodyText"/>
        <w:spacing w:line="316" w:lineRule="auto" w:before="19"/>
        <w:ind w:right="153"/>
        <w:jc w:val="both"/>
      </w:pPr>
      <w:r>
        <w:rPr>
          <w:spacing w:val="-2"/>
        </w:rPr>
        <w:t>三方获取担保的可能性、信用记录及其它因素诸如目前市场状况等评估客户的信用资质并设置相应信用期。本公司的其他应</w:t>
      </w:r>
      <w:r>
        <w:rPr>
          <w:spacing w:val="-64"/>
        </w:rPr>
        <w:t> </w:t>
      </w:r>
      <w:r>
        <w:rPr>
          <w:spacing w:val="-64"/>
        </w:rPr>
      </w:r>
      <w:r>
        <w:rPr>
          <w:spacing w:val="-2"/>
        </w:rPr>
        <w:t>收款，主要为保证金、押金及备用金等，预计可以收回，为防范其他应收款不发生坏账风险提供了合理保证，另根据报告期</w:t>
      </w:r>
      <w:r>
        <w:rPr>
          <w:spacing w:val="-67"/>
        </w:rPr>
        <w:t> </w:t>
      </w:r>
      <w:r>
        <w:rPr>
          <w:spacing w:val="-67"/>
        </w:rPr>
      </w:r>
      <w:r>
        <w:rPr/>
        <w:t>内保证金回收等历史信息，不存在坏账情况。</w:t>
      </w:r>
    </w:p>
    <w:p>
      <w:pPr>
        <w:pStyle w:val="BodyText"/>
        <w:spacing w:line="319" w:lineRule="auto" w:before="19"/>
        <w:ind w:right="149" w:firstLine="360"/>
        <w:jc w:val="both"/>
      </w:pPr>
      <w:r>
        <w:rPr>
          <w:spacing w:val="-2"/>
        </w:rPr>
        <w:t>同时本公司对单项金额重大的应收款项单独进行减值测试，对单项金额重大及单项金额不重大、但经单独测试后未发生</w:t>
      </w:r>
      <w:r>
        <w:rPr/>
        <w:t> </w:t>
      </w:r>
      <w:r>
        <w:rPr>
          <w:spacing w:val="-5"/>
        </w:rPr>
        <w:t>减值的应收款项，以账龄为类似信用风险特征，结合现时情况确定类似信用风险特征组合采用账龄分析计提坏账准备，因此，</w:t>
      </w:r>
      <w:r>
        <w:rPr>
          <w:spacing w:val="-75"/>
        </w:rPr>
        <w:t> </w:t>
      </w:r>
      <w:r>
        <w:rPr>
          <w:spacing w:val="-75"/>
        </w:rPr>
      </w:r>
      <w:r>
        <w:rPr/>
        <w:t>本公司管理层认为本公司所承担的信用风险已经大为降低。</w:t>
      </w:r>
    </w:p>
    <w:p>
      <w:pPr>
        <w:spacing w:after="0" w:line="319"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16" w:lineRule="auto" w:before="44"/>
        <w:ind w:left="513" w:right="0"/>
        <w:jc w:val="left"/>
      </w:pPr>
      <w:r>
        <w:rPr/>
        <w:t>（</w:t>
      </w:r>
      <w:r>
        <w:rPr>
          <w:rFonts w:ascii="宋体" w:hAnsi="宋体" w:cs="宋体" w:eastAsia="宋体" w:hint="default"/>
        </w:rPr>
        <w:t>2</w:t>
      </w:r>
      <w:r>
        <w:rPr/>
        <w:t>）流动风险 </w:t>
      </w:r>
      <w:r>
        <w:rPr>
          <w:spacing w:val="-2"/>
        </w:rPr>
        <w:t>流动风险，是指本公司在到期日无法履行其财务义务的风险。本公司的政策是确保拥有充足的现金以偿还到期债务。流</w:t>
      </w:r>
    </w:p>
    <w:p>
      <w:pPr>
        <w:pStyle w:val="BodyText"/>
        <w:spacing w:line="316" w:lineRule="auto" w:before="19"/>
        <w:ind w:right="143"/>
        <w:jc w:val="left"/>
      </w:pPr>
      <w:r>
        <w:rPr/>
        <w:t>动性风险由本公司的财务部门集中控制。财务部门通过监控现金余额以及对未来</w:t>
      </w:r>
      <w:r>
        <w:rPr>
          <w:spacing w:val="-44"/>
        </w:rPr>
        <w:t> </w:t>
      </w:r>
      <w:r>
        <w:rPr>
          <w:rFonts w:ascii="宋体" w:hAnsi="宋体" w:cs="宋体" w:eastAsia="宋体" w:hint="default"/>
        </w:rPr>
        <w:t>12</w:t>
      </w:r>
      <w:r>
        <w:rPr>
          <w:rFonts w:ascii="宋体" w:hAnsi="宋体" w:cs="宋体" w:eastAsia="宋体" w:hint="default"/>
          <w:spacing w:val="-45"/>
        </w:rPr>
        <w:t> </w:t>
      </w:r>
      <w:r>
        <w:rPr/>
        <w:t>个月现金流量的滚动预测，确保公司在 所有合理预测的情况下拥有充足的资金偿还债务。</w:t>
      </w:r>
    </w:p>
    <w:p>
      <w:pPr>
        <w:pStyle w:val="BodyText"/>
        <w:spacing w:line="316" w:lineRule="auto" w:before="19"/>
        <w:ind w:left="513" w:right="0"/>
        <w:jc w:val="left"/>
      </w:pPr>
      <w:r>
        <w:rPr/>
        <w:t>（</w:t>
      </w:r>
      <w:r>
        <w:rPr>
          <w:rFonts w:ascii="宋体" w:hAnsi="宋体" w:cs="宋体" w:eastAsia="宋体" w:hint="default"/>
        </w:rPr>
        <w:t>3</w:t>
      </w:r>
      <w:r>
        <w:rPr/>
        <w:t>）市场风险 </w:t>
      </w:r>
      <w:r>
        <w:rPr>
          <w:spacing w:val="-2"/>
        </w:rPr>
        <w:t>金融工具的市场风险，是指金融工具的公允价值或未来现金流量因市场价格变动而发生波动的风险，包括利率风险、外</w:t>
      </w:r>
    </w:p>
    <w:p>
      <w:pPr>
        <w:pStyle w:val="BodyText"/>
        <w:spacing w:line="240" w:lineRule="auto" w:before="19"/>
        <w:ind w:right="2839"/>
        <w:jc w:val="left"/>
      </w:pPr>
      <w:r>
        <w:rPr/>
        <w:t>汇风险和其他价格风险。</w:t>
      </w:r>
    </w:p>
    <w:p>
      <w:pPr>
        <w:pStyle w:val="BodyText"/>
        <w:spacing w:line="240" w:lineRule="auto" w:before="76"/>
        <w:ind w:left="513" w:right="2839"/>
        <w:jc w:val="left"/>
      </w:pPr>
      <w:r>
        <w:rPr/>
        <w:t>①利率风险</w:t>
      </w:r>
    </w:p>
    <w:p>
      <w:pPr>
        <w:pStyle w:val="BodyText"/>
        <w:spacing w:line="316" w:lineRule="auto" w:before="76"/>
        <w:ind w:right="142" w:firstLine="360"/>
        <w:jc w:val="left"/>
      </w:pPr>
      <w:r>
        <w:rPr/>
        <w:t>利率风险，是指金融工具的公允价值或未来现金流量因市场利率变动而发生波动的风险。</w:t>
      </w:r>
      <w:r>
        <w:rPr>
          <w:spacing w:val="2"/>
        </w:rPr>
        <w:t> </w:t>
      </w:r>
      <w:r>
        <w:rPr/>
        <w:t>本公司的银行贷款均为固定</w:t>
      </w:r>
      <w:r>
        <w:rPr/>
        <w:t> 利率，不存在利率风险。</w:t>
      </w:r>
    </w:p>
    <w:p>
      <w:pPr>
        <w:pStyle w:val="BodyText"/>
        <w:spacing w:line="319" w:lineRule="auto" w:before="19"/>
        <w:ind w:left="513" w:right="0"/>
        <w:jc w:val="left"/>
      </w:pPr>
      <w:r>
        <w:rPr/>
        <w:t>②外汇风险 </w:t>
      </w:r>
      <w:r>
        <w:rPr>
          <w:spacing w:val="-2"/>
        </w:rPr>
        <w:t>外汇风险，是指金融工具的公允价值或未来现金流量因外汇汇率变动而发生波动的风险。本公司外币金融资产和负债占</w:t>
      </w:r>
    </w:p>
    <w:p>
      <w:pPr>
        <w:pStyle w:val="BodyText"/>
        <w:spacing w:line="240" w:lineRule="auto" w:before="17"/>
        <w:ind w:right="2839"/>
        <w:jc w:val="left"/>
      </w:pPr>
      <w:r>
        <w:rPr/>
        <w:t>总资产比重极小。</w:t>
      </w:r>
    </w:p>
    <w:p>
      <w:pPr>
        <w:pStyle w:val="BodyText"/>
        <w:spacing w:line="316" w:lineRule="auto" w:before="76"/>
        <w:ind w:left="513" w:right="7883"/>
        <w:jc w:val="left"/>
      </w:pPr>
      <w:r>
        <w:rPr/>
        <w:t>（</w:t>
      </w:r>
      <w:r>
        <w:rPr>
          <w:rFonts w:ascii="宋体" w:hAnsi="宋体" w:cs="宋体" w:eastAsia="宋体" w:hint="default"/>
        </w:rPr>
        <w:t>4</w:t>
      </w:r>
      <w:r>
        <w:rPr/>
        <w:t>）金融资产转移 无。</w:t>
      </w:r>
    </w:p>
    <w:p>
      <w:pPr>
        <w:pStyle w:val="BodyText"/>
        <w:spacing w:line="316" w:lineRule="auto" w:before="19"/>
        <w:ind w:left="513" w:right="6803"/>
        <w:jc w:val="left"/>
      </w:pPr>
      <w:r>
        <w:rPr/>
        <w:t>（</w:t>
      </w:r>
      <w:r>
        <w:rPr>
          <w:rFonts w:ascii="宋体" w:hAnsi="宋体" w:cs="宋体" w:eastAsia="宋体" w:hint="default"/>
        </w:rPr>
        <w:t>5</w:t>
      </w:r>
      <w:r>
        <w:rPr/>
        <w:t>）金融资产与金融负债的抵销 无。</w:t>
      </w:r>
    </w:p>
    <w:p>
      <w:pPr>
        <w:spacing w:line="240" w:lineRule="auto" w:before="11"/>
        <w:rPr>
          <w:rFonts w:ascii="宋体" w:hAnsi="宋体" w:cs="宋体" w:eastAsia="宋体" w:hint="default"/>
          <w:sz w:val="20"/>
          <w:szCs w:val="20"/>
        </w:rPr>
      </w:pPr>
    </w:p>
    <w:p>
      <w:pPr>
        <w:pStyle w:val="Heading2"/>
        <w:spacing w:line="240" w:lineRule="auto"/>
        <w:ind w:right="2839"/>
        <w:jc w:val="left"/>
        <w:rPr>
          <w:b w:val="0"/>
          <w:bCs w:val="0"/>
        </w:rPr>
      </w:pPr>
      <w:r>
        <w:rPr/>
        <w:t>十一、关联方及关联交易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2839"/>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0"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北京百汇达投资管 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35.42%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35.42%</w:t>
            </w:r>
          </w:p>
        </w:tc>
      </w:tr>
    </w:tbl>
    <w:p>
      <w:pPr>
        <w:pStyle w:val="BodyText"/>
        <w:spacing w:line="240" w:lineRule="auto" w:before="49"/>
        <w:ind w:right="2839"/>
        <w:jc w:val="left"/>
      </w:pPr>
      <w:r>
        <w:rPr/>
        <w:t>本企业的母公司情况的说明</w:t>
      </w:r>
    </w:p>
    <w:p>
      <w:pPr>
        <w:pStyle w:val="BodyText"/>
        <w:spacing w:line="240" w:lineRule="auto" w:before="117"/>
        <w:ind w:left="513" w:right="0"/>
        <w:jc w:val="left"/>
      </w:pPr>
      <w:r>
        <w:rPr/>
        <w:t>北京百汇达投资管理有限公司在</w:t>
      </w:r>
      <w:r>
        <w:rPr>
          <w:spacing w:val="-45"/>
        </w:rPr>
        <w:t> </w:t>
      </w:r>
      <w:r>
        <w:rPr>
          <w:rFonts w:ascii="宋体" w:hAnsi="宋体" w:cs="宋体" w:eastAsia="宋体" w:hint="default"/>
        </w:rPr>
        <w:t>2018</w:t>
      </w:r>
      <w:r>
        <w:rPr>
          <w:rFonts w:ascii="宋体" w:hAnsi="宋体" w:cs="宋体" w:eastAsia="宋体" w:hint="default"/>
          <w:spacing w:val="-47"/>
        </w:rPr>
        <w:t> </w:t>
      </w:r>
      <w:r>
        <w:rPr/>
        <w:t>年</w:t>
      </w:r>
      <w:r>
        <w:rPr>
          <w:spacing w:val="-46"/>
        </w:rPr>
        <w:t> </w:t>
      </w:r>
      <w:r>
        <w:rPr>
          <w:rFonts w:ascii="宋体" w:hAnsi="宋体" w:cs="宋体" w:eastAsia="宋体" w:hint="default"/>
        </w:rPr>
        <w:t>1</w:t>
      </w:r>
      <w:r>
        <w:rPr>
          <w:rFonts w:ascii="宋体" w:hAnsi="宋体" w:cs="宋体" w:eastAsia="宋体" w:hint="default"/>
          <w:spacing w:val="-47"/>
        </w:rPr>
        <w:t> </w:t>
      </w:r>
      <w:r>
        <w:rPr/>
        <w:t>月</w:t>
      </w:r>
      <w:r>
        <w:rPr>
          <w:spacing w:val="-46"/>
        </w:rPr>
        <w:t> </w:t>
      </w:r>
      <w:r>
        <w:rPr>
          <w:rFonts w:ascii="宋体" w:hAnsi="宋体" w:cs="宋体" w:eastAsia="宋体" w:hint="default"/>
        </w:rPr>
        <w:t>3</w:t>
      </w:r>
      <w:r>
        <w:rPr>
          <w:rFonts w:ascii="宋体" w:hAnsi="宋体" w:cs="宋体" w:eastAsia="宋体" w:hint="default"/>
          <w:spacing w:val="-45"/>
        </w:rPr>
        <w:t> </w:t>
      </w:r>
      <w:r>
        <w:rPr/>
        <w:t>日更名为霍尔果斯百汇达股权投资管理合伙企业（有限合伙），注册地</w:t>
      </w:r>
    </w:p>
    <w:p>
      <w:pPr>
        <w:pStyle w:val="BodyText"/>
        <w:spacing w:line="240" w:lineRule="auto" w:before="76"/>
        <w:ind w:right="0"/>
        <w:jc w:val="left"/>
      </w:pPr>
      <w:r>
        <w:rPr/>
        <w:t>址由北京市房山区长沟镇金元大街</w:t>
      </w:r>
      <w:r>
        <w:rPr>
          <w:spacing w:val="-45"/>
        </w:rPr>
        <w:t> </w:t>
      </w:r>
      <w:r>
        <w:rPr>
          <w:rFonts w:ascii="宋体" w:hAnsi="宋体" w:cs="宋体" w:eastAsia="宋体" w:hint="default"/>
        </w:rPr>
        <w:t>1</w:t>
      </w:r>
      <w:r>
        <w:rPr>
          <w:rFonts w:ascii="宋体" w:hAnsi="宋体" w:cs="宋体" w:eastAsia="宋体" w:hint="default"/>
          <w:spacing w:val="-45"/>
        </w:rPr>
        <w:t> </w:t>
      </w:r>
      <w:r>
        <w:rPr/>
        <w:t>号北京基金小镇大厦</w:t>
      </w:r>
      <w:r>
        <w:rPr>
          <w:spacing w:val="-48"/>
        </w:rPr>
        <w:t> </w:t>
      </w:r>
      <w:r>
        <w:rPr>
          <w:rFonts w:ascii="宋体" w:hAnsi="宋体" w:cs="宋体" w:eastAsia="宋体" w:hint="default"/>
        </w:rPr>
        <w:t>A</w:t>
      </w:r>
      <w:r>
        <w:rPr>
          <w:rFonts w:ascii="宋体" w:hAnsi="宋体" w:cs="宋体" w:eastAsia="宋体" w:hint="default"/>
          <w:spacing w:val="-47"/>
        </w:rPr>
        <w:t> </w:t>
      </w:r>
      <w:r>
        <w:rPr/>
        <w:t>座</w:t>
      </w:r>
      <w:r>
        <w:rPr>
          <w:spacing w:val="-46"/>
        </w:rPr>
        <w:t> </w:t>
      </w:r>
      <w:r>
        <w:rPr>
          <w:rFonts w:ascii="宋体" w:hAnsi="宋体" w:cs="宋体" w:eastAsia="宋体" w:hint="default"/>
        </w:rPr>
        <w:t>439</w:t>
      </w:r>
      <w:r>
        <w:rPr>
          <w:rFonts w:ascii="宋体" w:hAnsi="宋体" w:cs="宋体" w:eastAsia="宋体" w:hint="default"/>
          <w:spacing w:val="-44"/>
        </w:rPr>
        <w:t> </w:t>
      </w:r>
      <w:r>
        <w:rPr/>
        <w:t>变更为新疆伊犁州霍尔果斯兰新路</w:t>
      </w:r>
      <w:r>
        <w:rPr>
          <w:spacing w:val="-45"/>
        </w:rPr>
        <w:t> </w:t>
      </w:r>
      <w:r>
        <w:rPr>
          <w:rFonts w:ascii="宋体" w:hAnsi="宋体" w:cs="宋体" w:eastAsia="宋体" w:hint="default"/>
        </w:rPr>
        <w:t>18</w:t>
      </w:r>
      <w:r>
        <w:rPr>
          <w:rFonts w:ascii="宋体" w:hAnsi="宋体" w:cs="宋体" w:eastAsia="宋体" w:hint="default"/>
          <w:spacing w:val="-45"/>
        </w:rPr>
        <w:t> </w:t>
      </w:r>
      <w:r>
        <w:rPr/>
        <w:t>号永和大厦第</w:t>
      </w:r>
      <w:r>
        <w:rPr>
          <w:spacing w:val="-46"/>
        </w:rPr>
        <w:t> </w:t>
      </w:r>
      <w:r>
        <w:rPr>
          <w:rFonts w:ascii="宋体" w:hAnsi="宋体" w:cs="宋体" w:eastAsia="宋体" w:hint="default"/>
        </w:rPr>
        <w:t>1</w:t>
      </w:r>
      <w:r>
        <w:rPr>
          <w:rFonts w:ascii="宋体" w:hAnsi="宋体" w:cs="宋体" w:eastAsia="宋体" w:hint="default"/>
          <w:spacing w:val="-47"/>
        </w:rPr>
        <w:t> </w:t>
      </w:r>
      <w:r>
        <w:rPr/>
        <w:t>幢</w:t>
      </w:r>
    </w:p>
    <w:p>
      <w:pPr>
        <w:pStyle w:val="BodyText"/>
        <w:spacing w:line="316" w:lineRule="auto" w:before="76"/>
        <w:ind w:left="513" w:right="7073" w:hanging="361"/>
        <w:jc w:val="left"/>
      </w:pPr>
      <w:r>
        <w:rPr>
          <w:rFonts w:ascii="宋体" w:hAnsi="宋体" w:cs="宋体" w:eastAsia="宋体" w:hint="default"/>
        </w:rPr>
        <w:t>1401</w:t>
      </w:r>
      <w:r>
        <w:rPr>
          <w:rFonts w:ascii="宋体" w:hAnsi="宋体" w:cs="宋体" w:eastAsia="宋体" w:hint="default"/>
          <w:spacing w:val="-44"/>
        </w:rPr>
        <w:t> </w:t>
      </w:r>
      <w:r>
        <w:rPr/>
        <w:t>室</w:t>
      </w:r>
      <w:r>
        <w:rPr>
          <w:spacing w:val="-48"/>
        </w:rPr>
        <w:t> </w:t>
      </w:r>
      <w:r>
        <w:rPr>
          <w:rFonts w:ascii="宋体" w:hAnsi="宋体" w:cs="宋体" w:eastAsia="宋体" w:hint="default"/>
        </w:rPr>
        <w:t>28</w:t>
      </w:r>
      <w:r>
        <w:rPr>
          <w:rFonts w:ascii="宋体" w:hAnsi="宋体" w:cs="宋体" w:eastAsia="宋体" w:hint="default"/>
          <w:spacing w:val="-45"/>
        </w:rPr>
        <w:t> </w:t>
      </w:r>
      <w:r>
        <w:rPr/>
        <w:t>号。 本企业最终控制方是耿殿根。</w:t>
      </w:r>
    </w:p>
    <w:p>
      <w:pPr>
        <w:spacing w:line="240" w:lineRule="auto" w:before="11"/>
        <w:rPr>
          <w:rFonts w:ascii="宋体" w:hAnsi="宋体" w:cs="宋体" w:eastAsia="宋体" w:hint="default"/>
          <w:sz w:val="22"/>
          <w:szCs w:val="22"/>
        </w:rPr>
      </w:pPr>
    </w:p>
    <w:p>
      <w:pPr>
        <w:spacing w:line="544" w:lineRule="auto" w:before="0"/>
        <w:ind w:left="152" w:right="32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38" w:lineRule="auto" w:before="49"/>
        <w:ind w:right="1314"/>
        <w:jc w:val="left"/>
      </w:pPr>
      <w:r>
        <w:rPr/>
        <w:t>本企业重要的合营或联营企业详见附注九、</w:t>
      </w:r>
      <w:r>
        <w:rPr>
          <w:rFonts w:ascii="Times New Roman" w:hAnsi="Times New Roman" w:cs="Times New Roman" w:eastAsia="Times New Roman" w:hint="default"/>
        </w:rPr>
        <w:t>2</w:t>
      </w:r>
      <w:r>
        <w:rPr/>
        <w:t>、在合营安排或联营企业中的权益。 本期与本公司发生关联方交易，或前期与本公司发生关联方交易形成余额的其他合营或联营企业情况如下：</w:t>
      </w:r>
    </w:p>
    <w:p>
      <w:pPr>
        <w:spacing w:line="240" w:lineRule="auto" w:before="9"/>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北京长城光环宽带网络技术有限公司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2839"/>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天津红杉资本投资基金中心（有限合伙）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董事、总裁</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郑善伟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曹毅</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宋健尔</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郭莉莉</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侯成训</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原独立董事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原独立董事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王淑芳</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原独立董事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高宏</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副总裁、董事会秘书</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齐顺杰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耿岩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副总裁、耿殿根之侄子</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张利军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袁丁</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董事、人事行政部总监</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庞宝光</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监事会主席、人事行政部经理</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王军辉</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李超</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监事、运营总监</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汝书伟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技术总监</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刘吉衡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系统集成部总监</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吴国雄</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酒仙桥数据中心运营总监</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韩冠华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燕郊数据中心运营总监</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刘红</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北京科信盛彩云计算有限公司副董事长</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金福沈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北京科信盛彩云计算有限公司董事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蔡俊龙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北京科信盛彩云计算有限公司监事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朱卫国</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北京科信盛彩云计算有限公司总经理</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杨洁</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北京中金云网科技有限公司董事长</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北京中金云网科技有限公司董事、总裁</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操健仁</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北京中金云网科技有限公司监事</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北京中金云网科技有限公司副总裁</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余红军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北京中金云网科技有限公司副总裁</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王绪生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北京中金云网科技有限公司副总裁</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王薇薇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北京中金云网科技有限公司副总裁</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施侃</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北京无双科技有限公司董事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冯天放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北京无双科技有限公司董事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陈晓媛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北京无双科技有限公司副总裁</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程辉</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光环有云（北京）网络服务有限公司副董事长、经理</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江琦</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光环有云（北京）网络服务有限公司董事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王凤</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光环有云（北京）网络服务有限公司原董事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光环有云（北京）网络服务有限公司原监事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光环有云（北京）网络服务有限公司监事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北京蓝沧科技有限公司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与本公司受同一控制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中金数据系统有限公司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子公司关键管理人员控制的企业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南京安与吉信息技术有限公司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子公司关键管理人员控制的企业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武汉安宇吉信息有限公司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子公司关键管理人员控制的企业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中金云金融（北京）大数据科技股份有限公司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子公司关键管理人员控制的企业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中金慈云健康科技有限公司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子公司关键管理人员控制的企业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烟台中金数据系统有限公司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子公司关键管理人员控制的企业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北京亦庄国际产业互联网研究院股份公司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子公司关键管理人员控制的企业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共青城云创投资管理合伙企业（有限合伙）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关键管理人员控制的企业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北京招彩旺旺信息技术有限公司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子公司关键管理人员控制的企业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中金花桥数据系统有限公司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子公司关键管理人员控制的企业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杭州萱萱科技有限公司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子公司关键管理人员控制的企业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北京首信圆方机电设备有限公司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子公司关键管理人员控制的企业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北京金田恒业置业有限公司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子公司关键管理人员近亲属控制的企业</w:t>
            </w:r>
          </w:p>
        </w:tc>
      </w:tr>
    </w:tbl>
    <w:p>
      <w:pPr>
        <w:spacing w:line="240" w:lineRule="auto" w:before="3"/>
        <w:rPr>
          <w:rFonts w:ascii="宋体" w:hAnsi="宋体" w:cs="宋体" w:eastAsia="宋体" w:hint="default"/>
          <w:b/>
          <w:bCs/>
          <w:sz w:val="19"/>
          <w:szCs w:val="19"/>
        </w:rPr>
      </w:pPr>
    </w:p>
    <w:p>
      <w:pPr>
        <w:pStyle w:val="Heading3"/>
        <w:spacing w:line="240" w:lineRule="auto" w:before="36"/>
        <w:ind w:right="2839"/>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2839"/>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2839"/>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401"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北京蓝沧科技有限 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0" w:right="0"/>
              <w:jc w:val="left"/>
              <w:rPr>
                <w:rFonts w:ascii="Times New Roman" w:hAnsi="Times New Roman" w:cs="Times New Roman" w:eastAsia="Times New Roman" w:hint="default"/>
                <w:sz w:val="18"/>
                <w:szCs w:val="18"/>
              </w:rPr>
            </w:pPr>
            <w:r>
              <w:rPr>
                <w:rFonts w:ascii="Times New Roman"/>
                <w:sz w:val="18"/>
              </w:rPr>
              <w:t>20,638.87</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9" w:right="0"/>
              <w:jc w:val="left"/>
              <w:rPr>
                <w:rFonts w:ascii="Times New Roman" w:hAnsi="Times New Roman" w:cs="Times New Roman" w:eastAsia="Times New Roman" w:hint="default"/>
                <w:sz w:val="18"/>
                <w:szCs w:val="18"/>
              </w:rPr>
            </w:pPr>
            <w:r>
              <w:rPr>
                <w:rFonts w:ascii="Times New Roman"/>
                <w:sz w:val="18"/>
              </w:rPr>
              <w:t>1,164,188.66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中金数据系统有限 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4,690,546.13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0" w:right="0"/>
              <w:jc w:val="left"/>
              <w:rPr>
                <w:rFonts w:ascii="Times New Roman" w:hAnsi="Times New Roman" w:cs="Times New Roman" w:eastAsia="Times New Roman" w:hint="default"/>
                <w:sz w:val="18"/>
                <w:szCs w:val="18"/>
              </w:rPr>
            </w:pPr>
            <w:r>
              <w:rPr>
                <w:rFonts w:ascii="Times New Roman"/>
                <w:sz w:val="18"/>
              </w:rPr>
              <w:t>10,772,620.96</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4,657,972.92</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中金花桥数据系统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12,094,454.54</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北京首信圆方机电 设备有限公司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10,210,417.99</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8,730,980.96</w:t>
            </w:r>
          </w:p>
        </w:tc>
      </w:tr>
    </w:tbl>
    <w:p>
      <w:pPr>
        <w:pStyle w:val="BodyText"/>
        <w:spacing w:line="240" w:lineRule="auto" w:before="49"/>
        <w:ind w:right="2839"/>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南京安与吉信息技术有限公司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283,018.87</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8,797,345.33</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北京招财旺旺信息技术有限公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42,452.83</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中金数据系统有限公司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4,381,854.60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1,386,399.14</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中金云金融（北京）大数据科 技股份有限公司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14,012,151.00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20,212,917.62</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中金慈云健康科技有限公司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1,698,113.22</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949,077.26</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烟台中金数据系统有限公司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1,886,792.52</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2,122,641.54</w:t>
            </w:r>
          </w:p>
        </w:tc>
      </w:tr>
      <w:tr>
        <w:trPr>
          <w:trHeight w:val="40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北京蓝沧科技有限公司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1,315,877.87</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6,170.78</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中金花桥数据系统有限公司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9,905.66</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北京亦庄国际产业互联网研究 院股份公司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86,424.42</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t>（</w:t>
      </w:r>
      <w:r>
        <w:rPr>
          <w:rFonts w:ascii="Times New Roman" w:hAnsi="Times New Roman" w:cs="Times New Roman" w:eastAsia="Times New Roman" w:hint="default"/>
        </w:rPr>
        <w:t>2</w:t>
      </w:r>
      <w:r>
        <w:rPr/>
        <w:t>）关联租赁情况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2839"/>
        <w:jc w:val="left"/>
      </w:pPr>
      <w:r>
        <w:rPr/>
        <w:t>本公司作为出租方：</w:t>
      </w:r>
    </w:p>
    <w:p>
      <w:pPr>
        <w:pStyle w:val="BodyText"/>
        <w:spacing w:line="240" w:lineRule="auto" w:before="117"/>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中金数据系统有限公司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7" w:right="0"/>
              <w:jc w:val="left"/>
              <w:rPr>
                <w:rFonts w:ascii="Times New Roman" w:hAnsi="Times New Roman" w:cs="Times New Roman" w:eastAsia="Times New Roman" w:hint="default"/>
                <w:sz w:val="18"/>
                <w:szCs w:val="18"/>
              </w:rPr>
            </w:pPr>
            <w:r>
              <w:rPr>
                <w:rFonts w:ascii="Times New Roman"/>
                <w:sz w:val="18"/>
              </w:rPr>
              <w:t>18,493,905.49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7" w:right="0"/>
              <w:jc w:val="left"/>
              <w:rPr>
                <w:rFonts w:ascii="Times New Roman" w:hAnsi="Times New Roman" w:cs="Times New Roman" w:eastAsia="Times New Roman" w:hint="default"/>
                <w:sz w:val="18"/>
                <w:szCs w:val="18"/>
              </w:rPr>
            </w:pPr>
            <w:r>
              <w:rPr>
                <w:rFonts w:ascii="Times New Roman"/>
                <w:sz w:val="18"/>
              </w:rPr>
              <w:t>19,481,052.80</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t>（</w:t>
      </w:r>
      <w:r>
        <w:rPr>
          <w:rFonts w:ascii="Times New Roman" w:hAnsi="Times New Roman" w:cs="Times New Roman" w:eastAsia="Times New Roman" w:hint="default"/>
        </w:rPr>
        <w:t>3</w:t>
      </w:r>
      <w:r>
        <w:rPr/>
        <w:t>）关联担保情况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2839"/>
        <w:jc w:val="left"/>
      </w:pPr>
      <w:r>
        <w:rPr/>
        <w:t>本公司作为被担保方</w:t>
      </w:r>
    </w:p>
    <w:p>
      <w:pPr>
        <w:pStyle w:val="BodyText"/>
        <w:spacing w:line="240" w:lineRule="auto" w:before="117"/>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北京百汇达投资管理有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北京百汇达投资管理有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中金数据系统有限公司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3,653,348.27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中金数据系统有限公司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6,197,555.00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中金数据系统有限公司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中金数据系统有限公司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9,800,517.00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杨洁及中金数据系统有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357" w:lineRule="auto" w:before="49"/>
        <w:ind w:left="513" w:right="143" w:hanging="361"/>
        <w:jc w:val="left"/>
      </w:pPr>
      <w:r>
        <w:rPr/>
        <w:t>关联担保情况说明 </w:t>
      </w:r>
      <w:r>
        <w:rPr>
          <w:rFonts w:ascii="宋体" w:hAnsi="宋体" w:cs="宋体" w:eastAsia="宋体" w:hint="default"/>
        </w:rPr>
        <w:t>1</w:t>
      </w:r>
      <w:r>
        <w:rPr/>
        <w:t>）公司子公司北京中金云网科技有限公司由董事长杨洁及其配偶张利做为连带责任保证人，与中国工商银行股份有限</w:t>
      </w:r>
    </w:p>
    <w:p>
      <w:pPr>
        <w:pStyle w:val="BodyText"/>
        <w:spacing w:line="224" w:lineRule="exact"/>
        <w:ind w:right="0"/>
        <w:jc w:val="both"/>
      </w:pPr>
      <w:r>
        <w:rPr/>
        <w:t>公司北京经济技术开发区支行于</w:t>
      </w:r>
      <w:r>
        <w:rPr>
          <w:spacing w:val="-49"/>
        </w:rPr>
        <w:t> </w:t>
      </w:r>
      <w:r>
        <w:rPr>
          <w:rFonts w:ascii="宋体" w:hAnsi="宋体" w:cs="宋体" w:eastAsia="宋体" w:hint="default"/>
        </w:rPr>
        <w:t>2015</w:t>
      </w:r>
      <w:r>
        <w:rPr>
          <w:rFonts w:ascii="宋体" w:hAnsi="宋体" w:cs="宋体" w:eastAsia="宋体" w:hint="default"/>
          <w:spacing w:val="-49"/>
        </w:rPr>
        <w:t> </w:t>
      </w:r>
      <w:r>
        <w:rPr/>
        <w:t>年</w:t>
      </w:r>
      <w:r>
        <w:rPr>
          <w:spacing w:val="-49"/>
        </w:rPr>
        <w:t> </w:t>
      </w:r>
      <w:r>
        <w:rPr>
          <w:rFonts w:ascii="宋体" w:hAnsi="宋体" w:cs="宋体" w:eastAsia="宋体" w:hint="default"/>
        </w:rPr>
        <w:t>4</w:t>
      </w:r>
      <w:r>
        <w:rPr>
          <w:rFonts w:ascii="宋体" w:hAnsi="宋体" w:cs="宋体" w:eastAsia="宋体" w:hint="default"/>
          <w:spacing w:val="-50"/>
        </w:rPr>
        <w:t> </w:t>
      </w:r>
      <w:r>
        <w:rPr/>
        <w:t>月</w:t>
      </w:r>
      <w:r>
        <w:rPr>
          <w:spacing w:val="-49"/>
        </w:rPr>
        <w:t> </w:t>
      </w:r>
      <w:r>
        <w:rPr>
          <w:rFonts w:ascii="宋体" w:hAnsi="宋体" w:cs="宋体" w:eastAsia="宋体" w:hint="default"/>
        </w:rPr>
        <w:t>10</w:t>
      </w:r>
      <w:r>
        <w:rPr>
          <w:rFonts w:ascii="宋体" w:hAnsi="宋体" w:cs="宋体" w:eastAsia="宋体" w:hint="default"/>
          <w:spacing w:val="-49"/>
        </w:rPr>
        <w:t> </w:t>
      </w:r>
      <w:r>
        <w:rPr/>
        <w:t>日签订《固定资产融资借款合同》（编号：</w:t>
      </w:r>
      <w:r>
        <w:rPr>
          <w:rFonts w:ascii="宋体" w:hAnsi="宋体" w:cs="宋体" w:eastAsia="宋体" w:hint="default"/>
        </w:rPr>
        <w:t>0020000094-2015</w:t>
      </w:r>
      <w:r>
        <w:rPr>
          <w:rFonts w:ascii="宋体" w:hAnsi="宋体" w:cs="宋体" w:eastAsia="宋体" w:hint="default"/>
          <w:spacing w:val="-48"/>
        </w:rPr>
        <w:t> </w:t>
      </w:r>
      <w:r>
        <w:rPr>
          <w:spacing w:val="-4"/>
        </w:rPr>
        <w:t>年（亦庄）字</w:t>
      </w:r>
    </w:p>
    <w:p>
      <w:pPr>
        <w:pStyle w:val="BodyText"/>
        <w:spacing w:line="240" w:lineRule="auto" w:before="76"/>
        <w:ind w:right="0"/>
        <w:jc w:val="both"/>
      </w:pPr>
      <w:r>
        <w:rPr>
          <w:rFonts w:ascii="宋体" w:hAnsi="宋体" w:cs="宋体" w:eastAsia="宋体" w:hint="default"/>
        </w:rPr>
        <w:t>0014</w:t>
      </w:r>
      <w:r>
        <w:rPr>
          <w:rFonts w:ascii="宋体" w:hAnsi="宋体" w:cs="宋体" w:eastAsia="宋体" w:hint="default"/>
          <w:spacing w:val="-43"/>
        </w:rPr>
        <w:t> </w:t>
      </w:r>
      <w:r>
        <w:rPr/>
        <w:t>号）贷款额度伍亿整。</w:t>
      </w:r>
    </w:p>
    <w:p>
      <w:pPr>
        <w:pStyle w:val="BodyText"/>
        <w:spacing w:line="316" w:lineRule="auto" w:before="76"/>
        <w:ind w:right="144" w:firstLine="360"/>
        <w:jc w:val="left"/>
      </w:pPr>
      <w:r>
        <w:rPr>
          <w:rFonts w:ascii="宋体" w:hAnsi="宋体" w:cs="宋体" w:eastAsia="宋体" w:hint="default"/>
        </w:rPr>
        <w:t>2</w:t>
      </w:r>
      <w:r>
        <w:rPr/>
        <w:t>）公司子公司北京中金云网科技有限公司由董事长杨洁及其配偶张利做为连带责任保证人与主办银行中国工商银行股 份有限公司北京经济技术开发区支行于</w:t>
      </w:r>
      <w:r>
        <w:rPr>
          <w:spacing w:val="-45"/>
        </w:rPr>
        <w:t> </w:t>
      </w:r>
      <w:r>
        <w:rPr>
          <w:rFonts w:ascii="宋体" w:hAnsi="宋体" w:cs="宋体" w:eastAsia="宋体" w:hint="default"/>
        </w:rPr>
        <w:t>2015</w:t>
      </w:r>
      <w:r>
        <w:rPr>
          <w:rFonts w:ascii="宋体" w:hAnsi="宋体" w:cs="宋体" w:eastAsia="宋体" w:hint="default"/>
          <w:spacing w:val="-47"/>
        </w:rPr>
        <w:t> </w:t>
      </w:r>
      <w:r>
        <w:rPr/>
        <w:t>年</w:t>
      </w:r>
      <w:r>
        <w:rPr>
          <w:spacing w:val="-46"/>
        </w:rPr>
        <w:t> </w:t>
      </w:r>
      <w:r>
        <w:rPr>
          <w:rFonts w:ascii="宋体" w:hAnsi="宋体" w:cs="宋体" w:eastAsia="宋体" w:hint="default"/>
        </w:rPr>
        <w:t>4</w:t>
      </w:r>
      <w:r>
        <w:rPr>
          <w:rFonts w:ascii="宋体" w:hAnsi="宋体" w:cs="宋体" w:eastAsia="宋体" w:hint="default"/>
          <w:spacing w:val="-47"/>
        </w:rPr>
        <w:t> </w:t>
      </w:r>
      <w:r>
        <w:rPr/>
        <w:t>月</w:t>
      </w:r>
      <w:r>
        <w:rPr>
          <w:spacing w:val="-46"/>
        </w:rPr>
        <w:t> </w:t>
      </w:r>
      <w:r>
        <w:rPr>
          <w:rFonts w:ascii="宋体" w:hAnsi="宋体" w:cs="宋体" w:eastAsia="宋体" w:hint="default"/>
        </w:rPr>
        <w:t>10</w:t>
      </w:r>
      <w:r>
        <w:rPr>
          <w:rFonts w:ascii="宋体" w:hAnsi="宋体" w:cs="宋体" w:eastAsia="宋体" w:hint="default"/>
          <w:spacing w:val="-45"/>
        </w:rPr>
        <w:t> </w:t>
      </w:r>
      <w:r>
        <w:rPr/>
        <w:t>日签订《北京数据中心二期项目银团贷款合同》（编号：</w:t>
      </w:r>
    </w:p>
    <w:p>
      <w:pPr>
        <w:pStyle w:val="BodyText"/>
        <w:spacing w:line="316" w:lineRule="auto" w:before="19"/>
        <w:ind w:right="204"/>
        <w:jc w:val="both"/>
      </w:pPr>
      <w:r>
        <w:rPr>
          <w:rFonts w:ascii="宋体" w:hAnsi="宋体" w:cs="宋体" w:eastAsia="宋体" w:hint="default"/>
        </w:rPr>
        <w:t>0020000094-2015</w:t>
      </w:r>
      <w:r>
        <w:rPr>
          <w:rFonts w:ascii="宋体" w:hAnsi="宋体" w:cs="宋体" w:eastAsia="宋体" w:hint="default"/>
          <w:spacing w:val="-47"/>
        </w:rPr>
        <w:t> </w:t>
      </w:r>
      <w:r>
        <w:rPr/>
        <w:t>年</w:t>
      </w:r>
      <w:r>
        <w:rPr>
          <w:rFonts w:ascii="宋体" w:hAnsi="宋体" w:cs="宋体" w:eastAsia="宋体" w:hint="default"/>
        </w:rPr>
        <w:t>(</w:t>
      </w:r>
      <w:r>
        <w:rPr/>
        <w:t>亦庄</w:t>
      </w:r>
      <w:r>
        <w:rPr>
          <w:rFonts w:ascii="宋体" w:hAnsi="宋体" w:cs="宋体" w:eastAsia="宋体" w:hint="default"/>
        </w:rPr>
        <w:t>)</w:t>
      </w:r>
      <w:r>
        <w:rPr/>
        <w:t>字</w:t>
      </w:r>
      <w:r>
        <w:rPr>
          <w:spacing w:val="-49"/>
        </w:rPr>
        <w:t> </w:t>
      </w:r>
      <w:r>
        <w:rPr>
          <w:rFonts w:ascii="宋体" w:hAnsi="宋体" w:cs="宋体" w:eastAsia="宋体" w:hint="default"/>
        </w:rPr>
        <w:t>0023</w:t>
      </w:r>
      <w:r>
        <w:rPr>
          <w:rFonts w:ascii="宋体" w:hAnsi="宋体" w:cs="宋体" w:eastAsia="宋体" w:hint="default"/>
          <w:spacing w:val="-47"/>
        </w:rPr>
        <w:t> </w:t>
      </w:r>
      <w:r>
        <w:rPr/>
        <w:t>号），贷款额度分别为中国工商银行股份有限公司北京经济技术开发区支行三亿元整， 北京农村商业银行经济技术开发区支行三亿元整，北京银行黄村支行贰亿元整。</w:t>
      </w:r>
    </w:p>
    <w:p>
      <w:pPr>
        <w:pStyle w:val="BodyText"/>
        <w:spacing w:line="240" w:lineRule="auto" w:before="19"/>
        <w:ind w:left="513" w:right="0"/>
        <w:jc w:val="left"/>
      </w:pPr>
      <w:r>
        <w:rPr>
          <w:rFonts w:ascii="宋体" w:hAnsi="宋体" w:cs="宋体" w:eastAsia="宋体" w:hint="default"/>
          <w:spacing w:val="1"/>
        </w:rPr>
        <w:t>3</w:t>
      </w:r>
      <w:r>
        <w:rPr>
          <w:spacing w:val="-82"/>
        </w:rPr>
        <w:t>）</w:t>
      </w:r>
      <w:r>
        <w:rPr/>
        <w:t>子公司北京科信盛彩云计</w:t>
      </w:r>
      <w:r>
        <w:rPr>
          <w:spacing w:val="-3"/>
        </w:rPr>
        <w:t>算</w:t>
      </w:r>
      <w:r>
        <w:rPr/>
        <w:t>有限公司以北京金田恒业置业有限公司位于北京经济技术开发区经海二路</w:t>
      </w:r>
      <w:r>
        <w:rPr>
          <w:spacing w:val="-43"/>
        </w:rPr>
        <w:t> </w:t>
      </w:r>
      <w:r>
        <w:rPr>
          <w:rFonts w:ascii="宋体" w:hAnsi="宋体" w:cs="宋体" w:eastAsia="宋体" w:hint="default"/>
          <w:spacing w:val="1"/>
        </w:rPr>
        <w:t>2</w:t>
      </w:r>
      <w:r>
        <w:rPr>
          <w:rFonts w:ascii="宋体" w:hAnsi="宋体" w:cs="宋体" w:eastAsia="宋体" w:hint="default"/>
        </w:rPr>
        <w:t>8</w:t>
      </w:r>
      <w:r>
        <w:rPr>
          <w:rFonts w:ascii="宋体" w:hAnsi="宋体" w:cs="宋体" w:eastAsia="宋体" w:hint="default"/>
          <w:spacing w:val="-44"/>
        </w:rPr>
        <w:t> </w:t>
      </w:r>
      <w:r>
        <w:rPr/>
        <w:t>号自有物业</w:t>
      </w:r>
    </w:p>
    <w:p>
      <w:pPr>
        <w:pStyle w:val="BodyText"/>
        <w:spacing w:line="319" w:lineRule="auto" w:before="76"/>
        <w:ind w:right="158"/>
        <w:jc w:val="both"/>
      </w:pPr>
      <w:r>
        <w:rPr/>
        <w:t>（房产证编号：</w:t>
      </w:r>
      <w:r>
        <w:rPr>
          <w:rFonts w:ascii="宋体" w:hAnsi="宋体" w:cs="宋体" w:eastAsia="宋体" w:hint="default"/>
        </w:rPr>
        <w:t>X</w:t>
      </w:r>
      <w:r>
        <w:rPr>
          <w:rFonts w:ascii="宋体" w:hAnsi="宋体" w:cs="宋体" w:eastAsia="宋体" w:hint="default"/>
          <w:spacing w:val="-46"/>
        </w:rPr>
        <w:t> </w:t>
      </w:r>
      <w:r>
        <w:rPr/>
        <w:t>房权证开字第</w:t>
      </w:r>
      <w:r>
        <w:rPr>
          <w:spacing w:val="-47"/>
        </w:rPr>
        <w:t> </w:t>
      </w:r>
      <w:r>
        <w:rPr>
          <w:rFonts w:ascii="宋体" w:hAnsi="宋体" w:cs="宋体" w:eastAsia="宋体" w:hint="default"/>
        </w:rPr>
        <w:t>005009</w:t>
      </w:r>
      <w:r>
        <w:rPr>
          <w:rFonts w:ascii="宋体" w:hAnsi="宋体" w:cs="宋体" w:eastAsia="宋体" w:hint="default"/>
          <w:spacing w:val="-45"/>
        </w:rPr>
        <w:t> </w:t>
      </w:r>
      <w:r>
        <w:rPr/>
        <w:t>号、土地证编号：开有限国用</w:t>
      </w:r>
      <w:r>
        <w:rPr>
          <w:spacing w:val="-47"/>
        </w:rPr>
        <w:t> </w:t>
      </w:r>
      <w:r>
        <w:rPr>
          <w:rFonts w:ascii="宋体" w:hAnsi="宋体" w:cs="宋体" w:eastAsia="宋体" w:hint="default"/>
        </w:rPr>
        <w:t>2016</w:t>
      </w:r>
      <w:r>
        <w:rPr>
          <w:rFonts w:ascii="宋体" w:hAnsi="宋体" w:cs="宋体" w:eastAsia="宋体" w:hint="default"/>
          <w:spacing w:val="-48"/>
        </w:rPr>
        <w:t> </w:t>
      </w:r>
      <w:r>
        <w:rPr/>
        <w:t>第</w:t>
      </w:r>
      <w:r>
        <w:rPr>
          <w:spacing w:val="-47"/>
        </w:rPr>
        <w:t> </w:t>
      </w:r>
      <w:r>
        <w:rPr>
          <w:rFonts w:ascii="宋体" w:hAnsi="宋体" w:cs="宋体" w:eastAsia="宋体" w:hint="default"/>
        </w:rPr>
        <w:t>48</w:t>
      </w:r>
      <w:r>
        <w:rPr>
          <w:rFonts w:ascii="宋体" w:hAnsi="宋体" w:cs="宋体" w:eastAsia="宋体" w:hint="default"/>
          <w:spacing w:val="-46"/>
        </w:rPr>
        <w:t> </w:t>
      </w:r>
      <w:r>
        <w:rPr/>
        <w:t>号）设定抵押；以融资期限内亦庄云计算 基地产生的全部经营收入（人行征信动产权属统一登记证明编号</w:t>
      </w:r>
      <w:r>
        <w:rPr>
          <w:spacing w:val="-48"/>
        </w:rPr>
        <w:t> </w:t>
      </w:r>
      <w:r>
        <w:rPr>
          <w:rFonts w:ascii="宋体" w:hAnsi="宋体" w:cs="宋体" w:eastAsia="宋体" w:hint="default"/>
        </w:rPr>
        <w:t>02661269000322397736</w:t>
      </w:r>
      <w:r>
        <w:rPr/>
        <w:t>）及该合同下应收账款设定质押并 由北京百汇达投资管理有限公司作为连带责任保证人与中国工商银行股份有限公司北京经济技术开发区支行于</w:t>
      </w:r>
      <w:r>
        <w:rPr>
          <w:spacing w:val="-43"/>
        </w:rPr>
        <w:t> </w:t>
      </w:r>
      <w:r>
        <w:rPr>
          <w:rFonts w:ascii="宋体" w:hAnsi="宋体" w:cs="宋体" w:eastAsia="宋体" w:hint="default"/>
        </w:rPr>
        <w:t>2016</w:t>
      </w:r>
      <w:r>
        <w:rPr>
          <w:rFonts w:ascii="宋体" w:hAnsi="宋体" w:cs="宋体" w:eastAsia="宋体" w:hint="default"/>
          <w:spacing w:val="-46"/>
        </w:rPr>
        <w:t> </w:t>
      </w:r>
      <w:r>
        <w:rPr/>
        <w:t>年</w:t>
      </w:r>
      <w:r>
        <w:rPr>
          <w:spacing w:val="-45"/>
        </w:rPr>
        <w:t> </w:t>
      </w:r>
      <w:r>
        <w:rPr>
          <w:rFonts w:ascii="宋体" w:hAnsi="宋体" w:cs="宋体" w:eastAsia="宋体" w:hint="default"/>
        </w:rPr>
        <w:t>4</w:t>
      </w:r>
      <w:r>
        <w:rPr>
          <w:rFonts w:ascii="宋体" w:hAnsi="宋体" w:cs="宋体" w:eastAsia="宋体" w:hint="default"/>
          <w:spacing w:val="-46"/>
        </w:rPr>
        <w:t> </w:t>
      </w:r>
      <w:r>
        <w:rPr/>
        <w:t>月</w:t>
      </w:r>
    </w:p>
    <w:p>
      <w:pPr>
        <w:pStyle w:val="BodyText"/>
        <w:spacing w:line="240" w:lineRule="auto" w:before="17"/>
        <w:ind w:right="0"/>
        <w:jc w:val="both"/>
      </w:pPr>
      <w:r>
        <w:rPr>
          <w:rFonts w:ascii="宋体" w:hAnsi="宋体" w:cs="宋体" w:eastAsia="宋体" w:hint="default"/>
        </w:rPr>
        <w:t>13</w:t>
      </w:r>
      <w:r>
        <w:rPr>
          <w:rFonts w:ascii="宋体" w:hAnsi="宋体" w:cs="宋体" w:eastAsia="宋体" w:hint="default"/>
          <w:spacing w:val="-46"/>
        </w:rPr>
        <w:t> </w:t>
      </w:r>
      <w:r>
        <w:rPr/>
        <w:t>日签订《固定资产借款合同》（编号：</w:t>
      </w:r>
      <w:r>
        <w:rPr>
          <w:rFonts w:ascii="宋体" w:hAnsi="宋体" w:cs="宋体" w:eastAsia="宋体" w:hint="default"/>
        </w:rPr>
        <w:t>0020000094-2016</w:t>
      </w:r>
      <w:r>
        <w:rPr>
          <w:rFonts w:ascii="宋体" w:hAnsi="宋体" w:cs="宋体" w:eastAsia="宋体" w:hint="default"/>
          <w:spacing w:val="-49"/>
        </w:rPr>
        <w:t> </w:t>
      </w:r>
      <w:r>
        <w:rPr/>
        <w:t>年</w:t>
      </w:r>
      <w:r>
        <w:rPr>
          <w:rFonts w:ascii="宋体" w:hAnsi="宋体" w:cs="宋体" w:eastAsia="宋体" w:hint="default"/>
        </w:rPr>
        <w:t>(</w:t>
      </w:r>
      <w:r>
        <w:rPr/>
        <w:t>亦庄</w:t>
      </w:r>
      <w:r>
        <w:rPr>
          <w:rFonts w:ascii="宋体" w:hAnsi="宋体" w:cs="宋体" w:eastAsia="宋体" w:hint="default"/>
        </w:rPr>
        <w:t>)</w:t>
      </w:r>
      <w:r>
        <w:rPr/>
        <w:t>字</w:t>
      </w:r>
      <w:r>
        <w:rPr>
          <w:spacing w:val="-50"/>
        </w:rPr>
        <w:t> </w:t>
      </w:r>
      <w:r>
        <w:rPr>
          <w:rFonts w:ascii="宋体" w:hAnsi="宋体" w:cs="宋体" w:eastAsia="宋体" w:hint="default"/>
        </w:rPr>
        <w:t>0049</w:t>
      </w:r>
      <w:r>
        <w:rPr>
          <w:rFonts w:ascii="宋体" w:hAnsi="宋体" w:cs="宋体" w:eastAsia="宋体" w:hint="default"/>
          <w:spacing w:val="-46"/>
        </w:rPr>
        <w:t> </w:t>
      </w:r>
      <w:r>
        <w:rPr/>
        <w:t>号），贷款额度为贰亿捌仟万元整。贷款期限</w:t>
      </w:r>
    </w:p>
    <w:p>
      <w:pPr>
        <w:pStyle w:val="BodyText"/>
        <w:spacing w:line="316" w:lineRule="auto" w:before="76"/>
        <w:ind w:right="151"/>
        <w:jc w:val="both"/>
      </w:pPr>
      <w:r>
        <w:rPr>
          <w:rFonts w:ascii="宋体" w:hAnsi="宋体" w:cs="宋体" w:eastAsia="宋体" w:hint="default"/>
        </w:rPr>
        <w:t>2016</w:t>
      </w:r>
      <w:r>
        <w:rPr>
          <w:rFonts w:ascii="宋体" w:hAnsi="宋体" w:cs="宋体" w:eastAsia="宋体" w:hint="default"/>
          <w:spacing w:val="-43"/>
        </w:rPr>
        <w:t> </w:t>
      </w:r>
      <w:r>
        <w:rPr/>
        <w:t>年</w:t>
      </w:r>
      <w:r>
        <w:rPr>
          <w:spacing w:val="-47"/>
        </w:rPr>
        <w:t> </w:t>
      </w:r>
      <w:r>
        <w:rPr>
          <w:rFonts w:ascii="宋体" w:hAnsi="宋体" w:cs="宋体" w:eastAsia="宋体" w:hint="default"/>
        </w:rPr>
        <w:t>4</w:t>
      </w:r>
      <w:r>
        <w:rPr>
          <w:rFonts w:ascii="宋体" w:hAnsi="宋体" w:cs="宋体" w:eastAsia="宋体" w:hint="default"/>
          <w:spacing w:val="-44"/>
        </w:rPr>
        <w:t> </w:t>
      </w:r>
      <w:r>
        <w:rPr/>
        <w:t>月</w:t>
      </w:r>
      <w:r>
        <w:rPr>
          <w:spacing w:val="-47"/>
        </w:rPr>
        <w:t> </w:t>
      </w:r>
      <w:r>
        <w:rPr>
          <w:rFonts w:ascii="宋体" w:hAnsi="宋体" w:cs="宋体" w:eastAsia="宋体" w:hint="default"/>
        </w:rPr>
        <w:t>22</w:t>
      </w:r>
      <w:r>
        <w:rPr>
          <w:rFonts w:ascii="宋体" w:hAnsi="宋体" w:cs="宋体" w:eastAsia="宋体" w:hint="default"/>
          <w:spacing w:val="-44"/>
        </w:rPr>
        <w:t> </w:t>
      </w:r>
      <w:r>
        <w:rPr/>
        <w:t>日至</w:t>
      </w:r>
      <w:r>
        <w:rPr>
          <w:spacing w:val="-45"/>
        </w:rPr>
        <w:t> </w:t>
      </w:r>
      <w:r>
        <w:rPr>
          <w:rFonts w:ascii="宋体" w:hAnsi="宋体" w:cs="宋体" w:eastAsia="宋体" w:hint="default"/>
        </w:rPr>
        <w:t>2024</w:t>
      </w:r>
      <w:r>
        <w:rPr>
          <w:rFonts w:ascii="宋体" w:hAnsi="宋体" w:cs="宋体" w:eastAsia="宋体" w:hint="default"/>
          <w:spacing w:val="-43"/>
        </w:rPr>
        <w:t> </w:t>
      </w:r>
      <w:r>
        <w:rPr/>
        <w:t>年</w:t>
      </w:r>
      <w:r>
        <w:rPr>
          <w:spacing w:val="-47"/>
        </w:rPr>
        <w:t> </w:t>
      </w:r>
      <w:r>
        <w:rPr>
          <w:rFonts w:ascii="宋体" w:hAnsi="宋体" w:cs="宋体" w:eastAsia="宋体" w:hint="default"/>
        </w:rPr>
        <w:t>4</w:t>
      </w:r>
      <w:r>
        <w:rPr>
          <w:rFonts w:ascii="宋体" w:hAnsi="宋体" w:cs="宋体" w:eastAsia="宋体" w:hint="default"/>
          <w:spacing w:val="-46"/>
        </w:rPr>
        <w:t> </w:t>
      </w:r>
      <w:r>
        <w:rPr/>
        <w:t>月</w:t>
      </w:r>
      <w:r>
        <w:rPr>
          <w:spacing w:val="-45"/>
        </w:rPr>
        <w:t> </w:t>
      </w:r>
      <w:r>
        <w:rPr>
          <w:rFonts w:ascii="宋体" w:hAnsi="宋体" w:cs="宋体" w:eastAsia="宋体" w:hint="default"/>
        </w:rPr>
        <w:t>21</w:t>
      </w:r>
      <w:r>
        <w:rPr>
          <w:rFonts w:ascii="宋体" w:hAnsi="宋体" w:cs="宋体" w:eastAsia="宋体" w:hint="default"/>
          <w:spacing w:val="-43"/>
        </w:rPr>
        <w:t> </w:t>
      </w:r>
      <w:r>
        <w:rPr>
          <w:spacing w:val="-8"/>
        </w:rPr>
        <w:t>日。</w:t>
      </w:r>
      <w:r>
        <w:rPr>
          <w:rFonts w:ascii="宋体" w:hAnsi="宋体" w:cs="宋体" w:eastAsia="宋体" w:hint="default"/>
          <w:spacing w:val="-8"/>
        </w:rPr>
        <w:t>2017</w:t>
      </w:r>
      <w:r>
        <w:rPr>
          <w:rFonts w:ascii="宋体" w:hAnsi="宋体" w:cs="宋体" w:eastAsia="宋体" w:hint="default"/>
          <w:spacing w:val="-43"/>
        </w:rPr>
        <w:t> </w:t>
      </w:r>
      <w:r>
        <w:rPr/>
        <w:t>年</w:t>
      </w:r>
      <w:r>
        <w:rPr>
          <w:spacing w:val="-47"/>
        </w:rPr>
        <w:t> </w:t>
      </w:r>
      <w:r>
        <w:rPr>
          <w:rFonts w:ascii="宋体" w:hAnsi="宋体" w:cs="宋体" w:eastAsia="宋体" w:hint="default"/>
        </w:rPr>
        <w:t>3</w:t>
      </w:r>
      <w:r>
        <w:rPr>
          <w:rFonts w:ascii="宋体" w:hAnsi="宋体" w:cs="宋体" w:eastAsia="宋体" w:hint="default"/>
          <w:spacing w:val="-44"/>
        </w:rPr>
        <w:t> </w:t>
      </w:r>
      <w:r>
        <w:rPr>
          <w:spacing w:val="-3"/>
        </w:rPr>
        <w:t>月，子公司北京科信盛彩云计算有限公司根据</w:t>
      </w:r>
      <w:r>
        <w:rPr>
          <w:spacing w:val="-44"/>
        </w:rPr>
        <w:t> </w:t>
      </w:r>
      <w:r>
        <w:rPr>
          <w:rFonts w:ascii="宋体" w:hAnsi="宋体" w:cs="宋体" w:eastAsia="宋体" w:hint="default"/>
        </w:rPr>
        <w:t>2016</w:t>
      </w:r>
      <w:r>
        <w:rPr>
          <w:rFonts w:ascii="宋体" w:hAnsi="宋体" w:cs="宋体" w:eastAsia="宋体" w:hint="default"/>
          <w:spacing w:val="-45"/>
        </w:rPr>
        <w:t> </w:t>
      </w:r>
      <w:r>
        <w:rPr/>
        <w:t>年</w:t>
      </w:r>
      <w:r>
        <w:rPr>
          <w:spacing w:val="-45"/>
        </w:rPr>
        <w:t> </w:t>
      </w:r>
      <w:r>
        <w:rPr>
          <w:rFonts w:ascii="宋体" w:hAnsi="宋体" w:cs="宋体" w:eastAsia="宋体" w:hint="default"/>
        </w:rPr>
        <w:t>4</w:t>
      </w:r>
      <w:r>
        <w:rPr>
          <w:rFonts w:ascii="宋体" w:hAnsi="宋体" w:cs="宋体" w:eastAsia="宋体" w:hint="default"/>
          <w:spacing w:val="-46"/>
        </w:rPr>
        <w:t> </w:t>
      </w:r>
      <w:r>
        <w:rPr/>
        <w:t>月</w:t>
      </w:r>
      <w:r>
        <w:rPr>
          <w:spacing w:val="-45"/>
        </w:rPr>
        <w:t> </w:t>
      </w:r>
      <w:r>
        <w:rPr>
          <w:rFonts w:ascii="宋体" w:hAnsi="宋体" w:cs="宋体" w:eastAsia="宋体" w:hint="default"/>
        </w:rPr>
        <w:t>13</w:t>
      </w:r>
      <w:r>
        <w:rPr>
          <w:rFonts w:ascii="宋体" w:hAnsi="宋体" w:cs="宋体" w:eastAsia="宋体" w:hint="default"/>
          <w:spacing w:val="-44"/>
        </w:rPr>
        <w:t> </w:t>
      </w:r>
      <w:r>
        <w:rPr/>
        <w:t>日与中国工 </w:t>
      </w:r>
      <w:r>
        <w:rPr>
          <w:spacing w:val="-2"/>
        </w:rPr>
        <w:t>商银行股份有限公司北京经济技术开发区支行签订的最高额抵押合同，将抵押物变更为该公司位于北京经济技术开发区瑞合</w:t>
      </w:r>
      <w:r>
        <w:rPr>
          <w:spacing w:val="-64"/>
        </w:rPr>
        <w:t> </w:t>
      </w:r>
      <w:r>
        <w:rPr>
          <w:spacing w:val="-64"/>
        </w:rPr>
      </w:r>
      <w:r>
        <w:rPr/>
        <w:t>西二路</w:t>
      </w:r>
      <w:r>
        <w:rPr>
          <w:spacing w:val="-57"/>
        </w:rPr>
        <w:t> </w:t>
      </w:r>
      <w:r>
        <w:rPr>
          <w:rFonts w:ascii="宋体" w:hAnsi="宋体" w:cs="宋体" w:eastAsia="宋体" w:hint="default"/>
        </w:rPr>
        <w:t>6</w:t>
      </w:r>
      <w:r>
        <w:rPr>
          <w:rFonts w:ascii="宋体" w:hAnsi="宋体" w:cs="宋体" w:eastAsia="宋体" w:hint="default"/>
          <w:spacing w:val="-57"/>
        </w:rPr>
        <w:t> </w:t>
      </w:r>
      <w:r>
        <w:rPr/>
        <w:t>号院</w:t>
      </w:r>
      <w:r>
        <w:rPr>
          <w:spacing w:val="-59"/>
        </w:rPr>
        <w:t> </w:t>
      </w:r>
      <w:r>
        <w:rPr>
          <w:rFonts w:ascii="宋体" w:hAnsi="宋体" w:cs="宋体" w:eastAsia="宋体" w:hint="default"/>
        </w:rPr>
        <w:t>1</w:t>
      </w:r>
      <w:r>
        <w:rPr>
          <w:rFonts w:ascii="宋体" w:hAnsi="宋体" w:cs="宋体" w:eastAsia="宋体" w:hint="default"/>
          <w:spacing w:val="-57"/>
        </w:rPr>
        <w:t> </w:t>
      </w:r>
      <w:r>
        <w:rPr/>
        <w:t>号楼等六幢楼的房屋所有权及对应的土地使用权（不动产权号：京（</w:t>
      </w:r>
      <w:r>
        <w:rPr>
          <w:rFonts w:ascii="宋体" w:hAnsi="宋体" w:cs="宋体" w:eastAsia="宋体" w:hint="default"/>
        </w:rPr>
        <w:t>2016</w:t>
      </w:r>
      <w:r>
        <w:rPr/>
        <w:t>）开发区不动产第</w:t>
      </w:r>
      <w:r>
        <w:rPr>
          <w:spacing w:val="-57"/>
        </w:rPr>
        <w:t> </w:t>
      </w:r>
      <w:r>
        <w:rPr>
          <w:rFonts w:ascii="宋体" w:hAnsi="宋体" w:cs="宋体" w:eastAsia="宋体" w:hint="default"/>
        </w:rPr>
        <w:t>0019466</w:t>
      </w:r>
      <w:r>
        <w:rPr>
          <w:rFonts w:ascii="宋体" w:hAnsi="宋体" w:cs="宋体" w:eastAsia="宋体" w:hint="default"/>
          <w:spacing w:val="-56"/>
        </w:rPr>
        <w:t> </w:t>
      </w:r>
      <w:r>
        <w:rPr>
          <w:spacing w:val="-7"/>
        </w:rPr>
        <w:t>号、京</w:t>
      </w:r>
    </w:p>
    <w:p>
      <w:pPr>
        <w:pStyle w:val="BodyText"/>
        <w:spacing w:line="240" w:lineRule="auto" w:before="19"/>
        <w:ind w:right="0"/>
        <w:jc w:val="both"/>
        <w:rPr>
          <w:rFonts w:ascii="宋体" w:hAnsi="宋体" w:cs="宋体" w:eastAsia="宋体" w:hint="default"/>
        </w:rPr>
      </w:pPr>
      <w:r>
        <w:rPr/>
        <w:t>（</w:t>
      </w:r>
      <w:r>
        <w:rPr>
          <w:rFonts w:ascii="宋体" w:hAnsi="宋体" w:cs="宋体" w:eastAsia="宋体" w:hint="default"/>
        </w:rPr>
        <w:t>2016</w:t>
      </w:r>
      <w:r>
        <w:rPr/>
        <w:t>）开发区不动产权第</w:t>
      </w:r>
      <w:r>
        <w:rPr>
          <w:spacing w:val="-48"/>
        </w:rPr>
        <w:t> </w:t>
      </w:r>
      <w:r>
        <w:rPr>
          <w:rFonts w:ascii="宋体" w:hAnsi="宋体" w:cs="宋体" w:eastAsia="宋体" w:hint="default"/>
        </w:rPr>
        <w:t>0019668</w:t>
      </w:r>
      <w:r>
        <w:rPr>
          <w:rFonts w:ascii="宋体" w:hAnsi="宋体" w:cs="宋体" w:eastAsia="宋体" w:hint="default"/>
          <w:spacing w:val="-44"/>
        </w:rPr>
        <w:t> </w:t>
      </w:r>
      <w:r>
        <w:rPr>
          <w:spacing w:val="-8"/>
        </w:rPr>
        <w:t>号）；</w:t>
      </w:r>
      <w:r>
        <w:rPr>
          <w:rFonts w:ascii="宋体" w:hAnsi="宋体" w:cs="宋体" w:eastAsia="宋体" w:hint="default"/>
          <w:spacing w:val="-8"/>
        </w:rPr>
        <w:t>2017</w:t>
      </w:r>
      <w:r>
        <w:rPr>
          <w:rFonts w:ascii="宋体" w:hAnsi="宋体" w:cs="宋体" w:eastAsia="宋体" w:hint="default"/>
          <w:spacing w:val="-44"/>
        </w:rPr>
        <w:t> </w:t>
      </w:r>
      <w:r>
        <w:rPr/>
        <w:t>年</w:t>
      </w:r>
      <w:r>
        <w:rPr>
          <w:spacing w:val="-48"/>
        </w:rPr>
        <w:t> </w:t>
      </w:r>
      <w:r>
        <w:rPr>
          <w:rFonts w:ascii="宋体" w:hAnsi="宋体" w:cs="宋体" w:eastAsia="宋体" w:hint="default"/>
        </w:rPr>
        <w:t>6</w:t>
      </w:r>
      <w:r>
        <w:rPr>
          <w:rFonts w:ascii="宋体" w:hAnsi="宋体" w:cs="宋体" w:eastAsia="宋体" w:hint="default"/>
          <w:spacing w:val="-45"/>
        </w:rPr>
        <w:t> </w:t>
      </w:r>
      <w:r>
        <w:rPr/>
        <w:t>月</w:t>
      </w:r>
      <w:r>
        <w:rPr>
          <w:spacing w:val="-48"/>
        </w:rPr>
        <w:t> </w:t>
      </w:r>
      <w:r>
        <w:rPr>
          <w:rFonts w:ascii="宋体" w:hAnsi="宋体" w:cs="宋体" w:eastAsia="宋体" w:hint="default"/>
        </w:rPr>
        <w:t>15</w:t>
      </w:r>
      <w:r>
        <w:rPr>
          <w:rFonts w:ascii="宋体" w:hAnsi="宋体" w:cs="宋体" w:eastAsia="宋体" w:hint="default"/>
          <w:spacing w:val="-45"/>
        </w:rPr>
        <w:t> </w:t>
      </w:r>
      <w:r>
        <w:rPr>
          <w:spacing w:val="-4"/>
        </w:rPr>
        <w:t>日签订《固定资产借款合同》（编号：</w:t>
      </w:r>
      <w:r>
        <w:rPr>
          <w:rFonts w:ascii="宋体" w:hAnsi="宋体" w:cs="宋体" w:eastAsia="宋体" w:hint="default"/>
          <w:spacing w:val="-4"/>
        </w:rPr>
        <w:t>0020000094-2017</w:t>
      </w:r>
      <w:r>
        <w:rPr>
          <w:rFonts w:ascii="宋体" w:hAnsi="宋体" w:cs="宋体" w:eastAsia="宋体" w:hint="default"/>
          <w:spacing w:val="-44"/>
        </w:rPr>
        <w:t> </w:t>
      </w:r>
      <w:r>
        <w:rPr/>
        <w:t>年</w:t>
      </w:r>
      <w:r>
        <w:rPr>
          <w:rFonts w:ascii="宋体" w:hAnsi="宋体" w:cs="宋体" w:eastAsia="宋体" w:hint="default"/>
        </w:rPr>
        <w:t>(</w:t>
      </w:r>
      <w:r>
        <w:rPr/>
        <w:t>亦庄</w:t>
      </w:r>
      <w:r>
        <w:rPr>
          <w:rFonts w:ascii="宋体" w:hAnsi="宋体" w:cs="宋体" w:eastAsia="宋体" w:hint="default"/>
        </w:rPr>
        <w:t>)</w:t>
      </w:r>
    </w:p>
    <w:p>
      <w:pPr>
        <w:pStyle w:val="BodyText"/>
        <w:spacing w:line="240" w:lineRule="auto" w:before="76"/>
        <w:ind w:right="0"/>
        <w:jc w:val="both"/>
      </w:pPr>
      <w:r>
        <w:rPr/>
        <w:t>字</w:t>
      </w:r>
      <w:r>
        <w:rPr>
          <w:spacing w:val="-45"/>
        </w:rPr>
        <w:t> </w:t>
      </w:r>
      <w:r>
        <w:rPr>
          <w:rFonts w:ascii="宋体" w:hAnsi="宋体" w:cs="宋体" w:eastAsia="宋体" w:hint="default"/>
        </w:rPr>
        <w:t>00073</w:t>
      </w:r>
      <w:r>
        <w:rPr>
          <w:rFonts w:ascii="宋体" w:hAnsi="宋体" w:cs="宋体" w:eastAsia="宋体" w:hint="default"/>
          <w:spacing w:val="-44"/>
        </w:rPr>
        <w:t> </w:t>
      </w:r>
      <w:r>
        <w:rPr/>
        <w:t>号），贷款额度为壹亿肆仟伍佰万元整，贷款期限自实际开始提款日起不超过</w:t>
      </w:r>
      <w:r>
        <w:rPr>
          <w:spacing w:val="-45"/>
        </w:rPr>
        <w:t> </w:t>
      </w:r>
      <w:r>
        <w:rPr>
          <w:rFonts w:ascii="宋体" w:hAnsi="宋体" w:cs="宋体" w:eastAsia="宋体" w:hint="default"/>
        </w:rPr>
        <w:t>8</w:t>
      </w:r>
      <w:r>
        <w:rPr>
          <w:rFonts w:ascii="宋体" w:hAnsi="宋体" w:cs="宋体" w:eastAsia="宋体" w:hint="default"/>
          <w:spacing w:val="-47"/>
        </w:rPr>
        <w:t> </w:t>
      </w:r>
      <w:r>
        <w:rPr/>
        <w:t>年。截止</w:t>
      </w:r>
      <w:r>
        <w:rPr>
          <w:spacing w:val="-45"/>
        </w:rPr>
        <w:t> </w:t>
      </w:r>
      <w:r>
        <w:rPr>
          <w:rFonts w:ascii="宋体" w:hAnsi="宋体" w:cs="宋体" w:eastAsia="宋体" w:hint="default"/>
        </w:rPr>
        <w:t>2017</w:t>
      </w:r>
      <w:r>
        <w:rPr>
          <w:rFonts w:ascii="宋体" w:hAnsi="宋体" w:cs="宋体" w:eastAsia="宋体" w:hint="default"/>
          <w:spacing w:val="-47"/>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8"/>
        </w:rPr>
        <w:t> </w:t>
      </w:r>
      <w:r>
        <w:rPr>
          <w:rFonts w:ascii="宋体" w:hAnsi="宋体" w:cs="宋体" w:eastAsia="宋体" w:hint="default"/>
        </w:rPr>
        <w:t>31</w:t>
      </w:r>
      <w:r>
        <w:rPr>
          <w:rFonts w:ascii="宋体" w:hAnsi="宋体" w:cs="宋体" w:eastAsia="宋体" w:hint="default"/>
          <w:spacing w:val="-45"/>
        </w:rPr>
        <w:t> </w:t>
      </w:r>
      <w:r>
        <w:rPr/>
        <w:t>日，公</w:t>
      </w:r>
    </w:p>
    <w:p>
      <w:pPr>
        <w:pStyle w:val="BodyText"/>
        <w:spacing w:line="316" w:lineRule="auto" w:before="76"/>
        <w:ind w:left="513" w:right="143" w:hanging="361"/>
        <w:jc w:val="left"/>
      </w:pPr>
      <w:r>
        <w:rPr/>
        <w:t>司贷款余额</w:t>
      </w:r>
      <w:r>
        <w:rPr>
          <w:spacing w:val="-44"/>
        </w:rPr>
        <w:t> </w:t>
      </w:r>
      <w:r>
        <w:rPr>
          <w:rFonts w:ascii="宋体" w:hAnsi="宋体" w:cs="宋体" w:eastAsia="宋体" w:hint="default"/>
        </w:rPr>
        <w:t>409,924,128.91</w:t>
      </w:r>
      <w:r>
        <w:rPr>
          <w:rFonts w:ascii="宋体" w:hAnsi="宋体" w:cs="宋体" w:eastAsia="宋体" w:hint="default"/>
          <w:spacing w:val="-43"/>
        </w:rPr>
        <w:t> </w:t>
      </w:r>
      <w:r>
        <w:rPr>
          <w:spacing w:val="-3"/>
        </w:rPr>
        <w:t>元。 </w:t>
      </w:r>
      <w:r>
        <w:rPr>
          <w:rFonts w:ascii="宋体" w:hAnsi="宋体" w:cs="宋体" w:eastAsia="宋体" w:hint="default"/>
        </w:rPr>
        <w:t>4</w:t>
      </w:r>
      <w:r>
        <w:rPr/>
        <w:t>）公司子公司北京中金云网科技有限公司与仲信国际租赁有限公司签订相关售后回租合同，将公司拥有的部分生产设</w:t>
      </w:r>
    </w:p>
    <w:p>
      <w:pPr>
        <w:pStyle w:val="BodyText"/>
        <w:spacing w:line="240" w:lineRule="auto" w:before="19"/>
        <w:ind w:right="0"/>
        <w:jc w:val="both"/>
        <w:rPr>
          <w:rFonts w:ascii="宋体" w:hAnsi="宋体" w:cs="宋体" w:eastAsia="宋体" w:hint="default"/>
        </w:rPr>
      </w:pPr>
      <w:r>
        <w:rPr>
          <w:spacing w:val="-4"/>
        </w:rPr>
        <w:t>备以“售后回租”租赁方式与仲信国际租赁有限公司开展融资租赁交易，融资金额 </w:t>
      </w:r>
      <w:r>
        <w:rPr>
          <w:rFonts w:ascii="宋体" w:hAnsi="宋体" w:cs="宋体" w:eastAsia="宋体" w:hint="default"/>
        </w:rPr>
        <w:t>30,000,000.00 </w:t>
      </w:r>
      <w:r>
        <w:rPr>
          <w:spacing w:val="-6"/>
        </w:rPr>
        <w:t>元，售后回租期限为</w:t>
      </w:r>
      <w:r>
        <w:rPr>
          <w:spacing w:val="-71"/>
        </w:rPr>
        <w:t> </w:t>
      </w:r>
      <w:r>
        <w:rPr>
          <w:rFonts w:ascii="宋体" w:hAnsi="宋体" w:cs="宋体" w:eastAsia="宋体" w:hint="default"/>
        </w:rPr>
        <w:t>2014</w:t>
      </w:r>
    </w:p>
    <w:p>
      <w:pPr>
        <w:pStyle w:val="BodyText"/>
        <w:spacing w:line="240" w:lineRule="auto" w:before="77"/>
        <w:ind w:right="0"/>
        <w:jc w:val="both"/>
      </w:pPr>
      <w:r>
        <w:rPr/>
        <w:t>年</w:t>
      </w:r>
      <w:r>
        <w:rPr>
          <w:spacing w:val="-41"/>
        </w:rPr>
        <w:t> </w:t>
      </w:r>
      <w:r>
        <w:rPr>
          <w:rFonts w:ascii="宋体" w:hAnsi="宋体" w:cs="宋体" w:eastAsia="宋体" w:hint="default"/>
        </w:rPr>
        <w:t>10</w:t>
      </w:r>
      <w:r>
        <w:rPr>
          <w:rFonts w:ascii="宋体" w:hAnsi="宋体" w:cs="宋体" w:eastAsia="宋体" w:hint="default"/>
          <w:spacing w:val="-43"/>
        </w:rPr>
        <w:t> </w:t>
      </w:r>
      <w:r>
        <w:rPr/>
        <w:t>月</w:t>
      </w:r>
      <w:r>
        <w:rPr>
          <w:spacing w:val="-42"/>
        </w:rPr>
        <w:t> </w:t>
      </w:r>
      <w:r>
        <w:rPr>
          <w:rFonts w:ascii="宋体" w:hAnsi="宋体" w:cs="宋体" w:eastAsia="宋体" w:hint="default"/>
        </w:rPr>
        <w:t>29</w:t>
      </w:r>
      <w:r>
        <w:rPr>
          <w:rFonts w:ascii="宋体" w:hAnsi="宋体" w:cs="宋体" w:eastAsia="宋体" w:hint="default"/>
          <w:spacing w:val="-41"/>
        </w:rPr>
        <w:t> </w:t>
      </w:r>
      <w:r>
        <w:rPr/>
        <w:t>日至</w:t>
      </w:r>
      <w:r>
        <w:rPr>
          <w:spacing w:val="-44"/>
        </w:rPr>
        <w:t> </w:t>
      </w:r>
      <w:r>
        <w:rPr>
          <w:rFonts w:ascii="宋体" w:hAnsi="宋体" w:cs="宋体" w:eastAsia="宋体" w:hint="default"/>
        </w:rPr>
        <w:t>2017</w:t>
      </w:r>
      <w:r>
        <w:rPr>
          <w:rFonts w:ascii="宋体" w:hAnsi="宋体" w:cs="宋体" w:eastAsia="宋体" w:hint="default"/>
          <w:spacing w:val="-43"/>
        </w:rPr>
        <w:t> </w:t>
      </w:r>
      <w:r>
        <w:rPr/>
        <w:t>年</w:t>
      </w:r>
      <w:r>
        <w:rPr>
          <w:spacing w:val="-42"/>
        </w:rPr>
        <w:t> </w:t>
      </w:r>
      <w:r>
        <w:rPr>
          <w:rFonts w:ascii="宋体" w:hAnsi="宋体" w:cs="宋体" w:eastAsia="宋体" w:hint="default"/>
        </w:rPr>
        <w:t>10</w:t>
      </w:r>
      <w:r>
        <w:rPr>
          <w:rFonts w:ascii="宋体" w:hAnsi="宋体" w:cs="宋体" w:eastAsia="宋体" w:hint="default"/>
          <w:spacing w:val="-41"/>
        </w:rPr>
        <w:t> </w:t>
      </w:r>
      <w:r>
        <w:rPr/>
        <w:t>月</w:t>
      </w:r>
      <w:r>
        <w:rPr>
          <w:spacing w:val="-44"/>
        </w:rPr>
        <w:t> </w:t>
      </w:r>
      <w:r>
        <w:rPr>
          <w:rFonts w:ascii="宋体" w:hAnsi="宋体" w:cs="宋体" w:eastAsia="宋体" w:hint="default"/>
        </w:rPr>
        <w:t>2</w:t>
      </w:r>
      <w:r>
        <w:rPr>
          <w:rFonts w:ascii="宋体" w:hAnsi="宋体" w:cs="宋体" w:eastAsia="宋体" w:hint="default"/>
          <w:spacing w:val="-41"/>
        </w:rPr>
        <w:t> </w:t>
      </w:r>
      <w:r>
        <w:rPr>
          <w:spacing w:val="-3"/>
        </w:rPr>
        <w:t>日，融资期限为三年，租赁期满，公司拥有所有权，中金数据系统有限公司为连带责任保证</w:t>
      </w:r>
    </w:p>
    <w:p>
      <w:pPr>
        <w:pStyle w:val="BodyText"/>
        <w:spacing w:line="316" w:lineRule="auto" w:before="76"/>
        <w:ind w:left="513" w:right="143" w:hanging="361"/>
        <w:jc w:val="left"/>
      </w:pPr>
      <w:r>
        <w:rPr/>
        <w:t>人。截止</w:t>
      </w:r>
      <w:r>
        <w:rPr>
          <w:spacing w:val="-45"/>
        </w:rPr>
        <w:t> </w:t>
      </w:r>
      <w:r>
        <w:rPr>
          <w:rFonts w:ascii="宋体" w:hAnsi="宋体" w:cs="宋体" w:eastAsia="宋体" w:hint="default"/>
        </w:rPr>
        <w:t>2017</w:t>
      </w:r>
      <w:r>
        <w:rPr>
          <w:rFonts w:ascii="宋体" w:hAnsi="宋体" w:cs="宋体" w:eastAsia="宋体" w:hint="default"/>
          <w:spacing w:val="-47"/>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8"/>
        </w:rPr>
        <w:t> </w:t>
      </w:r>
      <w:r>
        <w:rPr>
          <w:rFonts w:ascii="宋体" w:hAnsi="宋体" w:cs="宋体" w:eastAsia="宋体" w:hint="default"/>
        </w:rPr>
        <w:t>31</w:t>
      </w:r>
      <w:r>
        <w:rPr>
          <w:rFonts w:ascii="宋体" w:hAnsi="宋体" w:cs="宋体" w:eastAsia="宋体" w:hint="default"/>
          <w:spacing w:val="-45"/>
        </w:rPr>
        <w:t> </w:t>
      </w:r>
      <w:r>
        <w:rPr/>
        <w:t>日，合同已执行完毕，所有应付款项均已偿还。 </w:t>
      </w:r>
      <w:r>
        <w:rPr>
          <w:rFonts w:ascii="宋体" w:hAnsi="宋体" w:cs="宋体" w:eastAsia="宋体" w:hint="default"/>
        </w:rPr>
        <w:t>5</w:t>
      </w:r>
      <w:r>
        <w:rPr/>
        <w:t>）公司子公司北京中金云网科技有限公司与上海电气融资有限公司签订了融资租赁合同，租赁物为冷水机组，开展融</w:t>
      </w:r>
    </w:p>
    <w:p>
      <w:pPr>
        <w:pStyle w:val="BodyText"/>
        <w:spacing w:line="240" w:lineRule="auto" w:before="19"/>
        <w:ind w:right="0"/>
        <w:jc w:val="both"/>
      </w:pPr>
      <w:r>
        <w:rPr/>
        <w:t>资租赁交易，融资金额</w:t>
      </w:r>
      <w:r>
        <w:rPr>
          <w:spacing w:val="-49"/>
        </w:rPr>
        <w:t> </w:t>
      </w:r>
      <w:r>
        <w:rPr>
          <w:rFonts w:ascii="宋体" w:hAnsi="宋体" w:cs="宋体" w:eastAsia="宋体" w:hint="default"/>
        </w:rPr>
        <w:t>9,800,517.00</w:t>
      </w:r>
      <w:r>
        <w:rPr>
          <w:rFonts w:ascii="宋体" w:hAnsi="宋体" w:cs="宋体" w:eastAsia="宋体" w:hint="default"/>
          <w:spacing w:val="-46"/>
        </w:rPr>
        <w:t> </w:t>
      </w:r>
      <w:r>
        <w:rPr/>
        <w:t>元，租赁起止日期为</w:t>
      </w:r>
      <w:r>
        <w:rPr>
          <w:spacing w:val="-9"/>
        </w:rPr>
        <w:t> </w:t>
      </w:r>
      <w:r>
        <w:rPr>
          <w:rFonts w:ascii="宋体" w:hAnsi="宋体" w:cs="宋体" w:eastAsia="宋体" w:hint="default"/>
        </w:rPr>
        <w:t>2012</w:t>
      </w:r>
      <w:r>
        <w:rPr>
          <w:rFonts w:ascii="宋体" w:hAnsi="宋体" w:cs="宋体" w:eastAsia="宋体" w:hint="default"/>
          <w:spacing w:val="-47"/>
        </w:rPr>
        <w:t> </w:t>
      </w:r>
      <w:r>
        <w:rPr/>
        <w:t>年</w:t>
      </w:r>
      <w:r>
        <w:rPr>
          <w:spacing w:val="-51"/>
        </w:rPr>
        <w:t> </w:t>
      </w:r>
      <w:r>
        <w:rPr>
          <w:rFonts w:ascii="宋体" w:hAnsi="宋体" w:cs="宋体" w:eastAsia="宋体" w:hint="default"/>
        </w:rPr>
        <w:t>7</w:t>
      </w:r>
      <w:r>
        <w:rPr>
          <w:rFonts w:ascii="宋体" w:hAnsi="宋体" w:cs="宋体" w:eastAsia="宋体" w:hint="default"/>
          <w:spacing w:val="-48"/>
        </w:rPr>
        <w:t> </w:t>
      </w:r>
      <w:r>
        <w:rPr/>
        <w:t>月</w:t>
      </w:r>
      <w:r>
        <w:rPr>
          <w:spacing w:val="-51"/>
        </w:rPr>
        <w:t> </w:t>
      </w:r>
      <w:r>
        <w:rPr>
          <w:rFonts w:ascii="宋体" w:hAnsi="宋体" w:cs="宋体" w:eastAsia="宋体" w:hint="default"/>
        </w:rPr>
        <w:t>6</w:t>
      </w:r>
      <w:r>
        <w:rPr>
          <w:rFonts w:ascii="宋体" w:hAnsi="宋体" w:cs="宋体" w:eastAsia="宋体" w:hint="default"/>
          <w:spacing w:val="-48"/>
        </w:rPr>
        <w:t> </w:t>
      </w:r>
      <w:r>
        <w:rPr/>
        <w:t>日至</w:t>
      </w:r>
      <w:r>
        <w:rPr>
          <w:spacing w:val="-49"/>
        </w:rPr>
        <w:t> </w:t>
      </w:r>
      <w:r>
        <w:rPr>
          <w:rFonts w:ascii="宋体" w:hAnsi="宋体" w:cs="宋体" w:eastAsia="宋体" w:hint="default"/>
        </w:rPr>
        <w:t>2017</w:t>
      </w:r>
      <w:r>
        <w:rPr>
          <w:rFonts w:ascii="宋体" w:hAnsi="宋体" w:cs="宋体" w:eastAsia="宋体" w:hint="default"/>
          <w:spacing w:val="-47"/>
        </w:rPr>
        <w:t> </w:t>
      </w:r>
      <w:r>
        <w:rPr/>
        <w:t>年</w:t>
      </w:r>
      <w:r>
        <w:rPr>
          <w:spacing w:val="-51"/>
        </w:rPr>
        <w:t> </w:t>
      </w:r>
      <w:r>
        <w:rPr>
          <w:rFonts w:ascii="宋体" w:hAnsi="宋体" w:cs="宋体" w:eastAsia="宋体" w:hint="default"/>
        </w:rPr>
        <w:t>7</w:t>
      </w:r>
      <w:r>
        <w:rPr>
          <w:rFonts w:ascii="宋体" w:hAnsi="宋体" w:cs="宋体" w:eastAsia="宋体" w:hint="default"/>
          <w:spacing w:val="-48"/>
        </w:rPr>
        <w:t> </w:t>
      </w:r>
      <w:r>
        <w:rPr/>
        <w:t>月</w:t>
      </w:r>
      <w:r>
        <w:rPr>
          <w:spacing w:val="-51"/>
        </w:rPr>
        <w:t> </w:t>
      </w:r>
      <w:r>
        <w:rPr>
          <w:rFonts w:ascii="宋体" w:hAnsi="宋体" w:cs="宋体" w:eastAsia="宋体" w:hint="default"/>
        </w:rPr>
        <w:t>5</w:t>
      </w:r>
      <w:r>
        <w:rPr>
          <w:rFonts w:ascii="宋体" w:hAnsi="宋体" w:cs="宋体" w:eastAsia="宋体" w:hint="default"/>
          <w:spacing w:val="-48"/>
        </w:rPr>
        <w:t> </w:t>
      </w:r>
      <w:r>
        <w:rPr/>
        <w:t>日，融资期限为五年，租赁期</w:t>
      </w:r>
    </w:p>
    <w:p>
      <w:pPr>
        <w:pStyle w:val="BodyText"/>
        <w:spacing w:line="316" w:lineRule="auto" w:before="76"/>
        <w:ind w:right="158"/>
        <w:jc w:val="both"/>
      </w:pPr>
      <w:r>
        <w:rPr/>
        <w:t>满，公司拥有所有权，中金数据系统有限公司为连带责任保证人。截止</w:t>
      </w:r>
      <w:r>
        <w:rPr>
          <w:spacing w:val="-44"/>
        </w:rPr>
        <w:t> </w:t>
      </w:r>
      <w:r>
        <w:rPr>
          <w:rFonts w:ascii="宋体" w:hAnsi="宋体" w:cs="宋体" w:eastAsia="宋体" w:hint="default"/>
        </w:rPr>
        <w:t>2017</w:t>
      </w:r>
      <w:r>
        <w:rPr>
          <w:rFonts w:ascii="宋体" w:hAnsi="宋体" w:cs="宋体" w:eastAsia="宋体" w:hint="default"/>
          <w:spacing w:val="-47"/>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8"/>
        </w:rPr>
        <w:t> </w:t>
      </w:r>
      <w:r>
        <w:rPr>
          <w:rFonts w:ascii="宋体" w:hAnsi="宋体" w:cs="宋体" w:eastAsia="宋体" w:hint="default"/>
        </w:rPr>
        <w:t>31</w:t>
      </w:r>
      <w:r>
        <w:rPr>
          <w:rFonts w:ascii="宋体" w:hAnsi="宋体" w:cs="宋体" w:eastAsia="宋体" w:hint="default"/>
          <w:spacing w:val="-45"/>
        </w:rPr>
        <w:t> </w:t>
      </w:r>
      <w:r>
        <w:rPr/>
        <w:t>日，合同已执行完毕，所有应付款 项均已偿还。</w:t>
      </w:r>
    </w:p>
    <w:p>
      <w:pPr>
        <w:pStyle w:val="BodyText"/>
        <w:spacing w:line="316" w:lineRule="auto" w:before="19"/>
        <w:ind w:right="144" w:firstLine="360"/>
        <w:jc w:val="left"/>
      </w:pPr>
      <w:r>
        <w:rPr>
          <w:rFonts w:ascii="宋体" w:hAnsi="宋体" w:cs="宋体" w:eastAsia="宋体" w:hint="default"/>
        </w:rPr>
        <w:t>6</w:t>
      </w:r>
      <w:r>
        <w:rPr/>
        <w:t>）子公司北京中金云网科技有限公司签订融资租赁业务合同，中金数据系统有限公司为连带责任保证人，未执行完毕 合同相关说明详见“十一节、财务报告、七、</w:t>
      </w:r>
      <w:r>
        <w:rPr>
          <w:rFonts w:ascii="宋体" w:hAnsi="宋体" w:cs="宋体" w:eastAsia="宋体" w:hint="default"/>
        </w:rPr>
        <w:t>10</w:t>
      </w:r>
      <w:r>
        <w:rPr/>
        <w:t>、固定资产。</w:t>
      </w:r>
    </w:p>
    <w:p>
      <w:pPr>
        <w:pStyle w:val="BodyText"/>
        <w:spacing w:line="240" w:lineRule="auto" w:before="19"/>
        <w:ind w:left="513" w:right="0"/>
        <w:jc w:val="left"/>
      </w:pPr>
      <w:r>
        <w:rPr>
          <w:rFonts w:ascii="宋体" w:hAnsi="宋体" w:cs="宋体" w:eastAsia="宋体" w:hint="default"/>
        </w:rPr>
        <w:t>7</w:t>
      </w:r>
      <w:r>
        <w:rPr/>
        <w:t>）</w:t>
      </w:r>
      <w:r>
        <w:rPr>
          <w:rFonts w:ascii="宋体" w:hAnsi="宋体" w:cs="宋体" w:eastAsia="宋体" w:hint="default"/>
        </w:rPr>
        <w:t>2017</w:t>
      </w:r>
      <w:r>
        <w:rPr>
          <w:rFonts w:ascii="宋体" w:hAnsi="宋体" w:cs="宋体" w:eastAsia="宋体" w:hint="default"/>
          <w:spacing w:val="-46"/>
        </w:rPr>
        <w:t> </w:t>
      </w:r>
      <w:r>
        <w:rPr/>
        <w:t>年</w:t>
      </w:r>
      <w:r>
        <w:rPr>
          <w:spacing w:val="-47"/>
        </w:rPr>
        <w:t> </w:t>
      </w:r>
      <w:r>
        <w:rPr>
          <w:rFonts w:ascii="宋体" w:hAnsi="宋体" w:cs="宋体" w:eastAsia="宋体" w:hint="default"/>
        </w:rPr>
        <w:t>10</w:t>
      </w:r>
      <w:r>
        <w:rPr>
          <w:rFonts w:ascii="宋体" w:hAnsi="宋体" w:cs="宋体" w:eastAsia="宋体" w:hint="default"/>
          <w:spacing w:val="-46"/>
        </w:rPr>
        <w:t> </w:t>
      </w:r>
      <w:r>
        <w:rPr/>
        <w:t>月</w:t>
      </w:r>
      <w:r>
        <w:rPr>
          <w:spacing w:val="-49"/>
        </w:rPr>
        <w:t> </w:t>
      </w:r>
      <w:r>
        <w:rPr>
          <w:rFonts w:ascii="宋体" w:hAnsi="宋体" w:cs="宋体" w:eastAsia="宋体" w:hint="default"/>
        </w:rPr>
        <w:t>16</w:t>
      </w:r>
      <w:r>
        <w:rPr>
          <w:rFonts w:ascii="宋体" w:hAnsi="宋体" w:cs="宋体" w:eastAsia="宋体" w:hint="default"/>
          <w:spacing w:val="-46"/>
        </w:rPr>
        <w:t> </w:t>
      </w:r>
      <w:r>
        <w:rPr/>
        <w:t>日，北京光环新网科技股份有限公司与中国民生银行有限公司北京分行签订（公授信字第</w:t>
      </w:r>
    </w:p>
    <w:p>
      <w:pPr>
        <w:pStyle w:val="BodyText"/>
        <w:spacing w:line="240" w:lineRule="auto" w:before="76"/>
        <w:ind w:right="0"/>
        <w:jc w:val="both"/>
      </w:pPr>
      <w:r>
        <w:rPr>
          <w:rFonts w:ascii="宋体" w:hAnsi="宋体" w:cs="宋体" w:eastAsia="宋体" w:hint="default"/>
        </w:rPr>
        <w:t>1700000114229</w:t>
      </w:r>
      <w:r>
        <w:rPr/>
        <w:t>）综合授信合同，授信期限</w:t>
      </w:r>
      <w:r>
        <w:rPr>
          <w:spacing w:val="-45"/>
        </w:rPr>
        <w:t> </w:t>
      </w:r>
      <w:r>
        <w:rPr>
          <w:rFonts w:ascii="宋体" w:hAnsi="宋体" w:cs="宋体" w:eastAsia="宋体" w:hint="default"/>
        </w:rPr>
        <w:t>2017</w:t>
      </w:r>
      <w:r>
        <w:rPr>
          <w:rFonts w:ascii="宋体" w:hAnsi="宋体" w:cs="宋体" w:eastAsia="宋体" w:hint="default"/>
          <w:spacing w:val="-47"/>
        </w:rPr>
        <w:t> </w:t>
      </w:r>
      <w:r>
        <w:rPr/>
        <w:t>年</w:t>
      </w:r>
      <w:r>
        <w:rPr>
          <w:spacing w:val="-46"/>
        </w:rPr>
        <w:t> </w:t>
      </w:r>
      <w:r>
        <w:rPr>
          <w:rFonts w:ascii="宋体" w:hAnsi="宋体" w:cs="宋体" w:eastAsia="宋体" w:hint="default"/>
        </w:rPr>
        <w:t>10</w:t>
      </w:r>
      <w:r>
        <w:rPr>
          <w:rFonts w:ascii="宋体" w:hAnsi="宋体" w:cs="宋体" w:eastAsia="宋体" w:hint="default"/>
          <w:spacing w:val="-45"/>
        </w:rPr>
        <w:t> </w:t>
      </w:r>
      <w:r>
        <w:rPr/>
        <w:t>月</w:t>
      </w:r>
      <w:r>
        <w:rPr>
          <w:spacing w:val="-48"/>
        </w:rPr>
        <w:t> </w:t>
      </w:r>
      <w:r>
        <w:rPr>
          <w:rFonts w:ascii="宋体" w:hAnsi="宋体" w:cs="宋体" w:eastAsia="宋体" w:hint="default"/>
        </w:rPr>
        <w:t>16</w:t>
      </w:r>
      <w:r>
        <w:rPr>
          <w:rFonts w:ascii="宋体" w:hAnsi="宋体" w:cs="宋体" w:eastAsia="宋体" w:hint="default"/>
          <w:spacing w:val="-45"/>
        </w:rPr>
        <w:t> </w:t>
      </w:r>
      <w:r>
        <w:rPr/>
        <w:t>日至</w:t>
      </w:r>
      <w:r>
        <w:rPr>
          <w:spacing w:val="-46"/>
        </w:rPr>
        <w:t> </w:t>
      </w:r>
      <w:r>
        <w:rPr>
          <w:rFonts w:ascii="宋体" w:hAnsi="宋体" w:cs="宋体" w:eastAsia="宋体" w:hint="default"/>
        </w:rPr>
        <w:t>2018</w:t>
      </w:r>
      <w:r>
        <w:rPr>
          <w:rFonts w:ascii="宋体" w:hAnsi="宋体" w:cs="宋体" w:eastAsia="宋体" w:hint="default"/>
          <w:spacing w:val="-46"/>
        </w:rPr>
        <w:t> </w:t>
      </w:r>
      <w:r>
        <w:rPr/>
        <w:t>年</w:t>
      </w:r>
      <w:r>
        <w:rPr>
          <w:spacing w:val="-46"/>
        </w:rPr>
        <w:t> </w:t>
      </w:r>
      <w:r>
        <w:rPr>
          <w:rFonts w:ascii="宋体" w:hAnsi="宋体" w:cs="宋体" w:eastAsia="宋体" w:hint="default"/>
        </w:rPr>
        <w:t>10</w:t>
      </w:r>
      <w:r>
        <w:rPr>
          <w:rFonts w:ascii="宋体" w:hAnsi="宋体" w:cs="宋体" w:eastAsia="宋体" w:hint="default"/>
          <w:spacing w:val="-45"/>
        </w:rPr>
        <w:t> </w:t>
      </w:r>
      <w:r>
        <w:rPr/>
        <w:t>月</w:t>
      </w:r>
      <w:r>
        <w:rPr>
          <w:spacing w:val="-48"/>
        </w:rPr>
        <w:t> </w:t>
      </w:r>
      <w:r>
        <w:rPr>
          <w:rFonts w:ascii="宋体" w:hAnsi="宋体" w:cs="宋体" w:eastAsia="宋体" w:hint="default"/>
        </w:rPr>
        <w:t>15</w:t>
      </w:r>
      <w:r>
        <w:rPr>
          <w:rFonts w:ascii="宋体" w:hAnsi="宋体" w:cs="宋体" w:eastAsia="宋体" w:hint="default"/>
          <w:spacing w:val="-45"/>
        </w:rPr>
        <w:t> </w:t>
      </w:r>
      <w:r>
        <w:rPr/>
        <w:t>日，授信额度为壹亿元；同时耿殿根与中</w:t>
      </w:r>
    </w:p>
    <w:p>
      <w:pPr>
        <w:pStyle w:val="BodyText"/>
        <w:spacing w:line="240" w:lineRule="auto" w:before="77"/>
        <w:ind w:right="0"/>
        <w:jc w:val="both"/>
      </w:pPr>
      <w:r>
        <w:rPr/>
        <w:t>国民生银行有限公司北京分行签订（个高保字第</w:t>
      </w:r>
      <w:r>
        <w:rPr>
          <w:spacing w:val="-49"/>
        </w:rPr>
        <w:t> </w:t>
      </w:r>
      <w:r>
        <w:rPr>
          <w:rFonts w:ascii="宋体" w:hAnsi="宋体" w:cs="宋体" w:eastAsia="宋体" w:hint="default"/>
        </w:rPr>
        <w:t>1700000114229</w:t>
      </w:r>
      <w:r>
        <w:rPr>
          <w:rFonts w:ascii="宋体" w:hAnsi="宋体" w:cs="宋体" w:eastAsia="宋体" w:hint="default"/>
          <w:spacing w:val="-48"/>
        </w:rPr>
        <w:t> </w:t>
      </w:r>
      <w:r>
        <w:rPr/>
        <w:t>号）最高额担保合同，担保最高债权额壹亿元。</w:t>
      </w:r>
    </w:p>
    <w:p>
      <w:pPr>
        <w:spacing w:after="0" w:line="240"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2839"/>
        <w:jc w:val="left"/>
        <w:rPr>
          <w:b w:val="0"/>
          <w:bCs w:val="0"/>
        </w:rPr>
      </w:pPr>
      <w:r>
        <w:rPr/>
        <w:t>（</w:t>
      </w:r>
      <w:r>
        <w:rPr>
          <w:rFonts w:ascii="Times New Roman" w:hAnsi="Times New Roman" w:cs="Times New Roman" w:eastAsia="Times New Roman" w:hint="default"/>
        </w:rPr>
        <w:t>4</w:t>
      </w:r>
      <w:r>
        <w:rPr/>
        <w:t>）关联方资金拆借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金福沈</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金福沈</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金福沈</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金福沈</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金福沈</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金福沈</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金福沈</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金福沈</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金福沈</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金福沈</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杭州萱萱科技有限公司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中金数据系统有限公司</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t>（</w:t>
      </w:r>
      <w:r>
        <w:rPr>
          <w:rFonts w:ascii="Times New Roman" w:hAnsi="Times New Roman" w:cs="Times New Roman" w:eastAsia="Times New Roman" w:hint="default"/>
        </w:rPr>
        <w:t>5</w:t>
      </w:r>
      <w:r>
        <w:rPr/>
        <w:t>）关键管理人员报酬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13,627,796.92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11,887,197.66</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2839"/>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南京安与吉信息技 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11,905,454.66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北京招彩旺旺信息 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113,207.54</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67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北京亦庄国际产业 互联网研究院股份</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91,609.88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6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北京蓝沧科技有限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1,983,760.27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983,203.75</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中金数据系统有限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5,777,189.31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北京首信圆方机电 设备有限公司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26,180,006.24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2,897,974.15</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南京安与吉信息技 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13,180.11</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南京安与吉信息技术有限公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33,521,392.97</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烟台中金数据系统有限公司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1,499,999.98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1,499,999.98</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北京蓝沧科技有限公司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2,222.24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北京长城光环宽带网络技术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180,113.78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180,113.78</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冯天放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1,296,394.29</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南京安与吉信息技术有限公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4,340,186.56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5,340,086.56</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中金数据系统有限公司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6,744,890.16</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武汉安宇吉信息技术有限公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1,634.95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10,943.04</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501" w:lineRule="auto" w:before="0"/>
        <w:ind w:left="152" w:right="6354" w:firstLine="420"/>
        <w:jc w:val="left"/>
        <w:rPr>
          <w:rFonts w:ascii="宋体" w:hAnsi="宋体" w:cs="宋体" w:eastAsia="宋体" w:hint="default"/>
          <w:sz w:val="21"/>
          <w:szCs w:val="21"/>
        </w:rPr>
      </w:pPr>
      <w:r>
        <w:rPr>
          <w:rFonts w:ascii="宋体" w:hAnsi="宋体" w:cs="宋体" w:eastAsia="宋体" w:hint="default"/>
          <w:spacing w:val="-2"/>
          <w:sz w:val="21"/>
          <w:szCs w:val="21"/>
        </w:rPr>
        <w:t>本公司本期无关联方承诺情况。</w:t>
      </w:r>
      <w:r>
        <w:rPr>
          <w:rFonts w:ascii="宋体" w:hAnsi="宋体" w:cs="宋体" w:eastAsia="宋体" w:hint="default"/>
          <w:w w:val="100"/>
          <w:sz w:val="21"/>
          <w:szCs w:val="21"/>
        </w:rPr>
        <w:t> </w:t>
      </w:r>
      <w:r>
        <w:rPr>
          <w:rFonts w:ascii="宋体" w:hAnsi="宋体" w:cs="宋体" w:eastAsia="宋体" w:hint="default"/>
          <w:b/>
          <w:bCs/>
          <w:sz w:val="24"/>
          <w:szCs w:val="24"/>
        </w:rPr>
        <w:t>十二、股份支付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88"/>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期末发行在外的首期股票期权的行权价格为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元，有效期为自股票期权授予之日起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both"/>
      </w:pPr>
      <w:r>
        <w:rPr/>
        <w:t>其他说明</w:t>
      </w:r>
    </w:p>
    <w:p>
      <w:pPr>
        <w:pStyle w:val="BodyText"/>
        <w:spacing w:line="240" w:lineRule="auto" w:before="115"/>
        <w:ind w:left="513" w:right="11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5</w:t>
      </w:r>
      <w:r>
        <w:rPr/>
        <w:t>日召开的</w:t>
      </w:r>
      <w:r>
        <w:rPr>
          <w:rFonts w:ascii="Times New Roman" w:hAnsi="Times New Roman" w:cs="Times New Roman" w:eastAsia="Times New Roman" w:hint="default"/>
        </w:rPr>
        <w:t>2015</w:t>
      </w:r>
      <w:r>
        <w:rPr/>
        <w:t>年度股东大会审议通过了《北京光环新网科技股份有限公司首期股票期权激励计划（草案）》</w:t>
      </w:r>
    </w:p>
    <w:p>
      <w:pPr>
        <w:pStyle w:val="BodyText"/>
        <w:spacing w:line="307" w:lineRule="auto" w:before="63"/>
        <w:ind w:right="289"/>
        <w:jc w:val="both"/>
      </w:pPr>
      <w:r>
        <w:rPr>
          <w:spacing w:val="-2"/>
        </w:rPr>
        <w:t>（以下简称</w:t>
      </w:r>
      <w:r>
        <w:rPr>
          <w:rFonts w:ascii="Times New Roman" w:hAnsi="Times New Roman" w:cs="Times New Roman" w:eastAsia="Times New Roman" w:hint="default"/>
          <w:spacing w:val="-2"/>
        </w:rPr>
        <w:t>“</w:t>
      </w:r>
      <w:r>
        <w:rPr>
          <w:spacing w:val="-2"/>
        </w:rPr>
        <w:t>《股权激励计划》</w:t>
      </w:r>
      <w:r>
        <w:rPr>
          <w:rFonts w:ascii="Times New Roman" w:hAnsi="Times New Roman" w:cs="Times New Roman" w:eastAsia="Times New Roman" w:hint="default"/>
          <w:spacing w:val="-2"/>
        </w:rPr>
        <w:t>”</w:t>
      </w:r>
      <w:r>
        <w:rPr>
          <w:spacing w:val="-2"/>
        </w:rPr>
        <w:t>）及其摘要，</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8</w:t>
      </w:r>
      <w:r>
        <w:rPr>
          <w:spacing w:val="-2"/>
        </w:rPr>
        <w:t>日第三届董事会</w:t>
      </w:r>
      <w:r>
        <w:rPr>
          <w:rFonts w:ascii="Times New Roman" w:hAnsi="Times New Roman" w:cs="Times New Roman" w:eastAsia="Times New Roman" w:hint="default"/>
          <w:spacing w:val="-2"/>
        </w:rPr>
        <w:t>2016</w:t>
      </w:r>
      <w:r>
        <w:rPr>
          <w:spacing w:val="-2"/>
        </w:rPr>
        <w:t>年第三次会议审议通过了《关于调整公司首期</w:t>
      </w:r>
      <w:r>
        <w:rPr>
          <w:spacing w:val="-39"/>
        </w:rPr>
        <w:t> </w:t>
      </w:r>
      <w:r>
        <w:rPr>
          <w:spacing w:val="-39"/>
        </w:rPr>
      </w:r>
      <w:r>
        <w:rPr>
          <w:spacing w:val="-2"/>
        </w:rPr>
        <w:t>股票期权激励计划激励对象名单及股票期权数量的议案》和《关于公司首期股票期权激励计划所涉股票期权授予相关事项的</w:t>
      </w:r>
      <w:r>
        <w:rPr>
          <w:spacing w:val="-64"/>
        </w:rPr>
        <w:t> </w:t>
      </w:r>
      <w:r>
        <w:rPr>
          <w:spacing w:val="-64"/>
        </w:rPr>
      </w:r>
      <w:r>
        <w:rPr>
          <w:spacing w:val="-2"/>
        </w:rPr>
        <w:t>议案》，同意对公司本次股权激励计划激励对象名单及股票期权数量进行调整，并按照调整后的激励对象名单向其授予股票</w:t>
      </w:r>
      <w:r>
        <w:rPr>
          <w:spacing w:val="-66"/>
        </w:rPr>
        <w:t> </w:t>
      </w:r>
      <w:r>
        <w:rPr>
          <w:spacing w:val="-66"/>
        </w:rPr>
      </w:r>
      <w:r>
        <w:rPr>
          <w:spacing w:val="-2"/>
        </w:rPr>
        <w:t>期权，股票期权授予日为</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8</w:t>
      </w:r>
      <w:r>
        <w:rPr>
          <w:spacing w:val="-2"/>
        </w:rPr>
        <w:t>日，行权价格为</w:t>
      </w:r>
      <w:r>
        <w:rPr>
          <w:rFonts w:ascii="Times New Roman" w:hAnsi="Times New Roman" w:cs="Times New Roman" w:eastAsia="Times New Roman" w:hint="default"/>
          <w:spacing w:val="-2"/>
        </w:rPr>
        <w:t>36.22</w:t>
      </w:r>
      <w:r>
        <w:rPr>
          <w:spacing w:val="-2"/>
        </w:rPr>
        <w:t>元，授予数量为</w:t>
      </w:r>
      <w:r>
        <w:rPr>
          <w:rFonts w:ascii="Times New Roman" w:hAnsi="Times New Roman" w:cs="Times New Roman" w:eastAsia="Times New Roman" w:hint="default"/>
          <w:spacing w:val="-2"/>
        </w:rPr>
        <w:t>537.00</w:t>
      </w:r>
      <w:r>
        <w:rPr>
          <w:spacing w:val="-2"/>
        </w:rPr>
        <w:t>万份，行权时间为自授予之日起</w:t>
      </w:r>
      <w:r>
        <w:rPr>
          <w:rFonts w:ascii="Times New Roman" w:hAnsi="Times New Roman" w:cs="Times New Roman" w:eastAsia="Times New Roman" w:hint="default"/>
          <w:spacing w:val="-2"/>
        </w:rPr>
        <w:t>12</w:t>
      </w:r>
      <w:r>
        <w:rPr>
          <w:spacing w:val="-2"/>
        </w:rPr>
        <w:t>个月为等</w:t>
      </w:r>
      <w:r>
        <w:rPr>
          <w:spacing w:val="-53"/>
        </w:rPr>
        <w:t> </w:t>
      </w:r>
      <w:r>
        <w:rPr>
          <w:spacing w:val="-53"/>
        </w:rPr>
      </w:r>
      <w:r>
        <w:rPr>
          <w:spacing w:val="-2"/>
        </w:rPr>
        <w:t>待期，授予的期权自授予日起满</w:t>
      </w:r>
      <w:r>
        <w:rPr>
          <w:rFonts w:ascii="Times New Roman" w:hAnsi="Times New Roman" w:cs="Times New Roman" w:eastAsia="Times New Roman" w:hint="default"/>
          <w:spacing w:val="-2"/>
        </w:rPr>
        <w:t>12</w:t>
      </w:r>
      <w:r>
        <w:rPr>
          <w:spacing w:val="-2"/>
        </w:rPr>
        <w:t>个月后，激励对象在授予日起</w:t>
      </w:r>
      <w:r>
        <w:rPr>
          <w:rFonts w:ascii="Times New Roman" w:hAnsi="Times New Roman" w:cs="Times New Roman" w:eastAsia="Times New Roman" w:hint="default"/>
          <w:spacing w:val="-2"/>
        </w:rPr>
        <w:t>12</w:t>
      </w:r>
      <w:r>
        <w:rPr>
          <w:spacing w:val="-2"/>
        </w:rPr>
        <w:t>个月后至</w:t>
      </w:r>
      <w:r>
        <w:rPr>
          <w:rFonts w:ascii="Times New Roman" w:hAnsi="Times New Roman" w:cs="Times New Roman" w:eastAsia="Times New Roman" w:hint="default"/>
          <w:spacing w:val="-2"/>
        </w:rPr>
        <w:t>48</w:t>
      </w:r>
      <w:r>
        <w:rPr>
          <w:spacing w:val="-2"/>
        </w:rPr>
        <w:t>个月内分期行权，本次股权激励计划激励对象</w:t>
      </w:r>
      <w:r>
        <w:rPr>
          <w:spacing w:val="-60"/>
        </w:rPr>
        <w:t> </w:t>
      </w:r>
      <w:r>
        <w:rPr>
          <w:spacing w:val="-60"/>
        </w:rPr>
      </w:r>
      <w:r>
        <w:rPr/>
        <w:t>共计</w:t>
      </w:r>
      <w:r>
        <w:rPr>
          <w:rFonts w:ascii="Times New Roman" w:hAnsi="Times New Roman" w:cs="Times New Roman" w:eastAsia="Times New Roman" w:hint="default"/>
        </w:rPr>
        <w:t>100</w:t>
      </w:r>
      <w:r>
        <w:rPr/>
        <w:t>人。</w:t>
      </w:r>
    </w:p>
    <w:p>
      <w:pPr>
        <w:pStyle w:val="BodyText"/>
        <w:spacing w:line="309" w:lineRule="auto" w:before="7"/>
        <w:ind w:right="290"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日第三届董事会</w:t>
      </w:r>
      <w:r>
        <w:rPr>
          <w:rFonts w:ascii="Times New Roman" w:hAnsi="Times New Roman" w:cs="Times New Roman" w:eastAsia="Times New Roman" w:hint="default"/>
        </w:rPr>
        <w:t>2017</w:t>
      </w:r>
      <w:r>
        <w:rPr/>
        <w:t>年第一次会议审议通过了《关于调整首期股票期权激励计划对象名单、股票期权数量 </w:t>
      </w:r>
      <w:r>
        <w:rPr>
          <w:spacing w:val="-2"/>
        </w:rPr>
        <w:t>及注销部分股票期权的议案》，同意对公司首期股权激励计划激励对象名单及股票期权数量进行调整，调整后本次股权激励</w:t>
      </w:r>
      <w:r>
        <w:rPr>
          <w:spacing w:val="-63"/>
        </w:rPr>
        <w:t> </w:t>
      </w:r>
      <w:r>
        <w:rPr>
          <w:spacing w:val="-63"/>
        </w:rPr>
      </w:r>
      <w:r>
        <w:rPr/>
        <w:t>计划已获授的激励对象人数为</w:t>
      </w:r>
      <w:r>
        <w:rPr>
          <w:rFonts w:ascii="Times New Roman" w:hAnsi="Times New Roman" w:cs="Times New Roman" w:eastAsia="Times New Roman" w:hint="default"/>
        </w:rPr>
        <w:t>99</w:t>
      </w:r>
      <w:r>
        <w:rPr/>
        <w:t>人，已授予的股票期权数量为</w:t>
      </w:r>
      <w:r>
        <w:rPr>
          <w:rFonts w:ascii="Times New Roman" w:hAnsi="Times New Roman" w:cs="Times New Roman" w:eastAsia="Times New Roman" w:hint="default"/>
        </w:rPr>
        <w:t>534</w:t>
      </w:r>
      <w:r>
        <w:rPr/>
        <w:t>万份。</w:t>
      </w:r>
    </w:p>
    <w:p>
      <w:pPr>
        <w:pStyle w:val="BodyText"/>
        <w:spacing w:line="300" w:lineRule="auto" w:before="5"/>
        <w:ind w:right="110" w:firstLine="360"/>
        <w:jc w:val="left"/>
      </w:pP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11</w:t>
      </w:r>
      <w:r>
        <w:rPr>
          <w:spacing w:val="-5"/>
        </w:rPr>
        <w:t>日，公司召开</w:t>
      </w:r>
      <w:r>
        <w:rPr>
          <w:rFonts w:ascii="Times New Roman" w:hAnsi="Times New Roman" w:cs="Times New Roman" w:eastAsia="Times New Roman" w:hint="default"/>
          <w:spacing w:val="-5"/>
        </w:rPr>
        <w:t>2016</w:t>
      </w:r>
      <w:r>
        <w:rPr>
          <w:spacing w:val="-5"/>
        </w:rPr>
        <w:t>年度股东大会审议通过了《关于公司</w:t>
      </w:r>
      <w:r>
        <w:rPr>
          <w:spacing w:val="3"/>
        </w:rPr>
        <w:t> </w:t>
      </w:r>
      <w:r>
        <w:rPr>
          <w:rFonts w:ascii="Times New Roman" w:hAnsi="Times New Roman" w:cs="Times New Roman" w:eastAsia="Times New Roman" w:hint="default"/>
          <w:spacing w:val="-4"/>
        </w:rPr>
        <w:t>2016</w:t>
      </w:r>
      <w:r>
        <w:rPr>
          <w:spacing w:val="-4"/>
        </w:rPr>
        <w:t>年度利润分配及资本公积转增股本方案的议案》，</w:t>
      </w:r>
      <w:r>
        <w:rPr/>
        <w:t> 以截至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723,175,694</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1.00</w:t>
      </w:r>
      <w:r>
        <w:rPr/>
        <w:t>元人民币</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 </w:t>
      </w:r>
      <w:r>
        <w:rPr/>
        <w:t>合计派发现</w:t>
      </w:r>
      <w:r>
        <w:rPr>
          <w:spacing w:val="-45"/>
        </w:rPr>
        <w:t> </w:t>
      </w:r>
      <w:r>
        <w:rPr>
          <w:spacing w:val="-45"/>
        </w:rPr>
      </w:r>
      <w:r>
        <w:rPr/>
        <w:t>金股利</w:t>
      </w:r>
      <w:r>
        <w:rPr>
          <w:rFonts w:ascii="Times New Roman" w:hAnsi="Times New Roman" w:cs="Times New Roman" w:eastAsia="Times New Roman" w:hint="default"/>
        </w:rPr>
        <w:t>72,317,569.40</w:t>
      </w:r>
      <w:r>
        <w:rPr/>
        <w:t>元（含税）；同时进行资本公积转增股本，以公司总股本</w:t>
      </w:r>
      <w:r>
        <w:rPr>
          <w:rFonts w:ascii="Times New Roman" w:hAnsi="Times New Roman" w:cs="Times New Roman" w:eastAsia="Times New Roman" w:hint="default"/>
        </w:rPr>
        <w:t>723,175,694</w:t>
      </w:r>
      <w:r>
        <w:rPr/>
        <w:t>股为基数，向全体股东每</w:t>
      </w:r>
      <w:r>
        <w:rPr>
          <w:rFonts w:ascii="Times New Roman" w:hAnsi="Times New Roman" w:cs="Times New Roman" w:eastAsia="Times New Roman" w:hint="default"/>
        </w:rPr>
        <w:t>10 </w:t>
      </w:r>
      <w:r>
        <w:rPr/>
        <w:t>股转</w:t>
      </w:r>
      <w:r>
        <w:rPr>
          <w:spacing w:val="-52"/>
        </w:rPr>
        <w:t> </w:t>
      </w:r>
      <w:r>
        <w:rPr/>
        <w:t>增</w:t>
      </w:r>
      <w:r>
        <w:rPr>
          <w:rFonts w:ascii="Times New Roman" w:hAnsi="Times New Roman" w:cs="Times New Roman" w:eastAsia="Times New Roman" w:hint="default"/>
        </w:rPr>
        <w:t>10</w:t>
      </w:r>
      <w:r>
        <w:rPr/>
        <w:t>股，转增后公司总股本将增加至</w:t>
      </w:r>
      <w:r>
        <w:rPr>
          <w:rFonts w:ascii="Times New Roman" w:hAnsi="Times New Roman" w:cs="Times New Roman" w:eastAsia="Times New Roman" w:hint="default"/>
        </w:rPr>
        <w:t>1,446,351,388</w:t>
      </w:r>
      <w:r>
        <w:rPr>
          <w:rFonts w:ascii="Times New Roman" w:hAnsi="Times New Roman" w:cs="Times New Roman" w:eastAsia="Times New Roman" w:hint="default"/>
          <w:spacing w:val="19"/>
        </w:rPr>
        <w:t> </w:t>
      </w:r>
      <w:r>
        <w:rPr/>
        <w:t>股，上述权益分派已于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日实施完毕。</w:t>
      </w:r>
    </w:p>
    <w:p>
      <w:pPr>
        <w:pStyle w:val="BodyText"/>
        <w:spacing w:line="300" w:lineRule="auto" w:before="13"/>
        <w:ind w:right="288"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公司第三届董事会</w:t>
      </w:r>
      <w:r>
        <w:rPr>
          <w:rFonts w:ascii="Times New Roman" w:hAnsi="Times New Roman" w:cs="Times New Roman" w:eastAsia="Times New Roman" w:hint="default"/>
        </w:rPr>
        <w:t>2017</w:t>
      </w:r>
      <w:r>
        <w:rPr/>
        <w:t>年第三次会议审议通过了《关于调整公司首期股票期权激励计划股票期权数量及行 </w:t>
      </w:r>
      <w:r>
        <w:rPr>
          <w:spacing w:val="-1"/>
        </w:rPr>
        <w:t>权价格的议案》，调整后本次公司首期股票期权激励计划已授予股票期权总数由</w:t>
      </w:r>
      <w:r>
        <w:rPr>
          <w:rFonts w:ascii="Times New Roman" w:hAnsi="Times New Roman" w:cs="Times New Roman" w:eastAsia="Times New Roman" w:hint="default"/>
          <w:spacing w:val="-1"/>
        </w:rPr>
        <w:t>534</w:t>
      </w:r>
      <w:r>
        <w:rPr>
          <w:spacing w:val="-1"/>
        </w:rPr>
        <w:t>万份调整为</w:t>
      </w:r>
      <w:r>
        <w:rPr>
          <w:rFonts w:ascii="Times New Roman" w:hAnsi="Times New Roman" w:cs="Times New Roman" w:eastAsia="Times New Roman" w:hint="default"/>
          <w:spacing w:val="-1"/>
        </w:rPr>
        <w:t>1,068</w:t>
      </w:r>
      <w:r>
        <w:rPr>
          <w:spacing w:val="-1"/>
        </w:rPr>
        <w:t>万份，调整后的行权价</w:t>
      </w:r>
      <w:r>
        <w:rPr>
          <w:spacing w:val="-72"/>
        </w:rPr>
        <w:t> </w:t>
      </w:r>
      <w:r>
        <w:rPr>
          <w:spacing w:val="-72"/>
        </w:rPr>
      </w:r>
      <w:r>
        <w:rPr/>
        <w:t>格为</w:t>
      </w:r>
      <w:r>
        <w:rPr>
          <w:rFonts w:ascii="Times New Roman" w:hAnsi="Times New Roman" w:cs="Times New Roman" w:eastAsia="Times New Roman" w:hint="default"/>
        </w:rPr>
        <w:t>18.06</w:t>
      </w:r>
      <w:r>
        <w:rPr/>
        <w:t>元。</w:t>
      </w:r>
    </w:p>
    <w:p>
      <w:pPr>
        <w:pStyle w:val="BodyText"/>
        <w:spacing w:line="309" w:lineRule="auto" w:before="13"/>
        <w:ind w:right="290"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日第三届董事会</w:t>
      </w:r>
      <w:r>
        <w:rPr>
          <w:rFonts w:ascii="Times New Roman" w:hAnsi="Times New Roman" w:cs="Times New Roman" w:eastAsia="Times New Roman" w:hint="default"/>
        </w:rPr>
        <w:t>2018</w:t>
      </w:r>
      <w:r>
        <w:rPr/>
        <w:t>年第三次会议审议通过了《关于调整首期股票期权激励计划对象名单、股票期权数量 </w:t>
      </w:r>
      <w:r>
        <w:rPr>
          <w:spacing w:val="-2"/>
        </w:rPr>
        <w:t>及注销部分股票期权的议案》，同意对公司首期股权激励计划激励对象名单及股票期权数量进行调整，调整后本次股权激励</w:t>
      </w:r>
      <w:r>
        <w:rPr>
          <w:spacing w:val="-63"/>
        </w:rPr>
        <w:t> </w:t>
      </w:r>
      <w:r>
        <w:rPr>
          <w:spacing w:val="-63"/>
        </w:rPr>
      </w:r>
      <w:r>
        <w:rPr/>
        <w:t>计划已获授的激励对象人数为</w:t>
      </w:r>
      <w:r>
        <w:rPr>
          <w:rFonts w:ascii="Times New Roman" w:hAnsi="Times New Roman" w:cs="Times New Roman" w:eastAsia="Times New Roman" w:hint="default"/>
        </w:rPr>
        <w:t>95</w:t>
      </w:r>
      <w:r>
        <w:rPr/>
        <w:t>人，已授予的股票期权数量为</w:t>
      </w:r>
      <w:r>
        <w:rPr>
          <w:rFonts w:ascii="Times New Roman" w:hAnsi="Times New Roman" w:cs="Times New Roman" w:eastAsia="Times New Roman" w:hint="default"/>
        </w:rPr>
        <w:t>1,042</w:t>
      </w:r>
      <w:r>
        <w:rPr/>
        <w:t>万份。</w:t>
      </w:r>
    </w:p>
    <w:p>
      <w:pPr>
        <w:spacing w:line="240" w:lineRule="auto" w:before="10"/>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2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715"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1"/>
              <w:jc w:val="left"/>
              <w:rPr>
                <w:rFonts w:ascii="宋体" w:hAnsi="宋体" w:cs="宋体" w:eastAsia="宋体" w:hint="default"/>
                <w:sz w:val="18"/>
                <w:szCs w:val="18"/>
              </w:rPr>
            </w:pPr>
            <w:r>
              <w:rPr>
                <w:rFonts w:ascii="宋体" w:hAnsi="宋体" w:cs="宋体" w:eastAsia="宋体" w:hint="default"/>
                <w:sz w:val="18"/>
                <w:szCs w:val="18"/>
              </w:rPr>
              <w:t>在授权日采用布莱克－斯科尔期权定价模型确定股票期权 的公允价值。</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授予日公司股本的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25,463,569.15</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11,704,369.15</w:t>
            </w:r>
          </w:p>
        </w:tc>
      </w:tr>
    </w:tbl>
    <w:p>
      <w:pPr>
        <w:spacing w:line="240" w:lineRule="auto" w:before="1"/>
        <w:rPr>
          <w:rFonts w:ascii="宋体" w:hAnsi="宋体" w:cs="宋体" w:eastAsia="宋体" w:hint="default"/>
          <w:sz w:val="18"/>
          <w:szCs w:val="18"/>
        </w:rPr>
      </w:pPr>
    </w:p>
    <w:p>
      <w:pPr>
        <w:pStyle w:val="Heading2"/>
        <w:spacing w:line="240" w:lineRule="auto" w:before="26"/>
        <w:ind w:right="110"/>
        <w:jc w:val="left"/>
        <w:rPr>
          <w:b w:val="0"/>
          <w:bCs w:val="0"/>
        </w:rPr>
      </w:pPr>
      <w:r>
        <w:rPr/>
        <w:t>十三、资产负债表日后事项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0"/>
        <w:jc w:val="left"/>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91"/>
        <w:jc w:val="right"/>
      </w:pPr>
      <w:r>
        <w:rPr/>
        <w:t>单位：</w:t>
      </w:r>
      <w:r>
        <w:rPr>
          <w:spacing w:val="1"/>
        </w:rPr>
        <w:t> </w:t>
      </w:r>
      <w:r>
        <w:rPr/>
        <w:t>元</w:t>
      </w:r>
    </w:p>
    <w:p>
      <w:pPr>
        <w:spacing w:after="0" w:line="240" w:lineRule="auto"/>
        <w:jc w:val="right"/>
        <w:sectPr>
          <w:pgSz w:w="11910" w:h="16840"/>
          <w:pgMar w:header="745" w:footer="979" w:top="1060" w:bottom="1160" w:left="980" w:right="8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4"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28,927,027.76</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rFonts w:ascii="Times New Roman" w:hAnsi="Times New Roman" w:cs="Times New Roman" w:eastAsia="Times New Roman" w:hint="default"/>
        </w:rPr>
        <w:t>2</w:t>
      </w:r>
      <w:r>
        <w:rPr/>
        <w:t>、其他资产负债表日后事项说明</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48" w:firstLine="360"/>
        <w:jc w:val="right"/>
      </w:pPr>
      <w:r>
        <w:rPr>
          <w:rFonts w:ascii="Times New Roman" w:hAnsi="Times New Roman" w:cs="Times New Roman" w:eastAsia="Times New Roman" w:hint="default"/>
          <w:spacing w:val="-1"/>
        </w:rPr>
        <w:t>1</w:t>
      </w:r>
      <w:r>
        <w:rPr>
          <w:spacing w:val="-1"/>
        </w:rPr>
        <w:t>、公司拟以发行股份及支付现金的方式购买北京科信盛彩云计算有限公司</w:t>
      </w:r>
      <w:r>
        <w:rPr>
          <w:rFonts w:ascii="Times New Roman" w:hAnsi="Times New Roman" w:cs="Times New Roman" w:eastAsia="Times New Roman" w:hint="default"/>
          <w:spacing w:val="-1"/>
        </w:rPr>
        <w:t>85%</w:t>
      </w:r>
      <w:r>
        <w:rPr>
          <w:spacing w:val="-1"/>
        </w:rPr>
        <w:t>的股权，并拟向不超过</w:t>
      </w:r>
      <w:r>
        <w:rPr>
          <w:rFonts w:ascii="Times New Roman" w:hAnsi="Times New Roman" w:cs="Times New Roman" w:eastAsia="Times New Roman" w:hint="default"/>
          <w:spacing w:val="-1"/>
        </w:rPr>
        <w:t>5</w:t>
      </w:r>
      <w:r>
        <w:rPr>
          <w:spacing w:val="-1"/>
        </w:rPr>
        <w:t>名特定对象非公</w:t>
      </w:r>
      <w:r>
        <w:rPr/>
        <w:t> </w:t>
      </w:r>
      <w:r>
        <w:rPr>
          <w:spacing w:val="-3"/>
        </w:rPr>
        <w:t>开发行股份募集配套资金。公司</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31</w:t>
      </w:r>
      <w:r>
        <w:rPr>
          <w:spacing w:val="-3"/>
        </w:rPr>
        <w:t>日召开第三届董事会</w:t>
      </w:r>
      <w:r>
        <w:rPr>
          <w:rFonts w:ascii="Times New Roman" w:hAnsi="Times New Roman" w:cs="Times New Roman" w:eastAsia="Times New Roman" w:hint="default"/>
          <w:spacing w:val="-3"/>
        </w:rPr>
        <w:t>2018</w:t>
      </w:r>
      <w:r>
        <w:rPr>
          <w:spacing w:val="-3"/>
        </w:rPr>
        <w:t>年第二次会议，审议通过了本次交易预案及相关议案。</w:t>
      </w:r>
      <w:r>
        <w:rPr/>
        <w:t> </w:t>
      </w:r>
      <w:r>
        <w:rPr>
          <w:rFonts w:ascii="Times New Roman" w:hAnsi="Times New Roman" w:cs="Times New Roman" w:eastAsia="Times New Roman" w:hint="default"/>
          <w:spacing w:val="-4"/>
        </w:rPr>
        <w:t>2</w:t>
      </w:r>
      <w:r>
        <w:rPr>
          <w:spacing w:val="-4"/>
        </w:rPr>
        <w:t>、公司第三届董事事会</w:t>
      </w:r>
      <w:r>
        <w:rPr>
          <w:rFonts w:ascii="Times New Roman" w:hAnsi="Times New Roman" w:cs="Times New Roman" w:eastAsia="Times New Roman" w:hint="default"/>
          <w:spacing w:val="-4"/>
        </w:rPr>
        <w:t>2018</w:t>
      </w:r>
      <w:r>
        <w:rPr>
          <w:spacing w:val="-4"/>
        </w:rPr>
        <w:t>年第三次会议并通过了《关于</w:t>
      </w:r>
      <w:r>
        <w:rPr>
          <w:rFonts w:ascii="Times New Roman" w:hAnsi="Times New Roman" w:cs="Times New Roman" w:eastAsia="Times New Roman" w:hint="default"/>
          <w:spacing w:val="-4"/>
        </w:rPr>
        <w:t>2017</w:t>
      </w:r>
      <w:r>
        <w:rPr>
          <w:spacing w:val="-4"/>
        </w:rPr>
        <w:t>年度利润分配方案的议案》，公司</w:t>
      </w:r>
      <w:r>
        <w:rPr>
          <w:rFonts w:ascii="Times New Roman" w:hAnsi="Times New Roman" w:cs="Times New Roman" w:eastAsia="Times New Roman" w:hint="default"/>
          <w:spacing w:val="-4"/>
        </w:rPr>
        <w:t>2017</w:t>
      </w:r>
      <w:r>
        <w:rPr>
          <w:spacing w:val="-4"/>
        </w:rPr>
        <w:t>年度利润分配方案</w:t>
      </w:r>
      <w:r>
        <w:rPr/>
        <w:t> </w:t>
      </w:r>
      <w:r>
        <w:rPr>
          <w:spacing w:val="-3"/>
        </w:rPr>
        <w:t>为：以截至</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日公司总股本</w:t>
      </w:r>
      <w:r>
        <w:rPr>
          <w:rFonts w:ascii="Times New Roman" w:hAnsi="Times New Roman" w:cs="Times New Roman" w:eastAsia="Times New Roman" w:hint="default"/>
          <w:spacing w:val="-3"/>
        </w:rPr>
        <w:t>1,446,351,388.</w:t>
      </w:r>
      <w:r>
        <w:rPr>
          <w:spacing w:val="-3"/>
        </w:rPr>
        <w:t>股为基数，向全体股东每</w:t>
      </w:r>
      <w:r>
        <w:rPr>
          <w:rFonts w:ascii="Times New Roman" w:hAnsi="Times New Roman" w:cs="Times New Roman" w:eastAsia="Times New Roman" w:hint="default"/>
          <w:spacing w:val="-3"/>
        </w:rPr>
        <w:t>10</w:t>
      </w:r>
      <w:r>
        <w:rPr>
          <w:spacing w:val="-3"/>
        </w:rPr>
        <w:t>股派发现金股利</w:t>
      </w:r>
      <w:r>
        <w:rPr>
          <w:rFonts w:ascii="Times New Roman" w:hAnsi="Times New Roman" w:cs="Times New Roman" w:eastAsia="Times New Roman" w:hint="default"/>
          <w:spacing w:val="-3"/>
        </w:rPr>
        <w:t>0.2</w:t>
      </w:r>
      <w:r>
        <w:rPr>
          <w:spacing w:val="-3"/>
        </w:rPr>
        <w:t>元人民币（含税），合计</w:t>
      </w:r>
    </w:p>
    <w:p>
      <w:pPr>
        <w:pStyle w:val="BodyText"/>
        <w:spacing w:line="240" w:lineRule="auto" w:before="13"/>
        <w:ind w:right="2839"/>
        <w:jc w:val="left"/>
      </w:pPr>
      <w:r>
        <w:rPr/>
        <w:t>派发现金股</w:t>
      </w:r>
      <w:r>
        <w:rPr>
          <w:spacing w:val="-1"/>
        </w:rPr>
        <w:t>利</w:t>
      </w:r>
      <w:r>
        <w:rPr>
          <w:rFonts w:ascii="Times New Roman" w:hAnsi="Times New Roman" w:cs="Times New Roman" w:eastAsia="Times New Roman" w:hint="default"/>
          <w:spacing w:val="1"/>
        </w:rPr>
        <w:t>28</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7</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7</w:t>
      </w:r>
      <w:r>
        <w:rPr>
          <w:rFonts w:ascii="Times New Roman" w:hAnsi="Times New Roman" w:cs="Times New Roman" w:eastAsia="Times New Roman" w:hint="default"/>
        </w:rPr>
        <w:t>.</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2"/>
        </w:rPr>
        <w:t>6</w:t>
      </w:r>
      <w:r>
        <w:rPr>
          <w:spacing w:val="-3"/>
        </w:rPr>
        <w:t>元</w:t>
      </w:r>
      <w:r>
        <w:rPr/>
        <w:t>（含税</w:t>
      </w:r>
      <w:r>
        <w:rPr>
          <w:spacing w:val="-92"/>
        </w:rPr>
        <w:t>）</w:t>
      </w:r>
      <w:r>
        <w:rPr/>
        <w:t>。</w:t>
      </w:r>
    </w:p>
    <w:p>
      <w:pPr>
        <w:pStyle w:val="BodyText"/>
        <w:spacing w:line="300" w:lineRule="auto" w:before="63"/>
        <w:ind w:right="144" w:firstLine="360"/>
        <w:jc w:val="left"/>
      </w:pPr>
      <w:r>
        <w:rPr>
          <w:rFonts w:ascii="Times New Roman" w:hAnsi="Times New Roman" w:cs="Times New Roman" w:eastAsia="Times New Roman" w:hint="default"/>
        </w:rPr>
        <w:t>3</w:t>
      </w:r>
      <w:r>
        <w:rPr/>
        <w:t>、截至报告日，母公司霍尔果斯百汇达股权投资管理合伙企业（有限合伙）共持有公司股份</w:t>
      </w:r>
      <w:r>
        <w:rPr>
          <w:rFonts w:ascii="Times New Roman" w:hAnsi="Times New Roman" w:cs="Times New Roman" w:eastAsia="Times New Roman" w:hint="default"/>
        </w:rPr>
        <w:t>512,230,000</w:t>
      </w:r>
      <w:r>
        <w:rPr/>
        <w:t>股，占公司总 股本的</w:t>
      </w:r>
      <w:r>
        <w:rPr>
          <w:rFonts w:ascii="Times New Roman" w:hAnsi="Times New Roman" w:cs="Times New Roman" w:eastAsia="Times New Roman" w:hint="default"/>
        </w:rPr>
        <w:t>35.42%</w:t>
      </w:r>
      <w:r>
        <w:rPr/>
        <w:t>；累计质押股份</w:t>
      </w:r>
      <w:r>
        <w:rPr>
          <w:rFonts w:ascii="Times New Roman" w:hAnsi="Times New Roman" w:cs="Times New Roman" w:eastAsia="Times New Roman" w:hint="default"/>
        </w:rPr>
        <w:t>335,510,000</w:t>
      </w:r>
      <w:r>
        <w:rPr/>
        <w:t>股，占其所持有公司股份的</w:t>
      </w:r>
      <w:r>
        <w:rPr>
          <w:rFonts w:ascii="Times New Roman" w:hAnsi="Times New Roman" w:cs="Times New Roman" w:eastAsia="Times New Roman" w:hint="default"/>
        </w:rPr>
        <w:t>65.50%</w:t>
      </w:r>
      <w:r>
        <w:rPr/>
        <w:t>，占公司总股本的</w:t>
      </w:r>
      <w:r>
        <w:rPr>
          <w:rFonts w:ascii="Times New Roman" w:hAnsi="Times New Roman" w:cs="Times New Roman" w:eastAsia="Times New Roman" w:hint="default"/>
        </w:rPr>
        <w:t>23.20%</w:t>
      </w:r>
      <w:r>
        <w:rPr/>
        <w:t>。</w:t>
      </w:r>
    </w:p>
    <w:p>
      <w:pPr>
        <w:spacing w:line="240" w:lineRule="auto" w:before="6"/>
        <w:rPr>
          <w:rFonts w:ascii="宋体" w:hAnsi="宋体" w:cs="宋体" w:eastAsia="宋体" w:hint="default"/>
          <w:sz w:val="20"/>
          <w:szCs w:val="20"/>
        </w:rPr>
      </w:pPr>
    </w:p>
    <w:p>
      <w:pPr>
        <w:pStyle w:val="Heading2"/>
        <w:spacing w:line="240" w:lineRule="auto"/>
        <w:ind w:right="2839"/>
        <w:jc w:val="left"/>
        <w:rPr>
          <w:b w:val="0"/>
          <w:bCs w:val="0"/>
        </w:rPr>
      </w:pPr>
      <w:r>
        <w:rPr/>
        <w:t>十四、其他重要事项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2839"/>
        <w:jc w:val="left"/>
        <w:rPr>
          <w:b w:val="0"/>
          <w:bCs w:val="0"/>
        </w:rPr>
      </w:pPr>
      <w:r>
        <w:rPr>
          <w:rFonts w:ascii="Times New Roman" w:hAnsi="Times New Roman" w:cs="Times New Roman" w:eastAsia="Times New Roman" w:hint="default"/>
        </w:rPr>
        <w:t>1</w:t>
      </w:r>
      <w:r>
        <w:rPr/>
        <w:t>、分部信息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2839"/>
        <w:jc w:val="left"/>
        <w:rPr>
          <w:b w:val="0"/>
          <w:bCs w:val="0"/>
        </w:rPr>
      </w:pPr>
      <w:r>
        <w:rPr/>
        <w:t>（</w:t>
      </w:r>
      <w:r>
        <w:rPr>
          <w:rFonts w:ascii="Times New Roman" w:hAnsi="Times New Roman" w:cs="Times New Roman" w:eastAsia="Times New Roman" w:hint="default"/>
        </w:rPr>
        <w:t>1</w:t>
      </w:r>
      <w:r>
        <w:rPr/>
        <w:t>）报告分部的财务信息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5"/>
        <w:gridCol w:w="1378"/>
        <w:gridCol w:w="1368"/>
        <w:gridCol w:w="1366"/>
        <w:gridCol w:w="1368"/>
        <w:gridCol w:w="1369"/>
        <w:gridCol w:w="1366"/>
      </w:tblGrid>
      <w:tr>
        <w:trPr>
          <w:trHeight w:val="715" w:hRule="exact"/>
        </w:trPr>
        <w:tc>
          <w:tcPr>
            <w:tcW w:w="135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51"/>
              <w:ind w:left="511" w:right="46" w:hanging="452"/>
              <w:jc w:val="left"/>
              <w:rPr>
                <w:rFonts w:ascii="宋体" w:hAnsi="宋体" w:cs="宋体" w:eastAsia="宋体" w:hint="default"/>
                <w:sz w:val="18"/>
                <w:szCs w:val="18"/>
              </w:rPr>
            </w:pPr>
            <w:r>
              <w:rPr>
                <w:rFonts w:ascii="宋体" w:hAnsi="宋体" w:cs="宋体" w:eastAsia="宋体" w:hint="default"/>
                <w:sz w:val="18"/>
                <w:szCs w:val="18"/>
              </w:rPr>
              <w:t>互联网宽带接入 服务</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97" w:lineRule="auto" w:before="51"/>
              <w:ind w:left="587" w:right="50" w:hanging="538"/>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及其增值服 务</w:t>
            </w:r>
          </w:p>
        </w:tc>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97" w:lineRule="auto" w:before="51"/>
              <w:ind w:left="588" w:right="48" w:hanging="538"/>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运营管理服 务</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51"/>
              <w:ind w:left="587" w:right="48" w:hanging="540"/>
              <w:jc w:val="left"/>
              <w:rPr>
                <w:rFonts w:ascii="宋体" w:hAnsi="宋体" w:cs="宋体" w:eastAsia="宋体" w:hint="default"/>
                <w:sz w:val="18"/>
                <w:szCs w:val="18"/>
              </w:rPr>
            </w:pPr>
            <w:r>
              <w:rPr>
                <w:rFonts w:ascii="宋体" w:hAnsi="宋体" w:cs="宋体" w:eastAsia="宋体" w:hint="default"/>
                <w:sz w:val="18"/>
                <w:szCs w:val="18"/>
              </w:rPr>
              <w:t>云计算及相关服 务</w:t>
            </w:r>
          </w:p>
        </w:tc>
        <w:tc>
          <w:tcPr>
            <w:tcW w:w="1369"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7"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35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63,548,538.15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874,487,004.05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204,476,904.23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2,871,328,711.57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4,013,841,158.00</w:t>
            </w:r>
          </w:p>
        </w:tc>
      </w:tr>
      <w:tr>
        <w:trPr>
          <w:trHeight w:val="403" w:hRule="exact"/>
        </w:trPr>
        <w:tc>
          <w:tcPr>
            <w:tcW w:w="135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48,183,070.67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391,910,735.44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171,163,853.34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center"/>
              <w:rPr>
                <w:rFonts w:ascii="Times New Roman" w:hAnsi="Times New Roman" w:cs="Times New Roman" w:eastAsia="Times New Roman" w:hint="default"/>
                <w:sz w:val="18"/>
                <w:szCs w:val="18"/>
              </w:rPr>
            </w:pPr>
            <w:r>
              <w:rPr>
                <w:rFonts w:ascii="Times New Roman"/>
                <w:sz w:val="18"/>
              </w:rPr>
              <w:t>2,578,656,966.36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center"/>
              <w:rPr>
                <w:rFonts w:ascii="Times New Roman" w:hAnsi="Times New Roman" w:cs="Times New Roman" w:eastAsia="Times New Roman" w:hint="default"/>
                <w:sz w:val="18"/>
                <w:szCs w:val="18"/>
              </w:rPr>
            </w:pPr>
            <w:r>
              <w:rPr>
                <w:rFonts w:ascii="Times New Roman"/>
                <w:sz w:val="18"/>
              </w:rPr>
              <w:t>3,189,914,625.81</w:t>
            </w:r>
          </w:p>
        </w:tc>
      </w:tr>
    </w:tbl>
    <w:p>
      <w:pPr>
        <w:spacing w:line="240" w:lineRule="auto" w:before="1"/>
        <w:rPr>
          <w:rFonts w:ascii="宋体" w:hAnsi="宋体" w:cs="宋体" w:eastAsia="宋体" w:hint="default"/>
          <w:sz w:val="18"/>
          <w:szCs w:val="18"/>
        </w:rPr>
      </w:pPr>
    </w:p>
    <w:p>
      <w:pPr>
        <w:pStyle w:val="Heading2"/>
        <w:spacing w:line="240" w:lineRule="auto" w:before="26"/>
        <w:ind w:right="2839"/>
        <w:jc w:val="left"/>
        <w:rPr>
          <w:b w:val="0"/>
          <w:bCs w:val="0"/>
        </w:rPr>
      </w:pPr>
      <w:r>
        <w:rPr/>
        <w:t>十五、母公司财务报表主要项目注释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2839"/>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2839"/>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5"/>
        <w:gridCol w:w="763"/>
        <w:gridCol w:w="764"/>
        <w:gridCol w:w="761"/>
        <w:gridCol w:w="763"/>
        <w:gridCol w:w="790"/>
        <w:gridCol w:w="655"/>
        <w:gridCol w:w="814"/>
        <w:gridCol w:w="761"/>
        <w:gridCol w:w="932"/>
        <w:gridCol w:w="934"/>
      </w:tblGrid>
      <w:tr>
        <w:trPr>
          <w:trHeight w:val="398" w:hRule="exact"/>
        </w:trPr>
        <w:tc>
          <w:tcPr>
            <w:tcW w:w="1625" w:type="dxa"/>
            <w:vMerge w:val="restart"/>
            <w:tcBorders>
              <w:top w:val="single" w:sz="4" w:space="0" w:color="000000"/>
              <w:left w:val="single" w:sz="4" w:space="0" w:color="000000"/>
              <w:right w:val="single" w:sz="4" w:space="0" w:color="000000"/>
            </w:tcBorders>
            <w:shd w:val="clear" w:color="auto" w:fill="D2D2D2"/>
          </w:tcPr>
          <w:p>
            <w:pP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5" w:type="dxa"/>
            <w:vMerge/>
            <w:tcBorders>
              <w:left w:val="single" w:sz="4" w:space="0" w:color="000000"/>
              <w:bottom w:val="nil" w:sz="6" w:space="0" w:color="auto"/>
              <w:right w:val="single" w:sz="4" w:space="0" w:color="000000"/>
            </w:tcBorders>
            <w:shd w:val="clear" w:color="auto" w:fill="D2D2D2"/>
          </w:tcPr>
          <w:p>
            <w:pP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6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8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4"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类别</w:t>
            </w: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693" w:type="dxa"/>
            <w:gridSpan w:val="2"/>
            <w:vMerge/>
            <w:tcBorders>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5" w:type="dxa"/>
            <w:vMerge/>
            <w:tcBorders>
              <w:left w:val="single" w:sz="4" w:space="0" w:color="000000"/>
              <w:bottom w:val="single" w:sz="5"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90" w:right="10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5" w:type="dxa"/>
            <w:vMerge w:val="restart"/>
            <w:tcBorders>
              <w:top w:val="single" w:sz="5" w:space="0" w:color="FFFFFF"/>
              <w:left w:val="single" w:sz="4" w:space="0" w:color="000000"/>
              <w:right w:val="single" w:sz="4" w:space="0" w:color="000000"/>
            </w:tcBorders>
            <w:shd w:val="clear" w:color="auto" w:fill="D2D2D2"/>
          </w:tcPr>
          <w:p>
            <w:pPr/>
          </w:p>
        </w:tc>
        <w:tc>
          <w:tcPr>
            <w:tcW w:w="763"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2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4"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61"/>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450,170,</w:t>
            </w:r>
          </w:p>
          <w:p>
            <w:pPr>
              <w:pStyle w:val="TableParagraph"/>
              <w:spacing w:line="240" w:lineRule="auto" w:before="103"/>
              <w:ind w:left="11" w:right="0"/>
              <w:jc w:val="left"/>
              <w:rPr>
                <w:rFonts w:ascii="Times New Roman" w:hAnsi="Times New Roman" w:cs="Times New Roman" w:eastAsia="Times New Roman" w:hint="default"/>
                <w:sz w:val="18"/>
                <w:szCs w:val="18"/>
              </w:rPr>
            </w:pPr>
            <w:r>
              <w:rPr>
                <w:rFonts w:ascii="Times New Roman"/>
                <w:sz w:val="18"/>
              </w:rPr>
              <w:t>056.24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5,920,75</w:t>
            </w:r>
          </w:p>
          <w:p>
            <w:pPr>
              <w:pStyle w:val="TableParagraph"/>
              <w:spacing w:line="240" w:lineRule="auto" w:before="103"/>
              <w:ind w:left="23" w:right="0"/>
              <w:jc w:val="left"/>
              <w:rPr>
                <w:rFonts w:ascii="Times New Roman" w:hAnsi="Times New Roman" w:cs="Times New Roman" w:eastAsia="Times New Roman" w:hint="default"/>
                <w:sz w:val="18"/>
                <w:szCs w:val="18"/>
              </w:rPr>
            </w:pPr>
            <w:r>
              <w:rPr>
                <w:rFonts w:ascii="Times New Roman"/>
                <w:sz w:val="18"/>
              </w:rPr>
              <w:t>7.29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1.32%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444,249,2</w:t>
            </w:r>
          </w:p>
          <w:p>
            <w:pPr>
              <w:pStyle w:val="TableParagraph"/>
              <w:spacing w:line="240" w:lineRule="auto" w:before="103"/>
              <w:ind w:left="24" w:right="0"/>
              <w:jc w:val="left"/>
              <w:rPr>
                <w:rFonts w:ascii="Times New Roman" w:hAnsi="Times New Roman" w:cs="Times New Roman" w:eastAsia="Times New Roman" w:hint="default"/>
                <w:sz w:val="18"/>
                <w:szCs w:val="18"/>
              </w:rPr>
            </w:pPr>
            <w:r>
              <w:rPr>
                <w:rFonts w:ascii="Times New Roman"/>
                <w:sz w:val="18"/>
              </w:rPr>
              <w:t>98.95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330,559</w:t>
            </w:r>
          </w:p>
          <w:p>
            <w:pPr>
              <w:pStyle w:val="TableParagraph"/>
              <w:spacing w:line="240" w:lineRule="auto" w:before="103"/>
              <w:ind w:left="24" w:right="0"/>
              <w:jc w:val="left"/>
              <w:rPr>
                <w:rFonts w:ascii="Times New Roman" w:hAnsi="Times New Roman" w:cs="Times New Roman" w:eastAsia="Times New Roman" w:hint="default"/>
                <w:sz w:val="18"/>
                <w:szCs w:val="18"/>
              </w:rPr>
            </w:pPr>
            <w:r>
              <w:rPr>
                <w:rFonts w:ascii="Times New Roman"/>
                <w:sz w:val="18"/>
              </w:rPr>
              <w:t>,051.89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3,392,56</w:t>
            </w:r>
          </w:p>
          <w:p>
            <w:pPr>
              <w:pStyle w:val="TableParagraph"/>
              <w:spacing w:line="240" w:lineRule="auto" w:before="103"/>
              <w:ind w:left="24" w:right="0"/>
              <w:jc w:val="left"/>
              <w:rPr>
                <w:rFonts w:ascii="Times New Roman" w:hAnsi="Times New Roman" w:cs="Times New Roman" w:eastAsia="Times New Roman" w:hint="default"/>
                <w:sz w:val="18"/>
                <w:szCs w:val="18"/>
              </w:rPr>
            </w:pPr>
            <w:r>
              <w:rPr>
                <w:rFonts w:ascii="Times New Roman"/>
                <w:sz w:val="18"/>
              </w:rPr>
              <w:t>6.14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327,166,48</w:t>
            </w:r>
          </w:p>
          <w:p>
            <w:pPr>
              <w:pStyle w:val="TableParagraph"/>
              <w:spacing w:line="240" w:lineRule="auto" w:before="103"/>
              <w:ind w:left="23" w:right="0"/>
              <w:jc w:val="left"/>
              <w:rPr>
                <w:rFonts w:ascii="Times New Roman" w:hAnsi="Times New Roman" w:cs="Times New Roman" w:eastAsia="Times New Roman" w:hint="default"/>
                <w:sz w:val="18"/>
                <w:szCs w:val="18"/>
              </w:rPr>
            </w:pPr>
            <w:r>
              <w:rPr>
                <w:rFonts w:ascii="Times New Roman"/>
                <w:sz w:val="18"/>
              </w:rPr>
              <w:t>5.75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6"/>
        <w:gridCol w:w="763"/>
        <w:gridCol w:w="764"/>
        <w:gridCol w:w="761"/>
        <w:gridCol w:w="763"/>
        <w:gridCol w:w="790"/>
        <w:gridCol w:w="655"/>
        <w:gridCol w:w="814"/>
        <w:gridCol w:w="761"/>
        <w:gridCol w:w="932"/>
        <w:gridCol w:w="934"/>
      </w:tblGrid>
      <w:tr>
        <w:trPr>
          <w:trHeight w:val="790" w:hRule="exact"/>
        </w:trPr>
        <w:tc>
          <w:tcPr>
            <w:tcW w:w="1636"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30" w:lineRule="auto" w:before="17"/>
              <w:ind w:left="22" w:right="33"/>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Arial Narrow" w:hAnsi="Arial Narrow" w:cs="Arial Narrow" w:eastAsia="Arial Narrow" w:hint="default"/>
                <w:sz w:val="18"/>
                <w:szCs w:val="18"/>
              </w:rPr>
              <w:t>1</w:t>
            </w:r>
            <w:r>
              <w:rPr>
                <w:rFonts w:ascii="宋体" w:hAnsi="宋体" w:cs="宋体" w:eastAsia="宋体" w:hint="default"/>
                <w:sz w:val="18"/>
                <w:szCs w:val="18"/>
              </w:rPr>
              <w:t>：按照账龄分 析法计提坏账的应 收账款</w:t>
            </w:r>
          </w:p>
        </w:tc>
        <w:tc>
          <w:tcPr>
            <w:tcW w:w="763"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30"/>
              <w:ind w:left="23" w:right="0"/>
              <w:jc w:val="left"/>
              <w:rPr>
                <w:rFonts w:ascii="Times New Roman" w:hAnsi="Times New Roman" w:cs="Times New Roman" w:eastAsia="Times New Roman" w:hint="default"/>
                <w:sz w:val="18"/>
                <w:szCs w:val="18"/>
              </w:rPr>
            </w:pPr>
            <w:r>
              <w:rPr>
                <w:rFonts w:ascii="Times New Roman"/>
                <w:sz w:val="18"/>
              </w:rPr>
              <w:t>101,863,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597.20</w:t>
            </w:r>
          </w:p>
        </w:tc>
        <w:tc>
          <w:tcPr>
            <w:tcW w:w="76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46"/>
              <w:jc w:val="center"/>
              <w:rPr>
                <w:rFonts w:ascii="Times New Roman" w:hAnsi="Times New Roman" w:cs="Times New Roman" w:eastAsia="Times New Roman" w:hint="default"/>
                <w:sz w:val="18"/>
                <w:szCs w:val="18"/>
              </w:rPr>
            </w:pPr>
            <w:r>
              <w:rPr>
                <w:rFonts w:ascii="Times New Roman"/>
                <w:sz w:val="18"/>
              </w:rPr>
              <w:t>22.63%</w:t>
            </w:r>
          </w:p>
        </w:tc>
        <w:tc>
          <w:tcPr>
            <w:tcW w:w="76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30"/>
              <w:ind w:left="23" w:right="0"/>
              <w:jc w:val="left"/>
              <w:rPr>
                <w:rFonts w:ascii="Times New Roman" w:hAnsi="Times New Roman" w:cs="Times New Roman" w:eastAsia="Times New Roman" w:hint="default"/>
                <w:sz w:val="18"/>
                <w:szCs w:val="18"/>
              </w:rPr>
            </w:pPr>
            <w:r>
              <w:rPr>
                <w:rFonts w:ascii="Times New Roman"/>
                <w:sz w:val="18"/>
              </w:rPr>
              <w:t>4,365,74</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8.47</w:t>
            </w:r>
          </w:p>
        </w:tc>
        <w:tc>
          <w:tcPr>
            <w:tcW w:w="763"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4.29%</w:t>
            </w:r>
          </w:p>
        </w:tc>
        <w:tc>
          <w:tcPr>
            <w:tcW w:w="79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30"/>
              <w:ind w:left="24" w:right="0"/>
              <w:jc w:val="left"/>
              <w:rPr>
                <w:rFonts w:ascii="Times New Roman" w:hAnsi="Times New Roman" w:cs="Times New Roman" w:eastAsia="Times New Roman" w:hint="default"/>
                <w:sz w:val="18"/>
                <w:szCs w:val="18"/>
              </w:rPr>
            </w:pPr>
            <w:r>
              <w:rPr>
                <w:rFonts w:ascii="Times New Roman"/>
                <w:sz w:val="18"/>
              </w:rPr>
              <w:t>97,497,84</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8.73</w:t>
            </w:r>
          </w:p>
        </w:tc>
        <w:tc>
          <w:tcPr>
            <w:tcW w:w="655"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30"/>
              <w:ind w:left="24" w:right="0"/>
              <w:jc w:val="left"/>
              <w:rPr>
                <w:rFonts w:ascii="Times New Roman" w:hAnsi="Times New Roman" w:cs="Times New Roman" w:eastAsia="Times New Roman" w:hint="default"/>
                <w:sz w:val="18"/>
                <w:szCs w:val="18"/>
              </w:rPr>
            </w:pPr>
            <w:r>
              <w:rPr>
                <w:rFonts w:ascii="Times New Roman"/>
                <w:sz w:val="18"/>
              </w:rPr>
              <w:t>83,051,</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952.12</w:t>
            </w:r>
          </w:p>
        </w:tc>
        <w:tc>
          <w:tcPr>
            <w:tcW w:w="81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9"/>
              <w:ind w:left="23" w:right="0"/>
              <w:jc w:val="left"/>
              <w:rPr>
                <w:rFonts w:ascii="Calibri" w:hAnsi="Calibri" w:cs="Calibri" w:eastAsia="Calibri" w:hint="default"/>
                <w:sz w:val="21"/>
                <w:szCs w:val="21"/>
              </w:rPr>
            </w:pPr>
            <w:r>
              <w:rPr>
                <w:rFonts w:ascii="Calibri"/>
                <w:sz w:val="21"/>
              </w:rPr>
              <w:t>25.12%</w:t>
            </w:r>
          </w:p>
        </w:tc>
        <w:tc>
          <w:tcPr>
            <w:tcW w:w="76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30"/>
              <w:ind w:left="24" w:right="0"/>
              <w:jc w:val="left"/>
              <w:rPr>
                <w:rFonts w:ascii="Times New Roman" w:hAnsi="Times New Roman" w:cs="Times New Roman" w:eastAsia="Times New Roman" w:hint="default"/>
                <w:sz w:val="18"/>
                <w:szCs w:val="18"/>
              </w:rPr>
            </w:pPr>
            <w:r>
              <w:rPr>
                <w:rFonts w:ascii="Times New Roman"/>
                <w:sz w:val="18"/>
              </w:rPr>
              <w:t>3,004,42</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7.40</w:t>
            </w:r>
          </w:p>
        </w:tc>
        <w:tc>
          <w:tcPr>
            <w:tcW w:w="93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9"/>
              <w:ind w:left="23" w:right="0"/>
              <w:jc w:val="left"/>
              <w:rPr>
                <w:rFonts w:ascii="Calibri" w:hAnsi="Calibri" w:cs="Calibri" w:eastAsia="Calibri" w:hint="default"/>
                <w:sz w:val="21"/>
                <w:szCs w:val="21"/>
              </w:rPr>
            </w:pPr>
            <w:r>
              <w:rPr>
                <w:rFonts w:ascii="Calibri"/>
                <w:sz w:val="21"/>
              </w:rPr>
              <w:t>3.62%</w:t>
            </w:r>
          </w:p>
        </w:tc>
        <w:tc>
          <w:tcPr>
            <w:tcW w:w="93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30"/>
              <w:ind w:left="23" w:right="0"/>
              <w:jc w:val="left"/>
              <w:rPr>
                <w:rFonts w:ascii="Times New Roman" w:hAnsi="Times New Roman" w:cs="Times New Roman" w:eastAsia="Times New Roman" w:hint="default"/>
                <w:sz w:val="18"/>
                <w:szCs w:val="18"/>
              </w:rPr>
            </w:pPr>
            <w:r>
              <w:rPr>
                <w:rFonts w:ascii="Times New Roman"/>
                <w:sz w:val="18"/>
              </w:rPr>
              <w:t>80,047,524.</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72</w:t>
            </w:r>
          </w:p>
        </w:tc>
      </w:tr>
      <w:tr>
        <w:trPr>
          <w:trHeight w:val="715" w:hRule="exact"/>
        </w:trPr>
        <w:tc>
          <w:tcPr>
            <w:tcW w:w="1636"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32" w:lineRule="exact" w:before="112"/>
              <w:ind w:left="22" w:right="21"/>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33"/>
                <w:sz w:val="18"/>
                <w:szCs w:val="18"/>
              </w:rPr>
              <w:t> </w:t>
            </w:r>
            <w:r>
              <w:rPr>
                <w:rFonts w:ascii="Arial Narrow" w:hAnsi="Arial Narrow" w:cs="Arial Narrow" w:eastAsia="Arial Narrow" w:hint="default"/>
                <w:sz w:val="18"/>
                <w:szCs w:val="18"/>
              </w:rPr>
              <w:t>2</w:t>
            </w:r>
            <w:r>
              <w:rPr>
                <w:rFonts w:ascii="宋体" w:hAnsi="宋体" w:cs="宋体" w:eastAsia="宋体" w:hint="default"/>
                <w:sz w:val="18"/>
                <w:szCs w:val="18"/>
              </w:rPr>
              <w:t>：款项性质组 合</w:t>
            </w:r>
          </w:p>
        </w:tc>
        <w:tc>
          <w:tcPr>
            <w:tcW w:w="76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348,306,</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459.04</w:t>
            </w:r>
          </w:p>
        </w:tc>
        <w:tc>
          <w:tcPr>
            <w:tcW w:w="76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6"/>
              <w:jc w:val="center"/>
              <w:rPr>
                <w:rFonts w:ascii="Times New Roman" w:hAnsi="Times New Roman" w:cs="Times New Roman" w:eastAsia="Times New Roman" w:hint="default"/>
                <w:sz w:val="18"/>
                <w:szCs w:val="18"/>
              </w:rPr>
            </w:pPr>
            <w:r>
              <w:rPr>
                <w:rFonts w:ascii="Times New Roman"/>
                <w:sz w:val="18"/>
              </w:rPr>
              <w:t>77.37%</w:t>
            </w:r>
          </w:p>
        </w:tc>
        <w:tc>
          <w:tcPr>
            <w:tcW w:w="76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1,555,00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8.82</w:t>
            </w:r>
          </w:p>
        </w:tc>
        <w:tc>
          <w:tcPr>
            <w:tcW w:w="76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0.45%</w:t>
            </w:r>
          </w:p>
        </w:tc>
        <w:tc>
          <w:tcPr>
            <w:tcW w:w="79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346,751,4</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50.22</w:t>
            </w:r>
          </w:p>
        </w:tc>
        <w:tc>
          <w:tcPr>
            <w:tcW w:w="65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247,507</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,099.77</w:t>
            </w:r>
          </w:p>
        </w:tc>
        <w:tc>
          <w:tcPr>
            <w:tcW w:w="81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3"/>
              <w:ind w:left="23" w:right="0"/>
              <w:jc w:val="left"/>
              <w:rPr>
                <w:rFonts w:ascii="Calibri" w:hAnsi="Calibri" w:cs="Calibri" w:eastAsia="Calibri" w:hint="default"/>
                <w:sz w:val="21"/>
                <w:szCs w:val="21"/>
              </w:rPr>
            </w:pPr>
            <w:r>
              <w:rPr>
                <w:rFonts w:ascii="Calibri"/>
                <w:sz w:val="21"/>
              </w:rPr>
              <w:t>74.88%</w:t>
            </w:r>
          </w:p>
        </w:tc>
        <w:tc>
          <w:tcPr>
            <w:tcW w:w="76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388,138.</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74</w:t>
            </w:r>
          </w:p>
        </w:tc>
        <w:tc>
          <w:tcPr>
            <w:tcW w:w="93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3"/>
              <w:ind w:left="23" w:right="0"/>
              <w:jc w:val="left"/>
              <w:rPr>
                <w:rFonts w:ascii="Calibri" w:hAnsi="Calibri" w:cs="Calibri" w:eastAsia="Calibri" w:hint="default"/>
                <w:sz w:val="21"/>
                <w:szCs w:val="21"/>
              </w:rPr>
            </w:pPr>
            <w:r>
              <w:rPr>
                <w:rFonts w:ascii="Calibri"/>
                <w:sz w:val="21"/>
              </w:rPr>
              <w:t>0.16%</w:t>
            </w:r>
          </w:p>
        </w:tc>
        <w:tc>
          <w:tcPr>
            <w:tcW w:w="93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247,118,96</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1.03</w:t>
            </w:r>
          </w:p>
        </w:tc>
      </w:tr>
      <w:tr>
        <w:trPr>
          <w:trHeight w:val="1025" w:hRule="exact"/>
        </w:trPr>
        <w:tc>
          <w:tcPr>
            <w:tcW w:w="1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61"/>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450,170,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056.24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8"/>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5,920,75</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7.29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1.32%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444,249,2</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98.95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330,559</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,051.89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3,392,56</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6.14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327,166,48</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5.75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93,733,157.19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2,811,994.72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93,733,157.19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2,811,994.72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6,256,732.03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625,673.20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948,137.38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284,441.21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454,436.83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227,218.42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273,564.25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218,851.40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197,569.52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197,569.52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101,863,597.20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4,365,748.47</w:t>
            </w: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2839"/>
        <w:jc w:val="left"/>
      </w:pPr>
      <w:r>
        <w:rPr/>
        <w:t>组合中，采用余额百分比法计提坏账准备的应收账款：</w:t>
      </w:r>
    </w:p>
    <w:p>
      <w:pPr>
        <w:pStyle w:val="BodyText"/>
        <w:spacing w:line="240" w:lineRule="auto" w:before="115"/>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2839"/>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2839"/>
        <w:jc w:val="left"/>
      </w:pPr>
      <w:r>
        <w:rPr/>
        <w:t>本期计提坏账准备金额</w:t>
      </w:r>
      <w:r>
        <w:rPr>
          <w:spacing w:val="-46"/>
        </w:rPr>
        <w:t> </w:t>
      </w:r>
      <w:r>
        <w:rPr>
          <w:rFonts w:ascii="Times New Roman" w:hAnsi="Times New Roman" w:cs="Times New Roman" w:eastAsia="Times New Roman" w:hint="default"/>
        </w:rPr>
        <w:t>2,528,191.15</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w:t>
      </w:r>
    </w:p>
    <w:p>
      <w:pPr>
        <w:spacing w:line="240" w:lineRule="auto" w:before="2"/>
        <w:rPr>
          <w:rFonts w:ascii="宋体" w:hAnsi="宋体" w:cs="宋体" w:eastAsia="宋体" w:hint="default"/>
          <w:sz w:val="26"/>
          <w:szCs w:val="26"/>
        </w:rPr>
      </w:pPr>
    </w:p>
    <w:p>
      <w:pPr>
        <w:pStyle w:val="Heading3"/>
        <w:spacing w:line="240" w:lineRule="auto"/>
        <w:ind w:right="2839"/>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89" w:firstLine="360"/>
        <w:jc w:val="left"/>
      </w:pPr>
      <w:r>
        <w:rPr/>
        <w:t>本公司本期按欠款方归集的期末余额前五名应收账款汇总金额为</w:t>
      </w:r>
      <w:r>
        <w:rPr>
          <w:rFonts w:ascii="Times New Roman" w:hAnsi="Times New Roman" w:cs="Times New Roman" w:eastAsia="Times New Roman" w:hint="default"/>
        </w:rPr>
        <w:t>147,687,303.48</w:t>
      </w:r>
      <w:r>
        <w:rPr/>
        <w:t>元，占应收账款期末余额合计数的比例 为</w:t>
      </w:r>
      <w:r>
        <w:rPr>
          <w:rFonts w:ascii="Times New Roman" w:hAnsi="Times New Roman" w:cs="Times New Roman" w:eastAsia="Times New Roman" w:hint="default"/>
        </w:rPr>
        <w:t>32.81%</w:t>
      </w:r>
      <w:r>
        <w:rPr/>
        <w:t>，相应计提的坏账准备期末余额汇总金额为</w:t>
      </w:r>
      <w:r>
        <w:rPr>
          <w:rFonts w:ascii="Times New Roman" w:hAnsi="Times New Roman" w:cs="Times New Roman" w:eastAsia="Times New Roman" w:hint="default"/>
        </w:rPr>
        <w:t>1,036,585.10</w:t>
      </w:r>
      <w:r>
        <w:rPr/>
        <w:t>元。</w:t>
      </w:r>
    </w:p>
    <w:p>
      <w:pPr>
        <w:spacing w:after="0" w:line="300" w:lineRule="auto"/>
        <w:jc w:val="left"/>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2839"/>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2839"/>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3"/>
        <w:gridCol w:w="775"/>
        <w:gridCol w:w="764"/>
        <w:gridCol w:w="761"/>
        <w:gridCol w:w="763"/>
        <w:gridCol w:w="790"/>
        <w:gridCol w:w="655"/>
        <w:gridCol w:w="761"/>
        <w:gridCol w:w="814"/>
        <w:gridCol w:w="932"/>
        <w:gridCol w:w="934"/>
      </w:tblGrid>
      <w:tr>
        <w:trPr>
          <w:trHeight w:val="396" w:hRule="exact"/>
        </w:trPr>
        <w:tc>
          <w:tcPr>
            <w:tcW w:w="1613" w:type="dxa"/>
            <w:vMerge w:val="restart"/>
            <w:tcBorders>
              <w:top w:val="single" w:sz="4" w:space="0" w:color="000000"/>
              <w:left w:val="single" w:sz="4" w:space="0" w:color="000000"/>
              <w:right w:val="single" w:sz="4" w:space="0" w:color="000000"/>
            </w:tcBorders>
            <w:shd w:val="clear" w:color="auto" w:fill="D2D2D2"/>
          </w:tcPr>
          <w:p>
            <w:pPr/>
          </w:p>
        </w:tc>
        <w:tc>
          <w:tcPr>
            <w:tcW w:w="385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3" w:type="dxa"/>
            <w:vMerge/>
            <w:tcBorders>
              <w:left w:val="single" w:sz="4" w:space="0" w:color="000000"/>
              <w:bottom w:val="nil" w:sz="6" w:space="0" w:color="auto"/>
              <w:right w:val="single" w:sz="4" w:space="0" w:color="000000"/>
            </w:tcBorders>
            <w:shd w:val="clear" w:color="auto" w:fill="D2D2D2"/>
          </w:tcPr>
          <w:p>
            <w:pPr/>
          </w:p>
        </w:tc>
        <w:tc>
          <w:tcPr>
            <w:tcW w:w="153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4"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9"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90" w:right="10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4"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4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322,496,</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209.72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914,108.</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99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0.28%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321,582,1</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00.73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191,066</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,870.98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196,558.5</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190,870,31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2.47</w:t>
            </w:r>
          </w:p>
        </w:tc>
      </w:tr>
      <w:tr>
        <w:trPr>
          <w:trHeight w:val="833" w:hRule="exact"/>
        </w:trPr>
        <w:tc>
          <w:tcPr>
            <w:tcW w:w="1613"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32" w:lineRule="auto" w:before="14"/>
              <w:ind w:left="12" w:right="21"/>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Arial Narrow" w:hAnsi="Arial Narrow" w:cs="Arial Narrow" w:eastAsia="Arial Narrow" w:hint="default"/>
                <w:sz w:val="18"/>
                <w:szCs w:val="18"/>
              </w:rPr>
              <w:t>1</w:t>
            </w:r>
            <w:r>
              <w:rPr>
                <w:rFonts w:ascii="宋体" w:hAnsi="宋体" w:cs="宋体" w:eastAsia="宋体" w:hint="default"/>
                <w:sz w:val="18"/>
                <w:szCs w:val="18"/>
              </w:rPr>
              <w:t>：按照账龄分 析法计提坏账的其 他应收款</w:t>
            </w:r>
          </w:p>
        </w:tc>
        <w:tc>
          <w:tcPr>
            <w:tcW w:w="775" w:type="dxa"/>
            <w:tcBorders>
              <w:top w:val="single" w:sz="4" w:space="0" w:color="000000"/>
              <w:left w:val="single" w:sz="13" w:space="0" w:color="D2D2D2"/>
              <w:bottom w:val="single" w:sz="4" w:space="0" w:color="FFFFFF"/>
              <w:right w:val="single" w:sz="4" w:space="0" w:color="000000"/>
            </w:tcBorders>
          </w:tcPr>
          <w:p>
            <w:pPr>
              <w:pStyle w:val="TableParagraph"/>
              <w:spacing w:line="240" w:lineRule="auto" w:before="129"/>
              <w:ind w:left="23" w:right="0"/>
              <w:jc w:val="left"/>
              <w:rPr>
                <w:rFonts w:ascii="Times New Roman" w:hAnsi="Times New Roman" w:cs="Times New Roman" w:eastAsia="Times New Roman" w:hint="default"/>
                <w:sz w:val="18"/>
                <w:szCs w:val="18"/>
              </w:rPr>
            </w:pPr>
            <w:r>
              <w:rPr>
                <w:rFonts w:ascii="Times New Roman"/>
                <w:sz w:val="18"/>
              </w:rPr>
              <w:t>21,832,3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73.10</w:t>
            </w:r>
          </w:p>
        </w:tc>
        <w:tc>
          <w:tcPr>
            <w:tcW w:w="76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6.77%</w:t>
            </w:r>
          </w:p>
        </w:tc>
        <w:tc>
          <w:tcPr>
            <w:tcW w:w="76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29"/>
              <w:ind w:left="23" w:right="0"/>
              <w:jc w:val="left"/>
              <w:rPr>
                <w:rFonts w:ascii="Times New Roman" w:hAnsi="Times New Roman" w:cs="Times New Roman" w:eastAsia="Times New Roman" w:hint="default"/>
                <w:sz w:val="18"/>
                <w:szCs w:val="18"/>
              </w:rPr>
            </w:pPr>
            <w:r>
              <w:rPr>
                <w:rFonts w:ascii="Times New Roman"/>
                <w:sz w:val="18"/>
              </w:rPr>
              <w:t>914,108.</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99</w:t>
            </w:r>
          </w:p>
        </w:tc>
        <w:tc>
          <w:tcPr>
            <w:tcW w:w="763"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4.19%</w:t>
            </w:r>
          </w:p>
        </w:tc>
        <w:tc>
          <w:tcPr>
            <w:tcW w:w="79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29"/>
              <w:ind w:left="24" w:right="0"/>
              <w:jc w:val="left"/>
              <w:rPr>
                <w:rFonts w:ascii="Times New Roman" w:hAnsi="Times New Roman" w:cs="Times New Roman" w:eastAsia="Times New Roman" w:hint="default"/>
                <w:sz w:val="18"/>
                <w:szCs w:val="18"/>
              </w:rPr>
            </w:pPr>
            <w:r>
              <w:rPr>
                <w:rFonts w:ascii="Times New Roman"/>
                <w:sz w:val="18"/>
              </w:rPr>
              <w:t>20,918,26</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4.11</w:t>
            </w:r>
          </w:p>
        </w:tc>
        <w:tc>
          <w:tcPr>
            <w:tcW w:w="655"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29"/>
              <w:ind w:left="24" w:right="0"/>
              <w:jc w:val="left"/>
              <w:rPr>
                <w:rFonts w:ascii="Times New Roman" w:hAnsi="Times New Roman" w:cs="Times New Roman" w:eastAsia="Times New Roman" w:hint="default"/>
                <w:sz w:val="18"/>
                <w:szCs w:val="18"/>
              </w:rPr>
            </w:pPr>
            <w:r>
              <w:rPr>
                <w:rFonts w:ascii="Times New Roman"/>
                <w:sz w:val="18"/>
              </w:rPr>
              <w:t>1,650,4</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88.26</w:t>
            </w:r>
          </w:p>
        </w:tc>
        <w:tc>
          <w:tcPr>
            <w:tcW w:w="76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0.86</w:t>
            </w:r>
          </w:p>
        </w:tc>
        <w:tc>
          <w:tcPr>
            <w:tcW w:w="81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29"/>
              <w:ind w:left="23" w:right="0"/>
              <w:jc w:val="left"/>
              <w:rPr>
                <w:rFonts w:ascii="Times New Roman" w:hAnsi="Times New Roman" w:cs="Times New Roman" w:eastAsia="Times New Roman" w:hint="default"/>
                <w:sz w:val="18"/>
                <w:szCs w:val="18"/>
              </w:rPr>
            </w:pPr>
            <w:r>
              <w:rPr>
                <w:rFonts w:ascii="Times New Roman"/>
                <w:sz w:val="18"/>
              </w:rPr>
              <w:t>196,558.5</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c>
          <w:tcPr>
            <w:tcW w:w="93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11.91%</w:t>
            </w:r>
          </w:p>
        </w:tc>
        <w:tc>
          <w:tcPr>
            <w:tcW w:w="93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29"/>
              <w:ind w:left="23" w:right="0"/>
              <w:jc w:val="left"/>
              <w:rPr>
                <w:rFonts w:ascii="Times New Roman" w:hAnsi="Times New Roman" w:cs="Times New Roman" w:eastAsia="Times New Roman" w:hint="default"/>
                <w:sz w:val="18"/>
                <w:szCs w:val="18"/>
              </w:rPr>
            </w:pPr>
            <w:r>
              <w:rPr>
                <w:rFonts w:ascii="Times New Roman"/>
                <w:sz w:val="18"/>
              </w:rPr>
              <w:t>1,453,929.7</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672" w:hRule="exact"/>
        </w:trPr>
        <w:tc>
          <w:tcPr>
            <w:tcW w:w="1613"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32" w:lineRule="exact" w:before="68"/>
              <w:ind w:left="12" w:right="9"/>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33"/>
                <w:sz w:val="18"/>
                <w:szCs w:val="18"/>
              </w:rPr>
              <w:t> </w:t>
            </w:r>
            <w:r>
              <w:rPr>
                <w:rFonts w:ascii="Arial Narrow" w:hAnsi="Arial Narrow" w:cs="Arial Narrow" w:eastAsia="Arial Narrow" w:hint="default"/>
                <w:sz w:val="18"/>
                <w:szCs w:val="18"/>
              </w:rPr>
              <w:t>2</w:t>
            </w:r>
            <w:r>
              <w:rPr>
                <w:rFonts w:ascii="宋体" w:hAnsi="宋体" w:cs="宋体" w:eastAsia="宋体" w:hint="default"/>
                <w:sz w:val="18"/>
                <w:szCs w:val="18"/>
              </w:rPr>
              <w:t>：款项性质组 合</w:t>
            </w:r>
          </w:p>
        </w:tc>
        <w:tc>
          <w:tcPr>
            <w:tcW w:w="775" w:type="dxa"/>
            <w:tcBorders>
              <w:top w:val="single" w:sz="4" w:space="0" w:color="FFFFFF"/>
              <w:left w:val="single" w:sz="13" w:space="0" w:color="D2D2D2"/>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300,663,</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836.62</w:t>
            </w:r>
          </w:p>
        </w:tc>
        <w:tc>
          <w:tcPr>
            <w:tcW w:w="76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93.23%</w:t>
            </w:r>
          </w:p>
        </w:tc>
        <w:tc>
          <w:tcPr>
            <w:tcW w:w="761" w:type="dxa"/>
            <w:tcBorders>
              <w:top w:val="single" w:sz="4" w:space="0" w:color="FFFFFF"/>
              <w:left w:val="single" w:sz="4" w:space="0" w:color="000000"/>
              <w:bottom w:val="single" w:sz="4" w:space="0" w:color="000000"/>
              <w:right w:val="single" w:sz="4" w:space="0" w:color="000000"/>
            </w:tcBorders>
          </w:tcPr>
          <w:p>
            <w:pPr/>
          </w:p>
        </w:tc>
        <w:tc>
          <w:tcPr>
            <w:tcW w:w="763" w:type="dxa"/>
            <w:tcBorders>
              <w:top w:val="single" w:sz="4" w:space="0" w:color="FFFFFF"/>
              <w:left w:val="single" w:sz="4" w:space="0" w:color="000000"/>
              <w:bottom w:val="single" w:sz="4" w:space="0" w:color="000000"/>
              <w:right w:val="single" w:sz="4" w:space="0" w:color="000000"/>
            </w:tcBorders>
          </w:tcPr>
          <w:p>
            <w:pPr/>
          </w:p>
        </w:tc>
        <w:tc>
          <w:tcPr>
            <w:tcW w:w="79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300,663,8</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36.62</w:t>
            </w:r>
          </w:p>
        </w:tc>
        <w:tc>
          <w:tcPr>
            <w:tcW w:w="65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189,416</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,382.72</w:t>
            </w:r>
          </w:p>
        </w:tc>
        <w:tc>
          <w:tcPr>
            <w:tcW w:w="76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99.14</w:t>
            </w:r>
          </w:p>
        </w:tc>
        <w:tc>
          <w:tcPr>
            <w:tcW w:w="814" w:type="dxa"/>
            <w:tcBorders>
              <w:top w:val="single" w:sz="4" w:space="0" w:color="FFFFFF"/>
              <w:left w:val="single" w:sz="4" w:space="0" w:color="000000"/>
              <w:bottom w:val="single" w:sz="4" w:space="0" w:color="000000"/>
              <w:right w:val="single" w:sz="4" w:space="0" w:color="000000"/>
            </w:tcBorders>
          </w:tcPr>
          <w:p>
            <w:pPr/>
          </w:p>
        </w:tc>
        <w:tc>
          <w:tcPr>
            <w:tcW w:w="932" w:type="dxa"/>
            <w:tcBorders>
              <w:top w:val="single" w:sz="4" w:space="0" w:color="FFFFFF"/>
              <w:left w:val="single" w:sz="4" w:space="0" w:color="000000"/>
              <w:bottom w:val="single" w:sz="4" w:space="0" w:color="000000"/>
              <w:right w:val="single" w:sz="4" w:space="0" w:color="000000"/>
            </w:tcBorders>
          </w:tcPr>
          <w:p>
            <w:pPr/>
          </w:p>
        </w:tc>
        <w:tc>
          <w:tcPr>
            <w:tcW w:w="93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189,416,38</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2.72</w:t>
            </w:r>
          </w:p>
        </w:tc>
      </w:tr>
      <w:tr>
        <w:trPr>
          <w:trHeight w:val="1028" w:hRule="exact"/>
        </w:trPr>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10"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322,496,</w:t>
            </w:r>
          </w:p>
          <w:p>
            <w:pPr>
              <w:pStyle w:val="TableParagraph"/>
              <w:spacing w:line="240" w:lineRule="auto" w:before="102"/>
              <w:ind w:left="28" w:right="0"/>
              <w:jc w:val="left"/>
              <w:rPr>
                <w:rFonts w:ascii="Times New Roman" w:hAnsi="Times New Roman" w:cs="Times New Roman" w:eastAsia="Times New Roman" w:hint="default"/>
                <w:sz w:val="18"/>
                <w:szCs w:val="18"/>
              </w:rPr>
            </w:pPr>
            <w:r>
              <w:rPr>
                <w:rFonts w:ascii="Times New Roman"/>
                <w:sz w:val="18"/>
              </w:rPr>
              <w:t>209.72</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914,108.</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99</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0.28%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321,582,1</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00.73</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191,066</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,870.98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196,558.5</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0.1%</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190,870,31</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2.47</w:t>
            </w:r>
          </w:p>
        </w:tc>
      </w:tr>
      <w:tr>
        <w:trPr>
          <w:trHeight w:val="391" w:hRule="exact"/>
        </w:trPr>
        <w:tc>
          <w:tcPr>
            <w:tcW w:w="16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10" w:space="0" w:color="D2D2D2"/>
              <w:right w:val="single" w:sz="4" w:space="0" w:color="000000"/>
            </w:tcBorders>
          </w:tcPr>
          <w:p>
            <w:pPr/>
          </w:p>
        </w:tc>
        <w:tc>
          <w:tcPr>
            <w:tcW w:w="764"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r>
      <w:tr>
        <w:trPr>
          <w:trHeight w:val="161" w:hRule="exact"/>
        </w:trPr>
        <w:tc>
          <w:tcPr>
            <w:tcW w:w="161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10" w:space="0" w:color="D2D2D2"/>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356"/>
            <w:col w:w="112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403"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20,653,679.91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619,610.40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20,653,679.91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619,610.40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921,960.09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92,196.01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32,693.60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9,808.08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15,090.00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7,545.00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88,949.50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88,949.50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21,832,373.10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914,108.99</w:t>
            </w: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2839"/>
        <w:jc w:val="left"/>
      </w:pPr>
      <w:r>
        <w:rPr/>
        <w:t>组合中，采用余额百分比法计提坏账准备的其他应收款：</w:t>
      </w:r>
    </w:p>
    <w:p>
      <w:pPr>
        <w:pStyle w:val="BodyText"/>
        <w:spacing w:line="340" w:lineRule="auto" w:before="115"/>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338" w:lineRule="auto" w:before="41"/>
        <w:ind w:left="513" w:right="0"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截止</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日，按照款项性质组合为合作意向保证金、员工备用金、子公司往来款，经过减值测试未发生减值迹</w:t>
      </w:r>
    </w:p>
    <w:p>
      <w:pPr>
        <w:pStyle w:val="BodyText"/>
        <w:spacing w:line="240" w:lineRule="auto" w:before="2"/>
        <w:ind w:right="2839"/>
        <w:jc w:val="left"/>
      </w:pPr>
      <w:r>
        <w:rPr/>
        <w:t>象，不计提坏账准备。</w:t>
      </w:r>
    </w:p>
    <w:p>
      <w:pPr>
        <w:spacing w:line="240" w:lineRule="auto" w:before="0"/>
        <w:rPr>
          <w:rFonts w:ascii="宋体" w:hAnsi="宋体" w:cs="宋体" w:eastAsia="宋体" w:hint="default"/>
          <w:sz w:val="18"/>
          <w:szCs w:val="18"/>
        </w:rPr>
      </w:pPr>
    </w:p>
    <w:p>
      <w:pPr>
        <w:pStyle w:val="Heading3"/>
        <w:spacing w:line="240" w:lineRule="auto" w:before="120"/>
        <w:ind w:right="2839"/>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2839"/>
        <w:jc w:val="left"/>
      </w:pPr>
      <w:r>
        <w:rPr/>
        <w:t>本期计提坏账准备金额</w:t>
      </w:r>
      <w:r>
        <w:rPr>
          <w:spacing w:val="-47"/>
        </w:rPr>
        <w:t> </w:t>
      </w:r>
      <w:r>
        <w:rPr>
          <w:rFonts w:ascii="Times New Roman" w:hAnsi="Times New Roman" w:cs="Times New Roman" w:eastAsia="Times New Roman" w:hint="default"/>
        </w:rPr>
        <w:t>717,550.48 </w:t>
      </w:r>
      <w:r>
        <w:rPr/>
        <w:t>元；本期收回或转回坏账准备金额元。</w:t>
      </w:r>
    </w:p>
    <w:p>
      <w:pPr>
        <w:spacing w:line="240" w:lineRule="auto" w:before="2"/>
        <w:rPr>
          <w:rFonts w:ascii="宋体" w:hAnsi="宋体" w:cs="宋体" w:eastAsia="宋体" w:hint="default"/>
          <w:sz w:val="26"/>
          <w:szCs w:val="26"/>
        </w:rPr>
      </w:pPr>
    </w:p>
    <w:p>
      <w:pPr>
        <w:pStyle w:val="Heading3"/>
        <w:spacing w:line="240" w:lineRule="auto"/>
        <w:ind w:right="2839"/>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145,409.60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203,337.60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押金、意向保证金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1,706,683.99</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3,430,423.59</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320,644,116.13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187,433,109.79</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322,496,209.72</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191,066,870.98</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北京无双科技有限公 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46.51%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光环云谷科技有限公 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59,997,632.26</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18.60%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光环新网（上海）信 息服务有限公司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56,064,548.15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17.38%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北京德信致远科技有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32,953,503.85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10.22%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北京阳光童梦教育科 技有限公司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19,959,867.93</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598,796.04</w:t>
            </w:r>
          </w:p>
        </w:tc>
      </w:tr>
      <w:tr>
        <w:trPr>
          <w:trHeight w:val="404"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318,975,552.19</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98.90%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598,796.04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2839"/>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4,279,029,518.96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4,279,029,518.96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4,040,058,953.96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4,040,058,953.96</w:t>
            </w:r>
          </w:p>
        </w:tc>
      </w:tr>
      <w:tr>
        <w:trPr>
          <w:trHeight w:val="71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9,571,328.62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811,046.07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8,760,282.55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11,243,466.26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811,046.07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10,432,420.19</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4,288,600,847.58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811,046.07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4,287,789,801.51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4,051,302,420.22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811,046.07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4,050,491,374.15</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715"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光环云谷科技有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181,800,000.00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250,800,000.00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西安博凯创达数 字科技有限公司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北京瑞科新网科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38,301,227.50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38,301,227.50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北京光环金网科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7"/>
              <w:jc w:val="left"/>
              <w:rPr>
                <w:rFonts w:ascii="宋体" w:hAnsi="宋体" w:cs="宋体" w:eastAsia="宋体" w:hint="default"/>
                <w:sz w:val="18"/>
                <w:szCs w:val="18"/>
              </w:rPr>
            </w:pPr>
            <w:r>
              <w:rPr>
                <w:rFonts w:ascii="宋体" w:hAnsi="宋体" w:cs="宋体" w:eastAsia="宋体" w:hint="default"/>
                <w:sz w:val="18"/>
                <w:szCs w:val="18"/>
              </w:rPr>
              <w:t>光环新网（上海） 信息服务有限公</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293,800,000.00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436,800,000.00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北京德信致远科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386,426,475.00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22,750,000.00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409,176,475.00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北京亚逊新网科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北京科信盛彩云 计算有限公司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68,700,000.00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68,700,000.00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北京无双科技有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495,425,680.43</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495,425,680.43</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北京中金云网科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2,413,595,571.03</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2,413,595,571.03</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7"/>
              <w:jc w:val="left"/>
              <w:rPr>
                <w:rFonts w:ascii="宋体" w:hAnsi="宋体" w:cs="宋体" w:eastAsia="宋体" w:hint="default"/>
                <w:sz w:val="18"/>
                <w:szCs w:val="18"/>
              </w:rPr>
            </w:pPr>
            <w:r>
              <w:rPr>
                <w:rFonts w:ascii="宋体" w:hAnsi="宋体" w:cs="宋体" w:eastAsia="宋体" w:hint="default"/>
                <w:sz w:val="18"/>
                <w:szCs w:val="18"/>
              </w:rPr>
              <w:t>光环有云（北京） 网络服务有限公</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2,687,500.00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2,687,500.00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713" w:hRule="exact"/>
        </w:trPr>
        <w:tc>
          <w:tcPr>
            <w:tcW w:w="1448"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光环新网（宁夏） 云服务有限公司</w:t>
            </w:r>
          </w:p>
        </w:tc>
        <w:tc>
          <w:tcPr>
            <w:tcW w:w="133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光环新网国际有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1,033,065.00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1,033,065.00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北京光环凯旋管 理咨询有限公司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7"/>
              <w:jc w:val="left"/>
              <w:rPr>
                <w:rFonts w:ascii="宋体" w:hAnsi="宋体" w:cs="宋体" w:eastAsia="宋体" w:hint="default"/>
                <w:sz w:val="18"/>
                <w:szCs w:val="18"/>
              </w:rPr>
            </w:pPr>
            <w:r>
              <w:rPr>
                <w:rFonts w:ascii="宋体" w:hAnsi="宋体" w:cs="宋体" w:eastAsia="宋体" w:hint="default"/>
                <w:sz w:val="18"/>
                <w:szCs w:val="18"/>
              </w:rPr>
              <w:t>光环有云（香港） 网络科技有限公</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4,040,058,953.96</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238,970,565.00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4,279,029,518.96</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北京长城 光环宽带 网络技术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5"/>
                <w:sz w:val="18"/>
              </w:rPr>
              <w:t>811,046.0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811,046.0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811,046.0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北京华爱 光环科技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914,221.2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-474,372.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439,848.8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陕西广电 新网云服 务有限公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9,518,198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-1,197,76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5.24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8,320,433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11,243,46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-1,672,13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7.64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9,571,328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811,046.0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11,243,46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-1,672,13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7.64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9,571,328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811,046.0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0"/>
        <w:jc w:val="left"/>
      </w:pPr>
      <w:r>
        <w:rPr/>
        <w:t>北京长城光环宽带网络技术有限公司于</w:t>
      </w:r>
      <w:r>
        <w:rPr>
          <w:rFonts w:ascii="宋体" w:hAnsi="宋体" w:cs="宋体" w:eastAsia="宋体" w:hint="default"/>
        </w:rPr>
        <w:t>2007</w:t>
      </w:r>
      <w:r>
        <w:rPr/>
        <w:t>年</w:t>
      </w:r>
      <w:r>
        <w:rPr>
          <w:rFonts w:ascii="宋体" w:hAnsi="宋体" w:cs="宋体" w:eastAsia="宋体" w:hint="default"/>
        </w:rPr>
        <w:t>5</w:t>
      </w:r>
      <w:r>
        <w:rPr/>
        <w:t>月已经开始清算，在</w:t>
      </w:r>
      <w:r>
        <w:rPr>
          <w:rFonts w:ascii="宋体" w:hAnsi="宋体" w:cs="宋体" w:eastAsia="宋体" w:hint="default"/>
        </w:rPr>
        <w:t>2013</w:t>
      </w:r>
      <w:r>
        <w:rPr/>
        <w:t>年以前已经全额计提减值准备。</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2839"/>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2,049,922,305.38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1,806,287,887.97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1,000,425,979.86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770,600,010.20</w:t>
            </w: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9,905.55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4,399.97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10,780,732.49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943,396.23</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2,049,932,210.93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1,806,292,287.94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1,011,206,712.35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771,543,406.43</w:t>
            </w:r>
          </w:p>
        </w:tc>
      </w:tr>
    </w:tbl>
    <w:p>
      <w:pPr>
        <w:spacing w:line="240" w:lineRule="auto" w:before="3"/>
        <w:rPr>
          <w:rFonts w:ascii="宋体" w:hAnsi="宋体" w:cs="宋体" w:eastAsia="宋体" w:hint="default"/>
          <w:sz w:val="19"/>
          <w:szCs w:val="19"/>
        </w:rPr>
      </w:pPr>
    </w:p>
    <w:p>
      <w:pPr>
        <w:pStyle w:val="Heading3"/>
        <w:spacing w:line="240" w:lineRule="auto" w:before="36"/>
        <w:ind w:right="2839"/>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-1,672,137.64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-950,722.20</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40,042,670.03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17,944,876.51</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38,370,532.39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16,994,154.31</w:t>
            </w:r>
          </w:p>
        </w:tc>
      </w:tr>
    </w:tbl>
    <w:p>
      <w:pPr>
        <w:spacing w:line="240" w:lineRule="auto" w:before="1"/>
        <w:rPr>
          <w:rFonts w:ascii="宋体" w:hAnsi="宋体" w:cs="宋体" w:eastAsia="宋体" w:hint="default"/>
          <w:sz w:val="18"/>
          <w:szCs w:val="18"/>
        </w:rPr>
      </w:pPr>
    </w:p>
    <w:p>
      <w:pPr>
        <w:pStyle w:val="Heading2"/>
        <w:spacing w:line="240" w:lineRule="auto" w:before="26"/>
        <w:ind w:right="2839"/>
        <w:jc w:val="left"/>
        <w:rPr>
          <w:b w:val="0"/>
          <w:bCs w:val="0"/>
        </w:rPr>
      </w:pPr>
      <w:r>
        <w:rPr/>
        <w:t>十六、补充资料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2839"/>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-1,574,720.06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6,366,600.00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3,177.85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946,695.73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-7,125.13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3,855,487.19</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28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2839"/>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0"/>
        <w:gridCol w:w="3083"/>
        <w:gridCol w:w="1913"/>
        <w:gridCol w:w="1913"/>
      </w:tblGrid>
      <w:tr>
        <w:trPr>
          <w:trHeight w:val="204" w:hRule="exact"/>
        </w:trPr>
        <w:tc>
          <w:tcPr>
            <w:tcW w:w="2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0" w:type="dxa"/>
            <w:vMerge/>
            <w:tcBorders>
              <w:left w:val="single" w:sz="4" w:space="0" w:color="000000"/>
              <w:bottom w:val="nil" w:sz="6" w:space="0" w:color="auto"/>
              <w:right w:val="single" w:sz="4" w:space="0" w:color="000000"/>
            </w:tcBorders>
            <w:shd w:val="clear" w:color="auto" w:fill="D2D2D2"/>
          </w:tcPr>
          <w:p>
            <w:pPr/>
          </w:p>
        </w:tc>
        <w:tc>
          <w:tcPr>
            <w:tcW w:w="3083"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0.30</w:t>
            </w:r>
          </w:p>
        </w:tc>
      </w:tr>
      <w:tr>
        <w:trPr>
          <w:trHeight w:val="715"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3285" w:right="2839"/>
        <w:jc w:val="left"/>
        <w:rPr>
          <w:b w:val="0"/>
          <w:bCs w:val="0"/>
        </w:rPr>
      </w:pPr>
      <w:bookmarkStart w:name="_bookmark11" w:id="12"/>
      <w:bookmarkEnd w:id="12"/>
      <w:r>
        <w:rPr>
          <w:b w:val="0"/>
          <w:bCs w:val="0"/>
        </w:rPr>
      </w:r>
      <w:r>
        <w:rPr/>
        <w:t>第十二节</w:t>
      </w:r>
      <w:r>
        <w:rPr>
          <w:spacing w:val="-6"/>
        </w:rPr>
        <w:t> </w:t>
      </w:r>
      <w:r>
        <w:rPr/>
        <w:t>备查文件目录</w:t>
      </w:r>
      <w:r>
        <w:rPr>
          <w:b w:val="0"/>
          <w:bCs w:val="0"/>
        </w:rPr>
      </w:r>
    </w:p>
    <w:p>
      <w:pPr>
        <w:spacing w:line="240" w:lineRule="auto" w:before="9"/>
        <w:rPr>
          <w:rFonts w:ascii="宋体" w:hAnsi="宋体" w:cs="宋体" w:eastAsia="宋体" w:hint="default"/>
          <w:b/>
          <w:bCs/>
          <w:sz w:val="42"/>
          <w:szCs w:val="42"/>
        </w:rPr>
      </w:pPr>
    </w:p>
    <w:p>
      <w:pPr>
        <w:pStyle w:val="BodyText"/>
        <w:spacing w:line="316" w:lineRule="auto"/>
        <w:ind w:right="149"/>
        <w:jc w:val="left"/>
      </w:pPr>
      <w:r>
        <w:rPr>
          <w:spacing w:val="-5"/>
        </w:rPr>
        <w:t>一、载有法定代表人耿殿根先生、主管会计工作负责人张利军先生、会计机构负责人张利军先生签名并盖章的财务报告文本；</w:t>
      </w:r>
      <w:r>
        <w:rPr>
          <w:spacing w:val="-76"/>
        </w:rPr>
        <w:t> </w:t>
      </w:r>
      <w:r>
        <w:rPr>
          <w:spacing w:val="-76"/>
        </w:rPr>
      </w:r>
      <w:r>
        <w:rPr/>
        <w:t>二、载有会计师事务所盖章、注册会计师签名并盖章的审计报告原件； 三、经公司法定代表人耿殿根先生签名的</w:t>
      </w:r>
      <w:r>
        <w:rPr>
          <w:rFonts w:ascii="Times New Roman" w:hAnsi="Times New Roman" w:cs="Times New Roman" w:eastAsia="Times New Roman" w:hint="default"/>
        </w:rPr>
        <w:t>2017</w:t>
      </w:r>
      <w:r>
        <w:rPr/>
        <w:t>年年度报告文件原件。</w:t>
      </w:r>
    </w:p>
    <w:p>
      <w:pPr>
        <w:pStyle w:val="BodyText"/>
        <w:spacing w:line="240" w:lineRule="auto" w:before="40"/>
        <w:ind w:right="2839"/>
        <w:jc w:val="left"/>
      </w:pPr>
      <w:r>
        <w:rPr/>
        <w:t>以上备查文件的备置地点：公司证券部。</w:t>
      </w:r>
    </w:p>
    <w:sectPr>
      <w:pgSz w:w="11910" w:h="16840"/>
      <w:pgMar w:header="745" w:footer="979"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Calibri">
    <w:altName w:val="Calibri"/>
    <w:charset w:val="0"/>
    <w:family w:val="swiss"/>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37939pt;width:6.5pt;height:11pt;mso-position-horizontal-relative:page;mso-position-vertical-relative:page;z-index:-181592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18157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18159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57947pt;width:15.7pt;height:11pt;mso-position-horizontal-relative:page;mso-position-vertical-relative:page;z-index:-181588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18158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57947pt;width:17.3pt;height:11pt;mso-position-horizontal-relative:page;mso-position-vertical-relative:page;z-index:-18158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18158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18157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173</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18157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195</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57947pt;width:15.7pt;height:11pt;mso-position-horizontal-relative:page;mso-position-vertical-relative:page;z-index:-181573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070007pt;margin-top:36.265610pt;width:213.75pt;height:11.5pt;mso-position-horizontal-relative:page;mso-position-vertical-relative:page;z-index:-1815952" type="#_x0000_t202" filled="false" stroked="false">
          <v:textbox inset="0,0,0,0">
            <w:txbxContent>
              <w:p>
                <w:pPr>
                  <w:pStyle w:val="BodyText"/>
                  <w:spacing w:line="214" w:lineRule="exact"/>
                  <w:ind w:left="20" w:right="0"/>
                  <w:jc w:val="left"/>
                </w:pPr>
                <w:r>
                  <w:rPr/>
                  <w:t>北京光环新网科技股份有限公司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7"/>
      <w:ind w:left="152"/>
    </w:pPr>
    <w:rPr>
      <w:rFonts w:ascii="宋体" w:hAnsi="宋体" w:eastAsia="宋体"/>
      <w:b/>
      <w:bCs/>
      <w:sz w:val="28"/>
      <w:szCs w:val="28"/>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3429"/>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ind w:left="544"/>
      <w:outlineLvl w:val="4"/>
    </w:pPr>
    <w:rPr>
      <w:rFonts w:ascii="宋体" w:hAnsi="宋体" w:eastAsia="宋体"/>
      <w:sz w:val="20"/>
      <w:szCs w:val="20"/>
    </w:rPr>
  </w:style>
  <w:style w:styleId="Heading5" w:type="paragraph">
    <w:name w:val="Heading 5"/>
    <w:basedOn w:val="Normal"/>
    <w:uiPriority w:val="1"/>
    <w:qFormat/>
    <w:pPr>
      <w:spacing w:before="3"/>
      <w:ind w:left="513"/>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sinnet.com.cn/" TargetMode="External"/><Relationship Id="rId10" Type="http://schemas.openxmlformats.org/officeDocument/2006/relationships/hyperlink" Target="mailto:i_r@sinnet.com.cn" TargetMode="External"/><Relationship Id="rId11" Type="http://schemas.openxmlformats.org/officeDocument/2006/relationships/hyperlink" Target="http://www.cninfo.com.cn/" TargetMode="External"/><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footer" Target="footer3.xml"/><Relationship Id="rId19" Type="http://schemas.openxmlformats.org/officeDocument/2006/relationships/footer" Target="footer4.xml"/><Relationship Id="rId20" Type="http://schemas.openxmlformats.org/officeDocument/2006/relationships/hyperlink" Target="http://www.cninfo.co/" TargetMode="External"/><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footer" Target="footer7.xml"/><Relationship Id="rId24" Type="http://schemas.openxmlformats.org/officeDocument/2006/relationships/footer" Target="footer8.xml"/><Relationship Id="rId25" Type="http://schemas.openxmlformats.org/officeDocument/2006/relationships/footer" Target="footer9.xml"/><Relationship Id="rId26"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北京光环新网科技股份有限公司</dc:creator>
  <dc:title>北京光环新网科技股份有限公司2017年年度报告全文</dc:title>
  <dcterms:created xsi:type="dcterms:W3CDTF">2020-05-03T00:41:27Z</dcterms:created>
  <dcterms:modified xsi:type="dcterms:W3CDTF">2020-05-03T00:41:27Z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2018-03-16T00:00:00Z</vt:filetime>
  </property>
  <property fmtid="{D5CDD505-2E9C-101B-9397-08002B2CF9AE}" pid="3" name="Creator">
    <vt:lpwstr>Microsoft® Office Word 2007</vt:lpwstr>
  </property>
  <property fmtid="{D5CDD505-2E9C-101B-9397-08002B2CF9AE}" pid="4" name="LastSaved">
    <vt:filetime>2020-05-02T00:00:00Z</vt:filetime>
  </property>
</Properties>
</file>