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194" w:lineRule="exact"/>
        <w:ind w:left="38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3"/>
          <w:sz w:val="20"/>
          <w:szCs w:val="20"/>
        </w:rPr>
        <w:drawing>
          <wp:inline distT="0" distB="0" distL="0" distR="0">
            <wp:extent cx="1437131" cy="202844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37131" cy="2028444"/>
                    </a:xfrm>
                    <a:prstGeom prst="rect">
                      <a:avLst/>
                    </a:prstGeom>
                  </pic:spPr>
                </pic:pic>
              </a:graphicData>
            </a:graphic>
          </wp:inline>
        </w:drawing>
      </w:r>
      <w:r>
        <w:rPr>
          <w:rFonts w:ascii="Times New Roman" w:hAnsi="Times New Roman" w:cs="Times New Roman" w:eastAsia="Times New Roman" w:hint="default"/>
          <w:position w:val="-6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line="659" w:lineRule="exact" w:before="0"/>
        <w:ind w:left="0" w:right="989" w:firstLine="0"/>
        <w:jc w:val="center"/>
        <w:rPr>
          <w:rFonts w:ascii="仿宋" w:hAnsi="仿宋" w:cs="仿宋" w:eastAsia="仿宋" w:hint="default"/>
          <w:sz w:val="56"/>
          <w:szCs w:val="56"/>
        </w:rPr>
      </w:pPr>
      <w:r>
        <w:rPr>
          <w:rFonts w:ascii="仿宋" w:hAnsi="仿宋" w:cs="仿宋" w:eastAsia="仿宋" w:hint="default"/>
          <w:b/>
          <w:bCs/>
          <w:sz w:val="56"/>
          <w:szCs w:val="56"/>
        </w:rPr>
        <w:t>北京光环新网科技股份有限公司</w:t>
      </w:r>
      <w:r>
        <w:rPr>
          <w:rFonts w:ascii="仿宋" w:hAnsi="仿宋" w:cs="仿宋" w:eastAsia="仿宋" w:hint="default"/>
          <w:sz w:val="56"/>
          <w:szCs w:val="56"/>
        </w:rPr>
      </w:r>
    </w:p>
    <w:p>
      <w:pPr>
        <w:spacing w:before="35"/>
        <w:ind w:left="0" w:right="985" w:firstLine="0"/>
        <w:jc w:val="center"/>
        <w:rPr>
          <w:rFonts w:ascii="仿宋" w:hAnsi="仿宋" w:cs="仿宋" w:eastAsia="仿宋" w:hint="default"/>
          <w:sz w:val="56"/>
          <w:szCs w:val="56"/>
        </w:rPr>
      </w:pPr>
      <w:r>
        <w:rPr>
          <w:rFonts w:ascii="Times New Roman" w:hAnsi="Times New Roman" w:cs="Times New Roman" w:eastAsia="Times New Roman" w:hint="default"/>
          <w:b/>
          <w:bCs/>
          <w:sz w:val="56"/>
          <w:szCs w:val="56"/>
        </w:rPr>
        <w:t>2019</w:t>
      </w:r>
      <w:r>
        <w:rPr>
          <w:rFonts w:ascii="Times New Roman" w:hAnsi="Times New Roman" w:cs="Times New Roman" w:eastAsia="Times New Roman" w:hint="default"/>
          <w:b/>
          <w:bCs/>
          <w:spacing w:val="-7"/>
          <w:sz w:val="56"/>
          <w:szCs w:val="56"/>
        </w:rPr>
        <w:t> </w:t>
      </w:r>
      <w:r>
        <w:rPr>
          <w:rFonts w:ascii="仿宋" w:hAnsi="仿宋" w:cs="仿宋" w:eastAsia="仿宋" w:hint="default"/>
          <w:b/>
          <w:bCs/>
          <w:sz w:val="56"/>
          <w:szCs w:val="56"/>
        </w:rPr>
        <w:t>年年度报告</w:t>
      </w:r>
      <w:r>
        <w:rPr>
          <w:rFonts w:ascii="仿宋" w:hAnsi="仿宋" w:cs="仿宋" w:eastAsia="仿宋" w:hint="default"/>
          <w:sz w:val="56"/>
          <w:szCs w:val="56"/>
        </w:rPr>
      </w:r>
    </w:p>
    <w:p>
      <w:pPr>
        <w:spacing w:line="240" w:lineRule="auto" w:before="0"/>
        <w:rPr>
          <w:rFonts w:ascii="仿宋" w:hAnsi="仿宋" w:cs="仿宋" w:eastAsia="仿宋" w:hint="default"/>
          <w:b/>
          <w:bCs/>
          <w:sz w:val="58"/>
          <w:szCs w:val="58"/>
        </w:rPr>
      </w:pPr>
    </w:p>
    <w:p>
      <w:pPr>
        <w:spacing w:line="240" w:lineRule="auto" w:before="0"/>
        <w:rPr>
          <w:rFonts w:ascii="仿宋" w:hAnsi="仿宋" w:cs="仿宋" w:eastAsia="仿宋" w:hint="default"/>
          <w:b/>
          <w:bCs/>
          <w:sz w:val="58"/>
          <w:szCs w:val="58"/>
        </w:rPr>
      </w:pPr>
    </w:p>
    <w:p>
      <w:pPr>
        <w:spacing w:line="240" w:lineRule="auto" w:before="0"/>
        <w:rPr>
          <w:rFonts w:ascii="仿宋" w:hAnsi="仿宋" w:cs="仿宋" w:eastAsia="仿宋" w:hint="default"/>
          <w:b/>
          <w:bCs/>
          <w:sz w:val="58"/>
          <w:szCs w:val="58"/>
        </w:rPr>
      </w:pPr>
    </w:p>
    <w:p>
      <w:pPr>
        <w:spacing w:line="240" w:lineRule="auto" w:before="0"/>
        <w:rPr>
          <w:rFonts w:ascii="仿宋" w:hAnsi="仿宋" w:cs="仿宋" w:eastAsia="仿宋" w:hint="default"/>
          <w:b/>
          <w:bCs/>
          <w:sz w:val="58"/>
          <w:szCs w:val="58"/>
        </w:rPr>
      </w:pPr>
    </w:p>
    <w:p>
      <w:pPr>
        <w:spacing w:line="240" w:lineRule="auto" w:before="5"/>
        <w:rPr>
          <w:rFonts w:ascii="仿宋" w:hAnsi="仿宋" w:cs="仿宋" w:eastAsia="仿宋" w:hint="default"/>
          <w:b/>
          <w:bCs/>
          <w:sz w:val="50"/>
          <w:szCs w:val="50"/>
        </w:rPr>
      </w:pPr>
    </w:p>
    <w:p>
      <w:pPr>
        <w:spacing w:line="304" w:lineRule="auto" w:before="0"/>
        <w:ind w:left="3516" w:right="3827" w:firstLine="0"/>
        <w:jc w:val="left"/>
        <w:rPr>
          <w:rFonts w:ascii="仿宋" w:hAnsi="仿宋" w:cs="仿宋" w:eastAsia="仿宋" w:hint="default"/>
          <w:sz w:val="28"/>
          <w:szCs w:val="28"/>
        </w:rPr>
      </w:pPr>
      <w:r>
        <w:rPr>
          <w:rFonts w:ascii="仿宋" w:hAnsi="仿宋" w:cs="仿宋" w:eastAsia="仿宋" w:hint="default"/>
          <w:b/>
          <w:bCs/>
          <w:sz w:val="28"/>
          <w:szCs w:val="28"/>
        </w:rPr>
        <w:t>证券代码：</w:t>
      </w:r>
      <w:r>
        <w:rPr>
          <w:rFonts w:ascii="Times New Roman" w:hAnsi="Times New Roman" w:cs="Times New Roman" w:eastAsia="Times New Roman" w:hint="default"/>
          <w:b/>
          <w:bCs/>
          <w:sz w:val="28"/>
          <w:szCs w:val="28"/>
        </w:rPr>
        <w:t>300383</w:t>
      </w:r>
      <w:r>
        <w:rPr>
          <w:rFonts w:ascii="Times New Roman" w:hAnsi="Times New Roman" w:cs="Times New Roman" w:eastAsia="Times New Roman" w:hint="default"/>
          <w:b/>
          <w:bCs/>
          <w:w w:val="100"/>
          <w:sz w:val="28"/>
          <w:szCs w:val="28"/>
        </w:rPr>
        <w:t> </w:t>
      </w:r>
      <w:r>
        <w:rPr>
          <w:rFonts w:ascii="仿宋" w:hAnsi="仿宋" w:cs="仿宋" w:eastAsia="仿宋" w:hint="default"/>
          <w:b/>
          <w:bCs/>
          <w:sz w:val="28"/>
          <w:szCs w:val="28"/>
        </w:rPr>
        <w:t>证券简称：光环新网</w:t>
      </w:r>
      <w:r>
        <w:rPr>
          <w:rFonts w:ascii="仿宋" w:hAnsi="仿宋" w:cs="仿宋" w:eastAsia="仿宋" w:hint="default"/>
          <w:b/>
          <w:bCs/>
          <w:w w:val="99"/>
          <w:sz w:val="28"/>
          <w:szCs w:val="28"/>
        </w:rPr>
        <w:t> </w:t>
      </w:r>
      <w:r>
        <w:rPr>
          <w:rFonts w:ascii="仿宋" w:hAnsi="仿宋" w:cs="仿宋" w:eastAsia="仿宋" w:hint="default"/>
          <w:b/>
          <w:bCs/>
          <w:sz w:val="28"/>
          <w:szCs w:val="28"/>
        </w:rPr>
        <w:t>公告编号：</w:t>
      </w:r>
      <w:r>
        <w:rPr>
          <w:rFonts w:ascii="Times New Roman" w:hAnsi="Times New Roman" w:cs="Times New Roman" w:eastAsia="Times New Roman" w:hint="default"/>
          <w:b/>
          <w:bCs/>
          <w:sz w:val="28"/>
          <w:szCs w:val="28"/>
        </w:rPr>
        <w:t>2020-018</w:t>
      </w:r>
      <w:r>
        <w:rPr>
          <w:rFonts w:ascii="Times New Roman" w:hAnsi="Times New Roman" w:cs="Times New Roman" w:eastAsia="Times New Roman" w:hint="default"/>
          <w:b/>
          <w:bCs/>
          <w:w w:val="100"/>
          <w:sz w:val="28"/>
          <w:szCs w:val="28"/>
        </w:rPr>
        <w:t> </w:t>
      </w:r>
      <w:r>
        <w:rPr>
          <w:rFonts w:ascii="仿宋" w:hAnsi="仿宋" w:cs="仿宋" w:eastAsia="仿宋" w:hint="default"/>
          <w:b/>
          <w:bCs/>
          <w:sz w:val="28"/>
          <w:szCs w:val="28"/>
        </w:rPr>
        <w:t>公告日期：</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3"/>
          <w:sz w:val="28"/>
          <w:szCs w:val="28"/>
        </w:rPr>
        <w:t> </w:t>
      </w:r>
      <w:r>
        <w:rPr>
          <w:rFonts w:ascii="仿宋" w:hAnsi="仿宋" w:cs="仿宋" w:eastAsia="仿宋" w:hint="default"/>
          <w:b/>
          <w:bCs/>
          <w:sz w:val="28"/>
          <w:szCs w:val="28"/>
        </w:rPr>
        <w:t>年</w:t>
      </w:r>
      <w:r>
        <w:rPr>
          <w:rFonts w:ascii="仿宋" w:hAnsi="仿宋" w:cs="仿宋" w:eastAsia="仿宋" w:hint="default"/>
          <w:b/>
          <w:bCs/>
          <w:spacing w:val="-71"/>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3"/>
          <w:sz w:val="28"/>
          <w:szCs w:val="28"/>
        </w:rPr>
        <w:t> </w:t>
      </w:r>
      <w:r>
        <w:rPr>
          <w:rFonts w:ascii="仿宋" w:hAnsi="仿宋" w:cs="仿宋" w:eastAsia="仿宋" w:hint="default"/>
          <w:b/>
          <w:bCs/>
          <w:sz w:val="28"/>
          <w:szCs w:val="28"/>
        </w:rPr>
        <w:t>月</w:t>
      </w:r>
      <w:r>
        <w:rPr>
          <w:rFonts w:ascii="仿宋" w:hAnsi="仿宋" w:cs="仿宋" w:eastAsia="仿宋" w:hint="default"/>
          <w:b/>
          <w:bCs/>
          <w:spacing w:val="-71"/>
          <w:sz w:val="28"/>
          <w:szCs w:val="28"/>
        </w:rPr>
        <w:t> </w:t>
      </w:r>
      <w:r>
        <w:rPr>
          <w:rFonts w:ascii="Times New Roman" w:hAnsi="Times New Roman" w:cs="Times New Roman" w:eastAsia="Times New Roman" w:hint="default"/>
          <w:b/>
          <w:bCs/>
          <w:sz w:val="28"/>
          <w:szCs w:val="28"/>
        </w:rPr>
        <w:t>16</w:t>
      </w:r>
      <w:r>
        <w:rPr>
          <w:rFonts w:ascii="Times New Roman" w:hAnsi="Times New Roman" w:cs="Times New Roman" w:eastAsia="Times New Roman" w:hint="default"/>
          <w:b/>
          <w:bCs/>
          <w:spacing w:val="-3"/>
          <w:sz w:val="28"/>
          <w:szCs w:val="28"/>
        </w:rPr>
        <w:t> </w:t>
      </w:r>
      <w:r>
        <w:rPr>
          <w:rFonts w:ascii="仿宋" w:hAnsi="仿宋" w:cs="仿宋" w:eastAsia="仿宋" w:hint="default"/>
          <w:b/>
          <w:bCs/>
          <w:sz w:val="28"/>
          <w:szCs w:val="28"/>
        </w:rPr>
        <w:t>日</w:t>
      </w:r>
      <w:r>
        <w:rPr>
          <w:rFonts w:ascii="仿宋" w:hAnsi="仿宋" w:cs="仿宋" w:eastAsia="仿宋" w:hint="default"/>
          <w:sz w:val="28"/>
          <w:szCs w:val="28"/>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6"/>
        <w:rPr>
          <w:rFonts w:ascii="仿宋" w:hAnsi="仿宋" w:cs="仿宋" w:eastAsia="仿宋" w:hint="default"/>
          <w:b/>
          <w:bCs/>
          <w:sz w:val="23"/>
          <w:szCs w:val="23"/>
        </w:rPr>
      </w:pPr>
    </w:p>
    <w:p>
      <w:pPr>
        <w:pStyle w:val="BodyText"/>
        <w:spacing w:line="240" w:lineRule="auto" w:before="76"/>
        <w:ind w:left="0" w:right="1132"/>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headerReference w:type="default" r:id="rId5"/>
          <w:footerReference w:type="default" r:id="rId6"/>
          <w:type w:val="continuous"/>
          <w:pgSz w:w="11910" w:h="16840"/>
          <w:pgMar w:header="745" w:footer="504" w:top="1060" w:bottom="70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2803" w:right="111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12" w:firstLine="562"/>
        <w:jc w:val="left"/>
        <w:rPr>
          <w:rFonts w:ascii="宋体" w:hAnsi="宋体" w:cs="宋体" w:eastAsia="宋体" w:hint="default"/>
          <w:sz w:val="28"/>
          <w:szCs w:val="28"/>
        </w:rPr>
      </w:pPr>
      <w:r>
        <w:rPr>
          <w:rFonts w:ascii="宋体" w:hAnsi="宋体" w:cs="宋体" w:eastAsia="宋体" w:hint="default"/>
          <w:b/>
          <w:bCs/>
          <w:spacing w:val="-3"/>
          <w:sz w:val="28"/>
          <w:szCs w:val="28"/>
        </w:rPr>
        <w:t>公司负责人耿殿根、主管会计工作负责人及会计机构负责人</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会计主管人员</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w w:val="100"/>
          <w:sz w:val="28"/>
          <w:szCs w:val="28"/>
        </w:rPr>
        <w:t> </w:t>
      </w:r>
      <w:r>
        <w:rPr>
          <w:rFonts w:ascii="宋体" w:hAnsi="宋体" w:cs="宋体" w:eastAsia="宋体" w:hint="default"/>
          <w:b/>
          <w:bCs/>
          <w:sz w:val="28"/>
          <w:szCs w:val="28"/>
        </w:rPr>
        <w:t>张利军声明：保证年度报告中财务报告的真实、准确、完整。</w:t>
      </w:r>
      <w:r>
        <w:rPr>
          <w:rFonts w:ascii="宋体" w:hAnsi="宋体" w:cs="宋体" w:eastAsia="宋体" w:hint="default"/>
          <w:sz w:val="28"/>
          <w:szCs w:val="28"/>
        </w:rPr>
      </w:r>
    </w:p>
    <w:p>
      <w:pPr>
        <w:spacing w:before="187"/>
        <w:ind w:left="714" w:right="382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26"/>
          <w:szCs w:val="26"/>
        </w:rPr>
      </w:pPr>
    </w:p>
    <w:p>
      <w:pPr>
        <w:spacing w:line="460" w:lineRule="auto" w:before="0"/>
        <w:ind w:left="714" w:right="1124" w:firstLine="0"/>
        <w:jc w:val="left"/>
        <w:rPr>
          <w:rFonts w:ascii="宋体" w:hAnsi="宋体" w:cs="宋体" w:eastAsia="宋体" w:hint="default"/>
          <w:sz w:val="28"/>
          <w:szCs w:val="28"/>
        </w:rPr>
      </w:pP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、非公开发行股票事项的审批风险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公司拟非公开发行股票，募集资金总额不超过</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500,000</w:t>
      </w:r>
      <w:r>
        <w:rPr>
          <w:rFonts w:ascii="Times New Roman" w:hAnsi="Times New Roman" w:cs="Times New Roman" w:eastAsia="Times New Roman" w:hint="default"/>
          <w:b/>
          <w:bCs/>
          <w:spacing w:val="-6"/>
          <w:sz w:val="28"/>
          <w:szCs w:val="28"/>
        </w:rPr>
        <w:t> </w:t>
      </w:r>
      <w:r>
        <w:rPr>
          <w:rFonts w:ascii="宋体" w:hAnsi="宋体" w:cs="宋体" w:eastAsia="宋体" w:hint="default"/>
          <w:b/>
          <w:bCs/>
          <w:spacing w:val="-7"/>
          <w:sz w:val="28"/>
          <w:szCs w:val="28"/>
        </w:rPr>
        <w:t>万元，募集资金将用</w:t>
      </w:r>
      <w:r>
        <w:rPr>
          <w:rFonts w:ascii="宋体" w:hAnsi="宋体" w:cs="宋体" w:eastAsia="宋体" w:hint="default"/>
          <w:spacing w:val="-7"/>
          <w:sz w:val="28"/>
          <w:szCs w:val="28"/>
        </w:rPr>
      </w:r>
    </w:p>
    <w:p>
      <w:pPr>
        <w:spacing w:line="318" w:lineRule="exact" w:before="0"/>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于投资建设北京房山绿色云计算数据中心二期项目、上海嘉定绿色云计算基地</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398" w:lineRule="auto" w:before="0"/>
        <w:ind w:left="152" w:right="986" w:firstLine="0"/>
        <w:jc w:val="left"/>
        <w:rPr>
          <w:rFonts w:ascii="宋体" w:hAnsi="宋体" w:cs="宋体" w:eastAsia="宋体" w:hint="default"/>
          <w:sz w:val="28"/>
          <w:szCs w:val="28"/>
        </w:rPr>
      </w:pPr>
      <w:r>
        <w:rPr>
          <w:rFonts w:ascii="宋体" w:hAnsi="宋体" w:cs="宋体" w:eastAsia="宋体" w:hint="default"/>
          <w:b/>
          <w:bCs/>
          <w:sz w:val="28"/>
          <w:szCs w:val="28"/>
        </w:rPr>
        <w:t>二期项目、向智达云创（三河）科技有限公司增资取得</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65%</w:t>
      </w:r>
      <w:r>
        <w:rPr>
          <w:rFonts w:ascii="宋体" w:hAnsi="宋体" w:cs="宋体" w:eastAsia="宋体" w:hint="default"/>
          <w:b/>
          <w:bCs/>
          <w:sz w:val="28"/>
          <w:szCs w:val="28"/>
        </w:rPr>
        <w:t>股权并投资建设燕</w:t>
      </w:r>
      <w:r>
        <w:rPr>
          <w:rFonts w:ascii="宋体" w:hAnsi="宋体" w:cs="宋体" w:eastAsia="宋体" w:hint="default"/>
          <w:b/>
          <w:bCs/>
          <w:w w:val="99"/>
          <w:sz w:val="28"/>
          <w:szCs w:val="28"/>
        </w:rPr>
        <w:t> </w:t>
      </w:r>
      <w:r>
        <w:rPr>
          <w:rFonts w:ascii="宋体" w:hAnsi="宋体" w:cs="宋体" w:eastAsia="宋体" w:hint="default"/>
          <w:b/>
          <w:bCs/>
          <w:spacing w:val="-2"/>
          <w:sz w:val="28"/>
          <w:szCs w:val="28"/>
        </w:rPr>
        <w:t>郊绿色云计算基地三四期项目、长沙绿色云计算基地一期项目及补充流动资金，</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3"/>
          <w:sz w:val="28"/>
          <w:szCs w:val="28"/>
        </w:rPr>
        <w:t>解决项目资金来源。上述事项已经公司第四届董事会</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年第一次会议及第四</w:t>
      </w:r>
      <w:r>
        <w:rPr>
          <w:rFonts w:ascii="宋体" w:hAnsi="宋体" w:cs="宋体" w:eastAsia="宋体" w:hint="default"/>
          <w:sz w:val="28"/>
          <w:szCs w:val="28"/>
        </w:rPr>
      </w:r>
    </w:p>
    <w:p>
      <w:pPr>
        <w:spacing w:line="398" w:lineRule="auto" w:before="32"/>
        <w:ind w:left="152" w:right="1132" w:firstLine="0"/>
        <w:jc w:val="both"/>
        <w:rPr>
          <w:rFonts w:ascii="宋体" w:hAnsi="宋体" w:cs="宋体" w:eastAsia="宋体" w:hint="default"/>
          <w:sz w:val="28"/>
          <w:szCs w:val="28"/>
        </w:rPr>
      </w:pPr>
      <w:r>
        <w:rPr>
          <w:rFonts w:ascii="宋体" w:hAnsi="宋体" w:cs="宋体" w:eastAsia="宋体" w:hint="default"/>
          <w:b/>
          <w:bCs/>
          <w:sz w:val="28"/>
          <w:szCs w:val="28"/>
        </w:rPr>
        <w:t>届监事会</w:t>
      </w:r>
      <w:r>
        <w:rPr>
          <w:rFonts w:ascii="宋体" w:hAnsi="宋体" w:cs="宋体" w:eastAsia="宋体" w:hint="default"/>
          <w:b/>
          <w:bCs/>
          <w:spacing w:val="-100"/>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28"/>
          <w:sz w:val="28"/>
          <w:szCs w:val="28"/>
        </w:rPr>
        <w:t> </w:t>
      </w:r>
      <w:r>
        <w:rPr>
          <w:rFonts w:ascii="宋体" w:hAnsi="宋体" w:cs="宋体" w:eastAsia="宋体" w:hint="default"/>
          <w:b/>
          <w:bCs/>
          <w:sz w:val="28"/>
          <w:szCs w:val="28"/>
        </w:rPr>
        <w:t>年第一次会议审议通过，尚需获得公司股东大会审议批准，并报</w:t>
      </w:r>
      <w:r>
        <w:rPr>
          <w:rFonts w:ascii="宋体" w:hAnsi="宋体" w:cs="宋体" w:eastAsia="宋体" w:hint="default"/>
          <w:b/>
          <w:bCs/>
          <w:w w:val="99"/>
          <w:sz w:val="28"/>
          <w:szCs w:val="28"/>
        </w:rPr>
        <w:t> </w:t>
      </w:r>
      <w:r>
        <w:rPr>
          <w:rFonts w:ascii="宋体" w:hAnsi="宋体" w:cs="宋体" w:eastAsia="宋体" w:hint="default"/>
          <w:b/>
          <w:bCs/>
          <w:spacing w:val="2"/>
          <w:sz w:val="28"/>
          <w:szCs w:val="28"/>
        </w:rPr>
        <w:t>送中国证监会核准后方可实施。本次非公开发行事项能否取得上述核准以及最</w:t>
      </w:r>
      <w:r>
        <w:rPr>
          <w:rFonts w:ascii="宋体" w:hAnsi="宋体" w:cs="宋体" w:eastAsia="宋体" w:hint="default"/>
          <w:b/>
          <w:bCs/>
          <w:w w:val="99"/>
          <w:sz w:val="28"/>
          <w:szCs w:val="28"/>
        </w:rPr>
        <w:t> </w:t>
      </w:r>
      <w:r>
        <w:rPr>
          <w:rFonts w:ascii="宋体" w:hAnsi="宋体" w:cs="宋体" w:eastAsia="宋体" w:hint="default"/>
          <w:b/>
          <w:bCs/>
          <w:sz w:val="28"/>
          <w:szCs w:val="28"/>
        </w:rPr>
        <w:t>终取得核准的时间均存在不确定性，公司郑重提示投资者注意投资风险。</w:t>
      </w:r>
      <w:r>
        <w:rPr>
          <w:rFonts w:ascii="宋体" w:hAnsi="宋体" w:cs="宋体" w:eastAsia="宋体" w:hint="default"/>
          <w:sz w:val="28"/>
          <w:szCs w:val="28"/>
        </w:rPr>
      </w:r>
    </w:p>
    <w:p>
      <w:pPr>
        <w:spacing w:before="173"/>
        <w:ind w:left="714" w:right="382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、受新冠疫情影响的风险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4" w:right="986"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年伊始，新冠病毒肺炎疫情爆发，公司积极制定防控预案，对疫情防</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1138" w:firstLine="0"/>
        <w:jc w:val="both"/>
        <w:rPr>
          <w:rFonts w:ascii="宋体" w:hAnsi="宋体" w:cs="宋体" w:eastAsia="宋体" w:hint="default"/>
          <w:sz w:val="28"/>
          <w:szCs w:val="28"/>
        </w:rPr>
      </w:pPr>
      <w:r>
        <w:rPr>
          <w:rFonts w:ascii="宋体" w:hAnsi="宋体" w:cs="宋体" w:eastAsia="宋体" w:hint="default"/>
          <w:b/>
          <w:bCs/>
          <w:spacing w:val="2"/>
          <w:sz w:val="28"/>
          <w:szCs w:val="28"/>
        </w:rPr>
        <w:t>控工作进行全面部署，确保疫情期间公司平稳运营。尽管目前国内疫情局势持</w:t>
      </w:r>
      <w:r>
        <w:rPr>
          <w:rFonts w:ascii="宋体" w:hAnsi="宋体" w:cs="宋体" w:eastAsia="宋体" w:hint="default"/>
          <w:b/>
          <w:bCs/>
          <w:w w:val="99"/>
          <w:sz w:val="28"/>
          <w:szCs w:val="28"/>
        </w:rPr>
        <w:t> </w:t>
      </w:r>
      <w:r>
        <w:rPr>
          <w:rFonts w:ascii="宋体" w:hAnsi="宋体" w:cs="宋体" w:eastAsia="宋体" w:hint="default"/>
          <w:b/>
          <w:bCs/>
          <w:spacing w:val="2"/>
          <w:sz w:val="28"/>
          <w:szCs w:val="28"/>
        </w:rPr>
        <w:t>续向好，但疫情尚未结束，由于物流、现场施工受到限制，公司各项目建设进</w:t>
      </w:r>
      <w:r>
        <w:rPr>
          <w:rFonts w:ascii="宋体" w:hAnsi="宋体" w:cs="宋体" w:eastAsia="宋体" w:hint="default"/>
          <w:b/>
          <w:bCs/>
          <w:w w:val="99"/>
          <w:sz w:val="28"/>
          <w:szCs w:val="28"/>
        </w:rPr>
        <w:t> </w:t>
      </w:r>
      <w:r>
        <w:rPr>
          <w:rFonts w:ascii="宋体" w:hAnsi="宋体" w:cs="宋体" w:eastAsia="宋体" w:hint="default"/>
          <w:b/>
          <w:bCs/>
          <w:spacing w:val="2"/>
          <w:sz w:val="28"/>
          <w:szCs w:val="28"/>
        </w:rPr>
        <w:t>度可能受到一定影响。受全球性疫情影响，可能对整体经济产生不利影响，公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司从事的主营业务做为经济发展的基础性行业，服务于各行业企业客户，其中</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不乏涉及旅游、实体经济、生活服务类客户，部分客户业务存在受到疫情影响</w:t>
      </w:r>
      <w:r>
        <w:rPr>
          <w:rFonts w:ascii="宋体" w:hAnsi="宋体" w:cs="宋体" w:eastAsia="宋体" w:hint="default"/>
          <w:b/>
          <w:bCs/>
          <w:w w:val="99"/>
          <w:sz w:val="28"/>
          <w:szCs w:val="28"/>
        </w:rPr>
        <w:t> </w:t>
      </w:r>
      <w:r>
        <w:rPr>
          <w:rFonts w:ascii="宋体" w:hAnsi="宋体" w:cs="宋体" w:eastAsia="宋体" w:hint="default"/>
          <w:b/>
          <w:bCs/>
          <w:sz w:val="28"/>
          <w:szCs w:val="28"/>
        </w:rPr>
        <w:t>的风险，从而可能导致公司整体业绩受到影响。</w:t>
      </w:r>
      <w:r>
        <w:rPr>
          <w:rFonts w:ascii="宋体" w:hAnsi="宋体" w:cs="宋体" w:eastAsia="宋体" w:hint="default"/>
          <w:sz w:val="28"/>
          <w:szCs w:val="28"/>
        </w:rPr>
      </w:r>
    </w:p>
    <w:p>
      <w:pPr>
        <w:spacing w:line="446" w:lineRule="auto" w:before="163"/>
        <w:ind w:left="714" w:right="1120"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、应收账款回收风险</w:t>
      </w:r>
      <w:r>
        <w:rPr>
          <w:rFonts w:ascii="宋体" w:hAnsi="宋体" w:cs="宋体" w:eastAsia="宋体" w:hint="default"/>
          <w:b/>
          <w:bCs/>
          <w:w w:val="99"/>
          <w:sz w:val="28"/>
          <w:szCs w:val="28"/>
        </w:rPr>
        <w:t> </w:t>
      </w:r>
      <w:r>
        <w:rPr>
          <w:rFonts w:ascii="宋体" w:hAnsi="宋体" w:cs="宋体" w:eastAsia="宋体" w:hint="default"/>
          <w:b/>
          <w:bCs/>
          <w:sz w:val="28"/>
          <w:szCs w:val="28"/>
        </w:rPr>
        <w:t>随着公司业务规模的快速扩大，公司应收账款增速较快，</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年末、</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sz w:val="28"/>
          <w:szCs w:val="28"/>
        </w:rPr>
      </w:r>
    </w:p>
    <w:p>
      <w:pPr>
        <w:spacing w:line="357"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年末、本报告期末，公司应收账款账面值分别为</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98,672.49</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万元、</w:t>
      </w:r>
      <w:r>
        <w:rPr>
          <w:rFonts w:ascii="Times New Roman" w:hAnsi="Times New Roman" w:cs="Times New Roman" w:eastAsia="Times New Roman" w:hint="default"/>
          <w:b/>
          <w:bCs/>
          <w:sz w:val="28"/>
          <w:szCs w:val="28"/>
        </w:rPr>
        <w:t>161,792.30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万</w:t>
      </w:r>
      <w:r>
        <w:rPr>
          <w:rFonts w:ascii="宋体" w:hAnsi="宋体" w:cs="宋体" w:eastAsia="宋体" w:hint="default"/>
          <w:sz w:val="28"/>
          <w:szCs w:val="28"/>
        </w:rPr>
      </w:r>
    </w:p>
    <w:p>
      <w:pPr>
        <w:spacing w:line="398" w:lineRule="auto" w:before="236"/>
        <w:ind w:left="152" w:right="1131" w:firstLine="0"/>
        <w:jc w:val="both"/>
        <w:rPr>
          <w:rFonts w:ascii="宋体" w:hAnsi="宋体" w:cs="宋体" w:eastAsia="宋体" w:hint="default"/>
          <w:sz w:val="28"/>
          <w:szCs w:val="28"/>
        </w:rPr>
      </w:pPr>
      <w:r>
        <w:rPr>
          <w:rFonts w:ascii="宋体" w:hAnsi="宋体" w:cs="宋体" w:eastAsia="宋体" w:hint="default"/>
          <w:b/>
          <w:bCs/>
          <w:sz w:val="28"/>
          <w:szCs w:val="28"/>
        </w:rPr>
        <w:t>元、</w:t>
      </w:r>
      <w:r>
        <w:rPr>
          <w:rFonts w:ascii="Times New Roman" w:hAnsi="Times New Roman" w:cs="Times New Roman" w:eastAsia="Times New Roman" w:hint="default"/>
          <w:b/>
          <w:bCs/>
          <w:sz w:val="28"/>
          <w:szCs w:val="28"/>
        </w:rPr>
        <w:t>192,825.57 </w:t>
      </w:r>
      <w:r>
        <w:rPr>
          <w:rFonts w:ascii="宋体" w:hAnsi="宋体" w:cs="宋体" w:eastAsia="宋体" w:hint="default"/>
          <w:b/>
          <w:bCs/>
          <w:sz w:val="28"/>
          <w:szCs w:val="28"/>
        </w:rPr>
        <w:t>万元，占公司资产总额比例分别为</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9.30%</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14.21%</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15.76%</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主要为账期内应收款项，若客户因审批流程长或经营状况出现恶化等原因拖延</w:t>
      </w:r>
      <w:r>
        <w:rPr>
          <w:rFonts w:ascii="宋体" w:hAnsi="宋体" w:cs="宋体" w:eastAsia="宋体" w:hint="default"/>
          <w:b/>
          <w:bCs/>
          <w:w w:val="99"/>
          <w:sz w:val="28"/>
          <w:szCs w:val="28"/>
        </w:rPr>
        <w:t> </w:t>
      </w:r>
      <w:r>
        <w:rPr>
          <w:rFonts w:ascii="宋体" w:hAnsi="宋体" w:cs="宋体" w:eastAsia="宋体" w:hint="default"/>
          <w:b/>
          <w:bCs/>
          <w:sz w:val="28"/>
          <w:szCs w:val="28"/>
        </w:rPr>
        <w:t>付款，存在应收账款逐年增加且不能回收的风险。</w:t>
      </w:r>
      <w:r>
        <w:rPr>
          <w:rFonts w:ascii="宋体" w:hAnsi="宋体" w:cs="宋体" w:eastAsia="宋体" w:hint="default"/>
          <w:sz w:val="28"/>
          <w:szCs w:val="28"/>
        </w:rPr>
      </w:r>
    </w:p>
    <w:p>
      <w:pPr>
        <w:spacing w:before="173"/>
        <w:ind w:left="714" w:right="111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IDC</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产业监管政策持续收紧，行业竞争加剧的风险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386" w:lineRule="auto" w:before="0"/>
        <w:ind w:left="152" w:right="1131"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5G</w:t>
      </w:r>
      <w:r>
        <w:rPr>
          <w:rFonts w:ascii="宋体" w:hAnsi="宋体" w:cs="宋体" w:eastAsia="宋体" w:hint="default"/>
          <w:b/>
          <w:bCs/>
          <w:sz w:val="28"/>
          <w:szCs w:val="28"/>
        </w:rPr>
        <w:t>、云计算和 </w:t>
      </w:r>
      <w:r>
        <w:rPr>
          <w:rFonts w:ascii="Times New Roman" w:hAnsi="Times New Roman" w:cs="Times New Roman" w:eastAsia="Times New Roman" w:hint="default"/>
          <w:b/>
          <w:bCs/>
          <w:sz w:val="28"/>
          <w:szCs w:val="28"/>
        </w:rPr>
        <w:t>AI</w:t>
      </w:r>
      <w:r>
        <w:rPr>
          <w:rFonts w:ascii="Times New Roman" w:hAnsi="Times New Roman" w:cs="Times New Roman" w:eastAsia="Times New Roman" w:hint="default"/>
          <w:b/>
          <w:bCs/>
          <w:spacing w:val="41"/>
          <w:sz w:val="28"/>
          <w:szCs w:val="28"/>
        </w:rPr>
        <w:t> </w:t>
      </w:r>
      <w:r>
        <w:rPr>
          <w:rFonts w:ascii="宋体" w:hAnsi="宋体" w:cs="宋体" w:eastAsia="宋体" w:hint="default"/>
          <w:b/>
          <w:bCs/>
          <w:sz w:val="28"/>
          <w:szCs w:val="28"/>
        </w:rPr>
        <w:t>等新一代技术的快速演进对数据中心提出更高的需求，</w:t>
      </w:r>
      <w:r>
        <w:rPr>
          <w:rFonts w:ascii="宋体" w:hAnsi="宋体" w:cs="宋体" w:eastAsia="宋体" w:hint="default"/>
          <w:b/>
          <w:bCs/>
          <w:w w:val="99"/>
          <w:sz w:val="28"/>
          <w:szCs w:val="28"/>
        </w:rPr>
        <w:t> </w:t>
      </w:r>
      <w:r>
        <w:rPr>
          <w:rFonts w:ascii="宋体" w:hAnsi="宋体" w:cs="宋体" w:eastAsia="宋体" w:hint="default"/>
          <w:b/>
          <w:bCs/>
          <w:sz w:val="28"/>
          <w:szCs w:val="28"/>
        </w:rPr>
        <w:t>公司将面对更多新的发展机遇，同时越来越多的企业开始涉足</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IDC</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市场，公司</w:t>
      </w:r>
      <w:r>
        <w:rPr>
          <w:rFonts w:ascii="宋体" w:hAnsi="宋体" w:cs="宋体" w:eastAsia="宋体" w:hint="default"/>
          <w:b/>
          <w:bCs/>
          <w:w w:val="99"/>
          <w:sz w:val="28"/>
          <w:szCs w:val="28"/>
        </w:rPr>
        <w:t> </w:t>
      </w:r>
      <w:r>
        <w:rPr>
          <w:rFonts w:ascii="宋体" w:hAnsi="宋体" w:cs="宋体" w:eastAsia="宋体" w:hint="default"/>
          <w:b/>
          <w:bCs/>
          <w:sz w:val="28"/>
          <w:szCs w:val="28"/>
        </w:rPr>
        <w:t>也面临着日益激烈的市场竞争。随着北京、上海等地区对于</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IDC</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产业监管和限</w:t>
      </w:r>
      <w:r>
        <w:rPr>
          <w:rFonts w:ascii="宋体" w:hAnsi="宋体" w:cs="宋体" w:eastAsia="宋体" w:hint="default"/>
          <w:b/>
          <w:bCs/>
          <w:w w:val="99"/>
          <w:sz w:val="28"/>
          <w:szCs w:val="28"/>
        </w:rPr>
        <w:t> </w:t>
      </w:r>
      <w:r>
        <w:rPr>
          <w:rFonts w:ascii="宋体" w:hAnsi="宋体" w:cs="宋体" w:eastAsia="宋体" w:hint="default"/>
          <w:b/>
          <w:bCs/>
          <w:sz w:val="28"/>
          <w:szCs w:val="28"/>
        </w:rPr>
        <w:t>制日益趋严，也将对公司</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IDC</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业务的扩展带来新的挑战。</w:t>
      </w:r>
      <w:r>
        <w:rPr>
          <w:rFonts w:ascii="宋体" w:hAnsi="宋体" w:cs="宋体" w:eastAsia="宋体" w:hint="default"/>
          <w:sz w:val="28"/>
          <w:szCs w:val="28"/>
        </w:rPr>
      </w:r>
    </w:p>
    <w:p>
      <w:pPr>
        <w:spacing w:before="146"/>
        <w:ind w:left="714" w:right="382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、公司规模扩张带来的运营管理风险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386" w:lineRule="auto" w:before="0"/>
        <w:ind w:left="152" w:right="1131"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年公司陆续在河北燕郊地区、上海嘉定地区、江苏昆山地区启动三个</w:t>
      </w:r>
      <w:r>
        <w:rPr>
          <w:rFonts w:ascii="宋体" w:hAnsi="宋体" w:cs="宋体" w:eastAsia="宋体" w:hint="default"/>
          <w:b/>
          <w:bCs/>
          <w:w w:val="99"/>
          <w:sz w:val="28"/>
          <w:szCs w:val="28"/>
        </w:rPr>
        <w:t> </w:t>
      </w:r>
      <w:r>
        <w:rPr>
          <w:rFonts w:ascii="宋体" w:hAnsi="宋体" w:cs="宋体" w:eastAsia="宋体" w:hint="default"/>
          <w:b/>
          <w:bCs/>
          <w:sz w:val="28"/>
          <w:szCs w:val="28"/>
        </w:rPr>
        <w:t>新建数据中心项目，</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年公司拟在湖南长沙地区投建长沙绿色云计算基地一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期项目，公司经营规模将持续扩大。随着公司资产规模、业务规模、人员规模</w:t>
      </w:r>
      <w:r>
        <w:rPr>
          <w:rFonts w:ascii="宋体" w:hAnsi="宋体" w:cs="宋体" w:eastAsia="宋体" w:hint="default"/>
          <w:spacing w:val="2"/>
          <w:sz w:val="28"/>
          <w:szCs w:val="28"/>
        </w:rPr>
      </w:r>
    </w:p>
    <w:p>
      <w:pPr>
        <w:spacing w:after="0" w:line="386" w:lineRule="auto"/>
        <w:jc w:val="both"/>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14"/>
        <w:ind w:left="152" w:right="1133" w:firstLine="0"/>
        <w:jc w:val="both"/>
        <w:rPr>
          <w:rFonts w:ascii="宋体" w:hAnsi="宋体" w:cs="宋体" w:eastAsia="宋体" w:hint="default"/>
          <w:sz w:val="28"/>
          <w:szCs w:val="28"/>
        </w:rPr>
      </w:pPr>
      <w:r>
        <w:rPr>
          <w:rFonts w:ascii="宋体" w:hAnsi="宋体" w:cs="宋体" w:eastAsia="宋体" w:hint="default"/>
          <w:b/>
          <w:bCs/>
          <w:spacing w:val="2"/>
          <w:sz w:val="28"/>
          <w:szCs w:val="28"/>
        </w:rPr>
        <w:t>的增长，使公司管理的深度和广度进一步扩大，需要公司在资源整合、市场开</w:t>
      </w:r>
      <w:r>
        <w:rPr>
          <w:rFonts w:ascii="宋体" w:hAnsi="宋体" w:cs="宋体" w:eastAsia="宋体" w:hint="default"/>
          <w:b/>
          <w:bCs/>
          <w:w w:val="99"/>
          <w:sz w:val="28"/>
          <w:szCs w:val="28"/>
        </w:rPr>
        <w:t> </w:t>
      </w:r>
      <w:r>
        <w:rPr>
          <w:rFonts w:ascii="宋体" w:hAnsi="宋体" w:cs="宋体" w:eastAsia="宋体" w:hint="default"/>
          <w:b/>
          <w:bCs/>
          <w:spacing w:val="-6"/>
          <w:sz w:val="28"/>
          <w:szCs w:val="28"/>
        </w:rPr>
        <w:t>拓、研发和质量管理、内控制度、组织机构等方面不断探索、改进、作出调整，</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对公司管理能力、经营能力、盈利能力提出了更高的要求。</w:t>
      </w:r>
      <w:r>
        <w:rPr>
          <w:rFonts w:ascii="宋体" w:hAnsi="宋体" w:cs="宋体" w:eastAsia="宋体" w:hint="default"/>
          <w:sz w:val="28"/>
          <w:szCs w:val="28"/>
        </w:rPr>
      </w:r>
    </w:p>
    <w:p>
      <w:pPr>
        <w:spacing w:line="446" w:lineRule="auto" w:before="162"/>
        <w:ind w:left="714" w:right="112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、子公司科信盛彩业绩承诺无法实现的风险</w:t>
      </w:r>
      <w:r>
        <w:rPr>
          <w:rFonts w:ascii="宋体" w:hAnsi="宋体" w:cs="宋体" w:eastAsia="宋体" w:hint="default"/>
          <w:b/>
          <w:bCs/>
          <w:w w:val="99"/>
          <w:sz w:val="28"/>
          <w:szCs w:val="28"/>
        </w:rPr>
        <w:t> </w:t>
      </w:r>
      <w:r>
        <w:rPr>
          <w:rFonts w:ascii="宋体" w:hAnsi="宋体" w:cs="宋体" w:eastAsia="宋体" w:hint="default"/>
          <w:b/>
          <w:bCs/>
          <w:sz w:val="28"/>
          <w:szCs w:val="28"/>
        </w:rPr>
        <w:t>公司收购科信盛彩时，交易对方对科信盛彩 </w:t>
      </w:r>
      <w:r>
        <w:rPr>
          <w:rFonts w:ascii="Times New Roman" w:hAnsi="Times New Roman" w:cs="Times New Roman" w:eastAsia="Times New Roman" w:hint="default"/>
          <w:b/>
          <w:bCs/>
          <w:sz w:val="28"/>
          <w:szCs w:val="28"/>
        </w:rPr>
        <w:t>2018 </w:t>
      </w:r>
      <w:r>
        <w:rPr>
          <w:rFonts w:ascii="宋体" w:hAnsi="宋体" w:cs="宋体" w:eastAsia="宋体" w:hint="default"/>
          <w:b/>
          <w:bCs/>
          <w:sz w:val="28"/>
          <w:szCs w:val="28"/>
        </w:rPr>
        <w:t>年</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年业绩做出了承</w:t>
      </w:r>
      <w:r>
        <w:rPr>
          <w:rFonts w:ascii="宋体" w:hAnsi="宋体" w:cs="宋体" w:eastAsia="宋体" w:hint="default"/>
          <w:sz w:val="28"/>
          <w:szCs w:val="28"/>
        </w:rPr>
      </w:r>
    </w:p>
    <w:p>
      <w:pPr>
        <w:spacing w:line="357" w:lineRule="exact" w:before="0"/>
        <w:ind w:left="152" w:right="0" w:firstLine="0"/>
        <w:jc w:val="both"/>
        <w:rPr>
          <w:rFonts w:ascii="Times New Roman" w:hAnsi="Times New Roman" w:cs="Times New Roman" w:eastAsia="Times New Roman" w:hint="default"/>
          <w:sz w:val="28"/>
          <w:szCs w:val="28"/>
        </w:rPr>
      </w:pPr>
      <w:r>
        <w:rPr>
          <w:rFonts w:ascii="宋体" w:hAnsi="宋体" w:cs="宋体" w:eastAsia="宋体" w:hint="default"/>
          <w:b/>
          <w:bCs/>
          <w:spacing w:val="2"/>
          <w:w w:val="99"/>
          <w:sz w:val="28"/>
          <w:szCs w:val="28"/>
        </w:rPr>
        <w:t>诺</w:t>
      </w:r>
      <w:r>
        <w:rPr>
          <w:rFonts w:ascii="宋体" w:hAnsi="宋体" w:cs="宋体" w:eastAsia="宋体" w:hint="default"/>
          <w:b/>
          <w:bCs/>
          <w:spacing w:val="-142"/>
          <w:w w:val="99"/>
          <w:sz w:val="28"/>
          <w:szCs w:val="28"/>
        </w:rPr>
        <w:t>。</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pacing w:val="-31"/>
          <w:sz w:val="28"/>
          <w:szCs w:val="28"/>
        </w:rPr>
        <w:t> </w:t>
      </w:r>
      <w:r>
        <w:rPr>
          <w:rFonts w:ascii="宋体" w:hAnsi="宋体" w:cs="宋体" w:eastAsia="宋体" w:hint="default"/>
          <w:b/>
          <w:bCs/>
          <w:w w:val="99"/>
          <w:sz w:val="28"/>
          <w:szCs w:val="28"/>
        </w:rPr>
        <w:t>年度和</w:t>
      </w:r>
      <w:r>
        <w:rPr>
          <w:rFonts w:ascii="宋体" w:hAnsi="宋体" w:cs="宋体" w:eastAsia="宋体" w:hint="default"/>
          <w:b/>
          <w:bCs/>
          <w:spacing w:val="-101"/>
          <w:sz w:val="28"/>
          <w:szCs w:val="28"/>
        </w:rPr>
        <w:t> </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9</w:t>
      </w:r>
      <w:r>
        <w:rPr>
          <w:rFonts w:ascii="Times New Roman" w:hAnsi="Times New Roman" w:cs="Times New Roman" w:eastAsia="Times New Roman" w:hint="default"/>
          <w:b/>
          <w:bCs/>
          <w:spacing w:val="-31"/>
          <w:sz w:val="28"/>
          <w:szCs w:val="28"/>
        </w:rPr>
        <w:t> </w:t>
      </w:r>
      <w:r>
        <w:rPr>
          <w:rFonts w:ascii="宋体" w:hAnsi="宋体" w:cs="宋体" w:eastAsia="宋体" w:hint="default"/>
          <w:b/>
          <w:bCs/>
          <w:w w:val="99"/>
          <w:sz w:val="28"/>
          <w:szCs w:val="28"/>
        </w:rPr>
        <w:t>年度科</w:t>
      </w:r>
      <w:r>
        <w:rPr>
          <w:rFonts w:ascii="宋体" w:hAnsi="宋体" w:cs="宋体" w:eastAsia="宋体" w:hint="default"/>
          <w:b/>
          <w:bCs/>
          <w:spacing w:val="2"/>
          <w:w w:val="99"/>
          <w:sz w:val="28"/>
          <w:szCs w:val="28"/>
        </w:rPr>
        <w:t>信</w:t>
      </w:r>
      <w:r>
        <w:rPr>
          <w:rFonts w:ascii="宋体" w:hAnsi="宋体" w:cs="宋体" w:eastAsia="宋体" w:hint="default"/>
          <w:b/>
          <w:bCs/>
          <w:w w:val="99"/>
          <w:sz w:val="28"/>
          <w:szCs w:val="28"/>
        </w:rPr>
        <w:t>盛彩均完成当</w:t>
      </w:r>
      <w:r>
        <w:rPr>
          <w:rFonts w:ascii="宋体" w:hAnsi="宋体" w:cs="宋体" w:eastAsia="宋体" w:hint="default"/>
          <w:b/>
          <w:bCs/>
          <w:spacing w:val="2"/>
          <w:w w:val="99"/>
          <w:sz w:val="28"/>
          <w:szCs w:val="28"/>
        </w:rPr>
        <w:t>年</w:t>
      </w:r>
      <w:r>
        <w:rPr>
          <w:rFonts w:ascii="宋体" w:hAnsi="宋体" w:cs="宋体" w:eastAsia="宋体" w:hint="default"/>
          <w:b/>
          <w:bCs/>
          <w:w w:val="99"/>
          <w:sz w:val="28"/>
          <w:szCs w:val="28"/>
        </w:rPr>
        <w:t>业绩承诺</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完成率</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别为</w:t>
      </w:r>
      <w:r>
        <w:rPr>
          <w:rFonts w:ascii="宋体" w:hAnsi="宋体" w:cs="宋体" w:eastAsia="宋体" w:hint="default"/>
          <w:b/>
          <w:bCs/>
          <w:spacing w:val="-99"/>
          <w:sz w:val="28"/>
          <w:szCs w:val="28"/>
        </w:rPr>
        <w:t> </w:t>
      </w:r>
      <w:r>
        <w:rPr>
          <w:rFonts w:ascii="Times New Roman" w:hAnsi="Times New Roman" w:cs="Times New Roman" w:eastAsia="Times New Roman" w:hint="default"/>
          <w:b/>
          <w:bCs/>
          <w:spacing w:val="-2"/>
          <w:w w:val="100"/>
          <w:sz w:val="28"/>
          <w:szCs w:val="28"/>
        </w:rPr>
        <w:t>10</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w w:val="100"/>
          <w:sz w:val="28"/>
          <w:szCs w:val="28"/>
        </w:rPr>
        <w:t>13</w:t>
      </w:r>
      <w:r>
        <w:rPr>
          <w:rFonts w:ascii="Times New Roman" w:hAnsi="Times New Roman" w:cs="Times New Roman" w:eastAsia="Times New Roman" w:hint="default"/>
          <w:b/>
          <w:bCs/>
          <w:w w:val="100"/>
          <w:sz w:val="28"/>
          <w:szCs w:val="28"/>
        </w:rPr>
        <w:t>%</w:t>
      </w:r>
      <w:r>
        <w:rPr>
          <w:rFonts w:ascii="Times New Roman" w:hAnsi="Times New Roman" w:cs="Times New Roman" w:eastAsia="Times New Roman" w:hint="default"/>
          <w:w w:val="100"/>
          <w:sz w:val="28"/>
          <w:szCs w:val="28"/>
        </w:rPr>
      </w:r>
    </w:p>
    <w:p>
      <w:pPr>
        <w:spacing w:line="386" w:lineRule="auto" w:before="237"/>
        <w:ind w:left="152" w:right="1131" w:firstLine="0"/>
        <w:jc w:val="both"/>
        <w:rPr>
          <w:rFonts w:ascii="宋体" w:hAnsi="宋体" w:cs="宋体" w:eastAsia="宋体" w:hint="default"/>
          <w:sz w:val="28"/>
          <w:szCs w:val="28"/>
        </w:rPr>
      </w:pPr>
      <w:r>
        <w:rPr>
          <w:rFonts w:ascii="宋体" w:hAnsi="宋体" w:cs="宋体" w:eastAsia="宋体" w:hint="default"/>
          <w:b/>
          <w:bCs/>
          <w:sz w:val="28"/>
          <w:szCs w:val="28"/>
        </w:rPr>
        <w:t>和</w:t>
      </w:r>
      <w:r>
        <w:rPr>
          <w:rFonts w:ascii="宋体" w:hAnsi="宋体" w:cs="宋体" w:eastAsia="宋体" w:hint="default"/>
          <w:b/>
          <w:bCs/>
          <w:spacing w:val="6"/>
          <w:sz w:val="28"/>
          <w:szCs w:val="28"/>
        </w:rPr>
        <w:t> </w:t>
      </w:r>
      <w:r>
        <w:rPr>
          <w:rFonts w:ascii="Times New Roman" w:hAnsi="Times New Roman" w:cs="Times New Roman" w:eastAsia="Times New Roman" w:hint="default"/>
          <w:b/>
          <w:bCs/>
          <w:sz w:val="28"/>
          <w:szCs w:val="28"/>
        </w:rPr>
        <w:t>101.90%</w:t>
      </w:r>
      <w:r>
        <w:rPr>
          <w:rFonts w:ascii="宋体" w:hAnsi="宋体" w:cs="宋体" w:eastAsia="宋体" w:hint="default"/>
          <w:b/>
          <w:bCs/>
          <w:sz w:val="28"/>
          <w:szCs w:val="28"/>
        </w:rPr>
        <w:t>。以后业绩承诺期间如科信盛彩经营情况未达预期，可能导致业绩</w:t>
      </w:r>
      <w:r>
        <w:rPr>
          <w:rFonts w:ascii="宋体" w:hAnsi="宋体" w:cs="宋体" w:eastAsia="宋体" w:hint="default"/>
          <w:b/>
          <w:bCs/>
          <w:w w:val="99"/>
          <w:sz w:val="28"/>
          <w:szCs w:val="28"/>
        </w:rPr>
        <w:t> </w:t>
      </w:r>
      <w:r>
        <w:rPr>
          <w:rFonts w:ascii="宋体" w:hAnsi="宋体" w:cs="宋体" w:eastAsia="宋体" w:hint="default"/>
          <w:b/>
          <w:bCs/>
          <w:sz w:val="28"/>
          <w:szCs w:val="28"/>
        </w:rPr>
        <w:t>承诺无法实现，进而影响公司的整体经营业绩和盈利水平。</w:t>
      </w:r>
      <w:r>
        <w:rPr>
          <w:rFonts w:ascii="宋体" w:hAnsi="宋体" w:cs="宋体" w:eastAsia="宋体" w:hint="default"/>
          <w:sz w:val="28"/>
          <w:szCs w:val="28"/>
        </w:rPr>
      </w:r>
    </w:p>
    <w:p>
      <w:pPr>
        <w:spacing w:before="187"/>
        <w:ind w:left="714" w:right="382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、商誉减值风险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4" w:right="986"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2019  </w:t>
      </w:r>
      <w:r>
        <w:rPr>
          <w:rFonts w:ascii="宋体" w:hAnsi="宋体" w:cs="宋体" w:eastAsia="宋体" w:hint="default"/>
          <w:b/>
          <w:bCs/>
          <w:spacing w:val="19"/>
          <w:sz w:val="28"/>
          <w:szCs w:val="28"/>
        </w:rPr>
        <w:t>年，中金云网实现净利润 </w:t>
      </w:r>
      <w:r>
        <w:rPr>
          <w:rFonts w:ascii="Times New Roman" w:hAnsi="Times New Roman" w:cs="Times New Roman" w:eastAsia="Times New Roman" w:hint="default"/>
          <w:b/>
          <w:bCs/>
          <w:sz w:val="28"/>
          <w:szCs w:val="28"/>
        </w:rPr>
        <w:t>32,896.01 </w:t>
      </w:r>
      <w:r>
        <w:rPr>
          <w:rFonts w:ascii="Times New Roman" w:hAnsi="Times New Roman" w:cs="Times New Roman" w:eastAsia="Times New Roman" w:hint="default"/>
          <w:b/>
          <w:bCs/>
          <w:spacing w:val="32"/>
          <w:sz w:val="28"/>
          <w:szCs w:val="28"/>
        </w:rPr>
        <w:t> </w:t>
      </w:r>
      <w:r>
        <w:rPr>
          <w:rFonts w:ascii="宋体" w:hAnsi="宋体" w:cs="宋体" w:eastAsia="宋体" w:hint="default"/>
          <w:b/>
          <w:bCs/>
          <w:spacing w:val="21"/>
          <w:sz w:val="28"/>
          <w:szCs w:val="28"/>
        </w:rPr>
        <w:t>万元，无双科技实现净利润</w:t>
      </w:r>
      <w:r>
        <w:rPr>
          <w:rFonts w:ascii="宋体" w:hAnsi="宋体" w:cs="宋体" w:eastAsia="宋体" w:hint="default"/>
          <w:sz w:val="28"/>
          <w:szCs w:val="28"/>
        </w:rPr>
      </w:r>
    </w:p>
    <w:p>
      <w:pPr>
        <w:spacing w:line="386" w:lineRule="auto" w:before="236"/>
        <w:ind w:left="152" w:right="1133"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10,220.44</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万元，未发生商誉减值。未来，如中金云网或无双科技经营业绩出现</w:t>
      </w:r>
      <w:r>
        <w:rPr>
          <w:rFonts w:ascii="宋体" w:hAnsi="宋体" w:cs="宋体" w:eastAsia="宋体" w:hint="default"/>
          <w:b/>
          <w:bCs/>
          <w:w w:val="99"/>
          <w:sz w:val="28"/>
          <w:szCs w:val="28"/>
        </w:rPr>
        <w:t> </w:t>
      </w:r>
      <w:r>
        <w:rPr>
          <w:rFonts w:ascii="宋体" w:hAnsi="宋体" w:cs="宋体" w:eastAsia="宋体" w:hint="default"/>
          <w:b/>
          <w:bCs/>
          <w:sz w:val="28"/>
          <w:szCs w:val="28"/>
        </w:rPr>
        <w:t>下滑，将导致商誉减值风险，进而对公司业绩造成不利影响。</w:t>
      </w:r>
      <w:r>
        <w:rPr>
          <w:rFonts w:ascii="宋体" w:hAnsi="宋体" w:cs="宋体" w:eastAsia="宋体" w:hint="default"/>
          <w:sz w:val="28"/>
          <w:szCs w:val="28"/>
        </w:rPr>
      </w:r>
    </w:p>
    <w:p>
      <w:pPr>
        <w:spacing w:line="391" w:lineRule="auto" w:before="185"/>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除上述风险因素外公司还面临抵押、质押风险、资产负债率较高及流动性</w:t>
      </w:r>
      <w:r>
        <w:rPr>
          <w:rFonts w:ascii="宋体" w:hAnsi="宋体" w:cs="宋体" w:eastAsia="宋体" w:hint="default"/>
          <w:b/>
          <w:bCs/>
          <w:w w:val="99"/>
          <w:sz w:val="28"/>
          <w:szCs w:val="28"/>
        </w:rPr>
        <w:t> </w:t>
      </w:r>
      <w:r>
        <w:rPr>
          <w:rFonts w:ascii="宋体" w:hAnsi="宋体" w:cs="宋体" w:eastAsia="宋体" w:hint="default"/>
          <w:b/>
          <w:bCs/>
          <w:spacing w:val="2"/>
          <w:sz w:val="28"/>
          <w:szCs w:val="28"/>
        </w:rPr>
        <w:t>风险、</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侵害商标权纠纷</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法律诉讼的风险以及运营成本增加带来的风险，有关</w:t>
      </w:r>
      <w:r>
        <w:rPr>
          <w:rFonts w:ascii="宋体" w:hAnsi="宋体" w:cs="宋体" w:eastAsia="宋体" w:hint="default"/>
          <w:b/>
          <w:bCs/>
          <w:spacing w:val="2"/>
          <w:w w:val="99"/>
          <w:sz w:val="28"/>
          <w:szCs w:val="28"/>
        </w:rPr>
        <w:t> </w:t>
      </w:r>
      <w:r>
        <w:rPr>
          <w:rFonts w:ascii="宋体" w:hAnsi="宋体" w:cs="宋体" w:eastAsia="宋体" w:hint="default"/>
          <w:b/>
          <w:bCs/>
          <w:sz w:val="28"/>
          <w:szCs w:val="28"/>
        </w:rPr>
        <w:t>上述 </w:t>
      </w:r>
      <w:r>
        <w:rPr>
          <w:rFonts w:ascii="Times New Roman" w:hAnsi="Times New Roman" w:cs="Times New Roman" w:eastAsia="Times New Roman" w:hint="default"/>
          <w:b/>
          <w:bCs/>
          <w:spacing w:val="-8"/>
          <w:sz w:val="28"/>
          <w:szCs w:val="28"/>
        </w:rPr>
        <w:t>11</w:t>
      </w:r>
      <w:r>
        <w:rPr>
          <w:rFonts w:ascii="Times New Roman" w:hAnsi="Times New Roman" w:cs="Times New Roman" w:eastAsia="Times New Roman" w:hint="default"/>
          <w:b/>
          <w:bCs/>
          <w:spacing w:val="24"/>
          <w:sz w:val="28"/>
          <w:szCs w:val="28"/>
        </w:rPr>
        <w:t> </w:t>
      </w:r>
      <w:r>
        <w:rPr>
          <w:rFonts w:ascii="宋体" w:hAnsi="宋体" w:cs="宋体" w:eastAsia="宋体" w:hint="default"/>
          <w:b/>
          <w:bCs/>
          <w:sz w:val="28"/>
          <w:szCs w:val="28"/>
        </w:rPr>
        <w:t>项风险因素的具体内容及公司相应对策举措已在本报告第四节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经营情</w:t>
      </w:r>
      <w:r>
        <w:rPr>
          <w:rFonts w:ascii="宋体" w:hAnsi="宋体" w:cs="宋体" w:eastAsia="宋体" w:hint="default"/>
          <w:b/>
          <w:bCs/>
          <w:w w:val="99"/>
          <w:sz w:val="28"/>
          <w:szCs w:val="28"/>
        </w:rPr>
        <w:t> </w:t>
      </w:r>
      <w:r>
        <w:rPr>
          <w:rFonts w:ascii="宋体" w:hAnsi="宋体" w:cs="宋体" w:eastAsia="宋体" w:hint="default"/>
          <w:b/>
          <w:bCs/>
          <w:spacing w:val="-2"/>
          <w:sz w:val="28"/>
          <w:szCs w:val="28"/>
        </w:rPr>
        <w:t>况讨论于分析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（四）可能面临的风险</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部分予</w:t>
      </w:r>
      <w:r>
        <w:rPr>
          <w:rFonts w:ascii="宋体" w:hAnsi="宋体" w:cs="宋体" w:eastAsia="宋体" w:hint="default"/>
          <w:b/>
          <w:bCs/>
          <w:spacing w:val="-131"/>
          <w:sz w:val="28"/>
          <w:szCs w:val="28"/>
        </w:rPr>
        <w:t> </w:t>
      </w:r>
      <w:r>
        <w:rPr>
          <w:rFonts w:ascii="宋体" w:hAnsi="宋体" w:cs="宋体" w:eastAsia="宋体" w:hint="default"/>
          <w:b/>
          <w:bCs/>
          <w:sz w:val="28"/>
          <w:szCs w:val="28"/>
        </w:rPr>
        <w:t>以详细描述，敬请广大投资者查阅并注意投资风险。</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41"/>
          <w:szCs w:val="41"/>
        </w:rPr>
      </w:pPr>
    </w:p>
    <w:p>
      <w:pPr>
        <w:spacing w:before="0"/>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1,543,139,921</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0.2</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04" w:val="left" w:leader="none"/>
        </w:tabs>
        <w:spacing w:before="125"/>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256"/>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68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83</w:t>
            </w:r>
          </w:hyperlink>
        </w:p>
        <w:p>
          <w:pPr>
            <w:pStyle w:val="TOC1"/>
            <w:tabs>
              <w:tab w:pos="9783" w:val="right" w:leader="dot"/>
            </w:tabs>
            <w:spacing w:line="240" w:lineRule="auto" w:before="256"/>
            <w:ind w:right="0"/>
            <w:jc w:val="left"/>
            <w:rPr>
              <w:rFonts w:ascii="Times New Roman" w:hAnsi="Times New Roman" w:cs="Times New Roman" w:eastAsia="Times New Roman" w:hint="default"/>
            </w:rPr>
          </w:pPr>
          <w:hyperlink w:history="true" w:anchor="_bookmark7">
            <w:r>
              <w:rPr/>
              <w:t>第八节 可转换公司债券相关情况</w:t>
            </w:r>
            <w:r>
              <w:rPr>
                <w:rFonts w:ascii="Times New Roman" w:hAnsi="Times New Roman" w:cs="Times New Roman" w:eastAsia="Times New Roman" w:hint="default"/>
              </w:rPr>
              <w:tab/>
              <w:t>84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 董事、监事、高级管理人员和员工情况</w:t>
            </w:r>
            <w:r>
              <w:rPr>
                <w:rFonts w:ascii="Times New Roman" w:hAnsi="Times New Roman" w:cs="Times New Roman" w:eastAsia="Times New Roman" w:hint="default"/>
              </w:rPr>
              <w:tab/>
              <w:t>85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公司治理</w:t>
            </w:r>
            <w:r>
              <w:rPr>
                <w:rFonts w:ascii="Times New Roman" w:hAnsi="Times New Roman" w:cs="Times New Roman" w:eastAsia="Times New Roman" w:hint="default"/>
              </w:rPr>
              <w:tab/>
              <w:t>96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公司债券相关情况</w:t>
            </w:r>
            <w:r>
              <w:rPr>
                <w:rFonts w:ascii="Times New Roman" w:hAnsi="Times New Roman" w:cs="Times New Roman" w:eastAsia="Times New Roman" w:hint="default"/>
              </w:rPr>
              <w:tab/>
              <w:t>102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1">
            <w:r>
              <w:rPr/>
              <w:t>第十二节 财务报告</w:t>
            </w:r>
            <w:r>
              <w:rPr>
                <w:rFonts w:ascii="Times New Roman" w:hAnsi="Times New Roman" w:cs="Times New Roman" w:eastAsia="Times New Roman" w:hint="default"/>
              </w:rPr>
              <w:tab/>
              <w:t>103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2">
            <w:r>
              <w:rPr/>
              <w:t>第十三节 查文件目录</w:t>
            </w:r>
            <w:r>
              <w:rPr>
                <w:rFonts w:ascii="Times New Roman" w:hAnsi="Times New Roman" w:cs="Times New Roman" w:eastAsia="Times New Roman" w:hint="default"/>
              </w:rPr>
              <w:tab/>
              <w:t>214</w:t>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tabs>
          <w:tab w:pos="803" w:val="left" w:leader="none"/>
        </w:tabs>
        <w:spacing w:before="945"/>
        <w:ind w:left="0" w:right="983"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公司、本公司、上市公司、光环新网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公司全资子公司光环云谷科技有限公司，前身为廊坊开发区华瑞信通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网络技术有限公司。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光环上海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公司全资子公司光环新网（上海）信息服务有限公司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北京科信盛彩云计算有限公司（曾用名：北京科信盛彩置业有限公 </w:t>
            </w:r>
            <w:r>
              <w:rPr>
                <w:rFonts w:ascii="宋体" w:hAnsi="宋体" w:cs="宋体" w:eastAsia="宋体" w:hint="default"/>
                <w:spacing w:val="-14"/>
                <w:sz w:val="18"/>
                <w:szCs w:val="18"/>
              </w:rPr>
              <w:t>司），</w:t>
            </w:r>
            <w:r>
              <w:rPr>
                <w:rFonts w:ascii="Times New Roman" w:hAnsi="Times New Roman" w:cs="Times New Roman" w:eastAsia="Times New Roman" w:hint="default"/>
                <w:spacing w:val="-14"/>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日已成为公司全资子公司。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云创投资</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共青城云创投资管理合伙企业（有限合伙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，公司收购科信</w:t>
            </w:r>
            <w:r>
              <w:rPr>
                <w:rFonts w:ascii="宋体" w:hAnsi="宋体" w:cs="宋体" w:eastAsia="宋体" w:hint="default"/>
                <w:spacing w:val="2"/>
                <w:sz w:val="18"/>
                <w:szCs w:val="18"/>
              </w:rPr>
              <w:t>盛</w:t>
            </w:r>
            <w:r>
              <w:rPr>
                <w:rFonts w:ascii="宋体" w:hAnsi="宋体" w:cs="宋体" w:eastAsia="宋体" w:hint="default"/>
                <w:sz w:val="18"/>
                <w:szCs w:val="18"/>
              </w:rPr>
              <w:t>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股权时的交易对方之一。</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光环控股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光环控股有限公司，公司收购科信盛彩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股权时的交易对方之一。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公司控股子公司光环云数据有限公司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公司全资子公司北京德信致远科技有限公司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二级子公司上海中可企业发展有限公司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昆山公司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昆山美鸿业金属制品有限公司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岩峰公司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三河市岩峰高新技术产业园有限公司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智达云创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智达云创（三河）科技有限公司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both"/>
              <w:rPr>
                <w:rFonts w:ascii="宋体" w:hAnsi="宋体" w:cs="宋体" w:eastAsia="宋体" w:hint="default"/>
                <w:sz w:val="18"/>
                <w:szCs w:val="18"/>
              </w:rPr>
            </w:pPr>
            <w:r>
              <w:rPr>
                <w:rFonts w:ascii="宋体" w:hAnsi="宋体" w:cs="宋体" w:eastAsia="宋体" w:hint="default"/>
                <w:spacing w:val="-3"/>
                <w:sz w:val="18"/>
                <w:szCs w:val="18"/>
              </w:rPr>
              <w:t>控股股东舟山百汇达股权投资管理合伙企业（有限合伙）（曾用名：</w:t>
            </w:r>
            <w:r>
              <w:rPr>
                <w:rFonts w:ascii="宋体" w:hAnsi="宋体" w:cs="宋体" w:eastAsia="宋体" w:hint="default"/>
                <w:sz w:val="18"/>
                <w:szCs w:val="18"/>
              </w:rPr>
              <w:t> </w:t>
            </w:r>
            <w:r>
              <w:rPr>
                <w:rFonts w:ascii="宋体" w:hAnsi="宋体" w:cs="宋体" w:eastAsia="宋体" w:hint="default"/>
                <w:spacing w:val="-2"/>
                <w:sz w:val="18"/>
                <w:szCs w:val="18"/>
              </w:rPr>
              <w:t>北京百汇达投资管理有限公司、霍尔果斯百汇达股权投资管理合伙企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2"/>
                <w:sz w:val="18"/>
                <w:szCs w:val="18"/>
              </w:rPr>
              <w:t>业（有限合伙））</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亚马逊通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亚马逊通技术服务（北京）有限公司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9"/>
              <w:jc w:val="left"/>
              <w:rPr>
                <w:rFonts w:ascii="宋体" w:hAnsi="宋体" w:cs="宋体" w:eastAsia="宋体" w:hint="default"/>
                <w:sz w:val="18"/>
                <w:szCs w:val="18"/>
              </w:rPr>
            </w:pPr>
            <w:r>
              <w:rPr>
                <w:rFonts w:ascii="宋体" w:hAnsi="宋体" w:cs="宋体" w:eastAsia="宋体" w:hint="default"/>
                <w:sz w:val="18"/>
                <w:szCs w:val="18"/>
              </w:rPr>
              <w:t>互联网数据中心业务（</w:t>
            </w:r>
            <w:r>
              <w:rPr>
                <w:rFonts w:ascii="Times New Roman" w:hAnsi="Times New Roman" w:cs="Times New Roman" w:eastAsia="Times New Roman" w:hint="default"/>
                <w:sz w:val="18"/>
                <w:szCs w:val="18"/>
              </w:rPr>
              <w:t>Internet </w:t>
            </w:r>
            <w:r>
              <w:rPr>
                <w:rFonts w:ascii="Times New Roman" w:hAnsi="Times New Roman" w:cs="Times New Roman" w:eastAsia="Times New Roman" w:hint="default"/>
                <w:spacing w:val="-1"/>
                <w:w w:val="99"/>
                <w:sz w:val="18"/>
                <w:szCs w:val="18"/>
              </w:rPr>
              <w:t>Data </w:t>
            </w:r>
            <w:r>
              <w:rPr>
                <w:rFonts w:ascii="Times New Roman" w:hAnsi="Times New Roman" w:cs="Times New Roman" w:eastAsia="Times New Roman" w:hint="default"/>
                <w:spacing w:val="-5"/>
                <w:sz w:val="18"/>
                <w:szCs w:val="18"/>
              </w:rPr>
              <w:t>Center</w:t>
            </w:r>
            <w:r>
              <w:rPr>
                <w:rFonts w:ascii="宋体" w:hAnsi="宋体" w:cs="宋体" w:eastAsia="宋体" w:hint="default"/>
                <w:spacing w:val="-5"/>
                <w:sz w:val="18"/>
                <w:szCs w:val="18"/>
              </w:rPr>
              <w:t>），主要包括服务器托管、</w:t>
            </w:r>
            <w:r>
              <w:rPr>
                <w:rFonts w:ascii="宋体" w:hAnsi="宋体" w:cs="宋体" w:eastAsia="宋体" w:hint="default"/>
                <w:sz w:val="18"/>
                <w:szCs w:val="18"/>
              </w:rPr>
              <w:t> 租用、运维以及网络接入服务的业务。</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49"/>
              <w:ind w:left="28" w:right="-9"/>
              <w:jc w:val="both"/>
              <w:rPr>
                <w:rFonts w:ascii="宋体" w:hAnsi="宋体" w:cs="宋体" w:eastAsia="宋体" w:hint="default"/>
                <w:sz w:val="18"/>
                <w:szCs w:val="18"/>
              </w:rPr>
            </w:pPr>
            <w:r>
              <w:rPr>
                <w:rFonts w:ascii="宋体" w:hAnsi="宋体" w:cs="宋体" w:eastAsia="宋体" w:hint="default"/>
                <w:sz w:val="18"/>
                <w:szCs w:val="18"/>
              </w:rPr>
              <w:t>云计算是一种通过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Internet </w:t>
            </w:r>
            <w:r>
              <w:rPr>
                <w:rFonts w:ascii="宋体" w:hAnsi="宋体" w:cs="宋体" w:eastAsia="宋体" w:hint="default"/>
                <w:sz w:val="18"/>
                <w:szCs w:val="18"/>
              </w:rPr>
              <w:t>以服务的方式提供动态可伸缩的虚拟化的 资源的计算模式。狭义云计算指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基础设施的交付和使用模式，指 </w:t>
            </w:r>
            <w:r>
              <w:rPr>
                <w:rFonts w:ascii="宋体" w:hAnsi="宋体" w:cs="宋体" w:eastAsia="宋体" w:hint="default"/>
                <w:spacing w:val="-2"/>
                <w:sz w:val="18"/>
                <w:szCs w:val="18"/>
              </w:rPr>
              <w:t>通过网络以按需、易扩展的方式获得所需资源；广义云计算指服务的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交付和使用模式，指通过网络以按需、易扩展的方式获得所需服务。</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搜索引擎营销、</w:t>
            </w:r>
            <w:r>
              <w:rPr>
                <w:rFonts w:ascii="Times New Roman" w:hAnsi="Times New Roman" w:cs="Times New Roman" w:eastAsia="Times New Roman" w:hint="default"/>
                <w:sz w:val="18"/>
                <w:szCs w:val="18"/>
              </w:rPr>
              <w:t>SEM</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在互联网用户搜索关键词时向其展示特定营销内容的互联网营销方 式。</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44"/>
        <w:ind w:left="0" w:right="1136"/>
        <w:jc w:val="right"/>
      </w:pPr>
      <w:r>
        <w:rPr/>
        <w:pict>
          <v:shape style="position:absolute;margin-left:56.400002pt;margin-top:-150.148285pt;width:479.3pt;height:205.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云计算服务模式之一，即设施即服务，向客户提供处理、存储、网络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以及其他基础计算资源，客户可以在其上运行任意软件，包括操作系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统和应用程序。用户不管理或者控制底层的云基础架构，但是可以控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制操作系统、存储、发布应用程序，以及可能有限度地控制选择的网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络组件。</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云计算服务模式之一，即平台即服务，客户使用云供应商支持的开发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语言和工具，开发出应用程序，并发布到云基础架构上。</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云计算服务模式之一，即软件即服务，客户所使用的服务商提供的运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行在云基础设施上的应用程序。这些应用程序可以通过各种各样的客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户端设备所访问。客户不管理或者控制底层的云基础架构，包括网络</w:t>
                        </w:r>
                        <w:r>
                          <w:rPr>
                            <w:rFonts w:ascii="宋体" w:hAnsi="宋体" w:cs="宋体" w:eastAsia="宋体" w:hint="default"/>
                            <w:sz w:val="18"/>
                            <w:szCs w:val="18"/>
                          </w:rPr>
                          <w:t> 服务器、操作系统、存储设备，甚至独立的应用程序机能。</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pacing w:val="-6"/>
                            <w:sz w:val="18"/>
                          </w:rPr>
                          <w:t>AWS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亚马逊的公有云服务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AWS</w:t>
                        </w:r>
                        <w:r>
                          <w:rPr>
                            <w:rFonts w:ascii="宋体" w:hAnsi="宋体" w:cs="宋体" w:eastAsia="宋体" w:hint="default"/>
                            <w:sz w:val="18"/>
                            <w:szCs w:val="18"/>
                          </w:rPr>
                          <w:t>（</w:t>
                        </w:r>
                        <w:r>
                          <w:rPr>
                            <w:rFonts w:ascii="Times New Roman" w:hAnsi="Times New Roman" w:cs="Times New Roman" w:eastAsia="Times New Roman" w:hint="default"/>
                            <w:sz w:val="18"/>
                            <w:szCs w:val="18"/>
                          </w:rPr>
                          <w:t>Amazon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Services</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1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3827"/>
        <w:jc w:val="left"/>
        <w:rPr>
          <w:b w:val="0"/>
          <w:bCs w:val="0"/>
        </w:rPr>
      </w:pPr>
      <w:r>
        <w:rPr/>
        <w:pict>
          <v:group style="position:absolute;margin-left:172.339996pt;margin-top:114.681595pt;width:361.55pt;height:19.75pt;mso-position-horizontal-relative:page;mso-position-vertical-relative:paragraph;z-index:-1240696"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300383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光环新网</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Sinnet Technology Co.,</w:t>
            </w:r>
            <w:r>
              <w:rPr>
                <w:rFonts w:ascii="Times New Roman"/>
                <w:spacing w:val="-27"/>
                <w:sz w:val="18"/>
              </w:rPr>
              <w:t> </w:t>
            </w:r>
            <w:r>
              <w:rPr>
                <w:rFonts w:ascii="Times New Roman"/>
                <w:sz w:val="18"/>
              </w:rPr>
              <w:t>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Sinnet</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耿殿根</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北京市门头沟区石龙经济开发区永安路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102300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100027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www.sinnet.com.cn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382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陈静</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号东环广场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2A</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010-64183433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010-64183433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010-64181819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i_r@sinnet.com.cn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382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3827"/>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827"/>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白秀荣、韩靖</w:t>
            </w:r>
          </w:p>
        </w:tc>
      </w:tr>
    </w:tbl>
    <w:p>
      <w:pPr>
        <w:pStyle w:val="BodyText"/>
        <w:spacing w:line="240" w:lineRule="auto" w:before="49"/>
        <w:ind w:right="3827"/>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中天国富证券有限公司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北京市西城区金融大街甲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金融街中心北楼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刘冠勋、孙菊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3827"/>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827"/>
        <w:jc w:val="left"/>
      </w:pPr>
      <w:r>
        <w:rPr/>
        <w:t>公司是否需追溯调整或重述以前年度会计数据</w:t>
      </w:r>
    </w:p>
    <w:p>
      <w:pPr>
        <w:pStyle w:val="BodyText"/>
        <w:spacing w:line="240" w:lineRule="auto" w:before="115"/>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7,097,172,610.23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6,023,164,541.28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4,077,168,684.62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824,590,767.43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667,452,385.34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435,862,060.15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821,870,245.07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662,232,883.83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432,006,572.96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602,966,937.40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586,931,267.12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405,697,450.59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12,233,206,569.06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11,386,893,458.21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10,613,566,205.19</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8,348,403,917.92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7,500,643,482.77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6,431,051,379.57</w:t>
            </w:r>
          </w:p>
        </w:tc>
      </w:tr>
    </w:tbl>
    <w:p>
      <w:pPr>
        <w:pStyle w:val="BodyText"/>
        <w:spacing w:line="314" w:lineRule="auto" w:before="49"/>
        <w:ind w:right="1112"/>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0.5344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3827"/>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1,628,764,654.48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1,827,084,954.66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1,925,675,172.67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1,715,647,828.42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195,161,517.82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196,743,251.26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219,385,246.92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213,300,751.43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194,896,191.38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196,341,685.38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219,376,282.36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211,256,085.95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-195,513,670.58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126,208,077.24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277,526,630.57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394,745,900.17</w:t>
            </w:r>
          </w:p>
        </w:tc>
      </w:tr>
    </w:tbl>
    <w:p>
      <w:pPr>
        <w:pStyle w:val="BodyText"/>
        <w:spacing w:line="240" w:lineRule="auto" w:before="49"/>
        <w:ind w:right="1112"/>
        <w:jc w:val="left"/>
      </w:pPr>
      <w:r>
        <w:rPr/>
        <w:t>上述财务指标或其加总数是否与公司已披露季度报告、半年度报告相关财务指标存在重大差异</w:t>
      </w:r>
    </w:p>
    <w:p>
      <w:pPr>
        <w:pStyle w:val="BodyText"/>
        <w:spacing w:line="240" w:lineRule="auto" w:before="115"/>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111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3827"/>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7"/>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-643,463.39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2,280,337.28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-1,574,720.06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4,136,364.00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4,174,000.00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6,366,600.00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-285,282.62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-209,627.28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3,177.85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487,095.47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1,029,117.59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946,695.73</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-7,125.13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2,720,522.36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5,219,501.51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3,855,487.19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3827"/>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3827"/>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2" w:firstLine="360"/>
        <w:jc w:val="both"/>
      </w:pPr>
      <w:r>
        <w:rPr>
          <w:spacing w:val="-1"/>
        </w:rPr>
        <w:t>公司从事的主要业务包括互联网数据中心业务（</w:t>
      </w:r>
      <w:r>
        <w:rPr>
          <w:rFonts w:ascii="Times New Roman" w:hAnsi="Times New Roman" w:cs="Times New Roman" w:eastAsia="Times New Roman" w:hint="default"/>
          <w:spacing w:val="-1"/>
        </w:rPr>
        <w:t>IDC</w:t>
      </w:r>
      <w:r>
        <w:rPr>
          <w:spacing w:val="-1"/>
        </w:rPr>
        <w:t>及其增值服务）及云计算业务。报告期内，公司主营业务未发生重</w:t>
      </w:r>
      <w:r>
        <w:rPr/>
        <w:t> 大变化，持续为用户提供高效、稳定、安全的服务。</w:t>
      </w:r>
    </w:p>
    <w:p>
      <w:pPr>
        <w:pStyle w:val="BodyText"/>
        <w:spacing w:line="300" w:lineRule="auto" w:before="31"/>
        <w:ind w:left="513" w:right="1112"/>
        <w:jc w:val="left"/>
      </w:pPr>
      <w:r>
        <w:rPr>
          <w:rFonts w:ascii="Times New Roman" w:hAnsi="Times New Roman" w:cs="Times New Roman" w:eastAsia="Times New Roman" w:hint="default"/>
        </w:rPr>
        <w:t>1</w:t>
      </w:r>
      <w:r>
        <w:rPr/>
        <w:t>、互联网数据中心业务 </w:t>
      </w:r>
      <w:r>
        <w:rPr>
          <w:spacing w:val="-2"/>
        </w:rPr>
        <w:t>公司在数据中心建设及运营方面已经积累了二十余年丰富的经验，始终紧跟行业发展趋势，不断研发先进技术，服务能</w:t>
      </w:r>
    </w:p>
    <w:p>
      <w:pPr>
        <w:pStyle w:val="BodyText"/>
        <w:spacing w:line="307" w:lineRule="auto" w:before="31"/>
        <w:ind w:right="1131"/>
        <w:jc w:val="both"/>
      </w:pPr>
      <w:r>
        <w:rPr>
          <w:spacing w:val="-2"/>
        </w:rPr>
        <w:t>力达到国际先进水平。公司在北京、上海及其周边地区拥有北京东直门、酒仙桥、亚太中立亦庄、科信盛彩、中金云网、房</w:t>
      </w:r>
      <w:r>
        <w:rPr>
          <w:spacing w:val="-72"/>
        </w:rPr>
        <w:t> </w:t>
      </w:r>
      <w:r>
        <w:rPr>
          <w:spacing w:val="-72"/>
        </w:rPr>
      </w:r>
      <w:r>
        <w:rPr/>
        <w:t>山一期，河北燕郊一期二期以及上海嘉定一期等多处高品质的数据中心，现有数据中心规模近</w:t>
      </w:r>
      <w:r>
        <w:rPr>
          <w:rFonts w:ascii="Times New Roman" w:hAnsi="Times New Roman" w:cs="Times New Roman" w:eastAsia="Times New Roman" w:hint="default"/>
        </w:rPr>
        <w:t>40</w:t>
      </w:r>
      <w:r>
        <w:rPr/>
        <w:t>万平米，设计容量约为</w:t>
      </w:r>
      <w:r>
        <w:rPr>
          <w:rFonts w:ascii="Times New Roman" w:hAnsi="Times New Roman" w:cs="Times New Roman" w:eastAsia="Times New Roman" w:hint="default"/>
        </w:rPr>
        <w:t>5</w:t>
      </w:r>
      <w:r>
        <w:rPr/>
        <w:t>万 </w:t>
      </w:r>
      <w:r>
        <w:rPr>
          <w:spacing w:val="-4"/>
        </w:rPr>
        <w:t>架等效机柜。报告期内，公司积极推进</w:t>
      </w:r>
      <w:r>
        <w:rPr>
          <w:rFonts w:ascii="Times New Roman" w:hAnsi="Times New Roman" w:cs="Times New Roman" w:eastAsia="Times New Roman" w:hint="default"/>
          <w:spacing w:val="-4"/>
        </w:rPr>
        <w:t>IDC</w:t>
      </w:r>
      <w:r>
        <w:rPr>
          <w:spacing w:val="-4"/>
        </w:rPr>
        <w:t>全国战略布局，启动河北燕郊三四期项目、上海嘉定二期项目以及江苏昆山项目，</w:t>
      </w:r>
      <w:r>
        <w:rPr>
          <w:spacing w:val="-80"/>
        </w:rPr>
        <w:t> </w:t>
      </w:r>
      <w:r>
        <w:rPr>
          <w:spacing w:val="-80"/>
        </w:rPr>
      </w:r>
      <w:r>
        <w:rPr/>
        <w:t>规划机柜数量近</w:t>
      </w:r>
      <w:r>
        <w:rPr>
          <w:rFonts w:ascii="Times New Roman" w:hAnsi="Times New Roman" w:cs="Times New Roman" w:eastAsia="Times New Roman" w:hint="default"/>
        </w:rPr>
        <w:t>3.5</w:t>
      </w:r>
      <w:r>
        <w:rPr/>
        <w:t>万个，进一步扩大公司在京津冀地区及长三角地区的</w:t>
      </w:r>
      <w:r>
        <w:rPr>
          <w:rFonts w:ascii="Times New Roman" w:hAnsi="Times New Roman" w:cs="Times New Roman" w:eastAsia="Times New Roman" w:hint="default"/>
        </w:rPr>
        <w:t>IDC</w:t>
      </w:r>
      <w:r>
        <w:rPr/>
        <w:t>业务辐射范围，增加</w:t>
      </w:r>
      <w:r>
        <w:rPr>
          <w:rFonts w:ascii="Times New Roman" w:hAnsi="Times New Roman" w:cs="Times New Roman" w:eastAsia="Times New Roman" w:hint="default"/>
        </w:rPr>
        <w:t>IDC</w:t>
      </w:r>
      <w:r>
        <w:rPr/>
        <w:t>资源储备。</w:t>
      </w:r>
    </w:p>
    <w:p>
      <w:pPr>
        <w:pStyle w:val="BodyText"/>
        <w:spacing w:line="300" w:lineRule="auto" w:before="7"/>
        <w:ind w:left="513" w:right="1112"/>
        <w:jc w:val="left"/>
      </w:pPr>
      <w:r>
        <w:rPr>
          <w:rFonts w:ascii="Times New Roman" w:hAnsi="Times New Roman" w:cs="Times New Roman" w:eastAsia="Times New Roman" w:hint="default"/>
        </w:rPr>
        <w:t>2</w:t>
      </w:r>
      <w:r>
        <w:rPr/>
        <w:t>、云计算业务 </w:t>
      </w:r>
      <w:r>
        <w:rPr>
          <w:spacing w:val="-1"/>
        </w:rPr>
        <w:t>在云计算业务方面，公司运营的</w:t>
      </w:r>
      <w:r>
        <w:rPr>
          <w:rFonts w:ascii="Times New Roman" w:hAnsi="Times New Roman" w:cs="Times New Roman" w:eastAsia="Times New Roman" w:hint="default"/>
          <w:spacing w:val="-1"/>
        </w:rPr>
        <w:t>AWS</w:t>
      </w:r>
      <w:r>
        <w:rPr>
          <w:spacing w:val="-1"/>
        </w:rPr>
        <w:t>中国（北京）区域云服务进展顺利，可为用户提供超过</w:t>
      </w:r>
      <w:r>
        <w:rPr>
          <w:rFonts w:ascii="Times New Roman" w:hAnsi="Times New Roman" w:cs="Times New Roman" w:eastAsia="Times New Roman" w:hint="default"/>
          <w:spacing w:val="-1"/>
        </w:rPr>
        <w:t>165</w:t>
      </w:r>
      <w:r>
        <w:rPr>
          <w:spacing w:val="-1"/>
        </w:rPr>
        <w:t>项全功能的服务，涵盖</w:t>
      </w:r>
    </w:p>
    <w:p>
      <w:pPr>
        <w:pStyle w:val="BodyText"/>
        <w:spacing w:line="309" w:lineRule="auto" w:before="13"/>
        <w:ind w:right="1034"/>
        <w:jc w:val="left"/>
      </w:pPr>
      <w:r>
        <w:rPr/>
        <w:t>计算、存储、数据库、联网、分析、机器人、机器学习与人工智能，物联网、移动、安全、混合云、虚拟现实与增强现实、</w:t>
      </w:r>
      <w:r>
        <w:rPr>
          <w:spacing w:val="-83"/>
        </w:rPr>
        <w:t> </w:t>
      </w:r>
      <w:r>
        <w:rPr>
          <w:spacing w:val="-83"/>
        </w:rPr>
      </w:r>
      <w:r>
        <w:rPr/>
        <w:t>媒体，以及应用开发、部署与管理等方面。基于光环新网的运营和</w:t>
      </w:r>
      <w:r>
        <w:rPr>
          <w:rFonts w:ascii="Times New Roman" w:hAnsi="Times New Roman" w:cs="Times New Roman" w:eastAsia="Times New Roman" w:hint="default"/>
        </w:rPr>
        <w:t>AWS</w:t>
      </w:r>
      <w:r>
        <w:rPr/>
        <w:t>的全球技术，国内外的开发者、初创公司、本土企</w:t>
      </w:r>
      <w:r>
        <w:rPr>
          <w:spacing w:val="-38"/>
        </w:rPr>
        <w:t> </w:t>
      </w:r>
      <w:r>
        <w:rPr>
          <w:spacing w:val="-38"/>
        </w:rPr>
      </w:r>
      <w:r>
        <w:rPr/>
        <w:t>业、政府机构、公益组织等可利用</w:t>
      </w:r>
      <w:r>
        <w:rPr>
          <w:rFonts w:ascii="Times New Roman" w:hAnsi="Times New Roman" w:cs="Times New Roman" w:eastAsia="Times New Roman" w:hint="default"/>
        </w:rPr>
        <w:t>AWS</w:t>
      </w:r>
      <w:r>
        <w:rPr/>
        <w:t>中国（北京）区域的云平台部署技术应用。</w:t>
      </w:r>
    </w:p>
    <w:p>
      <w:pPr>
        <w:pStyle w:val="BodyText"/>
        <w:spacing w:line="304" w:lineRule="auto" w:before="5"/>
        <w:ind w:right="1130" w:firstLine="360"/>
        <w:jc w:val="both"/>
      </w:pPr>
      <w:r>
        <w:rPr/>
        <w:t>公司同步致力于不断开拓基于</w:t>
      </w:r>
      <w:r>
        <w:rPr>
          <w:rFonts w:ascii="Times New Roman" w:hAnsi="Times New Roman" w:cs="Times New Roman" w:eastAsia="Times New Roman" w:hint="default"/>
        </w:rPr>
        <w:t>AWS</w:t>
      </w:r>
      <w:r>
        <w:rPr/>
        <w:t>云服务的各项增值服务。报告期内，子公司光环有云继续为用户提供以亚马逊公有 云为核心的咨询、部署、迁移、运维托管等基于云计算的增值服务。子公司光环云数据专注于</w:t>
      </w:r>
      <w:r>
        <w:rPr>
          <w:rFonts w:ascii="Times New Roman" w:hAnsi="Times New Roman" w:cs="Times New Roman" w:eastAsia="Times New Roman" w:hint="default"/>
        </w:rPr>
        <w:t>AWS</w:t>
      </w:r>
      <w:r>
        <w:rPr/>
        <w:t>云服务在中国的市场推</w:t>
      </w:r>
      <w:r>
        <w:rPr>
          <w:spacing w:val="-37"/>
        </w:rPr>
        <w:t> </w:t>
      </w:r>
      <w:r>
        <w:rPr>
          <w:spacing w:val="-37"/>
        </w:rPr>
      </w:r>
      <w:r>
        <w:rPr/>
        <w:t>广与销售、完善和提升网络交付与服务能力、丰富</w:t>
      </w:r>
      <w:r>
        <w:rPr>
          <w:rFonts w:ascii="Times New Roman" w:hAnsi="Times New Roman" w:cs="Times New Roman" w:eastAsia="Times New Roman" w:hint="default"/>
        </w:rPr>
        <w:t>AWS</w:t>
      </w:r>
      <w:r>
        <w:rPr/>
        <w:t>云服务应用市场，以建设和运营光环云网为基础，通过光环云赋能</w:t>
      </w:r>
      <w:r>
        <w:rPr>
          <w:spacing w:val="-40"/>
        </w:rPr>
        <w:t> </w:t>
      </w:r>
      <w:r>
        <w:rPr>
          <w:spacing w:val="-40"/>
        </w:rPr>
      </w:r>
      <w:r>
        <w:rPr>
          <w:spacing w:val="-2"/>
        </w:rPr>
        <w:t>平台，为广大用户、渠道与生态合作伙伴提供一站式、端到端、全周期云服务的推广、交付与客户支持，为中国企业全面实</w:t>
      </w:r>
      <w:r>
        <w:rPr>
          <w:spacing w:val="-68"/>
        </w:rPr>
        <w:t> </w:t>
      </w:r>
      <w:r>
        <w:rPr>
          <w:spacing w:val="-68"/>
        </w:rPr>
      </w:r>
      <w:r>
        <w:rPr>
          <w:spacing w:val="-2"/>
        </w:rPr>
        <w:t>现云转型升级、供给侧改革和双创事业提供下一代</w:t>
      </w:r>
      <w:r>
        <w:rPr>
          <w:rFonts w:ascii="Times New Roman" w:hAnsi="Times New Roman" w:cs="Times New Roman" w:eastAsia="Times New Roman" w:hint="default"/>
          <w:spacing w:val="-2"/>
        </w:rPr>
        <w:t>IT</w:t>
      </w:r>
      <w:r>
        <w:rPr>
          <w:spacing w:val="-2"/>
        </w:rPr>
        <w:t>基础设施，进一步提升了公司在云计算增值业务方面的服务能力和市场</w:t>
      </w:r>
      <w:r>
        <w:rPr>
          <w:spacing w:val="-51"/>
        </w:rPr>
        <w:t> </w:t>
      </w:r>
      <w:r>
        <w:rPr>
          <w:spacing w:val="-51"/>
        </w:rPr>
      </w:r>
      <w:r>
        <w:rPr/>
        <w:t>竞争力。</w:t>
      </w:r>
    </w:p>
    <w:p>
      <w:pPr>
        <w:pStyle w:val="BodyText"/>
        <w:spacing w:line="300" w:lineRule="auto" w:before="28"/>
        <w:ind w:right="1132" w:firstLine="360"/>
        <w:jc w:val="both"/>
      </w:pPr>
      <w:r>
        <w:rPr>
          <w:spacing w:val="-2"/>
        </w:rPr>
        <w:t>子公司无双科技提供搜索广告的数据监测、效果评估、智能投放的</w:t>
      </w:r>
      <w:r>
        <w:rPr>
          <w:rFonts w:ascii="Times New Roman" w:hAnsi="Times New Roman" w:cs="Times New Roman" w:eastAsia="Times New Roman" w:hint="default"/>
          <w:spacing w:val="-2"/>
        </w:rPr>
        <w:t>SaaS</w:t>
      </w:r>
      <w:r>
        <w:rPr>
          <w:spacing w:val="-2"/>
        </w:rPr>
        <w:t>服务，帮助客户提升搜索营销领域的竞争力，使</w:t>
      </w:r>
      <w:r>
        <w:rPr/>
        <w:t> 得客户的搜索投放涉及更多元化的形式和更完善的多媒体组合、获得更全面的效果提升。</w:t>
      </w:r>
    </w:p>
    <w:p>
      <w:pPr>
        <w:pStyle w:val="BodyText"/>
        <w:spacing w:line="316" w:lineRule="auto" w:before="31"/>
        <w:ind w:right="1134" w:firstLine="360"/>
        <w:jc w:val="both"/>
      </w:pPr>
      <w:r>
        <w:rPr>
          <w:spacing w:val="-2"/>
        </w:rPr>
        <w:t>公司持续推进云计算业务拓展，努力打造更为便捷、高效、安全、可信赖的企业级云服务，为广大客户提供高标准、高</w:t>
      </w:r>
      <w:r>
        <w:rPr/>
        <w:t> 性能、全连接的云计算综合解决方案，携手各方用户和合作伙伴，共同推动中国云计算发展。</w:t>
      </w:r>
    </w:p>
    <w:p>
      <w:pPr>
        <w:spacing w:line="240" w:lineRule="auto" w:before="11"/>
        <w:rPr>
          <w:rFonts w:ascii="宋体" w:hAnsi="宋体" w:cs="宋体" w:eastAsia="宋体" w:hint="default"/>
          <w:sz w:val="20"/>
          <w:szCs w:val="20"/>
        </w:rPr>
      </w:pPr>
    </w:p>
    <w:p>
      <w:pPr>
        <w:pStyle w:val="Heading2"/>
        <w:spacing w:line="240" w:lineRule="auto"/>
        <w:ind w:right="3827"/>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66"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报告期内，其他应收款较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78.48%</w:t>
            </w:r>
            <w:r>
              <w:rPr>
                <w:rFonts w:ascii="宋体" w:hAnsi="宋体" w:cs="宋体" w:eastAsia="宋体" w:hint="default"/>
                <w:sz w:val="18"/>
                <w:szCs w:val="18"/>
              </w:rPr>
              <w:t>，主要原因为支付的保证金 增加。</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报告期内，递延所得税资产较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83.39%</w:t>
            </w:r>
            <w:r>
              <w:rPr>
                <w:rFonts w:ascii="宋体" w:hAnsi="宋体" w:cs="宋体" w:eastAsia="宋体" w:hint="default"/>
                <w:sz w:val="18"/>
                <w:szCs w:val="18"/>
              </w:rPr>
              <w:t>，主要原因为子公司无 双科技企业所得税税率变化。</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报告期内，交易性金融资产较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44.60%</w:t>
            </w:r>
            <w:r>
              <w:rPr>
                <w:rFonts w:ascii="宋体" w:hAnsi="宋体" w:cs="宋体" w:eastAsia="宋体" w:hint="default"/>
                <w:sz w:val="18"/>
                <w:szCs w:val="18"/>
              </w:rPr>
              <w:t>，主要原因是银行理财 产品余额减少。</w:t>
            </w:r>
          </w:p>
        </w:tc>
      </w:tr>
    </w:tbl>
    <w:p>
      <w:pPr>
        <w:spacing w:after="0" w:line="29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028"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报告期内，其他权益工具投资较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37.64%</w:t>
            </w:r>
            <w:r>
              <w:rPr>
                <w:rFonts w:ascii="宋体" w:hAnsi="宋体" w:cs="宋体" w:eastAsia="宋体" w:hint="default"/>
                <w:sz w:val="18"/>
                <w:szCs w:val="18"/>
              </w:rPr>
              <w:t>，主要原因为报告期 </w:t>
            </w:r>
            <w:r>
              <w:rPr>
                <w:rFonts w:ascii="宋体" w:hAnsi="宋体" w:cs="宋体" w:eastAsia="宋体" w:hint="default"/>
                <w:spacing w:val="-1"/>
                <w:sz w:val="18"/>
                <w:szCs w:val="18"/>
              </w:rPr>
              <w:t>处置对天津新动金鼎万众体育资产管理合伙企业（有限合伙）和上海开域信息科技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有限公司的投资。</w:t>
            </w:r>
          </w:p>
        </w:tc>
      </w:tr>
    </w:tbl>
    <w:p>
      <w:pPr>
        <w:spacing w:line="240" w:lineRule="auto" w:before="3"/>
        <w:rPr>
          <w:rFonts w:ascii="宋体" w:hAnsi="宋体" w:cs="宋体" w:eastAsia="宋体" w:hint="default"/>
          <w:b/>
          <w:bCs/>
          <w:sz w:val="19"/>
          <w:szCs w:val="19"/>
        </w:rPr>
      </w:pPr>
    </w:p>
    <w:p>
      <w:pPr>
        <w:pStyle w:val="Heading3"/>
        <w:spacing w:line="240" w:lineRule="auto" w:before="36"/>
        <w:ind w:right="3827"/>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公司在不断发展和积累中形成了自己的核心竞争力，始终致力于以先进技术、优质资源和高品质服务推动业务发展，为</w:t>
      </w:r>
      <w:r>
        <w:rPr/>
        <w:t> 用户提供高速、稳定、安全的互联网环境，聚拢优质资源和技术，不断提升竞争能力和市场影响力。</w:t>
      </w:r>
    </w:p>
    <w:p>
      <w:pPr>
        <w:pStyle w:val="BodyText"/>
        <w:spacing w:line="300" w:lineRule="auto" w:before="19"/>
        <w:ind w:left="513" w:right="1133"/>
        <w:jc w:val="left"/>
      </w:pPr>
      <w:r>
        <w:rPr>
          <w:rFonts w:ascii="Times New Roman" w:hAnsi="Times New Roman" w:cs="Times New Roman" w:eastAsia="Times New Roman" w:hint="default"/>
        </w:rPr>
        <w:t>1</w:t>
      </w:r>
      <w:r>
        <w:rPr/>
        <w:t>、数据中心资源优势 公司积极推进</w:t>
      </w:r>
      <w:r>
        <w:rPr>
          <w:rFonts w:ascii="Times New Roman" w:hAnsi="Times New Roman" w:cs="Times New Roman" w:eastAsia="Times New Roman" w:hint="default"/>
        </w:rPr>
        <w:t>IDC</w:t>
      </w:r>
      <w:r>
        <w:rPr/>
        <w:t>业务战略布局，截至报告期末，京津冀地区和长三角地区的</w:t>
      </w:r>
      <w:r>
        <w:rPr>
          <w:rFonts w:ascii="Times New Roman" w:hAnsi="Times New Roman" w:cs="Times New Roman" w:eastAsia="Times New Roman" w:hint="default"/>
        </w:rPr>
        <w:t>IDC</w:t>
      </w:r>
      <w:r>
        <w:rPr/>
        <w:t>业务布局已初步完成。公司在北京、</w:t>
      </w:r>
    </w:p>
    <w:p>
      <w:pPr>
        <w:pStyle w:val="BodyText"/>
        <w:spacing w:line="312" w:lineRule="auto" w:before="13"/>
        <w:ind w:right="986"/>
        <w:jc w:val="left"/>
      </w:pPr>
      <w:r>
        <w:rPr/>
        <w:t>上海及其周边地区拥有多处高品质数据中心，可供运营的机柜超过</w:t>
      </w:r>
      <w:r>
        <w:rPr>
          <w:rFonts w:ascii="Times New Roman" w:hAnsi="Times New Roman" w:cs="Times New Roman" w:eastAsia="Times New Roman" w:hint="default"/>
        </w:rPr>
        <w:t>3.6</w:t>
      </w:r>
      <w:r>
        <w:rPr/>
        <w:t>万个。报告期内，北京房山一期数据中心逐步投产， </w:t>
      </w:r>
      <w:r>
        <w:rPr>
          <w:spacing w:val="-2"/>
        </w:rPr>
        <w:t>进一步扩大了公司在北京地区数据中心服务规模。北京房山二期数据中心及河北燕郊新扩建数据中心项目的实施将拓展京津</w:t>
      </w:r>
      <w:r>
        <w:rPr>
          <w:spacing w:val="-63"/>
        </w:rPr>
        <w:t> </w:t>
      </w:r>
      <w:r>
        <w:rPr>
          <w:spacing w:val="-63"/>
        </w:rPr>
      </w:r>
      <w:r>
        <w:rPr>
          <w:spacing w:val="-4"/>
        </w:rPr>
        <w:t>冀地区的数据中心服务能力。上海嘉定二期项目和江苏昆山数据中心项目的先后启动，将增强公司在长三角地区的竞争实力，</w:t>
      </w:r>
      <w:r>
        <w:rPr>
          <w:spacing w:val="-44"/>
        </w:rPr>
        <w:t> </w:t>
      </w:r>
      <w:r>
        <w:rPr>
          <w:spacing w:val="-44"/>
        </w:rPr>
      </w:r>
      <w:r>
        <w:rPr/>
        <w:t>上述各项目达产后，公司将拥有约</w:t>
      </w:r>
      <w:r>
        <w:rPr>
          <w:rFonts w:ascii="Times New Roman" w:hAnsi="Times New Roman" w:cs="Times New Roman" w:eastAsia="Times New Roman" w:hint="default"/>
        </w:rPr>
        <w:t>10</w:t>
      </w:r>
      <w:r>
        <w:rPr/>
        <w:t>万个机柜的服务能力，数据中心资源优势明显。</w:t>
      </w:r>
    </w:p>
    <w:p>
      <w:pPr>
        <w:pStyle w:val="BodyText"/>
        <w:spacing w:line="240" w:lineRule="auto" w:before="3"/>
        <w:ind w:left="513" w:right="3827"/>
        <w:jc w:val="left"/>
      </w:pPr>
      <w:r>
        <w:rPr>
          <w:rFonts w:ascii="Times New Roman" w:hAnsi="Times New Roman" w:cs="Times New Roman" w:eastAsia="Times New Roman" w:hint="default"/>
        </w:rPr>
        <w:t>2</w:t>
      </w:r>
      <w:r>
        <w:rPr/>
        <w:t>、技术服务创新优势</w:t>
      </w:r>
    </w:p>
    <w:p>
      <w:pPr>
        <w:pStyle w:val="BodyText"/>
        <w:spacing w:line="300" w:lineRule="auto" w:before="63"/>
        <w:ind w:left="513" w:right="1112"/>
        <w:jc w:val="left"/>
      </w:pPr>
      <w:r>
        <w:rPr/>
        <w:t>（</w:t>
      </w:r>
      <w:r>
        <w:rPr>
          <w:rFonts w:ascii="Times New Roman" w:hAnsi="Times New Roman" w:cs="Times New Roman" w:eastAsia="Times New Roman" w:hint="default"/>
        </w:rPr>
        <w:t>1</w:t>
      </w:r>
      <w:r>
        <w:rPr/>
        <w:t>）数据中心运营技术服务优势 </w:t>
      </w:r>
      <w:r>
        <w:rPr>
          <w:spacing w:val="-2"/>
        </w:rPr>
        <w:t>公司在数据中心日常运营工作中，始终倡导低碳运营，节能减排，提升运行效率。报告期内，公司持续推进各数据中心</w:t>
      </w:r>
    </w:p>
    <w:p>
      <w:pPr>
        <w:pStyle w:val="BodyText"/>
        <w:spacing w:line="316" w:lineRule="auto" w:before="31"/>
        <w:ind w:right="1130"/>
        <w:jc w:val="both"/>
      </w:pPr>
      <w:r>
        <w:rPr>
          <w:spacing w:val="-2"/>
        </w:rPr>
        <w:t>绿色节能改造项目，完善机柜区域的气流组织管理、完成制冷设备的变频改造，并通过蓄冷调峰、冷冻水温度调节、水源热</w:t>
      </w:r>
      <w:r>
        <w:rPr>
          <w:spacing w:val="-67"/>
        </w:rPr>
        <w:t> </w:t>
      </w:r>
      <w:r>
        <w:rPr>
          <w:spacing w:val="-67"/>
        </w:rPr>
      </w:r>
      <w:r>
        <w:rPr>
          <w:spacing w:val="-2"/>
        </w:rPr>
        <w:t>泵余热回收等措施实现节能降耗。公司在部分数据中心开展试点，以天然气发电并通过余热回收提供制冷、供热的三联供系</w:t>
      </w:r>
      <w:r>
        <w:rPr>
          <w:spacing w:val="-63"/>
        </w:rPr>
        <w:t> </w:t>
      </w:r>
      <w:r>
        <w:rPr>
          <w:spacing w:val="-63"/>
        </w:rPr>
      </w:r>
      <w:r>
        <w:rPr/>
        <w:t>统供能，以此大大提高整个系统的一次能源利用率，实现了能源的梯级利用。</w:t>
      </w:r>
    </w:p>
    <w:p>
      <w:pPr>
        <w:pStyle w:val="BodyText"/>
        <w:spacing w:line="316" w:lineRule="auto" w:before="19"/>
        <w:ind w:right="1130" w:firstLine="360"/>
        <w:jc w:val="both"/>
      </w:pPr>
      <w:r>
        <w:rPr>
          <w:spacing w:val="-2"/>
        </w:rPr>
        <w:t>中金云网亦庄数据中心实施一期空调加装优化变频器、二期水冷系统群控及末端优化、二期照明系统节能改造控制共三</w:t>
      </w:r>
      <w:r>
        <w:rPr/>
        <w:t> </w:t>
      </w:r>
      <w:r>
        <w:rPr>
          <w:spacing w:val="-2"/>
        </w:rPr>
        <w:t>项节能改造工作。中金云网还与专业节能管理公司进行合作，共同实施中金云网园区一揽子节能改造工程，第一期改造工程</w:t>
      </w:r>
      <w:r>
        <w:rPr>
          <w:spacing w:val="-63"/>
        </w:rPr>
        <w:t> </w:t>
      </w:r>
      <w:r>
        <w:rPr>
          <w:spacing w:val="-63"/>
        </w:rPr>
      </w:r>
      <w:r>
        <w:rPr/>
        <w:t>于年内已初见成效。</w:t>
      </w:r>
    </w:p>
    <w:p>
      <w:pPr>
        <w:pStyle w:val="BodyText"/>
        <w:spacing w:line="316" w:lineRule="auto" w:before="19"/>
        <w:ind w:right="1034" w:firstLine="360"/>
        <w:jc w:val="left"/>
      </w:pPr>
      <w:r>
        <w:rPr>
          <w:spacing w:val="-2"/>
        </w:rPr>
        <w:t>数据中心节能精细化管理在数据中心日常运营中具有非常重要的意义，公司将节能减排作为一项长期、重要的工作在各</w:t>
      </w:r>
      <w:r>
        <w:rPr/>
        <w:t> 数据中心持续开展，并通过不断研发创新，进一步节约数据中心电资源及水资源的损耗，降低数据中心运营成本。在未来，</w:t>
      </w:r>
      <w:r>
        <w:rPr>
          <w:spacing w:val="-86"/>
        </w:rPr>
        <w:t> </w:t>
      </w:r>
      <w:r>
        <w:rPr>
          <w:spacing w:val="-86"/>
        </w:rPr>
      </w:r>
      <w:r>
        <w:rPr>
          <w:spacing w:val="-2"/>
        </w:rPr>
        <w:t>公司将随时掌控国内与国际数据中心的节能新动向、新技术，结合公司自身的发展方向将新技术运用到数据中心当中去，打</w:t>
      </w:r>
      <w:r>
        <w:rPr>
          <w:spacing w:val="-63"/>
        </w:rPr>
        <w:t> </w:t>
      </w:r>
      <w:r>
        <w:rPr>
          <w:spacing w:val="-63"/>
        </w:rPr>
      </w:r>
      <w:r>
        <w:rPr/>
        <w:t>造节能型数据中心。</w:t>
      </w:r>
    </w:p>
    <w:p>
      <w:pPr>
        <w:pStyle w:val="BodyText"/>
        <w:spacing w:line="314" w:lineRule="auto" w:before="19"/>
        <w:ind w:right="1129" w:firstLine="360"/>
        <w:jc w:val="both"/>
      </w:pPr>
      <w:r>
        <w:rPr>
          <w:spacing w:val="-2"/>
        </w:rPr>
        <w:t>报告期内，公司在数据中心运营优化管理、自动化运维、混合云计算应用、网络安全防护等领域持续研发，完成网络监</w:t>
      </w:r>
      <w:r>
        <w:rPr/>
        <w:t> </w:t>
      </w:r>
      <w:r>
        <w:rPr>
          <w:spacing w:val="-2"/>
        </w:rPr>
        <w:t>控管理平台的建设和完善，提升了自动化运维的效率，增强了运维管理水平；完成网络攻击防护系统的升级，进一步加强了</w:t>
      </w:r>
      <w:r>
        <w:rPr>
          <w:spacing w:val="-64"/>
        </w:rPr>
        <w:t> </w:t>
      </w:r>
      <w:r>
        <w:rPr>
          <w:spacing w:val="-64"/>
        </w:rPr>
      </w:r>
      <w:r>
        <w:rPr>
          <w:spacing w:val="-1"/>
        </w:rPr>
        <w:t>网络防护能力，确保客户业务的连续性；完成</w:t>
      </w:r>
      <w:r>
        <w:rPr>
          <w:rFonts w:ascii="Times New Roman" w:hAnsi="Times New Roman" w:cs="Times New Roman" w:eastAsia="Times New Roman" w:hint="default"/>
          <w:spacing w:val="-1"/>
        </w:rPr>
        <w:t>IPv6</w:t>
      </w:r>
      <w:r>
        <w:rPr>
          <w:spacing w:val="-1"/>
        </w:rPr>
        <w:t>系统平台的建设，紧跟国家</w:t>
      </w:r>
      <w:r>
        <w:rPr>
          <w:rFonts w:ascii="Times New Roman" w:hAnsi="Times New Roman" w:cs="Times New Roman" w:eastAsia="Times New Roman" w:hint="default"/>
          <w:spacing w:val="-1"/>
        </w:rPr>
        <w:t>IPv6</w:t>
      </w:r>
      <w:r>
        <w:rPr>
          <w:spacing w:val="-1"/>
        </w:rPr>
        <w:t>规模推进部署的节奏，满足客户对</w:t>
      </w:r>
      <w:r>
        <w:rPr>
          <w:rFonts w:ascii="Times New Roman" w:hAnsi="Times New Roman" w:cs="Times New Roman" w:eastAsia="Times New Roman" w:hint="default"/>
          <w:spacing w:val="-1"/>
        </w:rPr>
        <w:t>IPv6</w:t>
      </w:r>
      <w:r>
        <w:rPr>
          <w:spacing w:val="-1"/>
        </w:rPr>
        <w:t>业</w:t>
      </w:r>
      <w:r>
        <w:rPr>
          <w:spacing w:val="-62"/>
        </w:rPr>
        <w:t> </w:t>
      </w:r>
      <w:r>
        <w:rPr>
          <w:spacing w:val="-2"/>
        </w:rPr>
        <w:t>务接入的需求；完成多云混合平台的建设，为客户提供多种混合云解决方案，实现一站式便捷上云，满足客户多样的混合云</w:t>
      </w:r>
      <w:r>
        <w:rPr>
          <w:spacing w:val="-65"/>
        </w:rPr>
        <w:t> </w:t>
      </w:r>
      <w:r>
        <w:rPr>
          <w:spacing w:val="-65"/>
        </w:rPr>
      </w:r>
      <w:r>
        <w:rPr>
          <w:spacing w:val="-2"/>
        </w:rPr>
        <w:t>需求；完成数据中心运维管理的相关研发，提升了数据中心运营管理的效率。公司将继续在互联网安全、云安全、混合云应</w:t>
      </w:r>
      <w:r>
        <w:rPr>
          <w:spacing w:val="-67"/>
        </w:rPr>
        <w:t> </w:t>
      </w:r>
      <w:r>
        <w:rPr>
          <w:spacing w:val="-67"/>
        </w:rPr>
      </w:r>
      <w:r>
        <w:rPr/>
        <w:t>用、数据中心高效运维等领域进行研发，满足客户多方面的业务需求。</w:t>
      </w:r>
    </w:p>
    <w:p>
      <w:pPr>
        <w:pStyle w:val="BodyText"/>
        <w:spacing w:line="300" w:lineRule="auto" w:before="20"/>
        <w:ind w:left="513" w:right="1112"/>
        <w:jc w:val="left"/>
      </w:pPr>
      <w:r>
        <w:rPr/>
        <w:t>（</w:t>
      </w:r>
      <w:r>
        <w:rPr>
          <w:rFonts w:ascii="Times New Roman" w:hAnsi="Times New Roman" w:cs="Times New Roman" w:eastAsia="Times New Roman" w:hint="default"/>
        </w:rPr>
        <w:t>2</w:t>
      </w:r>
      <w:r>
        <w:rPr/>
        <w:t>）云计算服务技术创新优势 </w:t>
      </w:r>
      <w:r>
        <w:rPr>
          <w:spacing w:val="-1"/>
        </w:rPr>
        <w:t>为进一步提高云计算业务的综合竞争力，公司致力于基于</w:t>
      </w:r>
      <w:r>
        <w:rPr>
          <w:rFonts w:ascii="Times New Roman" w:hAnsi="Times New Roman" w:cs="Times New Roman" w:eastAsia="Times New Roman" w:hint="default"/>
          <w:spacing w:val="-1"/>
        </w:rPr>
        <w:t>AWS</w:t>
      </w:r>
      <w:r>
        <w:rPr>
          <w:spacing w:val="-1"/>
        </w:rPr>
        <w:t>云服务的各项增值服务的研发与推广。子公司光环有云</w:t>
      </w:r>
    </w:p>
    <w:p>
      <w:pPr>
        <w:pStyle w:val="BodyText"/>
        <w:spacing w:line="304" w:lineRule="auto" w:before="13"/>
        <w:ind w:right="1112"/>
        <w:jc w:val="left"/>
      </w:pPr>
      <w:r>
        <w:rPr/>
        <w:t>自成立以来，一直专注并深耕于提供</w:t>
      </w:r>
      <w:r>
        <w:rPr>
          <w:rFonts w:ascii="Times New Roman" w:hAnsi="Times New Roman" w:cs="Times New Roman" w:eastAsia="Times New Roman" w:hint="default"/>
        </w:rPr>
        <w:t>AWS</w:t>
      </w:r>
      <w:r>
        <w:rPr/>
        <w:t>的专业顾问咨询服务与技术支持。报告期内，光环有云结合多年</w:t>
      </w:r>
      <w:r>
        <w:rPr>
          <w:rFonts w:ascii="Times New Roman" w:hAnsi="Times New Roman" w:cs="Times New Roman" w:eastAsia="Times New Roman" w:hint="default"/>
        </w:rPr>
        <w:t>AWS</w:t>
      </w:r>
      <w:r>
        <w:rPr/>
        <w:t>运维管理经 </w:t>
      </w:r>
      <w:r>
        <w:rPr>
          <w:spacing w:val="-1"/>
        </w:rPr>
        <w:t>验，成功自主研发了</w:t>
      </w:r>
      <w:r>
        <w:rPr>
          <w:rFonts w:ascii="Times New Roman" w:hAnsi="Times New Roman" w:cs="Times New Roman" w:eastAsia="Times New Roman" w:hint="default"/>
          <w:spacing w:val="-1"/>
        </w:rPr>
        <w:t>AWS</w:t>
      </w:r>
      <w:r>
        <w:rPr>
          <w:spacing w:val="-1"/>
        </w:rPr>
        <w:t>云管平台</w:t>
      </w:r>
      <w:r>
        <w:rPr>
          <w:rFonts w:ascii="Times New Roman" w:hAnsi="Times New Roman" w:cs="Times New Roman" w:eastAsia="Times New Roman" w:hint="default"/>
          <w:spacing w:val="-1"/>
        </w:rPr>
        <w:t>OPSGenius</w:t>
      </w:r>
      <w:r>
        <w:rPr>
          <w:spacing w:val="-1"/>
        </w:rPr>
        <w:t>，实现了基于</w:t>
      </w:r>
      <w:r>
        <w:rPr>
          <w:rFonts w:ascii="Times New Roman" w:hAnsi="Times New Roman" w:cs="Times New Roman" w:eastAsia="Times New Roman" w:hint="default"/>
          <w:spacing w:val="-1"/>
        </w:rPr>
        <w:t>AWS</w:t>
      </w:r>
      <w:r>
        <w:rPr>
          <w:spacing w:val="-1"/>
        </w:rPr>
        <w:t>资源的自动汇集、统一调度与管理。</w:t>
      </w:r>
      <w:r>
        <w:rPr>
          <w:rFonts w:ascii="Times New Roman" w:hAnsi="Times New Roman" w:cs="Times New Roman" w:eastAsia="Times New Roman" w:hint="default"/>
          <w:spacing w:val="-1"/>
        </w:rPr>
        <w:t>OPSGenius</w:t>
      </w:r>
      <w:r>
        <w:rPr>
          <w:spacing w:val="-1"/>
        </w:rPr>
        <w:t>不仅解决了</w:t>
      </w:r>
      <w:r>
        <w:rPr>
          <w:spacing w:val="-79"/>
        </w:rPr>
        <w:t> </w:t>
      </w:r>
      <w:r>
        <w:rPr/>
        <w:t>基于</w:t>
      </w:r>
      <w:r>
        <w:rPr>
          <w:rFonts w:ascii="Times New Roman" w:hAnsi="Times New Roman" w:cs="Times New Roman" w:eastAsia="Times New Roman" w:hint="default"/>
        </w:rPr>
        <w:t>AWS</w:t>
      </w:r>
      <w:r>
        <w:rPr/>
        <w:t>复杂账号的集中鉴权、权限定时回收、</w:t>
      </w:r>
      <w:r>
        <w:rPr>
          <w:rFonts w:ascii="Times New Roman" w:hAnsi="Times New Roman" w:cs="Times New Roman" w:eastAsia="Times New Roman" w:hint="default"/>
        </w:rPr>
        <w:t>RI</w:t>
      </w:r>
      <w:r>
        <w:rPr/>
        <w:t>到期报警、帐单分析、帐单报表、</w:t>
      </w:r>
      <w:r>
        <w:rPr>
          <w:rFonts w:ascii="Times New Roman" w:hAnsi="Times New Roman" w:cs="Times New Roman" w:eastAsia="Times New Roman" w:hint="default"/>
        </w:rPr>
        <w:t>IT</w:t>
      </w:r>
      <w:r>
        <w:rPr/>
        <w:t>资产管理、自动巡检分析、自动备 </w:t>
      </w:r>
      <w:r>
        <w:rPr>
          <w:spacing w:val="-2"/>
        </w:rPr>
        <w:t>份、异地灾备、代码模版生成器等自动运维的需求，更能联动知识库，把资源合规性做成自动化，同时提供面向业务端的资</w:t>
      </w:r>
      <w:r>
        <w:rPr>
          <w:spacing w:val="-66"/>
        </w:rPr>
        <w:t> </w:t>
      </w:r>
      <w:r>
        <w:rPr>
          <w:spacing w:val="-66"/>
        </w:rPr>
      </w:r>
      <w:r>
        <w:rPr/>
        <w:t>源价格生成器。通过该平台，大大提升了</w:t>
      </w:r>
      <w:r>
        <w:rPr>
          <w:rFonts w:ascii="Times New Roman" w:hAnsi="Times New Roman" w:cs="Times New Roman" w:eastAsia="Times New Roman" w:hint="default"/>
        </w:rPr>
        <w:t>IT</w:t>
      </w:r>
      <w:r>
        <w:rPr/>
        <w:t>人员云平台控制能力，降低了使用门槛，使</w:t>
      </w:r>
      <w:r>
        <w:rPr>
          <w:rFonts w:ascii="Times New Roman" w:hAnsi="Times New Roman" w:cs="Times New Roman" w:eastAsia="Times New Roman" w:hint="default"/>
        </w:rPr>
        <w:t>IT</w:t>
      </w:r>
      <w:r>
        <w:rPr/>
        <w:t>管理与维护更加安全和标准化。</w:t>
      </w:r>
    </w:p>
    <w:p>
      <w:pPr>
        <w:spacing w:after="0" w:line="304"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472" w:right="1131" w:firstLine="360"/>
        <w:jc w:val="both"/>
      </w:pPr>
      <w:r>
        <w:rPr/>
        <w:t>继成为</w:t>
      </w:r>
      <w:r>
        <w:rPr>
          <w:rFonts w:ascii="Times New Roman" w:hAnsi="Times New Roman" w:cs="Times New Roman" w:eastAsia="Times New Roman" w:hint="default"/>
        </w:rPr>
        <w:t>AWS</w:t>
      </w:r>
      <w:r>
        <w:rPr/>
        <w:t>全球最高等级咨询合作伙伴，获得</w:t>
      </w:r>
      <w:r>
        <w:rPr>
          <w:rFonts w:ascii="Times New Roman" w:hAnsi="Times New Roman" w:cs="Times New Roman" w:eastAsia="Times New Roman" w:hint="default"/>
        </w:rPr>
        <w:t>AWS</w:t>
      </w:r>
      <w:r>
        <w:rPr>
          <w:rFonts w:ascii="Times New Roman" w:hAnsi="Times New Roman" w:cs="Times New Roman" w:eastAsia="Times New Roman" w:hint="default"/>
          <w:spacing w:val="-10"/>
        </w:rPr>
        <w:t> </w:t>
      </w:r>
      <w:r>
        <w:rPr>
          <w:rFonts w:ascii="Times New Roman" w:hAnsi="Times New Roman" w:cs="Times New Roman" w:eastAsia="Times New Roman" w:hint="default"/>
        </w:rPr>
        <w:t>Migration</w:t>
      </w:r>
      <w:r>
        <w:rPr>
          <w:rFonts w:ascii="Times New Roman" w:hAnsi="Times New Roman" w:cs="Times New Roman" w:eastAsia="Times New Roman" w:hint="default"/>
          <w:spacing w:val="-11"/>
        </w:rPr>
        <w:t> </w:t>
      </w:r>
      <w:r>
        <w:rPr>
          <w:rFonts w:ascii="Times New Roman" w:hAnsi="Times New Roman" w:cs="Times New Roman" w:eastAsia="Times New Roman" w:hint="default"/>
        </w:rPr>
        <w:t>Competency</w:t>
      </w:r>
      <w:r>
        <w:rPr/>
        <w:t>能力认证和</w:t>
      </w:r>
      <w:r>
        <w:rPr>
          <w:rFonts w:ascii="Times New Roman" w:hAnsi="Times New Roman" w:cs="Times New Roman" w:eastAsia="Times New Roman" w:hint="default"/>
        </w:rPr>
        <w:t>AWS</w:t>
      </w:r>
      <w:r>
        <w:rPr>
          <w:rFonts w:ascii="Times New Roman" w:hAnsi="Times New Roman" w:cs="Times New Roman" w:eastAsia="Times New Roman" w:hint="default"/>
          <w:spacing w:val="-7"/>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0"/>
        </w:rPr>
        <w:t> </w:t>
      </w:r>
      <w:r>
        <w:rPr>
          <w:rFonts w:ascii="Times New Roman" w:hAnsi="Times New Roman" w:cs="Times New Roman" w:eastAsia="Times New Roman" w:hint="default"/>
        </w:rPr>
        <w:t>MSP</w:t>
      </w:r>
      <w:r>
        <w:rPr/>
        <w:t>认证后，光环有 云又获得了一项</w:t>
      </w:r>
      <w:r>
        <w:rPr>
          <w:rFonts w:ascii="Times New Roman" w:hAnsi="Times New Roman" w:cs="Times New Roman" w:eastAsia="Times New Roman" w:hint="default"/>
        </w:rPr>
        <w:t>AWS</w:t>
      </w:r>
      <w:r>
        <w:rPr/>
        <w:t>的永久资格认证</w:t>
      </w:r>
      <w:r>
        <w:rPr>
          <w:rFonts w:ascii="Times New Roman" w:hAnsi="Times New Roman" w:cs="Times New Roman" w:eastAsia="Times New Roman" w:hint="default"/>
        </w:rPr>
        <w:t>--Devops</w:t>
      </w:r>
      <w:r>
        <w:rPr>
          <w:rFonts w:ascii="Times New Roman" w:hAnsi="Times New Roman" w:cs="Times New Roman" w:eastAsia="Times New Roman" w:hint="default"/>
          <w:spacing w:val="-15"/>
        </w:rPr>
        <w:t> </w:t>
      </w:r>
      <w:r>
        <w:rPr>
          <w:rFonts w:ascii="Times New Roman" w:hAnsi="Times New Roman" w:cs="Times New Roman" w:eastAsia="Times New Roman" w:hint="default"/>
        </w:rPr>
        <w:t>Competency</w:t>
      </w:r>
      <w:r>
        <w:rPr/>
        <w:t>，该项认证的取得标志着光环有云具备为客户实施基于</w:t>
      </w:r>
      <w:r>
        <w:rPr>
          <w:rFonts w:ascii="Times New Roman" w:hAnsi="Times New Roman" w:cs="Times New Roman" w:eastAsia="Times New Roman" w:hint="default"/>
        </w:rPr>
        <w:t>AWS</w:t>
      </w:r>
      <w:r>
        <w:rPr/>
        <w:t>自动</w:t>
      </w:r>
      <w:r>
        <w:rPr>
          <w:spacing w:val="2"/>
        </w:rPr>
        <w:t> </w:t>
      </w:r>
      <w:r>
        <w:rPr>
          <w:spacing w:val="-1"/>
          <w:w w:val="99"/>
        </w:rPr>
        <w:t>化的官方能力资格。除此之外，光环有云还取得了</w:t>
      </w:r>
      <w:r>
        <w:rPr>
          <w:rFonts w:ascii="Times New Roman" w:hAnsi="Times New Roman" w:cs="Times New Roman" w:eastAsia="Times New Roman" w:hint="default"/>
          <w:spacing w:val="-1"/>
          <w:w w:val="99"/>
        </w:rPr>
        <w:t>AWS</w:t>
      </w:r>
      <w:r>
        <w:rPr>
          <w:spacing w:val="-1"/>
          <w:w w:val="99"/>
        </w:rPr>
        <w:t>中国区解决方案提供商资质（</w:t>
      </w:r>
      <w:r>
        <w:rPr>
          <w:rFonts w:ascii="Times New Roman" w:hAnsi="Times New Roman" w:cs="Times New Roman" w:eastAsia="Times New Roman" w:hint="default"/>
          <w:spacing w:val="-1"/>
          <w:w w:val="99"/>
        </w:rPr>
        <w:t>China</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Solution</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Provider</w:t>
      </w:r>
      <w:r>
        <w:rPr>
          <w:rFonts w:ascii="Times New Roman" w:hAnsi="Times New Roman" w:cs="Times New Roman" w:eastAsia="Times New Roman" w:hint="default"/>
          <w:w w:val="99"/>
        </w:rPr>
        <w:t> </w:t>
      </w:r>
      <w:r>
        <w:rPr>
          <w:rFonts w:ascii="Times New Roman" w:hAnsi="Times New Roman" w:cs="Times New Roman" w:eastAsia="Times New Roman" w:hint="default"/>
          <w:spacing w:val="-10"/>
          <w:w w:val="99"/>
        </w:rPr>
        <w:t>Program</w:t>
      </w:r>
      <w:r>
        <w:rPr>
          <w:spacing w:val="-10"/>
          <w:w w:val="99"/>
        </w:rPr>
        <w:t>），其</w:t>
      </w:r>
      <w:r>
        <w:rPr>
          <w:spacing w:val="-47"/>
          <w:w w:val="99"/>
        </w:rPr>
        <w:t> </w:t>
      </w:r>
      <w:r>
        <w:rPr>
          <w:spacing w:val="-47"/>
          <w:w w:val="99"/>
        </w:rPr>
      </w:r>
      <w:r>
        <w:rPr>
          <w:spacing w:val="-1"/>
          <w:w w:val="99"/>
        </w:rPr>
        <w:t>全资子公司光环有云（香港）网络科技有限公司取得了</w:t>
      </w:r>
      <w:r>
        <w:rPr>
          <w:rFonts w:ascii="Times New Roman" w:hAnsi="Times New Roman" w:cs="Times New Roman" w:eastAsia="Times New Roman" w:hint="default"/>
          <w:spacing w:val="-1"/>
          <w:w w:val="99"/>
        </w:rPr>
        <w:t>AWS</w:t>
      </w:r>
      <w:r>
        <w:rPr>
          <w:rFonts w:ascii="Times New Roman" w:hAnsi="Times New Roman" w:cs="Times New Roman" w:eastAsia="Times New Roman" w:hint="default"/>
          <w:spacing w:val="11"/>
          <w:w w:val="99"/>
        </w:rPr>
        <w:t> </w:t>
      </w:r>
      <w:r>
        <w:rPr>
          <w:w w:val="99"/>
        </w:rPr>
        <w:t>全球解决方案提供商资质（</w:t>
      </w:r>
      <w:r>
        <w:rPr>
          <w:rFonts w:ascii="Times New Roman" w:hAnsi="Times New Roman" w:cs="Times New Roman" w:eastAsia="Times New Roman" w:hint="default"/>
          <w:w w:val="99"/>
        </w:rPr>
        <w:t>Global</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1"/>
          <w:w w:val="99"/>
        </w:rPr>
        <w:t>Solution</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Provider</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spacing w:val="-18"/>
          <w:w w:val="99"/>
        </w:rPr>
        <w:t>Program</w:t>
      </w:r>
      <w:r>
        <w:rPr>
          <w:spacing w:val="-18"/>
          <w:w w:val="99"/>
        </w:rPr>
        <w:t>），</w:t>
      </w:r>
      <w:r>
        <w:rPr>
          <w:spacing w:val="-88"/>
          <w:w w:val="99"/>
        </w:rPr>
        <w:t> </w:t>
      </w:r>
      <w:r>
        <w:rPr/>
        <w:t>双资质认证可为中国区及全球范围内用户提供基于</w:t>
      </w:r>
      <w:r>
        <w:rPr>
          <w:spacing w:val="-30"/>
        </w:rPr>
        <w:t> </w:t>
      </w:r>
      <w:r>
        <w:rPr>
          <w:rFonts w:ascii="Times New Roman" w:hAnsi="Times New Roman" w:cs="Times New Roman" w:eastAsia="Times New Roman" w:hint="default"/>
        </w:rPr>
        <w:t>AWS</w:t>
      </w:r>
      <w:r>
        <w:rPr/>
        <w:t>的客户管理、服务和支持，进一步提升了公司在云计算增值业务方 面的服务能力和市场竞争力。</w:t>
      </w:r>
    </w:p>
    <w:p>
      <w:pPr>
        <w:pStyle w:val="BodyText"/>
        <w:spacing w:line="307" w:lineRule="auto" w:before="31"/>
        <w:ind w:left="472" w:right="1034" w:firstLine="360"/>
        <w:jc w:val="left"/>
      </w:pPr>
      <w:r>
        <w:rPr/>
        <w:t>光环云数据在成立一年半的时间内，完成了赋能平台上线，从营销体系、交付支持和生态构建三个层面不断推进</w:t>
      </w:r>
      <w:r>
        <w:rPr>
          <w:rFonts w:ascii="Times New Roman" w:hAnsi="Times New Roman" w:cs="Times New Roman" w:eastAsia="Times New Roman" w:hint="default"/>
        </w:rPr>
        <w:t>AWS</w:t>
      </w:r>
      <w:r>
        <w:rPr>
          <w:rFonts w:ascii="Times New Roman" w:hAnsi="Times New Roman" w:cs="Times New Roman" w:eastAsia="Times New Roman" w:hint="default"/>
          <w:w w:val="99"/>
        </w:rPr>
        <w:t> </w:t>
      </w:r>
      <w:r>
        <w:rPr/>
        <w:t>在华服务的推广和支持，为中国客户带来更安全稳定和高效便捷的云服务体验。光环云赋能平台搭建了多元化的营销体系，</w:t>
      </w:r>
      <w:r>
        <w:rPr>
          <w:spacing w:val="-86"/>
        </w:rPr>
        <w:t> </w:t>
      </w:r>
      <w:r>
        <w:rPr>
          <w:spacing w:val="-86"/>
        </w:rPr>
      </w:r>
      <w:r>
        <w:rPr/>
        <w:t>提供一站式、端到端、全周期云服务的推广、交付与客户支持。特别是以社群方式搭建和运营的个人渠道</w:t>
      </w:r>
      <w:r>
        <w:rPr>
          <w:rFonts w:ascii="Times New Roman" w:hAnsi="Times New Roman" w:cs="Times New Roman" w:eastAsia="Times New Roman" w:hint="default"/>
        </w:rPr>
        <w:t>——</w:t>
      </w:r>
      <w:r>
        <w:rPr/>
        <w:t>光环云极客，</w:t>
      </w:r>
      <w:r>
        <w:rPr>
          <w:spacing w:val="-85"/>
        </w:rPr>
        <w:t> </w:t>
      </w:r>
      <w:r>
        <w:rPr>
          <w:spacing w:val="-85"/>
        </w:rPr>
      </w:r>
      <w:r>
        <w:rPr>
          <w:spacing w:val="-2"/>
        </w:rPr>
        <w:t>正在形成庞大和深入的信息和服务网络，为业务快速推进和交付落地发挥巨大推力。在交付支持方面，光环云数据也初步完</w:t>
      </w:r>
      <w:r>
        <w:rPr>
          <w:spacing w:val="-63"/>
        </w:rPr>
        <w:t> </w:t>
      </w:r>
      <w:r>
        <w:rPr>
          <w:spacing w:val="-63"/>
        </w:rPr>
      </w:r>
      <w:r>
        <w:rPr/>
        <w:t>成了</w:t>
      </w:r>
      <w:r>
        <w:rPr>
          <w:rFonts w:ascii="Times New Roman" w:hAnsi="Times New Roman" w:cs="Times New Roman" w:eastAsia="Times New Roman" w:hint="default"/>
        </w:rPr>
        <w:t>AWS</w:t>
      </w:r>
      <w:r>
        <w:rPr/>
        <w:t>全线产品、光环云网、光环云学院、光环混合云以及光环云运营服务五大产品线共计</w:t>
      </w:r>
      <w:r>
        <w:rPr>
          <w:rFonts w:ascii="Times New Roman" w:hAnsi="Times New Roman" w:cs="Times New Roman" w:eastAsia="Times New Roman" w:hint="default"/>
        </w:rPr>
        <w:t>4</w:t>
      </w:r>
      <w:r>
        <w:rPr/>
        <w:t>个产品和服务的构建工作。</w:t>
      </w:r>
      <w:r>
        <w:rPr>
          <w:spacing w:val="-42"/>
        </w:rPr>
        <w:t> </w:t>
      </w:r>
      <w:r>
        <w:rPr/>
        <w:t>光环云网已于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月上线，通过光环云赋能平台提供覆盖全国主要城市的云接入与全球组网服务，为上云企业降低数据 </w:t>
      </w:r>
      <w:r>
        <w:rPr>
          <w:spacing w:val="-2"/>
        </w:rPr>
        <w:t>传输成本，提高网络安全性，享受稳定的网络性能。光环云数据为广大用户和合作伙伴打造更多基于云技术的解决方案，让</w:t>
      </w:r>
      <w:r>
        <w:rPr>
          <w:spacing w:val="-64"/>
        </w:rPr>
        <w:t> </w:t>
      </w:r>
      <w:r>
        <w:rPr>
          <w:spacing w:val="-64"/>
        </w:rPr>
      </w:r>
      <w:r>
        <w:rPr/>
        <w:t>用户能够更方便、高效地获得和使用云服务，</w:t>
      </w:r>
    </w:p>
    <w:p>
      <w:pPr>
        <w:pStyle w:val="BodyText"/>
        <w:spacing w:line="312" w:lineRule="auto" w:before="26"/>
        <w:ind w:left="472" w:right="1034" w:firstLine="360"/>
        <w:jc w:val="left"/>
      </w:pPr>
      <w:r>
        <w:rPr/>
        <w:t>报告期内，无双科技深挖最新的移动搜索营销机会，为客户提供搜索引擎投放的数据监测系统、应用统计分析平台和 </w:t>
      </w:r>
      <w:r>
        <w:rPr>
          <w:rFonts w:ascii="Times New Roman" w:hAnsi="Times New Roman" w:cs="Times New Roman" w:eastAsia="Times New Roman" w:hint="default"/>
        </w:rPr>
        <w:t>SaaS</w:t>
      </w:r>
      <w:r>
        <w:rPr/>
        <w:t>实现工具，帮助客户大幅降低新营销模式的学习成本和进入门槛。无双科技</w:t>
      </w:r>
      <w:r>
        <w:rPr>
          <w:rFonts w:ascii="Times New Roman" w:hAnsi="Times New Roman" w:cs="Times New Roman" w:eastAsia="Times New Roman" w:hint="default"/>
        </w:rPr>
        <w:t>SaaS</w:t>
      </w:r>
      <w:r>
        <w:rPr/>
        <w:t>云与搜索引擎各营销产品已完成对接， </w:t>
      </w:r>
      <w:r>
        <w:rPr>
          <w:spacing w:val="-2"/>
        </w:rPr>
        <w:t>并为各类营销产品更新与迭代提供基础架构与接口；完成了旅游客源地分析预测系统、企业营销预算自动控制系统、超级账</w:t>
      </w:r>
      <w:r>
        <w:rPr>
          <w:spacing w:val="-63"/>
        </w:rPr>
        <w:t> </w:t>
      </w:r>
      <w:r>
        <w:rPr>
          <w:spacing w:val="-63"/>
        </w:rPr>
      </w:r>
      <w:r>
        <w:rPr/>
        <w:t>户数据查询系统、微信小程序追踪平台、</w:t>
      </w:r>
      <w:r>
        <w:rPr>
          <w:rFonts w:ascii="Times New Roman" w:hAnsi="Times New Roman" w:cs="Times New Roman" w:eastAsia="Times New Roman" w:hint="default"/>
        </w:rPr>
        <w:t>AG</w:t>
      </w:r>
      <w:r>
        <w:rPr/>
        <w:t>广告监测系统、信息流广告监测平台、百度信息流广告投放平台、无双广点通 </w:t>
      </w:r>
      <w:r>
        <w:rPr>
          <w:spacing w:val="-2"/>
        </w:rPr>
        <w:t>代理商平台、无双头条搜索助手、无双头条信息流广告平台、无双信息流素材库平台、无双应用市场榜单系统、无双微信公</w:t>
      </w:r>
      <w:r>
        <w:rPr>
          <w:spacing w:val="-67"/>
        </w:rPr>
        <w:t> </w:t>
      </w:r>
      <w:r>
        <w:rPr>
          <w:spacing w:val="-67"/>
        </w:rPr>
      </w:r>
      <w:r>
        <w:rPr/>
        <w:t>众号运营系统的研发和建立，预计未来对运营效率和客户体验有较大幅度的提升。</w:t>
      </w:r>
    </w:p>
    <w:p>
      <w:pPr>
        <w:pStyle w:val="BodyText"/>
        <w:spacing w:line="240" w:lineRule="auto" w:before="22"/>
        <w:ind w:left="833" w:right="1034"/>
        <w:jc w:val="left"/>
      </w:pPr>
      <w:r>
        <w:rPr/>
        <w:t>（</w:t>
      </w:r>
      <w:r>
        <w:rPr>
          <w:rFonts w:ascii="Times New Roman" w:hAnsi="Times New Roman" w:cs="Times New Roman" w:eastAsia="Times New Roman" w:hint="default"/>
        </w:rPr>
        <w:t>3</w:t>
      </w:r>
      <w:r>
        <w:rPr/>
        <w:t>）报告期内公司及子公司取得的软件著作权情况如下：</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379"/>
        <w:gridCol w:w="1035"/>
        <w:gridCol w:w="4395"/>
        <w:gridCol w:w="1416"/>
        <w:gridCol w:w="1985"/>
        <w:gridCol w:w="1162"/>
      </w:tblGrid>
      <w:tr>
        <w:trPr>
          <w:trHeight w:val="734"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80"/>
              <w:jc w:val="left"/>
              <w:rPr>
                <w:rFonts w:ascii="宋体" w:hAnsi="宋体" w:cs="宋体" w:eastAsia="宋体" w:hint="default"/>
                <w:sz w:val="18"/>
                <w:szCs w:val="18"/>
              </w:rPr>
            </w:pPr>
            <w:r>
              <w:rPr>
                <w:rFonts w:ascii="宋体" w:hAnsi="宋体" w:cs="宋体" w:eastAsia="宋体" w:hint="default"/>
                <w:sz w:val="18"/>
                <w:szCs w:val="18"/>
              </w:rPr>
              <w:t>序 号</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所属公司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软件名称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登记号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证件号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证书取得日期</w:t>
            </w:r>
          </w:p>
        </w:tc>
      </w:tr>
      <w:tr>
        <w:trPr>
          <w:trHeight w:val="423"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SDN </w:t>
            </w:r>
            <w:r>
              <w:rPr>
                <w:rFonts w:ascii="宋体" w:hAnsi="宋体" w:cs="宋体" w:eastAsia="宋体" w:hint="default"/>
                <w:sz w:val="18"/>
                <w:szCs w:val="18"/>
              </w:rPr>
              <w:t>网络租户隔离系统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2019SR1329828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4750585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SDN </w:t>
            </w:r>
            <w:r>
              <w:rPr>
                <w:rFonts w:ascii="宋体" w:hAnsi="宋体" w:cs="宋体" w:eastAsia="宋体" w:hint="default"/>
                <w:sz w:val="18"/>
                <w:szCs w:val="18"/>
              </w:rPr>
              <w:t>直连网络平台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2019SR1331429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4752186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z w:val="18"/>
                <w:szCs w:val="18"/>
              </w:rPr>
              <w:t> </w:t>
            </w:r>
            <w:r>
              <w:rPr>
                <w:rFonts w:ascii="宋体" w:hAnsi="宋体" w:cs="宋体" w:eastAsia="宋体" w:hint="default"/>
                <w:sz w:val="18"/>
                <w:szCs w:val="18"/>
              </w:rPr>
              <w:t>的文件同步系统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2019SR1329427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4750184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的数据冷备份应用系统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2019SR1331449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4752206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openstack </w:t>
            </w:r>
            <w:r>
              <w:rPr>
                <w:rFonts w:ascii="宋体" w:hAnsi="宋体" w:cs="宋体" w:eastAsia="宋体" w:hint="default"/>
                <w:sz w:val="18"/>
                <w:szCs w:val="18"/>
              </w:rPr>
              <w:t>的混合云配置管理系统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2019SR1329367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4750124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openstack </w:t>
            </w:r>
            <w:r>
              <w:rPr>
                <w:rFonts w:ascii="宋体" w:hAnsi="宋体" w:cs="宋体" w:eastAsia="宋体" w:hint="default"/>
                <w:sz w:val="18"/>
                <w:szCs w:val="18"/>
              </w:rPr>
              <w:t>平台镜像重发布系统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2019SR1331499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4752256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基于流量分析的性能管理平台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2019SR1333638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4754395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IPv6 </w:t>
            </w:r>
            <w:r>
              <w:rPr>
                <w:rFonts w:ascii="宋体" w:hAnsi="宋体" w:cs="宋体" w:eastAsia="宋体" w:hint="default"/>
                <w:sz w:val="18"/>
                <w:szCs w:val="18"/>
              </w:rPr>
              <w:t>的接入网络平台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2019SR1331400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4752157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3"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基于室内温度监控调节的制冷风量精确控制系统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2019SR1331517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4752274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z w:val="18"/>
                <w:szCs w:val="18"/>
              </w:rPr>
              <w:t> </w:t>
            </w:r>
            <w:r>
              <w:rPr>
                <w:rFonts w:ascii="宋体" w:hAnsi="宋体" w:cs="宋体" w:eastAsia="宋体" w:hint="default"/>
                <w:sz w:val="18"/>
                <w:szCs w:val="18"/>
              </w:rPr>
              <w:t>的入侵检测系统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2019SR1331508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4752265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z w:val="18"/>
                <w:szCs w:val="18"/>
              </w:rPr>
              <w:t> </w:t>
            </w:r>
            <w:r>
              <w:rPr>
                <w:rFonts w:ascii="宋体" w:hAnsi="宋体" w:cs="宋体" w:eastAsia="宋体" w:hint="default"/>
                <w:sz w:val="18"/>
                <w:szCs w:val="18"/>
              </w:rPr>
              <w:t>的入侵防护系统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2019SR1331489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4752246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平台的漏洞检测系统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2019SR1329357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4750114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的消息队列处理系统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2019SR1329436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4750193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2019/12/10</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光环新网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AWS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设备管理系统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2019SR1344743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4765500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2019/12/11</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基于变频设备的节能控制系统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2019SR1214536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4635293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79"/>
        <w:gridCol w:w="1035"/>
        <w:gridCol w:w="4395"/>
        <w:gridCol w:w="1416"/>
        <w:gridCol w:w="1985"/>
        <w:gridCol w:w="1162"/>
      </w:tblGrid>
      <w:tr>
        <w:trPr>
          <w:trHeight w:val="423"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云计算平台的入侵检测系统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2019SR1224118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4644875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云计算平台的对象存储系统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2019SR1214792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4635549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2019/11/26</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云计算平台的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SSL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加密系统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2019SR1221768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4642525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云计算平台的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HTTPS </w:t>
            </w:r>
            <w:r>
              <w:rPr>
                <w:rFonts w:ascii="宋体" w:hAnsi="宋体" w:cs="宋体" w:eastAsia="宋体" w:hint="default"/>
                <w:sz w:val="18"/>
                <w:szCs w:val="18"/>
              </w:rPr>
              <w:t>加密系统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2019SR1214779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4635536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2019/11/26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的云主机快照镜像系统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2019SR1233949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4654706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2019/11/29</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的云主机快照版本管理系统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2019SR1233943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4654700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2019/11/29</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的云主机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2019SR1246523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4667280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2019/11/30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的云数据库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应用系统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2019SR1220857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4641614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云计算客户认证管理系统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2019SR1246514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4667271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2019/11/30</w:t>
            </w:r>
          </w:p>
        </w:tc>
      </w:tr>
      <w:tr>
        <w:trPr>
          <w:trHeight w:val="423"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openstack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的文件备份存储系统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2019SR1220852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4641609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制冷设备运行监控大数据分析系统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2019SR1209487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4630244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2019/11/25</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制冷设备运行监控报警系统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2019SR1220844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4641601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制冷设备群控系统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2019SR1287615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4708372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2019/12/5</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制冷机组远程控制系统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2019SR1247514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4668271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2019/11/30</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微信报警平台系统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2019SR1223264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4644021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31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网络设备端口监控系统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2019SR1226914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4647671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2019/11/28</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32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环形管路旁通阀控制系统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2019SR1245481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4666238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2019/11/30</w:t>
            </w:r>
          </w:p>
        </w:tc>
      </w:tr>
      <w:tr>
        <w:trPr>
          <w:trHeight w:val="423"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光功率监控系统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2019SR1215077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4635834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服务器监控系统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2019SR1224165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4644922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电力设备监控大数据分析系统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2019SR1222507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4643264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2019/11/27</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电伴热温控系统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2019SR1236356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4657113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2019/11/29</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37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变压器运行监控系统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2019SR1236355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4657112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2019/11/29</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38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UPS </w:t>
            </w:r>
            <w:r>
              <w:rPr>
                <w:rFonts w:ascii="宋体" w:hAnsi="宋体" w:cs="宋体" w:eastAsia="宋体" w:hint="default"/>
                <w:sz w:val="18"/>
                <w:szCs w:val="18"/>
              </w:rPr>
              <w:t>运行监控系统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2019SR1245068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4665825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2019/11/30</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OSPF/BGP </w:t>
            </w:r>
            <w:r>
              <w:rPr>
                <w:rFonts w:ascii="宋体" w:hAnsi="宋体" w:cs="宋体" w:eastAsia="宋体" w:hint="default"/>
                <w:sz w:val="18"/>
                <w:szCs w:val="18"/>
              </w:rPr>
              <w:t>协议监控系统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2019SR1232806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4653563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2019/11/29</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DNS </w:t>
            </w:r>
            <w:r>
              <w:rPr>
                <w:rFonts w:ascii="宋体" w:hAnsi="宋体" w:cs="宋体" w:eastAsia="宋体" w:hint="default"/>
                <w:sz w:val="18"/>
                <w:szCs w:val="18"/>
              </w:rPr>
              <w:t>监控系统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2019SR1233116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4653873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2019/11/29</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CDN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管理云平台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2019SR0333247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3754004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2019/4/15</w:t>
            </w:r>
          </w:p>
        </w:tc>
      </w:tr>
      <w:tr>
        <w:trPr>
          <w:trHeight w:val="421"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42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SD-WAN</w:t>
            </w:r>
            <w:r>
              <w:rPr>
                <w:rFonts w:ascii="Times New Roman" w:hAnsi="Times New Roman" w:cs="Times New Roman" w:eastAsia="Times New Roman" w:hint="default"/>
                <w:sz w:val="18"/>
                <w:szCs w:val="18"/>
              </w:rPr>
              <w:t> </w:t>
            </w:r>
            <w:r>
              <w:rPr>
                <w:rFonts w:ascii="宋体" w:hAnsi="宋体" w:cs="宋体" w:eastAsia="宋体" w:hint="default"/>
                <w:sz w:val="18"/>
                <w:szCs w:val="18"/>
              </w:rPr>
              <w:t>管理服务平台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2019SR0336742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3757499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2019/4/16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43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光环云多云管理云平台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2019SR0336749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3757506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2019/4/16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44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光环云智能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Marketplace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2019SR0334082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3754839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2019/4/15</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光环云客户商机智能管理云平台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2019SR0334875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3755632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2019/4/15</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光环云服务智能计费管理平台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2019SR0333266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3754023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2019/4/15</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应用性能监控云平台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2019SR0333258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3754015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2019/4/15</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光环云智能运维云平台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2019SR0336498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3757255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2019/4/16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79"/>
        <w:gridCol w:w="1035"/>
        <w:gridCol w:w="4395"/>
        <w:gridCol w:w="1416"/>
        <w:gridCol w:w="1985"/>
        <w:gridCol w:w="1162"/>
      </w:tblGrid>
      <w:tr>
        <w:trPr>
          <w:trHeight w:val="423"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49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光环云网路智能优化云平台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2019SR0334394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3755151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2019/4/15</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光环云数据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光环云监控系统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2019SR0334725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3755482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2019/4/15</w:t>
            </w:r>
          </w:p>
        </w:tc>
      </w:tr>
      <w:tr>
        <w:trPr>
          <w:trHeight w:val="420"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原生广告管理平台系统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2019SR0182026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3602783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2019/2/26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52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AG </w:t>
            </w:r>
            <w:r>
              <w:rPr>
                <w:rFonts w:ascii="宋体" w:hAnsi="宋体" w:cs="宋体" w:eastAsia="宋体" w:hint="default"/>
                <w:sz w:val="18"/>
                <w:szCs w:val="18"/>
              </w:rPr>
              <w:t>应用统计分析平台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2019SR0182033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3602790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2019/2/26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53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AG </w:t>
            </w:r>
            <w:r>
              <w:rPr>
                <w:rFonts w:ascii="宋体" w:hAnsi="宋体" w:cs="宋体" w:eastAsia="宋体" w:hint="default"/>
                <w:sz w:val="18"/>
                <w:szCs w:val="18"/>
              </w:rPr>
              <w:t>网站推广关键词自动推荐系统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2019SR0185233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3605990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2019/2/26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AG </w:t>
            </w:r>
            <w:r>
              <w:rPr>
                <w:rFonts w:ascii="宋体" w:hAnsi="宋体" w:cs="宋体" w:eastAsia="宋体" w:hint="default"/>
                <w:sz w:val="18"/>
                <w:szCs w:val="18"/>
              </w:rPr>
              <w:t>网站影响力排名分析平台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2019SR0185225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3605982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2019/2/26</w:t>
            </w:r>
          </w:p>
        </w:tc>
      </w:tr>
      <w:tr>
        <w:trPr>
          <w:trHeight w:val="422"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无双科技</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AG </w:t>
            </w:r>
            <w:r>
              <w:rPr>
                <w:rFonts w:ascii="宋体" w:hAnsi="宋体" w:cs="宋体" w:eastAsia="宋体" w:hint="default"/>
                <w:sz w:val="18"/>
                <w:szCs w:val="18"/>
              </w:rPr>
              <w:t>第三方监测数据对接分析系统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2019SR0185230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3605987 </w:t>
            </w:r>
            <w:r>
              <w:rPr>
                <w:rFonts w:ascii="宋体" w:hAnsi="宋体" w:cs="宋体" w:eastAsia="宋体" w:hint="default"/>
                <w:sz w:val="18"/>
                <w:szCs w:val="18"/>
              </w:rPr>
              <w:t>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2019/2/26</w:t>
            </w:r>
          </w:p>
        </w:tc>
      </w:tr>
    </w:tbl>
    <w:p>
      <w:pPr>
        <w:pStyle w:val="BodyText"/>
        <w:spacing w:line="300" w:lineRule="auto" w:before="8"/>
        <w:ind w:left="833" w:right="1034"/>
        <w:jc w:val="left"/>
      </w:pPr>
      <w:r>
        <w:rPr>
          <w:rFonts w:ascii="Times New Roman" w:hAnsi="Times New Roman" w:cs="Times New Roman" w:eastAsia="Times New Roman" w:hint="default"/>
        </w:rPr>
        <w:t>3</w:t>
      </w:r>
      <w:r>
        <w:rPr/>
        <w:t>、市场及客户资源优势 </w:t>
      </w:r>
      <w:r>
        <w:rPr>
          <w:spacing w:val="-2"/>
        </w:rPr>
        <w:t>公司以高标准的服务、卓越的技术能力、丰富的大客户服务经验成为众多知名客户的服务商，凭借着优质的服务和良好</w:t>
      </w:r>
    </w:p>
    <w:p>
      <w:pPr>
        <w:pStyle w:val="BodyText"/>
        <w:spacing w:line="319" w:lineRule="auto" w:before="31"/>
        <w:ind w:left="472" w:right="1034"/>
        <w:jc w:val="left"/>
      </w:pPr>
      <w:r>
        <w:rPr>
          <w:spacing w:val="-2"/>
        </w:rPr>
        <w:t>的口碑，在行业内树立了较好的市场形象，客户认可度高，客户群体稳定性强。同时，公司不断利用资本市场优势，通过并</w:t>
      </w:r>
      <w:r>
        <w:rPr>
          <w:spacing w:val="-68"/>
        </w:rPr>
        <w:t> </w:t>
      </w:r>
      <w:r>
        <w:rPr>
          <w:spacing w:val="-68"/>
        </w:rPr>
      </w:r>
      <w:r>
        <w:rPr/>
        <w:t>购重组等方式进一步扩充企业规模，扩大业务范围，丰富客户资源，提高市场占有率，增强综合竞争力。</w:t>
      </w:r>
    </w:p>
    <w:p>
      <w:pPr>
        <w:pStyle w:val="BodyText"/>
        <w:spacing w:line="312" w:lineRule="auto" w:before="17"/>
        <w:ind w:left="472" w:right="1034" w:firstLine="360"/>
        <w:jc w:val="left"/>
      </w:pPr>
      <w:r>
        <w:rPr/>
        <w:t>子公司无双科技在</w:t>
      </w:r>
      <w:r>
        <w:rPr>
          <w:rFonts w:ascii="Times New Roman" w:hAnsi="Times New Roman" w:cs="Times New Roman" w:eastAsia="Times New Roman" w:hint="default"/>
        </w:rPr>
        <w:t>SEM</w:t>
      </w:r>
      <w:r>
        <w:rPr/>
        <w:t>业务领域已完全实现</w:t>
      </w:r>
      <w:r>
        <w:rPr>
          <w:rFonts w:ascii="Times New Roman" w:hAnsi="Times New Roman" w:cs="Times New Roman" w:eastAsia="Times New Roman" w:hint="default"/>
        </w:rPr>
        <w:t>SaaS</w:t>
      </w:r>
      <w:r>
        <w:rPr/>
        <w:t>云与搜索引擎各个营销产品的数据无缝对接，帮助客户提升搜索营销 </w:t>
      </w:r>
      <w:r>
        <w:rPr>
          <w:spacing w:val="-2"/>
        </w:rPr>
        <w:t>领域的竞争力，使得客户的搜索投放涉及更多元化的形式和更完善的多媒体组合、获得更全面的效果提升，吸引了更多细分</w:t>
      </w:r>
      <w:r>
        <w:rPr>
          <w:spacing w:val="-61"/>
        </w:rPr>
        <w:t> </w:t>
      </w:r>
      <w:r>
        <w:rPr>
          <w:spacing w:val="-61"/>
        </w:rPr>
      </w:r>
      <w:r>
        <w:rPr>
          <w:spacing w:val="-2"/>
        </w:rPr>
        <w:t>领域大型客户在更早的发展阶段与无双科技进行合作，包括目前热门的电商交易平台、旅游服务龙头企业、手机游戏、生活</w:t>
      </w:r>
      <w:r>
        <w:rPr>
          <w:spacing w:val="-64"/>
        </w:rPr>
        <w:t> </w:t>
      </w:r>
      <w:r>
        <w:rPr>
          <w:spacing w:val="-64"/>
        </w:rPr>
      </w:r>
      <w:r>
        <w:rPr/>
        <w:t>服务平台等。</w:t>
      </w:r>
    </w:p>
    <w:p>
      <w:pPr>
        <w:pStyle w:val="BodyText"/>
        <w:spacing w:line="307" w:lineRule="auto" w:before="22"/>
        <w:ind w:left="472" w:right="1034" w:firstLine="360"/>
        <w:jc w:val="left"/>
      </w:pPr>
      <w:r>
        <w:rPr>
          <w:spacing w:val="-4"/>
        </w:rPr>
        <w:t>子公司光环有云、光环云数据专注于开拓基于</w:t>
      </w:r>
      <w:r>
        <w:rPr>
          <w:rFonts w:ascii="Times New Roman" w:hAnsi="Times New Roman" w:cs="Times New Roman" w:eastAsia="Times New Roman" w:hint="default"/>
          <w:spacing w:val="-4"/>
        </w:rPr>
        <w:t>AWS</w:t>
      </w:r>
      <w:r>
        <w:rPr>
          <w:spacing w:val="-4"/>
        </w:rPr>
        <w:t>云服务的各项增值服务，提供</w:t>
      </w:r>
      <w:r>
        <w:rPr>
          <w:rFonts w:ascii="Times New Roman" w:hAnsi="Times New Roman" w:cs="Times New Roman" w:eastAsia="Times New Roman" w:hint="default"/>
          <w:spacing w:val="-4"/>
        </w:rPr>
        <w:t>AWS</w:t>
      </w:r>
      <w:r>
        <w:rPr>
          <w:spacing w:val="-4"/>
        </w:rPr>
        <w:t>的专业顾问咨询服务与技术支持，</w:t>
      </w:r>
      <w:r>
        <w:rPr/>
        <w:t> </w:t>
      </w:r>
      <w:r>
        <w:rPr>
          <w:spacing w:val="-2"/>
        </w:rPr>
        <w:t>市场推广与销售，完善和提升网络交付与服务能力等云计算业务相关服务，为客户提供更多元化的解决方案，满足客户多样</w:t>
      </w:r>
      <w:r>
        <w:rPr>
          <w:spacing w:val="-63"/>
        </w:rPr>
        <w:t> </w:t>
      </w:r>
      <w:r>
        <w:rPr>
          <w:spacing w:val="-63"/>
        </w:rPr>
      </w:r>
      <w:r>
        <w:rPr/>
        <w:t>性的业务需求，进一步提升了公司云计算业务的市场占有率。截至报告期末，光环云数据营销体系已覆盖全国</w:t>
      </w:r>
      <w:r>
        <w:rPr>
          <w:rFonts w:ascii="Times New Roman" w:hAnsi="Times New Roman" w:cs="Times New Roman" w:eastAsia="Times New Roman" w:hint="default"/>
        </w:rPr>
        <w:t>20</w:t>
      </w:r>
      <w:r>
        <w:rPr/>
        <w:t>余座城市，</w:t>
      </w:r>
      <w:r>
        <w:rPr>
          <w:spacing w:val="-85"/>
        </w:rPr>
        <w:t> </w:t>
      </w:r>
      <w:r>
        <w:rPr>
          <w:spacing w:val="-85"/>
        </w:rPr>
      </w:r>
      <w:r>
        <w:rPr/>
        <w:t>有近</w:t>
      </w:r>
      <w:r>
        <w:rPr>
          <w:rFonts w:ascii="Times New Roman" w:hAnsi="Times New Roman" w:cs="Times New Roman" w:eastAsia="Times New Roman" w:hint="default"/>
        </w:rPr>
        <w:t>600</w:t>
      </w:r>
      <w:r>
        <w:rPr/>
        <w:t>家渠道伙伴，光环云极客注册人数已超过</w:t>
      </w:r>
      <w:r>
        <w:rPr>
          <w:rFonts w:ascii="Times New Roman" w:hAnsi="Times New Roman" w:cs="Times New Roman" w:eastAsia="Times New Roman" w:hint="default"/>
        </w:rPr>
        <w:t>6,000</w:t>
      </w:r>
      <w:r>
        <w:rPr/>
        <w:t>人。</w:t>
      </w:r>
    </w:p>
    <w:p>
      <w:pPr>
        <w:pStyle w:val="BodyText"/>
        <w:spacing w:line="300" w:lineRule="auto" w:before="7"/>
        <w:ind w:left="833" w:right="1118"/>
        <w:jc w:val="left"/>
      </w:pPr>
      <w:r>
        <w:rPr>
          <w:rFonts w:ascii="Times New Roman" w:hAnsi="Times New Roman" w:cs="Times New Roman" w:eastAsia="Times New Roman" w:hint="default"/>
        </w:rPr>
        <w:t>4</w:t>
      </w:r>
      <w:r>
        <w:rPr/>
        <w:t>、管理团队及人才优势 </w:t>
      </w:r>
      <w:r>
        <w:rPr>
          <w:spacing w:val="-5"/>
        </w:rPr>
        <w:t>公司始终把人才培养作为发展战略的重要组成部分，报告期内，公司通过内部培养和外部引进，进一步扩充了管理团队，</w:t>
      </w:r>
    </w:p>
    <w:p>
      <w:pPr>
        <w:pStyle w:val="BodyText"/>
        <w:spacing w:line="316" w:lineRule="auto" w:before="32"/>
        <w:ind w:left="472" w:right="1034"/>
        <w:jc w:val="left"/>
      </w:pPr>
      <w:r>
        <w:rPr>
          <w:spacing w:val="-2"/>
        </w:rPr>
        <w:t>主要管理人员具有丰富的行业管理经验，对客户需求及产业发展具有较深的理解和较强的判断力，具有敏锐的市场嗅觉，能</w:t>
      </w:r>
      <w:r>
        <w:rPr>
          <w:spacing w:val="-63"/>
        </w:rPr>
        <w:t> </w:t>
      </w:r>
      <w:r>
        <w:rPr>
          <w:spacing w:val="-63"/>
        </w:rPr>
      </w:r>
      <w:r>
        <w:rPr/>
        <w:t>够快速的把握行业市场趋势及需求，顺应行业及政策的变化，为公司持续发展奠定了基础。</w:t>
      </w:r>
    </w:p>
    <w:p>
      <w:pPr>
        <w:pStyle w:val="BodyText"/>
        <w:spacing w:line="307" w:lineRule="auto" w:before="19"/>
        <w:ind w:left="472" w:right="1129" w:firstLine="360"/>
        <w:jc w:val="both"/>
      </w:pPr>
      <w:r>
        <w:rPr>
          <w:spacing w:val="-2"/>
        </w:rPr>
        <w:t>为了留住人才，增强核心人员和骨干员工的凝聚力，公司于</w:t>
      </w:r>
      <w:r>
        <w:rPr>
          <w:rFonts w:ascii="Times New Roman" w:hAnsi="Times New Roman" w:cs="Times New Roman" w:eastAsia="Times New Roman" w:hint="default"/>
          <w:spacing w:val="-2"/>
        </w:rPr>
        <w:t>2016</w:t>
      </w:r>
      <w:r>
        <w:rPr>
          <w:spacing w:val="-2"/>
        </w:rPr>
        <w:t>年推出了首期股票期权激励计划，本次股权激励计划共</w:t>
      </w:r>
      <w:r>
        <w:rPr/>
        <w:t> 三个行权期，截至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月首期股权激励计划已实施完毕。本次股权激励的实施进一步完善了公司治理结构，健全了公司 </w:t>
      </w:r>
      <w:r>
        <w:rPr>
          <w:spacing w:val="-2"/>
        </w:rPr>
        <w:t>激励约束机制，有效调动了管理者和重要骨干的积极性，与员工共同分享了公司发展成果，对公司长期稳定持续发展起到了</w:t>
      </w:r>
      <w:r>
        <w:rPr>
          <w:spacing w:val="-63"/>
        </w:rPr>
        <w:t> </w:t>
      </w:r>
      <w:r>
        <w:rPr>
          <w:spacing w:val="-63"/>
        </w:rPr>
      </w:r>
      <w:r>
        <w:rPr/>
        <w:t>促进作用。</w:t>
      </w:r>
    </w:p>
    <w:p>
      <w:pPr>
        <w:pStyle w:val="BodyText"/>
        <w:spacing w:line="307" w:lineRule="auto" w:before="26"/>
        <w:ind w:left="472" w:right="1132" w:firstLine="360"/>
        <w:jc w:val="both"/>
      </w:pPr>
      <w:r>
        <w:rPr>
          <w:spacing w:val="-2"/>
        </w:rPr>
        <w:t>随着公司数据中心规模的不断扩大，对运维服务水平有了更高的标准和要求，为更好地强化数据中心运维管理的专业化</w:t>
      </w:r>
      <w:r>
        <w:rPr/>
        <w:t> </w:t>
      </w:r>
      <w:r>
        <w:rPr>
          <w:spacing w:val="-2"/>
        </w:rPr>
        <w:t>服务能力，适应市场竞争的需要，</w:t>
      </w:r>
      <w:r>
        <w:rPr>
          <w:rFonts w:ascii="Times New Roman" w:hAnsi="Times New Roman" w:cs="Times New Roman" w:eastAsia="Times New Roman" w:hint="default"/>
          <w:spacing w:val="-2"/>
        </w:rPr>
        <w:t>2019</w:t>
      </w:r>
      <w:r>
        <w:rPr>
          <w:spacing w:val="-2"/>
        </w:rPr>
        <w:t>年公司通过引进高端人才，优化现有组织架构，组建了更加专业的运维管理团队。结</w:t>
      </w:r>
      <w:r>
        <w:rPr>
          <w:spacing w:val="-64"/>
        </w:rPr>
        <w:t> </w:t>
      </w:r>
      <w:r>
        <w:rPr>
          <w:spacing w:val="-64"/>
        </w:rPr>
      </w:r>
      <w:r>
        <w:rPr>
          <w:spacing w:val="-3"/>
        </w:rPr>
        <w:t>合数据中心行业发展趋势，推出了</w:t>
      </w:r>
      <w:r>
        <w:rPr>
          <w:rFonts w:ascii="Times New Roman" w:hAnsi="Times New Roman" w:cs="Times New Roman" w:eastAsia="Times New Roman" w:hint="default"/>
          <w:spacing w:val="-3"/>
        </w:rPr>
        <w:t>“</w:t>
      </w:r>
      <w:r>
        <w:rPr>
          <w:spacing w:val="-3"/>
        </w:rPr>
        <w:t>前期规划</w:t>
      </w:r>
      <w:r>
        <w:rPr>
          <w:rFonts w:ascii="Times New Roman" w:hAnsi="Times New Roman" w:cs="Times New Roman" w:eastAsia="Times New Roman" w:hint="default"/>
          <w:spacing w:val="-3"/>
        </w:rPr>
        <w:t>+</w:t>
      </w:r>
      <w:r>
        <w:rPr>
          <w:spacing w:val="-3"/>
        </w:rPr>
        <w:t>后期运维</w:t>
      </w:r>
      <w:r>
        <w:rPr>
          <w:rFonts w:ascii="Times New Roman" w:hAnsi="Times New Roman" w:cs="Times New Roman" w:eastAsia="Times New Roman" w:hint="default"/>
          <w:spacing w:val="-3"/>
        </w:rPr>
        <w:t>”</w:t>
      </w:r>
      <w:r>
        <w:rPr>
          <w:spacing w:val="-3"/>
        </w:rPr>
        <w:t>一体化的第三代数据中心运维管理模式，全力打造标准化、规范化、</w:t>
      </w:r>
      <w:r>
        <w:rPr/>
        <w:t> 流程化的运维管理体系，以更先进的运维理念，为用户提供更优质的服务。</w:t>
      </w:r>
    </w:p>
    <w:p>
      <w:pPr>
        <w:spacing w:after="0" w:line="307" w:lineRule="auto"/>
        <w:jc w:val="both"/>
        <w:sectPr>
          <w:pgSz w:w="11910" w:h="16840"/>
          <w:pgMar w:header="745" w:footer="980" w:top="1060" w:bottom="1160" w:left="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827"/>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0" w:firstLine="360"/>
        <w:jc w:val="left"/>
      </w:pPr>
      <w:r>
        <w:rPr/>
        <w:t>报告期内，公司根据发展战略及年度经营计划，积极推进各项工作，整体经营情况良好，业务持续稳定增长，主营业务 </w:t>
      </w:r>
      <w:r>
        <w:rPr>
          <w:spacing w:val="-4"/>
        </w:rPr>
        <w:t>互联网数据中心业务及云计算业务继续保持增长势头。截至报告期末，实现营业收入</w:t>
      </w:r>
      <w:r>
        <w:rPr>
          <w:rFonts w:ascii="Times New Roman" w:hAnsi="Times New Roman" w:cs="Times New Roman" w:eastAsia="Times New Roman" w:hint="default"/>
          <w:spacing w:val="-4"/>
        </w:rPr>
        <w:t>709,717.26</w:t>
      </w:r>
      <w:r>
        <w:rPr>
          <w:spacing w:val="-4"/>
        </w:rPr>
        <w:t>万元，较上年同期增长</w:t>
      </w:r>
      <w:r>
        <w:rPr>
          <w:rFonts w:ascii="Times New Roman" w:hAnsi="Times New Roman" w:cs="Times New Roman" w:eastAsia="Times New Roman" w:hint="default"/>
          <w:spacing w:val="-4"/>
        </w:rPr>
        <w:t>17.83%</w:t>
      </w:r>
      <w:r>
        <w:rPr>
          <w:spacing w:val="-4"/>
        </w:rPr>
        <w:t>；</w:t>
      </w:r>
      <w:r>
        <w:rPr>
          <w:spacing w:val="-28"/>
        </w:rPr>
        <w:t> </w:t>
      </w:r>
      <w:r>
        <w:rPr/>
        <w:t>实现营业利润</w:t>
      </w:r>
      <w:r>
        <w:rPr>
          <w:rFonts w:ascii="Times New Roman" w:hAnsi="Times New Roman" w:cs="Times New Roman" w:eastAsia="Times New Roman" w:hint="default"/>
        </w:rPr>
        <w:t>91,692.67</w:t>
      </w:r>
      <w:r>
        <w:rPr/>
        <w:t>万元，较上年同期增长</w:t>
      </w:r>
      <w:r>
        <w:rPr>
          <w:rFonts w:ascii="Times New Roman" w:hAnsi="Times New Roman" w:cs="Times New Roman" w:eastAsia="Times New Roman" w:hint="default"/>
        </w:rPr>
        <w:t>16.73%</w:t>
      </w:r>
      <w:r>
        <w:rPr/>
        <w:t>；利润总额为</w:t>
      </w:r>
      <w:r>
        <w:rPr>
          <w:rFonts w:ascii="Times New Roman" w:hAnsi="Times New Roman" w:cs="Times New Roman" w:eastAsia="Times New Roman" w:hint="default"/>
        </w:rPr>
        <w:t>91,879.91</w:t>
      </w:r>
      <w:r>
        <w:rPr/>
        <w:t>万元，较上年同期增长</w:t>
      </w:r>
      <w:r>
        <w:rPr>
          <w:rFonts w:ascii="Times New Roman" w:hAnsi="Times New Roman" w:cs="Times New Roman" w:eastAsia="Times New Roman" w:hint="default"/>
        </w:rPr>
        <w:t>16.58%</w:t>
      </w:r>
      <w:r>
        <w:rPr/>
        <w:t>；实现归属于上 市公司股东的净利润为</w:t>
      </w:r>
      <w:r>
        <w:rPr>
          <w:rFonts w:ascii="Times New Roman" w:hAnsi="Times New Roman" w:cs="Times New Roman" w:eastAsia="Times New Roman" w:hint="default"/>
        </w:rPr>
        <w:t>82,459.08</w:t>
      </w:r>
      <w:r>
        <w:rPr/>
        <w:t>万元，较上年同期增长</w:t>
      </w:r>
      <w:r>
        <w:rPr>
          <w:rFonts w:ascii="Times New Roman" w:hAnsi="Times New Roman" w:cs="Times New Roman" w:eastAsia="Times New Roman" w:hint="default"/>
        </w:rPr>
        <w:t>23.54%</w:t>
      </w:r>
      <w:r>
        <w:rPr/>
        <w:t>。</w:t>
      </w:r>
    </w:p>
    <w:p>
      <w:pPr>
        <w:pStyle w:val="BodyText"/>
        <w:spacing w:line="316" w:lineRule="auto" w:before="7"/>
        <w:ind w:left="513" w:right="1112"/>
        <w:jc w:val="left"/>
      </w:pPr>
      <w:r>
        <w:rPr/>
        <w:t>（一）互联网数据中心业务经营情况 </w:t>
      </w:r>
      <w:r>
        <w:rPr>
          <w:spacing w:val="-2"/>
        </w:rPr>
        <w:t>报告期内，公司北京房山绿色云计算数据中心项目进展顺利，一期项目逐步投产，进一步扩大了公司在北京地区数据中</w:t>
      </w:r>
    </w:p>
    <w:p>
      <w:pPr>
        <w:pStyle w:val="BodyText"/>
        <w:spacing w:line="300" w:lineRule="auto" w:before="19"/>
        <w:ind w:right="1129"/>
        <w:jc w:val="both"/>
      </w:pPr>
      <w:r>
        <w:rPr/>
        <w:t>心服务规模。二期项目在建</w:t>
      </w:r>
      <w:r>
        <w:rPr>
          <w:rFonts w:ascii="Times New Roman" w:hAnsi="Times New Roman" w:cs="Times New Roman" w:eastAsia="Times New Roman" w:hint="default"/>
        </w:rPr>
        <w:t>3</w:t>
      </w:r>
      <w:r>
        <w:rPr/>
        <w:t>栋机房楼已完成土建工程封顶，预计</w:t>
      </w:r>
      <w:r>
        <w:rPr>
          <w:rFonts w:ascii="Times New Roman" w:hAnsi="Times New Roman" w:cs="Times New Roman" w:eastAsia="Times New Roman" w:hint="default"/>
        </w:rPr>
        <w:t>2020</w:t>
      </w:r>
      <w:r>
        <w:rPr/>
        <w:t>年下半年可具备安装机电条件。为满足房山项目的用 </w:t>
      </w:r>
      <w:r>
        <w:rPr>
          <w:spacing w:val="-2"/>
        </w:rPr>
        <w:t>电需求，</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月公司子公司德信致远（房山数据中心项目实施主体）与国网北京市电力公司签订了《关于建设于庄（望</w:t>
      </w:r>
      <w:r>
        <w:rPr>
          <w:spacing w:val="-58"/>
        </w:rPr>
        <w:t> </w:t>
      </w:r>
      <w:r>
        <w:rPr>
          <w:spacing w:val="-58"/>
        </w:rPr>
      </w:r>
      <w:r>
        <w:rPr>
          <w:spacing w:val="-2"/>
        </w:rPr>
        <w:t>楚）</w:t>
      </w:r>
      <w:r>
        <w:rPr>
          <w:rFonts w:ascii="Times New Roman" w:hAnsi="Times New Roman" w:cs="Times New Roman" w:eastAsia="Times New Roman" w:hint="default"/>
          <w:spacing w:val="-2"/>
        </w:rPr>
        <w:t>110</w:t>
      </w:r>
      <w:r>
        <w:rPr>
          <w:spacing w:val="-2"/>
        </w:rPr>
        <w:t>千伏输变电工程的投资划分协议》，共同实施于庄（望楚）</w:t>
      </w:r>
      <w:r>
        <w:rPr>
          <w:rFonts w:ascii="Times New Roman" w:hAnsi="Times New Roman" w:cs="Times New Roman" w:eastAsia="Times New Roman" w:hint="default"/>
          <w:spacing w:val="-2"/>
        </w:rPr>
        <w:t>110</w:t>
      </w:r>
      <w:r>
        <w:rPr>
          <w:spacing w:val="-2"/>
        </w:rPr>
        <w:t>千伏输变电工程，房山绿色云计算数据中心项目享有</w:t>
      </w:r>
      <w:r>
        <w:rPr>
          <w:spacing w:val="-79"/>
        </w:rPr>
        <w:t> </w:t>
      </w:r>
      <w:r>
        <w:rPr>
          <w:spacing w:val="-79"/>
        </w:rPr>
      </w:r>
      <w:r>
        <w:rPr/>
        <w:t>该变电站的优先接入权，进一步加快房山项目的投产进度。</w:t>
      </w:r>
    </w:p>
    <w:p>
      <w:pPr>
        <w:pStyle w:val="BodyText"/>
        <w:spacing w:line="312" w:lineRule="auto" w:before="31"/>
        <w:ind w:right="1132" w:firstLine="360"/>
        <w:jc w:val="both"/>
      </w:pPr>
      <w:r>
        <w:rPr>
          <w:spacing w:val="-2"/>
        </w:rPr>
        <w:t>报告期内，房山绿色云计算数据中心</w:t>
      </w:r>
      <w:r>
        <w:rPr>
          <w:rFonts w:ascii="Times New Roman" w:hAnsi="Times New Roman" w:cs="Times New Roman" w:eastAsia="Times New Roman" w:hint="default"/>
          <w:spacing w:val="-2"/>
        </w:rPr>
        <w:t>1#</w:t>
      </w:r>
      <w:r>
        <w:rPr>
          <w:spacing w:val="-2"/>
        </w:rPr>
        <w:t>云计算数据中心荣获中国电子节能技术协会颁发的云计算中心科技奖工程建设类</w:t>
      </w:r>
      <w:r>
        <w:rPr/>
        <w:t> </w:t>
      </w:r>
      <w:r>
        <w:rPr>
          <w:spacing w:val="-2"/>
        </w:rPr>
        <w:t>卓越奖，该奖项是社会科技奖励目录中在云计算中心科技领域给予的唯一奖励；房山绿色云计算数据中心还入选北京市绿色</w:t>
      </w:r>
      <w:r>
        <w:rPr>
          <w:spacing w:val="-64"/>
        </w:rPr>
        <w:t> </w:t>
      </w:r>
      <w:r>
        <w:rPr>
          <w:spacing w:val="-64"/>
        </w:rPr>
      </w:r>
      <w:r>
        <w:rPr>
          <w:spacing w:val="-2"/>
        </w:rPr>
        <w:t>数据中心第一批示范名单，标志着公司的自建数据中心得到了权威机构的认可。公司始终致力于数据中心绿色节能环保方面</w:t>
      </w:r>
      <w:r>
        <w:rPr>
          <w:spacing w:val="-64"/>
        </w:rPr>
        <w:t> </w:t>
      </w:r>
      <w:r>
        <w:rPr>
          <w:spacing w:val="-64"/>
        </w:rPr>
      </w:r>
      <w:r>
        <w:rPr/>
        <w:t>的技术研究与应用，力求降低能耗，减少企业成本，提高利润率。</w:t>
      </w:r>
    </w:p>
    <w:p>
      <w:pPr>
        <w:pStyle w:val="BodyText"/>
        <w:spacing w:line="240" w:lineRule="auto" w:before="22"/>
        <w:ind w:left="513" w:right="1112"/>
        <w:jc w:val="left"/>
      </w:pPr>
      <w:r>
        <w:rPr/>
        <w:t>在</w:t>
      </w:r>
      <w:r>
        <w:rPr>
          <w:rFonts w:ascii="Times New Roman" w:hAnsi="Times New Roman" w:cs="Times New Roman" w:eastAsia="Times New Roman" w:hint="default"/>
        </w:rPr>
        <w:t>IDC</w:t>
      </w:r>
      <w:r>
        <w:rPr/>
        <w:t>业务方面，公司</w:t>
      </w:r>
      <w:r>
        <w:rPr>
          <w:rFonts w:ascii="Times New Roman" w:hAnsi="Times New Roman" w:cs="Times New Roman" w:eastAsia="Times New Roman" w:hint="default"/>
        </w:rPr>
        <w:t>2019</w:t>
      </w:r>
      <w:r>
        <w:rPr/>
        <w:t>年先后启动了三个新建数据中心项目。截至本报告出具日，各新建项目进展情况如下：</w:t>
      </w:r>
    </w:p>
    <w:p>
      <w:pPr>
        <w:pStyle w:val="BodyText"/>
        <w:spacing w:line="302" w:lineRule="auto" w:before="63"/>
        <w:ind w:right="1130" w:firstLine="360"/>
        <w:jc w:val="right"/>
      </w:pPr>
      <w:r>
        <w:rPr>
          <w:rFonts w:ascii="Times New Roman" w:hAnsi="Times New Roman" w:cs="Times New Roman" w:eastAsia="Times New Roman" w:hint="default"/>
          <w:spacing w:val="-2"/>
        </w:rPr>
        <w:t>1</w:t>
      </w:r>
      <w:r>
        <w:rPr>
          <w:spacing w:val="-2"/>
        </w:rPr>
        <w:t>、为战略布局京津冀一体化市场区域，</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月公司与河北燕郊云计算基地一二期项目的土地产权方三河市岩峰高新</w:t>
      </w:r>
      <w:r>
        <w:rPr/>
        <w:t> 技术产业园有限公司签署了增资合作协议，双方拟利用岩峰公司拥有的位于三河市燕郊创意谷街南侧、精工园东侧的</w:t>
      </w:r>
      <w:r>
        <w:rPr>
          <w:rFonts w:ascii="Times New Roman" w:hAnsi="Times New Roman" w:cs="Times New Roman" w:eastAsia="Times New Roman" w:hint="default"/>
        </w:rPr>
        <w:t>1</w:t>
      </w:r>
      <w:r>
        <w:rPr/>
        <w:t>宗土 地及对应的</w:t>
      </w:r>
      <w:r>
        <w:rPr>
          <w:rFonts w:ascii="Times New Roman" w:hAnsi="Times New Roman" w:cs="Times New Roman" w:eastAsia="Times New Roman" w:hint="default"/>
        </w:rPr>
        <w:t>8</w:t>
      </w:r>
      <w:r>
        <w:rPr/>
        <w:t>处地上房产共同合作建设数据中心。合作方式上，岩峰公司拟进行存续分立，分立后的新公司将承接岩峰公司 </w:t>
      </w:r>
      <w:r>
        <w:rPr>
          <w:spacing w:val="-2"/>
        </w:rPr>
        <w:t>持有的土地及房产，公司或公司联合其他第三方共同向分立主体增资，增资后公司将获得分立主体的控股权。目前岩峰公司</w:t>
      </w:r>
      <w:r>
        <w:rPr>
          <w:spacing w:val="-72"/>
        </w:rPr>
        <w:t> </w:t>
      </w:r>
      <w:r>
        <w:rPr>
          <w:spacing w:val="-72"/>
        </w:rPr>
      </w:r>
      <w:r>
        <w:rPr>
          <w:spacing w:val="-1"/>
        </w:rPr>
        <w:t>分立后的新公司智达云创（三河）科技有限公司已完成工商注册。公司拟以现金</w:t>
      </w:r>
      <w:r>
        <w:rPr>
          <w:rFonts w:ascii="Times New Roman" w:hAnsi="Times New Roman" w:cs="Times New Roman" w:eastAsia="Times New Roman" w:hint="default"/>
          <w:spacing w:val="-1"/>
        </w:rPr>
        <w:t>112,701</w:t>
      </w:r>
      <w:r>
        <w:rPr>
          <w:spacing w:val="-1"/>
        </w:rPr>
        <w:t>万元对智达云创进行增资并取得其</w:t>
      </w:r>
      <w:r>
        <w:rPr/>
        <w:t> </w:t>
      </w:r>
      <w:r>
        <w:rPr>
          <w:rFonts w:ascii="Times New Roman" w:hAnsi="Times New Roman" w:cs="Times New Roman" w:eastAsia="Times New Roman" w:hint="default"/>
          <w:spacing w:val="-1"/>
        </w:rPr>
        <w:t>65%</w:t>
      </w:r>
      <w:r>
        <w:rPr>
          <w:spacing w:val="-1"/>
        </w:rPr>
        <w:t>股权。智达云创作为实施主体建设燕郊绿色云计算基地三四期项目。目前该项目已取得建设工程规划许可证、施工许可</w:t>
      </w:r>
      <w:r>
        <w:rPr/>
        <w:t> </w:t>
      </w:r>
      <w:r>
        <w:rPr>
          <w:spacing w:val="-5"/>
        </w:rPr>
        <w:t>证，办理完成项目环评、能评等手续。项目土建工程已全面开工，预计</w:t>
      </w:r>
      <w:r>
        <w:rPr>
          <w:rFonts w:ascii="Times New Roman" w:hAnsi="Times New Roman" w:cs="Times New Roman" w:eastAsia="Times New Roman" w:hint="default"/>
          <w:spacing w:val="-5"/>
        </w:rPr>
        <w:t>2020</w:t>
      </w:r>
      <w:r>
        <w:rPr>
          <w:spacing w:val="-5"/>
        </w:rPr>
        <w:t>年内全部封顶，首批定制化机房设计工作已完成。</w:t>
      </w:r>
      <w:r>
        <w:rPr>
          <w:spacing w:val="-85"/>
        </w:rPr>
        <w:t> </w:t>
      </w:r>
      <w:r>
        <w:rPr>
          <w:spacing w:val="-85"/>
        </w:rPr>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月公司正式启动建设上海嘉定绿色云计算基地二期项目，该项目实施主体为全资子公司上海中可，规划建设</w:t>
      </w:r>
    </w:p>
    <w:p>
      <w:pPr>
        <w:pStyle w:val="BodyText"/>
        <w:spacing w:line="300" w:lineRule="auto" w:before="11"/>
        <w:ind w:right="1186"/>
        <w:jc w:val="both"/>
      </w:pPr>
      <w:r>
        <w:rPr>
          <w:rFonts w:ascii="Times New Roman" w:hAnsi="Times New Roman" w:cs="Times New Roman" w:eastAsia="Times New Roman" w:hint="default"/>
        </w:rPr>
        <w:t>5,000</w:t>
      </w:r>
      <w:r>
        <w:rPr/>
        <w:t>个机柜。截至目前，上海嘉定绿色云计算基地二期项目已完成立项、规划审批及环评备案工作，正在办理工程报建等 相关手续，完成了原有建筑物的拆除和场地平整工作，根据客户定制化需求开展机房机电配套设计工作。</w:t>
      </w:r>
    </w:p>
    <w:p>
      <w:pPr>
        <w:pStyle w:val="BodyText"/>
        <w:spacing w:line="300" w:lineRule="auto" w:before="31"/>
        <w:ind w:right="1132"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月公司正式启动昆山美鸿业绿色云计算基地项目。完成股权变更后，子公司昆山美鸿业金属制品有限公司为</w:t>
      </w:r>
      <w:r>
        <w:rPr/>
        <w:t> </w:t>
      </w:r>
      <w:r>
        <w:rPr>
          <w:spacing w:val="-1"/>
        </w:rPr>
        <w:t>项目实施主体，规划建设</w:t>
      </w:r>
      <w:r>
        <w:rPr>
          <w:rFonts w:ascii="Times New Roman" w:hAnsi="Times New Roman" w:cs="Times New Roman" w:eastAsia="Times New Roman" w:hint="default"/>
          <w:spacing w:val="-1"/>
        </w:rPr>
        <w:t>14,364</w:t>
      </w:r>
      <w:r>
        <w:rPr>
          <w:spacing w:val="-1"/>
        </w:rPr>
        <w:t>个机柜。截至目前，该项目已完成园区整体方案设计、项目立项及用地规划审批，已办理环</w:t>
      </w:r>
      <w:r>
        <w:rPr>
          <w:spacing w:val="-76"/>
        </w:rPr>
        <w:t> </w:t>
      </w:r>
      <w:r>
        <w:rPr>
          <w:spacing w:val="-76"/>
        </w:rPr>
      </w:r>
      <w:r>
        <w:rPr/>
        <w:t>评备案，并启动项目能评及规划审批等工作。</w:t>
      </w:r>
    </w:p>
    <w:p>
      <w:pPr>
        <w:pStyle w:val="BodyText"/>
        <w:spacing w:line="300" w:lineRule="auto" w:before="31"/>
        <w:ind w:right="1131" w:firstLine="360"/>
        <w:jc w:val="both"/>
      </w:pPr>
      <w:r>
        <w:rPr>
          <w:spacing w:val="-1"/>
        </w:rPr>
        <w:t>上述三个项目的实施有利于增加公司在京津冀地区和长三角地区的资源储备，增强公司在全国区域范围内</w:t>
      </w:r>
      <w:r>
        <w:rPr>
          <w:rFonts w:ascii="Times New Roman" w:hAnsi="Times New Roman" w:cs="Times New Roman" w:eastAsia="Times New Roman" w:hint="default"/>
          <w:spacing w:val="-1"/>
        </w:rPr>
        <w:t>IDC</w:t>
      </w:r>
      <w:r>
        <w:rPr>
          <w:spacing w:val="-1"/>
        </w:rPr>
        <w:t>业务的竞</w:t>
      </w:r>
      <w:r>
        <w:rPr/>
        <w:t> 争实力。</w:t>
      </w:r>
    </w:p>
    <w:p>
      <w:pPr>
        <w:pStyle w:val="BodyText"/>
        <w:spacing w:line="309" w:lineRule="auto" w:before="31"/>
        <w:ind w:right="1134" w:firstLine="360"/>
        <w:jc w:val="both"/>
      </w:pPr>
      <w:r>
        <w:rPr>
          <w:spacing w:val="-2"/>
        </w:rPr>
        <w:t>报告期内，公司与中国电信股份有限公司上海分公司签订了《深化互联网数据中心及云网融合战略合作协议》，双方将</w:t>
      </w:r>
      <w:r>
        <w:rPr/>
        <w:t> </w:t>
      </w:r>
      <w:r>
        <w:rPr>
          <w:spacing w:val="-1"/>
        </w:rPr>
        <w:t>立足各自在市场营销、运维管理、资源选址建设等方面的优势，在上海及长三角地区开展</w:t>
      </w:r>
      <w:r>
        <w:rPr>
          <w:rFonts w:ascii="Times New Roman" w:hAnsi="Times New Roman" w:cs="Times New Roman" w:eastAsia="Times New Roman" w:hint="default"/>
          <w:spacing w:val="-1"/>
        </w:rPr>
        <w:t>IDC</w:t>
      </w:r>
      <w:r>
        <w:rPr>
          <w:spacing w:val="-1"/>
        </w:rPr>
        <w:t>、云网融合的紧密合作。通过</w:t>
      </w:r>
      <w:r>
        <w:rPr>
          <w:spacing w:val="-73"/>
        </w:rPr>
        <w:t> </w:t>
      </w:r>
      <w:r>
        <w:rPr>
          <w:spacing w:val="-73"/>
        </w:rPr>
      </w:r>
      <w:r>
        <w:rPr/>
        <w:t>双方合作，将进一步扩大公司在长三角地区的综合服务实力。</w:t>
      </w:r>
    </w:p>
    <w:p>
      <w:pPr>
        <w:pStyle w:val="BodyText"/>
        <w:spacing w:line="307" w:lineRule="auto" w:before="24"/>
        <w:ind w:right="1129" w:firstLine="360"/>
        <w:jc w:val="both"/>
      </w:pPr>
      <w:r>
        <w:rPr>
          <w:spacing w:val="-2"/>
        </w:rPr>
        <w:t>随着公司数据中心规模不断增加，为进一步提升服务品质，适应市场竞争的需要，公司对数据中心运维服务水平提出了</w:t>
      </w:r>
      <w:r>
        <w:rPr/>
        <w:t> </w:t>
      </w:r>
      <w:r>
        <w:rPr>
          <w:spacing w:val="-2"/>
        </w:rPr>
        <w:t>更高的标准和要求。为更好地强化数据中心板块的专业化服务能力，</w:t>
      </w:r>
      <w:r>
        <w:rPr>
          <w:rFonts w:ascii="Times New Roman" w:hAnsi="Times New Roman" w:cs="Times New Roman" w:eastAsia="Times New Roman" w:hint="default"/>
          <w:spacing w:val="-2"/>
        </w:rPr>
        <w:t>2019</w:t>
      </w:r>
      <w:r>
        <w:rPr>
          <w:spacing w:val="-2"/>
        </w:rPr>
        <w:t>年公司组建了更加专业的运维管理团队，结合数据</w:t>
      </w:r>
      <w:r>
        <w:rPr>
          <w:spacing w:val="-59"/>
        </w:rPr>
        <w:t> </w:t>
      </w:r>
      <w:r>
        <w:rPr>
          <w:spacing w:val="-59"/>
        </w:rPr>
      </w:r>
      <w:r>
        <w:rPr/>
        <w:t>中心行业发展趋势，推出了</w:t>
      </w:r>
      <w:r>
        <w:rPr>
          <w:rFonts w:ascii="Times New Roman" w:hAnsi="Times New Roman" w:cs="Times New Roman" w:eastAsia="Times New Roman" w:hint="default"/>
        </w:rPr>
        <w:t>“</w:t>
      </w:r>
      <w:r>
        <w:rPr/>
        <w:t>前期规划</w:t>
      </w:r>
      <w:r>
        <w:rPr>
          <w:rFonts w:ascii="Times New Roman" w:hAnsi="Times New Roman" w:cs="Times New Roman" w:eastAsia="Times New Roman" w:hint="default"/>
        </w:rPr>
        <w:t>+</w:t>
      </w:r>
      <w:r>
        <w:rPr/>
        <w:t>后期运维</w:t>
      </w:r>
      <w:r>
        <w:rPr>
          <w:rFonts w:ascii="Times New Roman" w:hAnsi="Times New Roman" w:cs="Times New Roman" w:eastAsia="Times New Roman" w:hint="default"/>
        </w:rPr>
        <w:t>”</w:t>
      </w:r>
      <w:r>
        <w:rPr/>
        <w:t>一体化的第三代数据中心运维管理模式，全力打造标准化、规范化、流程 化的运维管理体系，以更先进的运维理念，为用户提供更优质的服务。</w:t>
      </w:r>
    </w:p>
    <w:p>
      <w:pPr>
        <w:pStyle w:val="BodyText"/>
        <w:spacing w:line="240" w:lineRule="auto" w:before="26"/>
        <w:ind w:left="513" w:right="3827"/>
        <w:jc w:val="left"/>
      </w:pPr>
      <w:r>
        <w:rPr/>
        <w:t>（二）云计算及相关业务经营情况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204" w:firstLine="360"/>
        <w:jc w:val="both"/>
      </w:pPr>
      <w:r>
        <w:rPr>
          <w:spacing w:val="-1"/>
        </w:rPr>
        <w:t>报告期内，公司运营的</w:t>
      </w:r>
      <w:r>
        <w:rPr>
          <w:rFonts w:ascii="Times New Roman" w:hAnsi="Times New Roman" w:cs="Times New Roman" w:eastAsia="Times New Roman" w:hint="default"/>
          <w:spacing w:val="-1"/>
        </w:rPr>
        <w:t>AWS</w:t>
      </w:r>
      <w:r>
        <w:rPr>
          <w:spacing w:val="-1"/>
        </w:rPr>
        <w:t>中国（北京）区域云服务凭借先进的服务技术和优质的服务水平服务获得云数据库服务、</w:t>
      </w:r>
      <w:r>
        <w:rPr/>
        <w:t> </w:t>
      </w:r>
      <w:r>
        <w:rPr>
          <w:spacing w:val="-1"/>
        </w:rPr>
        <w:t>云主机服务、对象存储服务三项可信云认证，标志着公司</w:t>
      </w:r>
      <w:r>
        <w:rPr>
          <w:rFonts w:ascii="Times New Roman" w:hAnsi="Times New Roman" w:cs="Times New Roman" w:eastAsia="Times New Roman" w:hint="default"/>
          <w:spacing w:val="-1"/>
        </w:rPr>
        <w:t>AWS</w:t>
      </w:r>
      <w:r>
        <w:rPr>
          <w:spacing w:val="-1"/>
        </w:rPr>
        <w:t>云服务不仅得到广大用户的信任和赞誉，也得到了国家专业</w:t>
      </w:r>
      <w:r>
        <w:rPr>
          <w:spacing w:val="-50"/>
        </w:rPr>
        <w:t> </w:t>
      </w:r>
      <w:r>
        <w:rPr/>
        <w:t>机构的权威认可。</w:t>
      </w:r>
    </w:p>
    <w:p>
      <w:pPr>
        <w:pStyle w:val="BodyText"/>
        <w:spacing w:line="300" w:lineRule="auto" w:before="31"/>
        <w:ind w:right="1122" w:firstLine="360"/>
        <w:jc w:val="left"/>
      </w:pPr>
      <w:r>
        <w:rPr/>
        <w:t>光环有云为快消、游戏、教育、金融业等行业客户提供</w:t>
      </w:r>
      <w:r>
        <w:rPr>
          <w:rFonts w:ascii="Times New Roman" w:hAnsi="Times New Roman" w:cs="Times New Roman" w:eastAsia="Times New Roman" w:hint="default"/>
        </w:rPr>
        <w:t>AWS</w:t>
      </w:r>
      <w:r>
        <w:rPr/>
        <w:t>的专业顾问咨询服务与技术支持，包括云端迁移、部署、 </w:t>
      </w:r>
      <w:r>
        <w:rPr>
          <w:rFonts w:ascii="Times New Roman" w:hAnsi="Times New Roman" w:cs="Times New Roman" w:eastAsia="Times New Roman" w:hint="default"/>
          <w:spacing w:val="-7"/>
        </w:rPr>
        <w:t>DevOps</w:t>
      </w:r>
      <w:r>
        <w:rPr>
          <w:spacing w:val="-7"/>
        </w:rPr>
        <w:t>、大数据、云端托管运维服务</w:t>
      </w:r>
      <w:r>
        <w:rPr>
          <w:rFonts w:ascii="Times New Roman" w:hAnsi="Times New Roman" w:cs="Times New Roman" w:eastAsia="Times New Roman" w:hint="default"/>
          <w:spacing w:val="-7"/>
        </w:rPr>
        <w:t>(MSP)</w:t>
      </w:r>
      <w:r>
        <w:rPr>
          <w:spacing w:val="-7"/>
        </w:rPr>
        <w:t>。报告期内，光环有云继成为</w:t>
      </w:r>
      <w:r>
        <w:rPr>
          <w:rFonts w:ascii="Times New Roman" w:hAnsi="Times New Roman" w:cs="Times New Roman" w:eastAsia="Times New Roman" w:hint="default"/>
          <w:spacing w:val="-7"/>
        </w:rPr>
        <w:t>AWS</w:t>
      </w:r>
      <w:r>
        <w:rPr>
          <w:spacing w:val="-7"/>
        </w:rPr>
        <w:t>全球最高等级咨询合作伙伴，获得</w:t>
      </w:r>
      <w:r>
        <w:rPr>
          <w:rFonts w:ascii="Times New Roman" w:hAnsi="Times New Roman" w:cs="Times New Roman" w:eastAsia="Times New Roman" w:hint="default"/>
          <w:spacing w:val="-7"/>
        </w:rPr>
        <w:t>AWS</w:t>
      </w:r>
      <w:r>
        <w:rPr>
          <w:rFonts w:ascii="Times New Roman" w:hAnsi="Times New Roman" w:cs="Times New Roman" w:eastAsia="Times New Roman" w:hint="default"/>
          <w:spacing w:val="12"/>
        </w:rPr>
        <w:t> </w:t>
      </w:r>
      <w:r>
        <w:rPr>
          <w:rFonts w:ascii="Times New Roman" w:hAnsi="Times New Roman" w:cs="Times New Roman" w:eastAsia="Times New Roman" w:hint="default"/>
        </w:rPr>
        <w:t>Migration</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rFonts w:ascii="Times New Roman" w:hAnsi="Times New Roman" w:cs="Times New Roman" w:eastAsia="Times New Roman" w:hint="default"/>
        </w:rPr>
        <w:t>Competency</w:t>
      </w:r>
      <w:r>
        <w:rPr/>
        <w:t>能力认证和</w:t>
      </w:r>
      <w:r>
        <w:rPr>
          <w:rFonts w:ascii="Times New Roman" w:hAnsi="Times New Roman" w:cs="Times New Roman" w:eastAsia="Times New Roman" w:hint="default"/>
        </w:rPr>
        <w:t>AWS</w:t>
      </w:r>
      <w:r>
        <w:rPr>
          <w:rFonts w:ascii="Times New Roman" w:hAnsi="Times New Roman" w:cs="Times New Roman" w:eastAsia="Times New Roman" w:hint="default"/>
          <w:spacing w:val="-13"/>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5"/>
        </w:rPr>
        <w:t> </w:t>
      </w:r>
      <w:r>
        <w:rPr>
          <w:rFonts w:ascii="Times New Roman" w:hAnsi="Times New Roman" w:cs="Times New Roman" w:eastAsia="Times New Roman" w:hint="default"/>
        </w:rPr>
        <w:t>MSP</w:t>
      </w:r>
      <w:r>
        <w:rPr/>
        <w:t>认证后，又获得了一项</w:t>
      </w:r>
      <w:r>
        <w:rPr>
          <w:rFonts w:ascii="Times New Roman" w:hAnsi="Times New Roman" w:cs="Times New Roman" w:eastAsia="Times New Roman" w:hint="default"/>
        </w:rPr>
        <w:t>AWS</w:t>
      </w:r>
      <w:r>
        <w:rPr/>
        <w:t>的永久资格认证</w:t>
      </w:r>
      <w:r>
        <w:rPr>
          <w:rFonts w:ascii="Times New Roman" w:hAnsi="Times New Roman" w:cs="Times New Roman" w:eastAsia="Times New Roman" w:hint="default"/>
        </w:rPr>
        <w:t>--Devops</w:t>
      </w:r>
      <w:r>
        <w:rPr>
          <w:rFonts w:ascii="Times New Roman" w:hAnsi="Times New Roman" w:cs="Times New Roman" w:eastAsia="Times New Roman" w:hint="default"/>
          <w:spacing w:val="-15"/>
        </w:rPr>
        <w:t> </w:t>
      </w:r>
      <w:r>
        <w:rPr>
          <w:rFonts w:ascii="Times New Roman" w:hAnsi="Times New Roman" w:cs="Times New Roman" w:eastAsia="Times New Roman" w:hint="default"/>
        </w:rPr>
        <w:t>Competency</w:t>
      </w:r>
      <w:r>
        <w:rPr/>
        <w:t>，该项认证的取得 标志着光环有云具备为客户实施基于</w:t>
      </w:r>
      <w:r>
        <w:rPr>
          <w:rFonts w:ascii="Times New Roman" w:hAnsi="Times New Roman" w:cs="Times New Roman" w:eastAsia="Times New Roman" w:hint="default"/>
        </w:rPr>
        <w:t>AWS</w:t>
      </w:r>
      <w:r>
        <w:rPr/>
        <w:t>自动化的官方能力资格。除此之外，光环有云还取得了</w:t>
      </w:r>
      <w:r>
        <w:rPr>
          <w:rFonts w:ascii="Times New Roman" w:hAnsi="Times New Roman" w:cs="Times New Roman" w:eastAsia="Times New Roman" w:hint="default"/>
        </w:rPr>
        <w:t>AWS</w:t>
      </w:r>
      <w:r>
        <w:rPr/>
        <w:t>中国区解决方案提供 商资质（</w:t>
      </w:r>
      <w:r>
        <w:rPr>
          <w:rFonts w:ascii="Times New Roman" w:hAnsi="Times New Roman" w:cs="Times New Roman" w:eastAsia="Times New Roman" w:hint="default"/>
        </w:rPr>
        <w:t>China </w:t>
      </w:r>
      <w:r>
        <w:rPr>
          <w:rFonts w:ascii="Times New Roman" w:hAnsi="Times New Roman" w:cs="Times New Roman" w:eastAsia="Times New Roman" w:hint="default"/>
          <w:spacing w:val="-1"/>
          <w:w w:val="99"/>
        </w:rPr>
        <w:t>Solution</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Provider</w:t>
      </w:r>
      <w:r>
        <w:rPr>
          <w:rFonts w:ascii="Times New Roman" w:hAnsi="Times New Roman" w:cs="Times New Roman" w:eastAsia="Times New Roman" w:hint="default"/>
          <w:w w:val="99"/>
        </w:rPr>
        <w:t> </w:t>
      </w:r>
      <w:r>
        <w:rPr>
          <w:rFonts w:ascii="Times New Roman" w:hAnsi="Times New Roman" w:cs="Times New Roman" w:eastAsia="Times New Roman" w:hint="default"/>
          <w:spacing w:val="-3"/>
          <w:w w:val="99"/>
        </w:rPr>
        <w:t>Program</w:t>
      </w:r>
      <w:r>
        <w:rPr>
          <w:spacing w:val="-3"/>
          <w:w w:val="99"/>
        </w:rPr>
        <w:t>），其全资子公司光环有云（香港）网络科技有限公司取得了</w:t>
      </w:r>
      <w:r>
        <w:rPr>
          <w:rFonts w:ascii="Times New Roman" w:hAnsi="Times New Roman" w:cs="Times New Roman" w:eastAsia="Times New Roman" w:hint="default"/>
          <w:spacing w:val="-3"/>
          <w:w w:val="99"/>
        </w:rPr>
        <w:t>AWS</w:t>
      </w:r>
      <w:r>
        <w:rPr>
          <w:rFonts w:ascii="Times New Roman" w:hAnsi="Times New Roman" w:cs="Times New Roman" w:eastAsia="Times New Roman" w:hint="default"/>
          <w:spacing w:val="9"/>
          <w:w w:val="99"/>
        </w:rPr>
        <w:t> </w:t>
      </w:r>
      <w:r>
        <w:rPr/>
        <w:t>全球解决方案提 </w:t>
      </w:r>
      <w:r>
        <w:rPr>
          <w:spacing w:val="-2"/>
          <w:w w:val="99"/>
        </w:rPr>
        <w:t>供商资质（</w:t>
      </w:r>
      <w:r>
        <w:rPr>
          <w:rFonts w:ascii="Times New Roman" w:hAnsi="Times New Roman" w:cs="Times New Roman" w:eastAsia="Times New Roman" w:hint="default"/>
          <w:spacing w:val="-2"/>
          <w:w w:val="99"/>
        </w:rPr>
        <w:t>Global</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1"/>
          <w:w w:val="99"/>
        </w:rPr>
        <w:t>Solution</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1"/>
          <w:w w:val="99"/>
        </w:rPr>
        <w:t>Provider</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4"/>
          <w:w w:val="99"/>
        </w:rPr>
        <w:t>Program</w:t>
      </w:r>
      <w:r>
        <w:rPr>
          <w:spacing w:val="-4"/>
          <w:w w:val="99"/>
        </w:rPr>
        <w:t>），双资质认证可为中国区及全球范围内用户提供基于</w:t>
      </w:r>
      <w:r>
        <w:rPr>
          <w:spacing w:val="13"/>
          <w:w w:val="99"/>
        </w:rPr>
        <w:t> </w:t>
      </w:r>
      <w:r>
        <w:rPr>
          <w:rFonts w:ascii="Times New Roman" w:hAnsi="Times New Roman" w:cs="Times New Roman" w:eastAsia="Times New Roman" w:hint="default"/>
          <w:spacing w:val="-4"/>
          <w:w w:val="99"/>
        </w:rPr>
        <w:t>AWS</w:t>
      </w:r>
      <w:r>
        <w:rPr>
          <w:spacing w:val="-4"/>
          <w:w w:val="99"/>
        </w:rPr>
        <w:t>的客户管理、服务和</w:t>
      </w:r>
      <w:r>
        <w:rPr>
          <w:spacing w:val="-88"/>
          <w:w w:val="99"/>
        </w:rPr>
        <w:t> </w:t>
      </w:r>
      <w:r>
        <w:rPr>
          <w:spacing w:val="-88"/>
          <w:w w:val="99"/>
        </w:rPr>
      </w:r>
      <w:r>
        <w:rPr/>
        <w:t>支持，进一步提升了公司在云计算增值业务方面的服务能力和市场竞争力。</w:t>
      </w:r>
    </w:p>
    <w:p>
      <w:pPr>
        <w:pStyle w:val="BodyText"/>
        <w:spacing w:line="307" w:lineRule="auto" w:before="31"/>
        <w:ind w:right="1034" w:firstLine="360"/>
        <w:jc w:val="left"/>
      </w:pPr>
      <w:r>
        <w:rPr/>
        <w:t>光环云数据在成立一年半的时间内，完成了赋能平台上线，从营销体系、交付支持和生态构建三个层面不断推进</w:t>
      </w:r>
      <w:r>
        <w:rPr>
          <w:rFonts w:ascii="Times New Roman" w:hAnsi="Times New Roman" w:cs="Times New Roman" w:eastAsia="Times New Roman" w:hint="default"/>
        </w:rPr>
        <w:t>AWS</w:t>
      </w:r>
      <w:r>
        <w:rPr>
          <w:rFonts w:ascii="Times New Roman" w:hAnsi="Times New Roman" w:cs="Times New Roman" w:eastAsia="Times New Roman" w:hint="default"/>
          <w:w w:val="99"/>
        </w:rPr>
        <w:t> </w:t>
      </w:r>
      <w:r>
        <w:rPr/>
        <w:t>在华服务的推广和支持，为中国客户带来更安全稳定和高效便捷的云服务体验。光环云赋能平台搭建了多元化的营销体系，</w:t>
      </w:r>
      <w:r>
        <w:rPr>
          <w:spacing w:val="-86"/>
        </w:rPr>
        <w:t> </w:t>
      </w:r>
      <w:r>
        <w:rPr>
          <w:spacing w:val="-86"/>
        </w:rPr>
      </w:r>
      <w:r>
        <w:rPr>
          <w:spacing w:val="-4"/>
        </w:rPr>
        <w:t>已聚合并赋能成千上万的推广与服务合作伙伴，包括系统集成商、</w:t>
      </w:r>
      <w:r>
        <w:rPr>
          <w:rFonts w:ascii="Times New Roman" w:hAnsi="Times New Roman" w:cs="Times New Roman" w:eastAsia="Times New Roman" w:hint="default"/>
          <w:spacing w:val="-4"/>
        </w:rPr>
        <w:t>ISV</w:t>
      </w:r>
      <w:r>
        <w:rPr>
          <w:spacing w:val="-4"/>
        </w:rPr>
        <w:t>、渠道分销商、个人渠道、管理服务提供商、各类</w:t>
      </w:r>
      <w:r>
        <w:rPr>
          <w:rFonts w:ascii="Times New Roman" w:hAnsi="Times New Roman" w:cs="Times New Roman" w:eastAsia="Times New Roman" w:hint="default"/>
          <w:spacing w:val="-4"/>
        </w:rPr>
        <w:t>SaaS</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服务商、个人服务者等，为他们提供一站式、端到端、全周期云服务的推广、交付与客户支持。特别是以社群方式搭建和运</w:t>
      </w:r>
      <w:r>
        <w:rPr>
          <w:spacing w:val="-68"/>
        </w:rPr>
        <w:t> </w:t>
      </w:r>
      <w:r>
        <w:rPr>
          <w:spacing w:val="-68"/>
        </w:rPr>
      </w:r>
      <w:r>
        <w:rPr>
          <w:spacing w:val="-2"/>
        </w:rPr>
        <w:t>营的个人渠道</w:t>
      </w:r>
      <w:r>
        <w:rPr>
          <w:rFonts w:ascii="Times New Roman" w:hAnsi="Times New Roman" w:cs="Times New Roman" w:eastAsia="Times New Roman" w:hint="default"/>
          <w:spacing w:val="-2"/>
        </w:rPr>
        <w:t>——</w:t>
      </w:r>
      <w:r>
        <w:rPr>
          <w:spacing w:val="-2"/>
        </w:rPr>
        <w:t>光环云极客，正在形成庞大和深入的信息和服务网络，为业务快速推进和交付落地发挥巨大推力。光环云</w:t>
      </w:r>
      <w:r>
        <w:rPr>
          <w:spacing w:val="-63"/>
        </w:rPr>
        <w:t> </w:t>
      </w:r>
      <w:r>
        <w:rPr>
          <w:spacing w:val="-63"/>
        </w:rPr>
      </w:r>
      <w:r>
        <w:rPr/>
        <w:t>赋能平台于</w:t>
      </w:r>
      <w:r>
        <w:rPr>
          <w:rFonts w:ascii="Times New Roman" w:hAnsi="Times New Roman" w:cs="Times New Roman" w:eastAsia="Times New Roman" w:hint="default"/>
        </w:rPr>
        <w:t>2019</w:t>
      </w:r>
      <w:r>
        <w:rPr/>
        <w:t>年获得了安全等级保护三级认证。光环云赋能平台及光环云社群微信小程序已在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AWS</w:t>
      </w:r>
      <w:r>
        <w:rPr/>
        <w:t>技术峰会上正 式发布，营销体系已覆盖全国</w:t>
      </w:r>
      <w:r>
        <w:rPr>
          <w:rFonts w:ascii="Times New Roman" w:hAnsi="Times New Roman" w:cs="Times New Roman" w:eastAsia="Times New Roman" w:hint="default"/>
        </w:rPr>
        <w:t>20</w:t>
      </w:r>
      <w:r>
        <w:rPr/>
        <w:t>余个城市。在交付支持方面，光环云数据也初步完成了</w:t>
      </w:r>
      <w:r>
        <w:rPr>
          <w:rFonts w:ascii="Times New Roman" w:hAnsi="Times New Roman" w:cs="Times New Roman" w:eastAsia="Times New Roman" w:hint="default"/>
        </w:rPr>
        <w:t>AWS</w:t>
      </w:r>
      <w:r>
        <w:rPr/>
        <w:t>全线产品、光环云网、光环云 </w:t>
      </w:r>
      <w:r>
        <w:rPr>
          <w:spacing w:val="-2"/>
        </w:rPr>
        <w:t>学院、光环混合云以及光环云运营服务五大产品线共计</w:t>
      </w:r>
      <w:r>
        <w:rPr>
          <w:rFonts w:ascii="Times New Roman" w:hAnsi="Times New Roman" w:cs="Times New Roman" w:eastAsia="Times New Roman" w:hint="default"/>
          <w:spacing w:val="-2"/>
        </w:rPr>
        <w:t>4</w:t>
      </w:r>
      <w:r>
        <w:rPr>
          <w:spacing w:val="-2"/>
        </w:rPr>
        <w:t>个产品和服务的构建工作。光环云网已于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月上线，通过光环</w:t>
      </w:r>
      <w:r>
        <w:rPr>
          <w:spacing w:val="-58"/>
        </w:rPr>
        <w:t> </w:t>
      </w:r>
      <w:r>
        <w:rPr>
          <w:spacing w:val="-58"/>
        </w:rPr>
      </w:r>
      <w:r>
        <w:rPr>
          <w:spacing w:val="-2"/>
        </w:rPr>
        <w:t>云赋能平台提供覆盖全国主要城市的云接入与全球组网服务，为上云企业降低数据传输成本，提高网络安全性，享受稳定的</w:t>
      </w:r>
      <w:r>
        <w:rPr>
          <w:spacing w:val="-66"/>
        </w:rPr>
        <w:t> </w:t>
      </w:r>
      <w:r>
        <w:rPr>
          <w:spacing w:val="-66"/>
        </w:rPr>
      </w:r>
      <w:r>
        <w:rPr/>
        <w:t>网络性能。报告期内，光环云数据为广大用户和合作伙伴打造更多基于云技术的解决方案，赋能企业数字化转型，获得了 </w:t>
      </w:r>
      <w:r>
        <w:rPr>
          <w:rFonts w:ascii="Times New Roman" w:hAnsi="Times New Roman" w:cs="Times New Roman" w:eastAsia="Times New Roman" w:hint="default"/>
        </w:rPr>
        <w:t>BSI</w:t>
      </w:r>
      <w:r>
        <w:rPr/>
        <w:t>颁发的</w:t>
      </w:r>
      <w:r>
        <w:rPr>
          <w:rFonts w:ascii="Times New Roman" w:hAnsi="Times New Roman" w:cs="Times New Roman" w:eastAsia="Times New Roman" w:hint="default"/>
        </w:rPr>
        <w:t>ISO27001</w:t>
      </w:r>
      <w:r>
        <w:rPr/>
        <w:t>信息安全管理、</w:t>
      </w:r>
      <w:r>
        <w:rPr>
          <w:rFonts w:ascii="Times New Roman" w:hAnsi="Times New Roman" w:cs="Times New Roman" w:eastAsia="Times New Roman" w:hint="default"/>
        </w:rPr>
        <w:t>ISO27017</w:t>
      </w:r>
      <w:r>
        <w:rPr/>
        <w:t>云安全管理、</w:t>
      </w:r>
      <w:r>
        <w:rPr>
          <w:rFonts w:ascii="Times New Roman" w:hAnsi="Times New Roman" w:cs="Times New Roman" w:eastAsia="Times New Roman" w:hint="default"/>
        </w:rPr>
        <w:t>ISO27018</w:t>
      </w:r>
      <w:r>
        <w:rPr/>
        <w:t>公有云个人信息保护管理和</w:t>
      </w:r>
      <w:r>
        <w:rPr>
          <w:rFonts w:ascii="Times New Roman" w:hAnsi="Times New Roman" w:cs="Times New Roman" w:eastAsia="Times New Roman" w:hint="default"/>
        </w:rPr>
        <w:t>ISO20000</w:t>
      </w:r>
      <w:r>
        <w:rPr>
          <w:rFonts w:ascii="Times New Roman" w:hAnsi="Times New Roman" w:cs="Times New Roman" w:eastAsia="Times New Roman" w:hint="default"/>
          <w:spacing w:val="-4"/>
        </w:rPr>
        <w:t> </w:t>
      </w:r>
      <w:r>
        <w:rPr>
          <w:rFonts w:ascii="Times New Roman" w:hAnsi="Times New Roman" w:cs="Times New Roman" w:eastAsia="Times New Roman" w:hint="default"/>
        </w:rPr>
        <w:t>IT</w:t>
      </w:r>
      <w:r>
        <w:rPr/>
        <w:t>服务管理等多 项国际认证，已具备完善的信息安全管理体系，以及国际化标准的信息安全管理能力。</w:t>
      </w:r>
    </w:p>
    <w:p>
      <w:pPr>
        <w:pStyle w:val="BodyText"/>
        <w:spacing w:line="312" w:lineRule="auto" w:before="26"/>
        <w:ind w:right="1131" w:firstLine="360"/>
        <w:jc w:val="both"/>
      </w:pPr>
      <w:r>
        <w:rPr>
          <w:spacing w:val="-2"/>
          <w:w w:val="99"/>
        </w:rPr>
        <w:t>无双科技在技术上已完全实现</w:t>
      </w:r>
      <w:r>
        <w:rPr>
          <w:rFonts w:ascii="Times New Roman" w:hAnsi="Times New Roman" w:cs="Times New Roman" w:eastAsia="Times New Roman" w:hint="default"/>
          <w:spacing w:val="-2"/>
          <w:w w:val="99"/>
        </w:rPr>
        <w:t>SaaS</w:t>
      </w:r>
      <w:r>
        <w:rPr>
          <w:spacing w:val="-2"/>
          <w:w w:val="99"/>
        </w:rPr>
        <w:t>云与搜索引擎各个营销产品的数据无缝对接，并为客户提供更高粘性与附加值的技术</w:t>
      </w:r>
      <w:r>
        <w:rPr/>
        <w:t> </w:t>
      </w:r>
      <w:r>
        <w:rPr>
          <w:spacing w:val="-2"/>
        </w:rPr>
        <w:t>解决方案，客户涉及热门电商交易平台、旅游服务龙头企业、手机游戏、生活服务平台等，业绩稳步提升；同时无双科技积</w:t>
      </w:r>
      <w:r>
        <w:rPr>
          <w:spacing w:val="-66"/>
        </w:rPr>
        <w:t> </w:t>
      </w:r>
      <w:r>
        <w:rPr>
          <w:spacing w:val="-66"/>
        </w:rPr>
      </w:r>
      <w:r>
        <w:rPr>
          <w:spacing w:val="-2"/>
        </w:rPr>
        <w:t>极拓展媒体平台、传统行业与国际知名品牌等业务，已出现规模效应，在客户对象多元化、行业多样化等方面取得阶段性进</w:t>
      </w:r>
      <w:r>
        <w:rPr>
          <w:spacing w:val="-65"/>
        </w:rPr>
        <w:t> </w:t>
      </w:r>
      <w:r>
        <w:rPr>
          <w:spacing w:val="-65"/>
        </w:rPr>
      </w:r>
      <w:r>
        <w:rPr>
          <w:spacing w:val="-2"/>
        </w:rPr>
        <w:t>展。报告期内，无双科技完成了旅游客源地分析预测系统、企业营销预算自动控制系统、超级账户数据查询系统、微信小程</w:t>
      </w:r>
      <w:r>
        <w:rPr>
          <w:spacing w:val="-66"/>
        </w:rPr>
        <w:t> </w:t>
      </w:r>
      <w:r>
        <w:rPr>
          <w:spacing w:val="-66"/>
        </w:rPr>
      </w:r>
      <w:r>
        <w:rPr/>
        <w:t>序追踪平台、</w:t>
      </w:r>
      <w:r>
        <w:rPr>
          <w:rFonts w:ascii="Times New Roman" w:hAnsi="Times New Roman" w:cs="Times New Roman" w:eastAsia="Times New Roman" w:hint="default"/>
        </w:rPr>
        <w:t>AG</w:t>
      </w:r>
      <w:r>
        <w:rPr/>
        <w:t>广告监测系统、信息流广告监测平台、百度信息流广告投放平台、无双广点通代理商平台、无双头条搜索 </w:t>
      </w:r>
      <w:r>
        <w:rPr>
          <w:spacing w:val="-5"/>
        </w:rPr>
        <w:t>助手、无双头条信息流广告平台、无双信息流素材库平台、无双应用市场榜单系统、无双微信公众号运营系统的研发和建立，</w:t>
      </w:r>
      <w:r>
        <w:rPr>
          <w:spacing w:val="-78"/>
        </w:rPr>
        <w:t> </w:t>
      </w:r>
      <w:r>
        <w:rPr>
          <w:spacing w:val="-78"/>
        </w:rPr>
      </w:r>
      <w:r>
        <w:rPr/>
        <w:t>预计未来对运营效率和客户体验有较大幅度的提升。</w:t>
      </w:r>
    </w:p>
    <w:p>
      <w:pPr>
        <w:pStyle w:val="BodyText"/>
        <w:spacing w:line="316" w:lineRule="auto" w:before="22"/>
        <w:ind w:right="1132" w:firstLine="360"/>
        <w:jc w:val="both"/>
      </w:pPr>
      <w:r>
        <w:rPr>
          <w:spacing w:val="-2"/>
        </w:rPr>
        <w:t>公司云计算业务的市场竞争力、规模效应与抗风险能力进一步提升，为未来的业务发展与业绩表现提供了扎实的基础和</w:t>
      </w:r>
      <w:r>
        <w:rPr/>
        <w:t> 与极大的提升潜力。</w:t>
      </w:r>
    </w:p>
    <w:p>
      <w:pPr>
        <w:pStyle w:val="BodyText"/>
        <w:spacing w:line="309" w:lineRule="auto" w:before="19"/>
        <w:ind w:right="1130" w:firstLine="360"/>
        <w:jc w:val="both"/>
      </w:pPr>
      <w:r>
        <w:rPr>
          <w:spacing w:val="-2"/>
        </w:rPr>
        <w:t>凭借优质的产品服务、卓越的创新能力、专业高效的运维体系和行业影响力等综合实力，公司已连续三年荣获中国互联</w:t>
      </w:r>
      <w:r>
        <w:rPr/>
        <w:t> </w:t>
      </w:r>
      <w:r>
        <w:rPr>
          <w:spacing w:val="-2"/>
        </w:rPr>
        <w:t>网协会及工业和信息化部信息中心颁发的</w:t>
      </w:r>
      <w:r>
        <w:rPr>
          <w:rFonts w:ascii="Times New Roman" w:hAnsi="Times New Roman" w:cs="Times New Roman" w:eastAsia="Times New Roman" w:hint="default"/>
          <w:spacing w:val="-2"/>
        </w:rPr>
        <w:t>“</w:t>
      </w:r>
      <w:r>
        <w:rPr>
          <w:spacing w:val="-2"/>
        </w:rPr>
        <w:t>中国互联网百强企业</w:t>
      </w:r>
      <w:r>
        <w:rPr>
          <w:rFonts w:ascii="Times New Roman" w:hAnsi="Times New Roman" w:cs="Times New Roman" w:eastAsia="Times New Roman" w:hint="default"/>
          <w:spacing w:val="-2"/>
        </w:rPr>
        <w:t>”</w:t>
      </w:r>
      <w:r>
        <w:rPr>
          <w:spacing w:val="-2"/>
        </w:rPr>
        <w:t>称号。公司主营业务的服务能力与品质获得市场与主管部门</w:t>
      </w:r>
      <w:r>
        <w:rPr>
          <w:spacing w:val="-43"/>
        </w:rPr>
        <w:t> </w:t>
      </w:r>
      <w:r>
        <w:rPr>
          <w:spacing w:val="-43"/>
        </w:rPr>
      </w:r>
      <w:r>
        <w:rPr/>
        <w:t>的认可，</w:t>
      </w:r>
      <w:r>
        <w:rPr>
          <w:rFonts w:ascii="Times New Roman" w:hAnsi="Times New Roman" w:cs="Times New Roman" w:eastAsia="Times New Roman" w:hint="default"/>
        </w:rPr>
        <w:t>2019</w:t>
      </w:r>
      <w:r>
        <w:rPr/>
        <w:t>年获得</w:t>
      </w:r>
      <w:r>
        <w:rPr>
          <w:rFonts w:ascii="Times New Roman" w:hAnsi="Times New Roman" w:cs="Times New Roman" w:eastAsia="Times New Roman" w:hint="default"/>
        </w:rPr>
        <w:t>“</w:t>
      </w:r>
      <w:r>
        <w:rPr/>
        <w:t>北京民营企业百强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北京民营企业科技创新百强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北京民营企业文化产业百强</w:t>
      </w:r>
      <w:r>
        <w:rPr>
          <w:rFonts w:ascii="Times New Roman" w:hAnsi="Times New Roman" w:cs="Times New Roman" w:eastAsia="Times New Roman" w:hint="default"/>
        </w:rPr>
        <w:t>”</w:t>
      </w:r>
      <w:r>
        <w:rPr/>
        <w:t>多项荣誉。</w:t>
      </w:r>
    </w:p>
    <w:p>
      <w:pPr>
        <w:spacing w:line="240" w:lineRule="auto" w:before="11"/>
        <w:rPr>
          <w:rFonts w:ascii="宋体" w:hAnsi="宋体" w:cs="宋体" w:eastAsia="宋体" w:hint="default"/>
          <w:sz w:val="19"/>
          <w:szCs w:val="19"/>
        </w:rPr>
      </w:pPr>
    </w:p>
    <w:p>
      <w:pPr>
        <w:pStyle w:val="Heading2"/>
        <w:spacing w:line="240" w:lineRule="auto"/>
        <w:ind w:right="3827"/>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7"/>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3827"/>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7,097,172,610.23</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6,023,164,541.28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7,025,487,711.59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5,926,410,566.63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18.55%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71,684,898.64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96,753,974.65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互联网宽带接入服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54,670,518.85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61,922,253.27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1,560,767,510.37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1,292,386,030.41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20.77%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198,127,504.25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196,326,397.45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5,211,922,178.12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4,375,775,885.50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72.65%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71,684,898.64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96,753,974.65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6,542,417,038.78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5,769,279,541.93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218,777,340.71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194,263,157.85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12.62%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17,996,069.26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198,135.31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8,982.72%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317,982,161.48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59,423,706.19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435.11%</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7,025,487,711.59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5,513,991,309.88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IDC </w:t>
            </w:r>
            <w:r>
              <w:rPr>
                <w:rFonts w:ascii="宋体" w:hAnsi="宋体" w:cs="宋体" w:eastAsia="宋体" w:hint="default"/>
                <w:sz w:val="18"/>
                <w:szCs w:val="18"/>
              </w:rPr>
              <w:t>及其增值服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1,560,767,510.37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710,773,444.48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云计算及其服务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5,211,922,178.12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4,600,892,395.14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6,542,417,038.78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5,249,006,182.34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19.77%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13.40%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13.85%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3" w:right="0"/>
              <w:jc w:val="left"/>
              <w:rPr>
                <w:rFonts w:ascii="Times New Roman" w:hAnsi="Times New Roman" w:cs="Times New Roman" w:eastAsia="Times New Roman" w:hint="default"/>
                <w:sz w:val="18"/>
                <w:szCs w:val="18"/>
              </w:rPr>
            </w:pPr>
            <w:r>
              <w:rPr>
                <w:rFonts w:ascii="Times New Roman"/>
                <w:sz w:val="18"/>
              </w:rPr>
              <w:t>-0.32%</w:t>
            </w:r>
          </w:p>
        </w:tc>
      </w:tr>
    </w:tbl>
    <w:p>
      <w:pPr>
        <w:pStyle w:val="BodyText"/>
        <w:spacing w:line="240" w:lineRule="auto" w:before="49"/>
        <w:ind w:right="111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3827"/>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t>行业和产品分类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42,134,120.20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33,808,404.82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235,146,532.18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287,368,327.74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-18.17%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21,776,484.22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26,576,832.79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208,705,091.52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212,760,125.87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1,357,890,691.29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1,329,351,190.79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351,214,845.58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290,834,864.49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5,945,140.26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4,810,733.04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13,262,401.25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13,816,593.46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417,048,338.92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342,953,945.50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广告投放费用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2,845,866,304.82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2,125,892,974.11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14,929,522.52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1,025,630.85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2,919,251.22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45,910,629.34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65,378,713.53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2,119,163.32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171,248.38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1,137.48%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3,203,308.38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3,304,982.88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54,530.79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3,231,418.75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381,724.12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746.53%</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8"/>
        <w:gridCol w:w="1419"/>
        <w:gridCol w:w="1418"/>
        <w:gridCol w:w="1417"/>
        <w:gridCol w:w="1066"/>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互联网宽带接入服务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3,318,020.40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3,238,107.34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互联网宽带接入服务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16,890,826.49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16,011,551.94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互联网宽带接入服务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490,751.68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706,545.21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互联网宽带接入服务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16,294,112.46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15,263,402.72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6.75%</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互联网宽带接入服务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22,199.70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39,014.73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-43.10%</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互联网宽带接入服务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5,760,095.53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5,754,755.07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35,356,317.18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28,063,761.75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47,022,974.71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40,122,640.13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20,534,255.07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25,418,516.57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36,243,966.13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35,932,145.42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318,278,747.85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262,032,893.30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5,945,140.26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4,810,733.04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23.58%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13,240,201.55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10,148,490.22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219,150,482.09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152,255,374.13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43.94%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14,929,522.52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71,837.12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799,781.79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-91.02%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156,167,012.93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161,564,577.73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1,501,417.41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2,214,208.12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-32.19%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16,534.49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23,476.76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1,864,499.17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1,654,651.53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12.68%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3,459,782.62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2,506,535.73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带宽使用费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169,731,313.57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229,019,927.55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-25.89%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734,942.98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428,294.25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71.60%</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1,357,890,691.29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24.39%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1,329,351,190.79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28.04%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广告投放费用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2,845,866,304.82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2,125,892,974.11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32,936,097.73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28,801,971.19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14.35%</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3,629,088.51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190,273,262.13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183,289,164.77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3.81%</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225,849.06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2,919,251.22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418"/>
        <w:gridCol w:w="1419"/>
        <w:gridCol w:w="1418"/>
        <w:gridCol w:w="1417"/>
        <w:gridCol w:w="106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45,910,629.34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65,378,713.53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2,119,163.32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171,248.38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1,137.48%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3,203,308.38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3,304,982.88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54,530.79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物业维护费</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68,396.23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3,231,418.75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381,724.12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746.53%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1"/>
        <w:ind w:right="1129" w:firstLine="360"/>
        <w:jc w:val="left"/>
      </w:pPr>
      <w:r>
        <w:rPr>
          <w:rFonts w:ascii="Times New Roman" w:hAnsi="Times New Roman" w:cs="Times New Roman" w:eastAsia="Times New Roman" w:hint="default"/>
          <w:spacing w:val="-5"/>
        </w:rPr>
        <w:t>2019</w:t>
      </w:r>
      <w:r>
        <w:rPr>
          <w:spacing w:val="-5"/>
        </w:rPr>
        <w:t>年度合并范围共增加三户，分别是二级子公司上海无双企业发展有限公司、上海中可企业发展有限公司和光环云（上</w:t>
      </w:r>
      <w:r>
        <w:rPr/>
        <w:t> 海）数据科技有限公司。具体如下：</w:t>
      </w:r>
    </w:p>
    <w:p>
      <w:pPr>
        <w:pStyle w:val="BodyText"/>
        <w:spacing w:line="240" w:lineRule="auto" w:before="31"/>
        <w:ind w:left="513" w:right="3827"/>
        <w:jc w:val="left"/>
      </w:pPr>
      <w:r>
        <w:rPr>
          <w:rFonts w:ascii="Times New Roman" w:hAnsi="Times New Roman" w:cs="Times New Roman" w:eastAsia="Times New Roman" w:hint="default"/>
        </w:rPr>
        <w:t>1</w:t>
      </w:r>
      <w:r>
        <w:rPr/>
        <w:t>、二级子公司上海无双企业发展有限公司</w:t>
      </w:r>
    </w:p>
    <w:p>
      <w:pPr>
        <w:pStyle w:val="BodyText"/>
        <w:spacing w:line="240" w:lineRule="auto" w:before="63"/>
        <w:ind w:left="513" w:right="98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日，全资子公司北京无双科技有限公司出资设立上海无双企业发展有限公司，北京无双科技有限公司认缴</w:t>
      </w:r>
    </w:p>
    <w:p>
      <w:pPr>
        <w:pStyle w:val="BodyText"/>
        <w:spacing w:line="240" w:lineRule="auto" w:before="63"/>
        <w:ind w:right="3827"/>
        <w:jc w:val="left"/>
      </w:pPr>
      <w:r>
        <w:rPr>
          <w:rFonts w:ascii="Times New Roman" w:hAnsi="Times New Roman" w:cs="Times New Roman" w:eastAsia="Times New Roman" w:hint="default"/>
        </w:rPr>
        <w:t>1,000</w:t>
      </w:r>
      <w:r>
        <w:rPr/>
        <w:t>万元，持股比例</w:t>
      </w:r>
      <w:r>
        <w:rPr>
          <w:rFonts w:ascii="Times New Roman" w:hAnsi="Times New Roman" w:cs="Times New Roman" w:eastAsia="Times New Roman" w:hint="default"/>
        </w:rPr>
        <w:t>100%</w:t>
      </w:r>
      <w:r>
        <w:rPr/>
        <w:t>，并纳入合并范围。</w:t>
      </w:r>
    </w:p>
    <w:p>
      <w:pPr>
        <w:pStyle w:val="BodyText"/>
        <w:spacing w:line="240" w:lineRule="auto" w:before="63"/>
        <w:ind w:left="513" w:right="3827"/>
        <w:jc w:val="left"/>
      </w:pPr>
      <w:r>
        <w:rPr>
          <w:rFonts w:ascii="Times New Roman" w:hAnsi="Times New Roman" w:cs="Times New Roman" w:eastAsia="Times New Roman" w:hint="default"/>
        </w:rPr>
        <w:t>2</w:t>
      </w:r>
      <w:r>
        <w:rPr/>
        <w:t>、二级子公司上海中可企业发展有限公司</w:t>
      </w:r>
    </w:p>
    <w:p>
      <w:pPr>
        <w:pStyle w:val="BodyText"/>
        <w:spacing w:line="300" w:lineRule="auto" w:before="63"/>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日，全资子公司光环新网（上海）信息服务有限公司以</w:t>
      </w:r>
      <w:r>
        <w:rPr>
          <w:rFonts w:ascii="Times New Roman" w:hAnsi="Times New Roman" w:cs="Times New Roman" w:eastAsia="Times New Roman" w:hint="default"/>
        </w:rPr>
        <w:t>13,980</w:t>
      </w:r>
      <w:r>
        <w:rPr/>
        <w:t>万元收购张辉、上海步拉维企业管理咨询事 </w:t>
      </w:r>
      <w:r>
        <w:rPr>
          <w:spacing w:val="-1"/>
        </w:rPr>
        <w:t>务所以及上海番塔西企业管理咨询事务所合计持有的上海中可</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日完成工商变更，上海中可成为光环</w:t>
      </w:r>
      <w:r>
        <w:rPr>
          <w:spacing w:val="-87"/>
        </w:rPr>
        <w:t> </w:t>
      </w:r>
      <w:r>
        <w:rPr>
          <w:spacing w:val="-87"/>
        </w:rPr>
      </w:r>
      <w:r>
        <w:rPr/>
        <w:t>新网（上海）信息服务有限公司的全资子公司并纳入合并范围。</w:t>
      </w:r>
    </w:p>
    <w:p>
      <w:pPr>
        <w:pStyle w:val="BodyText"/>
        <w:spacing w:line="240" w:lineRule="auto" w:before="31"/>
        <w:ind w:left="513" w:right="3827"/>
        <w:jc w:val="left"/>
      </w:pPr>
      <w:r>
        <w:rPr>
          <w:rFonts w:ascii="Times New Roman" w:hAnsi="Times New Roman" w:cs="Times New Roman" w:eastAsia="Times New Roman" w:hint="default"/>
        </w:rPr>
        <w:t>3</w:t>
      </w:r>
      <w:r>
        <w:rPr/>
        <w:t>、二级子公司光环云（上海）数据科技有限公司</w:t>
      </w:r>
    </w:p>
    <w:p>
      <w:pPr>
        <w:pStyle w:val="BodyText"/>
        <w:spacing w:line="300" w:lineRule="auto" w:before="63"/>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日，控股子公司光环云数据有限公司出资设立光环云（上海）数据科技有限公司，光环云数据有限公司认 缴</w:t>
      </w:r>
      <w:r>
        <w:rPr>
          <w:rFonts w:ascii="Times New Roman" w:hAnsi="Times New Roman" w:cs="Times New Roman" w:eastAsia="Times New Roman" w:hint="default"/>
        </w:rPr>
        <w:t>1,000</w:t>
      </w:r>
      <w:r>
        <w:rPr/>
        <w:t>万元，持股比例</w:t>
      </w:r>
      <w:r>
        <w:rPr>
          <w:rFonts w:ascii="Times New Roman" w:hAnsi="Times New Roman" w:cs="Times New Roman" w:eastAsia="Times New Roman" w:hint="default"/>
        </w:rPr>
        <w:t>100%</w:t>
      </w:r>
      <w:r>
        <w:rPr/>
        <w:t>，并纳入合并范围。</w:t>
      </w:r>
    </w:p>
    <w:p>
      <w:pPr>
        <w:spacing w:line="240" w:lineRule="auto" w:before="5"/>
        <w:rPr>
          <w:rFonts w:ascii="宋体" w:hAnsi="宋体" w:cs="宋体" w:eastAsia="宋体" w:hint="default"/>
          <w:sz w:val="22"/>
          <w:szCs w:val="22"/>
        </w:rPr>
      </w:pPr>
    </w:p>
    <w:p>
      <w:pPr>
        <w:pStyle w:val="Heading3"/>
        <w:spacing w:line="240" w:lineRule="auto"/>
        <w:ind w:right="3827"/>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1,869,112,319.65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26.34%</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382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640,054,564.96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378,804,456.15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306,193,773.04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275,137,290.92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268,922,234.58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1,869,112,319.65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26.34%</w:t>
            </w:r>
          </w:p>
        </w:tc>
      </w:tr>
    </w:tbl>
    <w:p>
      <w:pPr>
        <w:pStyle w:val="BodyText"/>
        <w:spacing w:line="240" w:lineRule="auto" w:before="49"/>
        <w:ind w:right="3827"/>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4,736,813,736.78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78.69%</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382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2,392,666,251.76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1,474,539,634.11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358,645,726.99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304,524,725.91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206,437,398.01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4,736,813,736.78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78.69%</w:t>
            </w:r>
          </w:p>
        </w:tc>
      </w:tr>
    </w:tbl>
    <w:p>
      <w:pPr>
        <w:pStyle w:val="BodyText"/>
        <w:spacing w:line="240" w:lineRule="auto" w:before="49"/>
        <w:ind w:right="3827"/>
        <w:jc w:val="left"/>
      </w:pPr>
      <w:r>
        <w:rPr/>
        <w:t>主要供应商其他情况说明</w:t>
      </w:r>
    </w:p>
    <w:p>
      <w:pPr>
        <w:pStyle w:val="BodyText"/>
        <w:spacing w:line="240" w:lineRule="auto" w:before="117"/>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66,065,987.50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44,985,076.36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46.86%</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主要原因为云计算业务的市场投入 增加。</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172,313,546.37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137,617,708.92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112,685,563.81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119,786,890.55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236,898,909.83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183,327,747.27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11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报告期内，公司在数据中心运营优化管理、自动化运维、混合云计算应用、网络安全防护等领域持续研发，完成网络监</w:t>
      </w:r>
    </w:p>
    <w:p>
      <w:pPr>
        <w:pStyle w:val="BodyText"/>
        <w:spacing w:line="312" w:lineRule="auto" w:before="1"/>
        <w:ind w:right="1131"/>
        <w:jc w:val="both"/>
      </w:pPr>
      <w:r>
        <w:rPr>
          <w:spacing w:val="-2"/>
        </w:rPr>
        <w:t>控管理平台的建设和完善，提升了自动化运维的效率，增强了运维管理水平；完成网络攻击防护系统的升级，进一步加强了</w:t>
      </w:r>
      <w:r>
        <w:rPr>
          <w:spacing w:val="-65"/>
        </w:rPr>
        <w:t> </w:t>
      </w:r>
      <w:r>
        <w:rPr>
          <w:spacing w:val="-65"/>
        </w:rPr>
      </w:r>
      <w:r>
        <w:rPr>
          <w:spacing w:val="-1"/>
        </w:rPr>
        <w:t>网络防护能力，确保客户业务的连续性；完成</w:t>
      </w:r>
      <w:r>
        <w:rPr>
          <w:rFonts w:ascii="Times New Roman" w:hAnsi="Times New Roman" w:cs="Times New Roman" w:eastAsia="Times New Roman" w:hint="default"/>
          <w:spacing w:val="-1"/>
        </w:rPr>
        <w:t>IPv6</w:t>
      </w:r>
      <w:r>
        <w:rPr>
          <w:spacing w:val="-1"/>
        </w:rPr>
        <w:t>系统平台的建设，紧跟国家</w:t>
      </w:r>
      <w:r>
        <w:rPr>
          <w:rFonts w:ascii="Times New Roman" w:hAnsi="Times New Roman" w:cs="Times New Roman" w:eastAsia="Times New Roman" w:hint="default"/>
          <w:spacing w:val="-1"/>
        </w:rPr>
        <w:t>IPv6</w:t>
      </w:r>
      <w:r>
        <w:rPr>
          <w:spacing w:val="-1"/>
        </w:rPr>
        <w:t>规模推进部署的节奏，满足客户对</w:t>
      </w:r>
      <w:r>
        <w:rPr>
          <w:rFonts w:ascii="Times New Roman" w:hAnsi="Times New Roman" w:cs="Times New Roman" w:eastAsia="Times New Roman" w:hint="default"/>
          <w:spacing w:val="-1"/>
        </w:rPr>
        <w:t>IPv6</w:t>
      </w:r>
      <w:r>
        <w:rPr>
          <w:spacing w:val="-1"/>
        </w:rPr>
        <w:t>业</w:t>
      </w:r>
      <w:r>
        <w:rPr>
          <w:spacing w:val="-62"/>
        </w:rPr>
        <w:t> </w:t>
      </w:r>
      <w:r>
        <w:rPr>
          <w:spacing w:val="-2"/>
        </w:rPr>
        <w:t>务接入的需求；完成多云混合平台的建设，为客户提供多种混合云解决方案，实现一站式便捷上云，满足客户多样的混合云</w:t>
      </w:r>
      <w:r>
        <w:rPr>
          <w:spacing w:val="-65"/>
        </w:rPr>
        <w:t> </w:t>
      </w:r>
      <w:r>
        <w:rPr>
          <w:spacing w:val="-65"/>
        </w:rPr>
      </w:r>
      <w:r>
        <w:rPr/>
        <w:t>需求；完成数据中心运维管理的相关研发，提升了数据中心运营管理的效率。</w:t>
      </w:r>
    </w:p>
    <w:p>
      <w:pPr>
        <w:spacing w:after="0" w:line="312"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047" w:firstLine="360"/>
        <w:jc w:val="left"/>
      </w:pPr>
      <w:r>
        <w:rPr/>
        <w:t>光环云数据开发平台的技术架构全面升级到了业界领先的</w:t>
      </w:r>
      <w:r>
        <w:rPr>
          <w:rFonts w:ascii="Times New Roman" w:hAnsi="Times New Roman" w:cs="Times New Roman" w:eastAsia="Times New Roman" w:hint="default"/>
        </w:rPr>
        <w:t>DevOps</w:t>
      </w:r>
      <w:r>
        <w:rPr/>
        <w:t>管理、开发和运维模式，开发平台是基于业界领先的 微服务</w:t>
      </w:r>
      <w:r>
        <w:rPr>
          <w:rFonts w:ascii="Times New Roman" w:hAnsi="Times New Roman" w:cs="Times New Roman" w:eastAsia="Times New Roman" w:hint="default"/>
        </w:rPr>
        <w:t>Spring-Cloud</w:t>
      </w:r>
      <w:r>
        <w:rPr/>
        <w:t>架构、</w:t>
      </w:r>
      <w:r>
        <w:rPr>
          <w:rFonts w:ascii="Times New Roman" w:hAnsi="Times New Roman" w:cs="Times New Roman" w:eastAsia="Times New Roman" w:hint="default"/>
        </w:rPr>
        <w:t>Docker</w:t>
      </w:r>
      <w:r>
        <w:rPr/>
        <w:t>容器技术、</w:t>
      </w:r>
      <w:r>
        <w:rPr>
          <w:rFonts w:ascii="Times New Roman" w:hAnsi="Times New Roman" w:cs="Times New Roman" w:eastAsia="Times New Roman" w:hint="default"/>
        </w:rPr>
        <w:t>AWS</w:t>
      </w:r>
      <w:r>
        <w:rPr/>
        <w:t>公有云和自建私有云相结合的混合云企业级架构方案，为开发人员提供一 套可快速开发、部署、运维管理、持续开发持续集成的混合云解决方案。平台提供基础设施、微服务组件、数据服务组件、</w:t>
      </w:r>
      <w:r>
        <w:rPr>
          <w:spacing w:val="-86"/>
        </w:rPr>
        <w:t> </w:t>
      </w:r>
      <w:r>
        <w:rPr>
          <w:spacing w:val="-86"/>
        </w:rPr>
      </w:r>
      <w:r>
        <w:rPr>
          <w:spacing w:val="-2"/>
        </w:rPr>
        <w:t>云服务器等资源，同时在系统运维层面平台会自动构建、部署，实现应用的敏捷开发、快速迭代，大幅度的提高了生产效率</w:t>
      </w:r>
      <w:r>
        <w:rPr>
          <w:spacing w:val="-67"/>
        </w:rPr>
        <w:t> </w:t>
      </w:r>
      <w:r>
        <w:rPr>
          <w:spacing w:val="-67"/>
        </w:rPr>
      </w:r>
      <w:r>
        <w:rPr/>
        <w:t>的同时降低了运营人力成本的同时还有效的避免了人工手动运维可能产生的各项错误。</w:t>
      </w:r>
    </w:p>
    <w:p>
      <w:pPr>
        <w:pStyle w:val="BodyText"/>
        <w:spacing w:line="309" w:lineRule="auto" w:before="24"/>
        <w:ind w:right="1130" w:firstLine="360"/>
        <w:jc w:val="both"/>
      </w:pPr>
      <w:r>
        <w:rPr>
          <w:spacing w:val="-2"/>
        </w:rPr>
        <w:t>报告期内，无双科技</w:t>
      </w:r>
      <w:r>
        <w:rPr>
          <w:rFonts w:ascii="Times New Roman" w:hAnsi="Times New Roman" w:cs="Times New Roman" w:eastAsia="Times New Roman" w:hint="default"/>
          <w:spacing w:val="-2"/>
        </w:rPr>
        <w:t>SaaS</w:t>
      </w:r>
      <w:r>
        <w:rPr>
          <w:spacing w:val="-2"/>
        </w:rPr>
        <w:t>云与搜索引擎各营销产品已完成对接，并为各类营销产品更新与迭代提供基础架构与接口；同</w:t>
      </w:r>
      <w:r>
        <w:rPr/>
        <w:t> 时完成了旅游客源地分析预测系统、企业营销预算自动控制系统、超级账户数据查询系统、微信小程序追踪平台、</w:t>
      </w:r>
      <w:r>
        <w:rPr>
          <w:rFonts w:ascii="Times New Roman" w:hAnsi="Times New Roman" w:cs="Times New Roman" w:eastAsia="Times New Roman" w:hint="default"/>
        </w:rPr>
        <w:t>AG</w:t>
      </w:r>
      <w:r>
        <w:rPr/>
        <w:t>广告</w:t>
      </w:r>
      <w:r>
        <w:rPr>
          <w:spacing w:val="2"/>
        </w:rPr>
        <w:t> </w:t>
      </w:r>
      <w:r>
        <w:rPr>
          <w:spacing w:val="-2"/>
        </w:rPr>
        <w:t>监测系统、信息流广告监测平台、百度信息流广告投放平台、无双广点通代理商平台、无双头条搜索助手、无双头条信息流</w:t>
      </w:r>
      <w:r>
        <w:rPr>
          <w:spacing w:val="-67"/>
        </w:rPr>
        <w:t> </w:t>
      </w:r>
      <w:r>
        <w:rPr>
          <w:spacing w:val="-67"/>
        </w:rPr>
      </w:r>
      <w:r>
        <w:rPr>
          <w:spacing w:val="-2"/>
        </w:rPr>
        <w:t>广告平台、无双信息流素材库平台、无双应用市场榜单系统、无双微信公众号运营系统的研发和建立，预计未来对运营效率</w:t>
      </w:r>
      <w:r>
        <w:rPr>
          <w:spacing w:val="-65"/>
        </w:rPr>
        <w:t> </w:t>
      </w:r>
      <w:r>
        <w:rPr>
          <w:spacing w:val="-65"/>
        </w:rPr>
      </w:r>
      <w:r>
        <w:rPr/>
        <w:t>和客户体验有较大幅度的提升。</w:t>
      </w:r>
    </w:p>
    <w:p>
      <w:pPr>
        <w:spacing w:line="240" w:lineRule="auto" w:before="0"/>
        <w:rPr>
          <w:rFonts w:ascii="宋体" w:hAnsi="宋体" w:cs="宋体" w:eastAsia="宋体" w:hint="default"/>
          <w:sz w:val="18"/>
          <w:szCs w:val="18"/>
        </w:rPr>
      </w:pPr>
    </w:p>
    <w:p>
      <w:pPr>
        <w:pStyle w:val="BodyText"/>
        <w:spacing w:line="240" w:lineRule="auto" w:before="141"/>
        <w:ind w:right="3827"/>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236,898,909.83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183,327,747.27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111,994,123.16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3827"/>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7,471,519,191.11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6,247,759,296.92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6,868,552,253.71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5,660,828,029.80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21.33%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602,966,937.40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586,931,267.12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1,344,476,729.19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2,696,055,540.92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-50.13%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2,096,370,423.65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3,480,165,171.48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-751,893,694.46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-784,109,630.56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1,960,152,353.76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1,713,410,810.01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1,864,805,379.20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1,279,487,927.28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45.75%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95,346,974.56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433,922,882.73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-78.03%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-53,579,782.50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236,744,519.29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-122.63%</w:t>
            </w:r>
          </w:p>
        </w:tc>
      </w:tr>
    </w:tbl>
    <w:p>
      <w:pPr>
        <w:pStyle w:val="BodyText"/>
        <w:spacing w:line="240" w:lineRule="auto" w:before="49"/>
        <w:ind w:right="3827"/>
        <w:jc w:val="left"/>
      </w:pPr>
      <w:r>
        <w:rPr/>
        <w:t>相关数据同比发生重大变动的主要影响因素说明</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3827"/>
        <w:jc w:val="left"/>
      </w:pPr>
      <w:r>
        <w:rPr>
          <w:rFonts w:ascii="Times New Roman" w:hAnsi="Times New Roman" w:cs="Times New Roman" w:eastAsia="Times New Roman" w:hint="default"/>
        </w:rPr>
        <w:t>1</w:t>
      </w:r>
      <w:r>
        <w:rPr/>
        <w:t>、投资活动现金流入和现金流出减少的主要原因是报告期闲置募集资金减少；</w:t>
      </w:r>
    </w:p>
    <w:p>
      <w:pPr>
        <w:pStyle w:val="BodyText"/>
        <w:spacing w:line="240" w:lineRule="auto" w:before="63"/>
        <w:ind w:left="513" w:right="1112"/>
        <w:jc w:val="left"/>
      </w:pPr>
      <w:r>
        <w:rPr>
          <w:rFonts w:ascii="Times New Roman" w:hAnsi="Times New Roman" w:cs="Times New Roman" w:eastAsia="Times New Roman" w:hint="default"/>
        </w:rPr>
        <w:t>2</w:t>
      </w:r>
      <w:r>
        <w:rPr/>
        <w:t>、筹资活动现金流出增加的主要原因是报告期偿还金融机构借款和支付借款利息。</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3827"/>
        <w:jc w:val="left"/>
      </w:pPr>
      <w:r>
        <w:rPr/>
        <w:t>报告期内公司经营活动产生的现金净流量与本年度净利润存在重大差异的原因说明</w:t>
      </w:r>
    </w:p>
    <w:p>
      <w:pPr>
        <w:pStyle w:val="BodyText"/>
        <w:spacing w:line="340" w:lineRule="auto" w:before="115"/>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报告期内公司经营活动产生的现金净额</w:t>
      </w:r>
      <w:r>
        <w:rPr>
          <w:rFonts w:ascii="Times New Roman" w:hAnsi="Times New Roman" w:cs="Times New Roman" w:eastAsia="Times New Roman" w:hint="default"/>
        </w:rPr>
        <w:t>602,966,937.40</w:t>
      </w:r>
      <w:r>
        <w:rPr/>
        <w:t>元，本年度净利润</w:t>
      </w:r>
      <w:r>
        <w:rPr>
          <w:rFonts w:ascii="Times New Roman" w:hAnsi="Times New Roman" w:cs="Times New Roman" w:eastAsia="Times New Roman" w:hint="default"/>
        </w:rPr>
        <w:t>824,590,767.43</w:t>
      </w:r>
      <w:r>
        <w:rPr/>
        <w:t>元，主要差异为折旧摊销等非付</w:t>
      </w:r>
    </w:p>
    <w:p>
      <w:pPr>
        <w:pStyle w:val="BodyText"/>
        <w:spacing w:line="228" w:lineRule="exact"/>
        <w:ind w:right="1112"/>
        <w:jc w:val="left"/>
      </w:pPr>
      <w:r>
        <w:rPr/>
        <w:t>现费用、支付借款利息、以及期末应收账款增加和支付保证金等。详见</w:t>
      </w:r>
      <w:r>
        <w:rPr>
          <w:rFonts w:ascii="Times New Roman" w:hAnsi="Times New Roman" w:cs="Times New Roman" w:eastAsia="Times New Roman" w:hint="default"/>
        </w:rPr>
        <w:t>“</w:t>
      </w:r>
      <w:r>
        <w:rPr/>
        <w:t>第十二节 财务报告 </w:t>
      </w:r>
      <w:r>
        <w:rPr>
          <w:rFonts w:ascii="Times New Roman" w:hAnsi="Times New Roman" w:cs="Times New Roman" w:eastAsia="Times New Roman" w:hint="default"/>
        </w:rPr>
        <w:t>47</w:t>
      </w:r>
      <w:r>
        <w:rPr/>
        <w:t>、现金流量表补充资料</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7"/>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467"/>
        <w:gridCol w:w="994"/>
        <w:gridCol w:w="1274"/>
        <w:gridCol w:w="994"/>
        <w:gridCol w:w="991"/>
        <w:gridCol w:w="2482"/>
      </w:tblGrid>
      <w:tr>
        <w:trPr>
          <w:trHeight w:val="38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401" w:right="41"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69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4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248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467"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248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4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677,411,424.95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730,991,207.45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1,928,255,691.20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15.76%</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1,617,922,954.8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14.21%</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1.55%</w:t>
            </w:r>
          </w:p>
        </w:tc>
        <w:tc>
          <w:tcPr>
            <w:tcW w:w="2482"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482"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8,722,346.50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9,331,579.22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4,485,976,205.01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36.67%</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4,040,067,130.9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35.48%</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1.19%</w:t>
            </w:r>
          </w:p>
        </w:tc>
        <w:tc>
          <w:tcPr>
            <w:tcW w:w="2482"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482"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844,514,622.15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938,491,735.17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424,797,664.69</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3.47%</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140,000,000.00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1.23%</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2.24%</w:t>
            </w:r>
          </w:p>
        </w:tc>
        <w:tc>
          <w:tcPr>
            <w:tcW w:w="248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86"/>
              <w:jc w:val="left"/>
              <w:rPr>
                <w:rFonts w:ascii="宋体" w:hAnsi="宋体" w:cs="宋体" w:eastAsia="宋体" w:hint="default"/>
                <w:sz w:val="18"/>
                <w:szCs w:val="18"/>
              </w:rPr>
            </w:pPr>
            <w:r>
              <w:rPr>
                <w:rFonts w:ascii="宋体" w:hAnsi="宋体" w:cs="宋体" w:eastAsia="宋体" w:hint="default"/>
                <w:sz w:val="18"/>
                <w:szCs w:val="18"/>
              </w:rPr>
              <w:t>主要原因为增加流动资金借 款。</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7"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482"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48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994"/>
        <w:gridCol w:w="1274"/>
        <w:gridCol w:w="994"/>
        <w:gridCol w:w="991"/>
        <w:gridCol w:w="2482"/>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1,380,848,063.24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1,488,332,103.6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主要原因为报告期归还借款。</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139,188,679.25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251,224,993.54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主要原因为银行理财产品余额 减少。</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392,894,670.59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220,135,025.46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86"/>
              <w:jc w:val="left"/>
              <w:rPr>
                <w:rFonts w:ascii="宋体" w:hAnsi="宋体" w:cs="宋体" w:eastAsia="宋体" w:hint="default"/>
                <w:sz w:val="18"/>
                <w:szCs w:val="18"/>
              </w:rPr>
            </w:pPr>
            <w:r>
              <w:rPr>
                <w:rFonts w:ascii="宋体" w:hAnsi="宋体" w:cs="宋体" w:eastAsia="宋体" w:hint="default"/>
                <w:sz w:val="18"/>
                <w:szCs w:val="18"/>
              </w:rPr>
              <w:t>主要原因为支付的保证金增 加。</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56,592,267.47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6"/>
              <w:jc w:val="both"/>
              <w:rPr>
                <w:rFonts w:ascii="宋体" w:hAnsi="宋体" w:cs="宋体" w:eastAsia="宋体" w:hint="default"/>
                <w:sz w:val="18"/>
                <w:szCs w:val="18"/>
              </w:rPr>
            </w:pPr>
            <w:r>
              <w:rPr>
                <w:rFonts w:ascii="宋体" w:hAnsi="宋体" w:cs="宋体" w:eastAsia="宋体" w:hint="default"/>
                <w:sz w:val="18"/>
                <w:szCs w:val="18"/>
              </w:rPr>
              <w:t>主要原因为本期处置对天津新 动金鼎万众体育资产管理合伙 企业（有限合伙）和上海开域 信息科技有限公司的投资。</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33,740,037.90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18,398,221.05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主要原因为子公司无双科技企 业所得税税率变化。</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18,485,214.00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主要原因为子公司光环上海信 </w:t>
            </w:r>
            <w:r>
              <w:rPr>
                <w:rFonts w:ascii="宋体" w:hAnsi="宋体" w:cs="宋体" w:eastAsia="宋体" w:hint="default"/>
                <w:spacing w:val="-7"/>
                <w:sz w:val="18"/>
                <w:szCs w:val="18"/>
              </w:rPr>
              <w:t>无偿取得不动产。（详见第十二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节、七、</w:t>
            </w:r>
            <w:r>
              <w:rPr>
                <w:rFonts w:ascii="Times New Roman" w:hAnsi="Times New Roman" w:cs="Times New Roman" w:eastAsia="Times New Roman" w:hint="default"/>
                <w:sz w:val="18"/>
                <w:szCs w:val="18"/>
              </w:rPr>
              <w:t>26</w:t>
            </w:r>
            <w:r>
              <w:rPr>
                <w:rFonts w:ascii="宋体" w:hAnsi="宋体" w:cs="宋体" w:eastAsia="宋体" w:hint="default"/>
                <w:sz w:val="18"/>
                <w:szCs w:val="18"/>
              </w:rPr>
              <w:t>、递延收益）</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65"/>
        <w:gridCol w:w="1027"/>
        <w:gridCol w:w="1058"/>
        <w:gridCol w:w="1193"/>
        <w:gridCol w:w="925"/>
        <w:gridCol w:w="1207"/>
        <w:gridCol w:w="1052"/>
        <w:gridCol w:w="920"/>
        <w:gridCol w:w="1212"/>
      </w:tblGrid>
      <w:tr>
        <w:trPr>
          <w:trHeight w:val="161" w:hRule="exact"/>
        </w:trPr>
        <w:tc>
          <w:tcPr>
            <w:tcW w:w="965" w:type="dxa"/>
            <w:vMerge w:val="restart"/>
            <w:tcBorders>
              <w:top w:val="single" w:sz="4" w:space="0" w:color="000000"/>
              <w:left w:val="single" w:sz="4" w:space="0" w:color="000000"/>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5" w:type="dxa"/>
            <w:vMerge w:val="restart"/>
            <w:tcBorders>
              <w:top w:val="nil" w:sz="6" w:space="0" w:color="auto"/>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both"/>
              <w:rPr>
                <w:rFonts w:ascii="宋体" w:hAnsi="宋体" w:cs="宋体" w:eastAsia="宋体" w:hint="default"/>
                <w:sz w:val="18"/>
                <w:szCs w:val="18"/>
              </w:rPr>
            </w:pPr>
            <w:r>
              <w:rPr>
                <w:rFonts w:ascii="宋体" w:hAnsi="宋体" w:cs="宋体" w:eastAsia="宋体" w:hint="default"/>
                <w:sz w:val="18"/>
                <w:szCs w:val="18"/>
              </w:rPr>
              <w:t>交易性金融 资产（不含 衍生金融资 产）</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251,224,993.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188,679.25</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1,311,000,00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139,188,679.25</w:t>
            </w:r>
          </w:p>
        </w:tc>
      </w:tr>
      <w:tr>
        <w:trPr>
          <w:trHeight w:val="71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其他权益工 具投资</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56,592,267.4</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z w:val="18"/>
              </w:rPr>
              <w:t>7</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9,419.00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21,311,686.4</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w:t>
            </w: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35,290,000.00</w:t>
            </w:r>
          </w:p>
        </w:tc>
      </w:tr>
      <w:tr>
        <w:trPr>
          <w:trHeight w:val="161"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7" w:type="dxa"/>
            <w:vMerge w:val="restart"/>
            <w:tcBorders>
              <w:top w:val="single" w:sz="4" w:space="0" w:color="000000"/>
              <w:left w:val="single" w:sz="9" w:space="0" w:color="D2D2D2"/>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307,817,261.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188,679.25</w:t>
            </w:r>
          </w:p>
        </w:tc>
        <w:tc>
          <w:tcPr>
            <w:tcW w:w="1193" w:type="dxa"/>
            <w:vMerge w:val="restart"/>
            <w:tcBorders>
              <w:top w:val="single" w:sz="4" w:space="0" w:color="000000"/>
              <w:left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1,200,009,419.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1,332,311,68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6.47</w:t>
            </w:r>
          </w:p>
        </w:tc>
        <w:tc>
          <w:tcPr>
            <w:tcW w:w="920"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174,478,679.25</w:t>
            </w:r>
          </w:p>
        </w:tc>
      </w:tr>
      <w:tr>
        <w:trPr>
          <w:trHeight w:val="394"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7" w:type="dxa"/>
            <w:vMerge/>
            <w:tcBorders>
              <w:left w:val="single" w:sz="9" w:space="0" w:color="D2D2D2"/>
              <w:right w:val="single" w:sz="4" w:space="0" w:color="000000"/>
            </w:tcBorders>
          </w:tcPr>
          <w:p>
            <w:pPr/>
          </w:p>
        </w:tc>
        <w:tc>
          <w:tcPr>
            <w:tcW w:w="1058"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1"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7" w:type="dxa"/>
            <w:vMerge/>
            <w:tcBorders>
              <w:left w:val="single" w:sz="9" w:space="0" w:color="D2D2D2"/>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3827"/>
        <w:jc w:val="left"/>
      </w:pPr>
      <w:r>
        <w:rPr/>
        <w:t>报告期内公司主要资产计量属性是否发生重大变化</w:t>
      </w:r>
    </w:p>
    <w:p>
      <w:pPr>
        <w:pStyle w:val="BodyText"/>
        <w:spacing w:line="240" w:lineRule="auto" w:before="117"/>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1937"/>
        <w:gridCol w:w="4467"/>
        <w:gridCol w:w="3255"/>
      </w:tblGrid>
      <w:tr>
        <w:trPr>
          <w:trHeight w:val="427"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767,004,489.68</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贷款质押担保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1937"/>
        <w:gridCol w:w="4467"/>
        <w:gridCol w:w="3255"/>
      </w:tblGrid>
      <w:tr>
        <w:trPr>
          <w:trHeight w:val="428"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1,722,763,136.33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27"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154,871,620.00</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27" w:hRule="exact"/>
        </w:trPr>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2,644,639,246.01</w:t>
            </w:r>
          </w:p>
        </w:tc>
        <w:tc>
          <w:tcPr>
            <w:tcW w:w="325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8"/>
        <w:ind w:right="1131" w:firstLine="360"/>
        <w:jc w:val="both"/>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3</w:t>
      </w:r>
      <w:r>
        <w:rPr>
          <w:spacing w:val="-5"/>
        </w:rPr>
        <w:t>日，无双科技与浦发硅谷银行签订《流动资金借款合同》借款肆仟万元整，借款期限</w:t>
      </w:r>
      <w:r>
        <w:rPr>
          <w:rFonts w:ascii="Times New Roman" w:hAnsi="Times New Roman" w:cs="Times New Roman" w:eastAsia="Times New Roman" w:hint="default"/>
          <w:spacing w:val="-5"/>
        </w:rPr>
        <w:t>1</w:t>
      </w:r>
      <w:r>
        <w:rPr>
          <w:spacing w:val="-5"/>
        </w:rPr>
        <w:t>年，同时签订《应</w:t>
      </w:r>
      <w:r>
        <w:rPr/>
        <w:t> </w:t>
      </w:r>
      <w:r>
        <w:rPr>
          <w:spacing w:val="-6"/>
        </w:rPr>
        <w:t>收账款质押协议（最高额）》以全部应收账款作为该借款合同的质押，期间为</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3</w:t>
      </w:r>
      <w:r>
        <w:rPr>
          <w:spacing w:val="-6"/>
        </w:rPr>
        <w:t>日至</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2</w:t>
      </w:r>
      <w:r>
        <w:rPr>
          <w:spacing w:val="-6"/>
        </w:rPr>
        <w:t>日止，并签订了《应</w:t>
      </w:r>
      <w:r>
        <w:rPr>
          <w:spacing w:val="-77"/>
        </w:rPr>
        <w:t> </w:t>
      </w:r>
      <w:r>
        <w:rPr>
          <w:spacing w:val="-77"/>
        </w:rPr>
      </w:r>
      <w:r>
        <w:rPr>
          <w:spacing w:val="-2"/>
        </w:rPr>
        <w:t>收账款质押登记协议》，对应收账款进行质押登记。截至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日，贷款余额为</w:t>
      </w:r>
      <w:r>
        <w:rPr>
          <w:rFonts w:ascii="Times New Roman" w:hAnsi="Times New Roman" w:cs="Times New Roman" w:eastAsia="Times New Roman" w:hint="default"/>
          <w:spacing w:val="-2"/>
        </w:rPr>
        <w:t>40,000,000.00</w:t>
      </w:r>
      <w:r>
        <w:rPr>
          <w:spacing w:val="-2"/>
        </w:rPr>
        <w:t>元。</w:t>
      </w:r>
    </w:p>
    <w:p>
      <w:pPr>
        <w:pStyle w:val="BodyText"/>
        <w:spacing w:line="300" w:lineRule="auto" w:before="13"/>
        <w:ind w:right="1130" w:firstLine="36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日，本公司与子公司中金云网作为共同借款人，与工商银行经济开发区支行签订</w:t>
      </w:r>
      <w:r>
        <w:rPr>
          <w:rFonts w:ascii="Times New Roman" w:hAnsi="Times New Roman" w:cs="Times New Roman" w:eastAsia="Times New Roman" w:hint="default"/>
          <w:spacing w:val="-3"/>
        </w:rPr>
        <w:t>2019</w:t>
      </w:r>
      <w:r>
        <w:rPr>
          <w:spacing w:val="-3"/>
        </w:rPr>
        <w:t>（亦庄）字</w:t>
      </w:r>
      <w:r>
        <w:rPr>
          <w:rFonts w:ascii="Times New Roman" w:hAnsi="Times New Roman" w:cs="Times New Roman" w:eastAsia="Times New Roman" w:hint="default"/>
          <w:spacing w:val="-3"/>
        </w:rPr>
        <w:t>00156</w:t>
      </w:r>
      <w:r>
        <w:rPr>
          <w:rFonts w:ascii="Times New Roman" w:hAnsi="Times New Roman" w:cs="Times New Roman" w:eastAsia="Times New Roman" w:hint="default"/>
        </w:rPr>
        <w:t> </w:t>
      </w:r>
      <w:r>
        <w:rPr>
          <w:spacing w:val="-2"/>
        </w:rPr>
        <w:t>号经营性物业支持借款合同，该借款合同项下总贷款金额</w:t>
      </w:r>
      <w:r>
        <w:rPr>
          <w:rFonts w:ascii="Times New Roman" w:hAnsi="Times New Roman" w:cs="Times New Roman" w:eastAsia="Times New Roman" w:hint="default"/>
          <w:spacing w:val="-2"/>
        </w:rPr>
        <w:t>15</w:t>
      </w:r>
      <w:r>
        <w:rPr>
          <w:spacing w:val="-2"/>
        </w:rPr>
        <w:t>亿元，借款期限</w:t>
      </w:r>
      <w:r>
        <w:rPr>
          <w:rFonts w:ascii="Times New Roman" w:hAnsi="Times New Roman" w:cs="Times New Roman" w:eastAsia="Times New Roman" w:hint="default"/>
          <w:spacing w:val="-2"/>
        </w:rPr>
        <w:t>15</w:t>
      </w:r>
      <w:r>
        <w:rPr>
          <w:spacing w:val="-2"/>
        </w:rPr>
        <w:t>年。以中金云网位于北京经济技术开发区博兴</w:t>
      </w:r>
      <w:r>
        <w:rPr>
          <w:spacing w:val="-64"/>
        </w:rPr>
        <w:t> </w:t>
      </w:r>
      <w:r>
        <w:rPr>
          <w:spacing w:val="-64"/>
        </w:rPr>
      </w:r>
      <w:r>
        <w:rPr>
          <w:spacing w:val="-2"/>
        </w:rPr>
        <w:t>八路</w:t>
      </w:r>
      <w:r>
        <w:rPr>
          <w:rFonts w:ascii="Times New Roman" w:hAnsi="Times New Roman" w:cs="Times New Roman" w:eastAsia="Times New Roman" w:hint="default"/>
          <w:spacing w:val="-2"/>
        </w:rPr>
        <w:t>1</w:t>
      </w:r>
      <w:r>
        <w:rPr>
          <w:spacing w:val="-2"/>
        </w:rPr>
        <w:t>号</w:t>
      </w:r>
      <w:r>
        <w:rPr>
          <w:rFonts w:ascii="Times New Roman" w:hAnsi="Times New Roman" w:cs="Times New Roman" w:eastAsia="Times New Roman" w:hint="default"/>
          <w:spacing w:val="-2"/>
        </w:rPr>
        <w:t>1</w:t>
      </w:r>
      <w:r>
        <w:rPr>
          <w:spacing w:val="-2"/>
        </w:rPr>
        <w:t>幢、</w:t>
      </w:r>
      <w:r>
        <w:rPr>
          <w:rFonts w:ascii="Times New Roman" w:hAnsi="Times New Roman" w:cs="Times New Roman" w:eastAsia="Times New Roman" w:hint="default"/>
          <w:spacing w:val="-2"/>
        </w:rPr>
        <w:t>2</w:t>
      </w:r>
      <w:r>
        <w:rPr>
          <w:spacing w:val="-2"/>
        </w:rPr>
        <w:t>幢、</w:t>
      </w:r>
      <w:r>
        <w:rPr>
          <w:rFonts w:ascii="Times New Roman" w:hAnsi="Times New Roman" w:cs="Times New Roman" w:eastAsia="Times New Roman" w:hint="default"/>
          <w:spacing w:val="-2"/>
        </w:rPr>
        <w:t>3</w:t>
      </w:r>
      <w:r>
        <w:rPr>
          <w:spacing w:val="-2"/>
        </w:rPr>
        <w:t>幢房产（不动产权编号：京（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0011007</w:t>
      </w:r>
      <w:r>
        <w:rPr>
          <w:spacing w:val="-2"/>
        </w:rPr>
        <w:t>号）、北京经济技术开发区博兴八路</w:t>
      </w:r>
      <w:r>
        <w:rPr>
          <w:rFonts w:ascii="Times New Roman" w:hAnsi="Times New Roman" w:cs="Times New Roman" w:eastAsia="Times New Roman" w:hint="default"/>
          <w:spacing w:val="-2"/>
        </w:rPr>
        <w:t>1</w:t>
      </w:r>
      <w:r>
        <w:rPr>
          <w:spacing w:val="-2"/>
        </w:rPr>
        <w:t>号</w:t>
      </w:r>
      <w:r>
        <w:rPr>
          <w:spacing w:val="-71"/>
        </w:rPr>
        <w:t> </w:t>
      </w:r>
      <w:r>
        <w:rPr/>
        <w:t>院</w:t>
      </w:r>
      <w:r>
        <w:rPr>
          <w:rFonts w:ascii="Times New Roman" w:hAnsi="Times New Roman" w:cs="Times New Roman" w:eastAsia="Times New Roman" w:hint="default"/>
        </w:rPr>
        <w:t>4</w:t>
      </w:r>
      <w:r>
        <w:rPr/>
        <w:t>号楼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101</w:t>
      </w:r>
      <w:r>
        <w:rPr/>
        <w:t>等</w:t>
      </w:r>
      <w:r>
        <w:rPr>
          <w:rFonts w:ascii="Times New Roman" w:hAnsi="Times New Roman" w:cs="Times New Roman" w:eastAsia="Times New Roman" w:hint="default"/>
        </w:rPr>
        <w:t>3</w:t>
      </w:r>
      <w:r>
        <w:rPr/>
        <w:t>套（不动产权编号：京（</w:t>
      </w:r>
      <w:r>
        <w:rPr>
          <w:rFonts w:ascii="Times New Roman" w:hAnsi="Times New Roman" w:cs="Times New Roman" w:eastAsia="Times New Roman" w:hint="default"/>
        </w:rPr>
        <w:t>2016</w:t>
      </w:r>
      <w:r>
        <w:rPr/>
        <w:t>）开不动产权第</w:t>
      </w:r>
      <w:r>
        <w:rPr>
          <w:rFonts w:ascii="Times New Roman" w:hAnsi="Times New Roman" w:cs="Times New Roman" w:eastAsia="Times New Roman" w:hint="default"/>
        </w:rPr>
        <w:t>0013938</w:t>
      </w:r>
      <w:r>
        <w:rPr/>
        <w:t>号）设定抵押，以融资期内中金云网数据中心 项目实现的经营收入设定质押，并由耿殿根个人承担无限连带责任保证担保。截止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日贷款本金余额</w:t>
      </w:r>
      <w:r>
        <w:rPr>
          <w:spacing w:val="-87"/>
        </w:rPr>
        <w:t> </w:t>
      </w:r>
      <w:r>
        <w:rPr>
          <w:rFonts w:ascii="Times New Roman" w:hAnsi="Times New Roman" w:cs="Times New Roman" w:eastAsia="Times New Roman" w:hint="default"/>
        </w:rPr>
        <w:t>926,788,439.42</w:t>
      </w:r>
      <w:r>
        <w:rPr/>
        <w:t>元。</w:t>
      </w:r>
    </w:p>
    <w:p>
      <w:pPr>
        <w:pStyle w:val="BodyText"/>
        <w:spacing w:line="300" w:lineRule="auto" w:before="13"/>
        <w:ind w:right="1132"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日，子公司科信盛彩与中国工商银行股份有限公司北京经济技术开发区支行签订《固定资产支持融资</w:t>
      </w:r>
      <w:r>
        <w:rPr/>
        <w:t> </w:t>
      </w:r>
      <w:r>
        <w:rPr>
          <w:spacing w:val="-3"/>
        </w:rPr>
        <w:t>借款合同》（编号：</w:t>
      </w:r>
      <w:r>
        <w:rPr>
          <w:rFonts w:ascii="Times New Roman" w:hAnsi="Times New Roman" w:cs="Times New Roman" w:eastAsia="Times New Roman" w:hint="default"/>
          <w:spacing w:val="-3"/>
        </w:rPr>
        <w:t>0020000094-2018</w:t>
      </w:r>
      <w:r>
        <w:rPr>
          <w:spacing w:val="-3"/>
        </w:rPr>
        <w:t>年（亦庄）字</w:t>
      </w:r>
      <w:r>
        <w:rPr>
          <w:rFonts w:ascii="Times New Roman" w:hAnsi="Times New Roman" w:cs="Times New Roman" w:eastAsia="Times New Roman" w:hint="default"/>
          <w:spacing w:val="-3"/>
        </w:rPr>
        <w:t>00093</w:t>
      </w:r>
      <w:r>
        <w:rPr>
          <w:spacing w:val="-3"/>
        </w:rPr>
        <w:t>号），科信盛彩以位于北京经济技术开发区瑞合西二路</w:t>
      </w:r>
      <w:r>
        <w:rPr>
          <w:rFonts w:ascii="Times New Roman" w:hAnsi="Times New Roman" w:cs="Times New Roman" w:eastAsia="Times New Roman" w:hint="default"/>
          <w:spacing w:val="-3"/>
        </w:rPr>
        <w:t>6</w:t>
      </w:r>
      <w:r>
        <w:rPr>
          <w:spacing w:val="-3"/>
        </w:rPr>
        <w:t>号院的房屋</w:t>
      </w:r>
      <w:r>
        <w:rPr>
          <w:spacing w:val="-81"/>
        </w:rPr>
        <w:t> </w:t>
      </w:r>
      <w:r>
        <w:rPr/>
        <w:t>所有权及对应的土地使用权（不动产权号：京（</w:t>
      </w:r>
      <w:r>
        <w:rPr>
          <w:rFonts w:ascii="Times New Roman" w:hAnsi="Times New Roman" w:cs="Times New Roman" w:eastAsia="Times New Roman" w:hint="default"/>
        </w:rPr>
        <w:t>2016</w:t>
      </w:r>
      <w:r>
        <w:rPr/>
        <w:t>）开发区不动产第</w:t>
      </w:r>
      <w:r>
        <w:rPr>
          <w:rFonts w:ascii="Times New Roman" w:hAnsi="Times New Roman" w:cs="Times New Roman" w:eastAsia="Times New Roman" w:hint="default"/>
        </w:rPr>
        <w:t>0019466</w:t>
      </w:r>
      <w:r>
        <w:rPr/>
        <w:t>号、京（</w:t>
      </w:r>
      <w:r>
        <w:rPr>
          <w:rFonts w:ascii="Times New Roman" w:hAnsi="Times New Roman" w:cs="Times New Roman" w:eastAsia="Times New Roman" w:hint="default"/>
        </w:rPr>
        <w:t>2016</w:t>
      </w:r>
      <w:r>
        <w:rPr/>
        <w:t>）开发区不动产权第</w:t>
      </w:r>
      <w:r>
        <w:rPr>
          <w:rFonts w:ascii="Times New Roman" w:hAnsi="Times New Roman" w:cs="Times New Roman" w:eastAsia="Times New Roman" w:hint="default"/>
        </w:rPr>
        <w:t>0019668 </w:t>
      </w:r>
      <w:r>
        <w:rPr>
          <w:spacing w:val="-4"/>
        </w:rPr>
        <w:t>号）为抵押，保证人为本公司及自然人耿殿根，合同项下借款金额为</w:t>
      </w:r>
      <w:r>
        <w:rPr>
          <w:rFonts w:ascii="Times New Roman" w:hAnsi="Times New Roman" w:cs="Times New Roman" w:eastAsia="Times New Roman" w:hint="default"/>
          <w:spacing w:val="-4"/>
        </w:rPr>
        <w:t>62,000</w:t>
      </w:r>
      <w:r>
        <w:rPr>
          <w:spacing w:val="-4"/>
        </w:rPr>
        <w:t>万元整，借款期限为</w:t>
      </w:r>
      <w:r>
        <w:rPr>
          <w:rFonts w:ascii="Times New Roman" w:hAnsi="Times New Roman" w:cs="Times New Roman" w:eastAsia="Times New Roman" w:hint="default"/>
          <w:spacing w:val="-4"/>
        </w:rPr>
        <w:t>10</w:t>
      </w:r>
      <w:r>
        <w:rPr>
          <w:spacing w:val="-4"/>
        </w:rPr>
        <w:t>年，截止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spacing w:val="-68"/>
        </w:rPr>
        <w:t> </w:t>
      </w:r>
      <w:r>
        <w:rPr/>
        <w:t>该公司贷款余额</w:t>
      </w:r>
      <w:r>
        <w:rPr>
          <w:rFonts w:ascii="Times New Roman" w:hAnsi="Times New Roman" w:cs="Times New Roman" w:eastAsia="Times New Roman" w:hint="default"/>
        </w:rPr>
        <w:t>454,059,623.82</w:t>
      </w:r>
      <w:r>
        <w:rPr/>
        <w:t>元。</w:t>
      </w:r>
    </w:p>
    <w:p>
      <w:pPr>
        <w:spacing w:line="240" w:lineRule="auto" w:before="5"/>
        <w:rPr>
          <w:rFonts w:ascii="宋体" w:hAnsi="宋体" w:cs="宋体" w:eastAsia="宋体" w:hint="default"/>
          <w:sz w:val="20"/>
          <w:szCs w:val="20"/>
        </w:rPr>
      </w:pPr>
    </w:p>
    <w:p>
      <w:pPr>
        <w:pStyle w:val="Heading2"/>
        <w:spacing w:line="240" w:lineRule="auto"/>
        <w:ind w:right="3827"/>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2,096,370,423.65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3,480,165,171.48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-39.76%</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pict>
          <v:group style="position:absolute;margin-left:126.379997pt;margin-top:112.591728pt;width:32.5500pt;height:59.25pt;mso-position-horizontal-relative:page;mso-position-vertical-relative:paragraph;z-index:-1240672" coordorigin="2528,2252" coordsize="651,1185">
            <v:group style="position:absolute;left:2538;top:2263;width:2;height:394" coordorigin="2538,2263" coordsize="2,394">
              <v:shape style="position:absolute;left:2538;top:2263;width:2;height:394" coordorigin="2538,2263" coordsize="0,394" path="m2538,2263l2538,2656e" filled="false" stroked="true" strokeweight="1.08pt" strokecolor="#ffffff">
                <v:path arrowok="t"/>
              </v:shape>
            </v:group>
            <v:group style="position:absolute;left:2528;top:2656;width:651;height:780" coordorigin="2528,2656" coordsize="651,780">
              <v:shape style="position:absolute;left:2528;top:2656;width:651;height:780" coordorigin="2528,2656" coordsize="651,780" path="m2528,3436l3178,3436,3178,2656,2528,2656,2528,3436xe" filled="true" fillcolor="#ffffff" stroked="false">
                <v:path arrowok="t"/>
                <v:fill type="solid"/>
              </v:shape>
            </v:group>
            <v:group style="position:absolute;left:2549;top:2263;width:608;height:394" coordorigin="2549,2263" coordsize="608,394">
              <v:shape style="position:absolute;left:2549;top:2263;width:608;height:394" coordorigin="2549,2263" coordsize="608,394" path="m2549,2656l3156,2656,3156,2263,2549,2263,2549,2656xe" filled="true" fillcolor="#ffffff" stroked="false">
                <v:path arrowok="t"/>
                <v:fill type="solid"/>
              </v:shape>
            </v:group>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18"/>
              <w:jc w:val="both"/>
              <w:rPr>
                <w:rFonts w:ascii="宋体" w:hAnsi="宋体" w:cs="宋体" w:eastAsia="宋体" w:hint="default"/>
                <w:sz w:val="18"/>
                <w:szCs w:val="18"/>
              </w:rPr>
            </w:pPr>
            <w:r>
              <w:rPr>
                <w:rFonts w:ascii="宋体" w:hAnsi="宋体" w:cs="宋体" w:eastAsia="宋体" w:hint="default"/>
                <w:sz w:val="18"/>
                <w:szCs w:val="18"/>
              </w:rPr>
              <w:t>上海中 可企业 发展有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实业投 </w:t>
            </w:r>
            <w:r>
              <w:rPr>
                <w:rFonts w:ascii="宋体" w:hAnsi="宋体" w:cs="宋体" w:eastAsia="宋体" w:hint="default"/>
                <w:spacing w:val="-22"/>
                <w:sz w:val="18"/>
                <w:szCs w:val="18"/>
              </w:rPr>
              <w:t>资、会展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服务、材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料销售 建筑工 程等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3"/>
              <w:ind w:left="23"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139,800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64"/>
              <w:jc w:val="right"/>
              <w:rPr>
                <w:rFonts w:ascii="宋体" w:hAnsi="宋体" w:cs="宋体" w:eastAsia="宋体" w:hint="default"/>
                <w:sz w:val="18"/>
                <w:szCs w:val="18"/>
              </w:rPr>
            </w:pPr>
            <w:r>
              <w:rPr>
                <w:rFonts w:ascii="宋体" w:hAnsi="宋体" w:cs="宋体" w:eastAsia="宋体" w:hint="default"/>
                <w:sz w:val="18"/>
                <w:szCs w:val="18"/>
              </w:rPr>
              <w:t>自筹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经营期 限至 </w:t>
            </w:r>
            <w:r>
              <w:rPr>
                <w:rFonts w:ascii="Times New Roman" w:hAnsi="Times New Roman" w:cs="Times New Roman" w:eastAsia="Times New Roman" w:hint="default"/>
                <w:sz w:val="18"/>
                <w:szCs w:val="18"/>
              </w:rPr>
              <w:t>2040</w:t>
            </w:r>
          </w:p>
          <w:p>
            <w:pPr>
              <w:pStyle w:val="TableParagraph"/>
              <w:spacing w:line="230"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2,697,13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0.92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4" w:right="44"/>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139,800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2,697,13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0.92</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1649"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房山绿色云计 算基地一期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314,596,</w:t>
            </w:r>
          </w:p>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866.29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965,865,</w:t>
            </w:r>
          </w:p>
          <w:p>
            <w:pPr>
              <w:pStyle w:val="TableParagraph"/>
              <w:spacing w:line="240" w:lineRule="auto" w:before="102"/>
              <w:ind w:left="171" w:right="0"/>
              <w:jc w:val="center"/>
              <w:rPr>
                <w:rFonts w:ascii="Times New Roman" w:hAnsi="Times New Roman" w:cs="Times New Roman" w:eastAsia="Times New Roman" w:hint="default"/>
                <w:sz w:val="18"/>
                <w:szCs w:val="18"/>
              </w:rPr>
            </w:pPr>
            <w:r>
              <w:rPr>
                <w:rFonts w:ascii="Times New Roman"/>
                <w:sz w:val="18"/>
              </w:rPr>
              <w:t>264.49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68.93%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238,348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,800.00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7,580,6</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23.70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房山绿色云计 算基地二期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互联网和 相关服务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107,060,</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499.36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164,213,</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223.65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1"/>
              <w:jc w:val="right"/>
              <w:rPr>
                <w:rFonts w:ascii="宋体" w:hAnsi="宋体" w:cs="宋体" w:eastAsia="宋体" w:hint="default"/>
                <w:sz w:val="18"/>
                <w:szCs w:val="18"/>
              </w:rPr>
            </w:pPr>
            <w:r>
              <w:rPr>
                <w:rFonts w:ascii="宋体" w:hAnsi="宋体" w:cs="宋体" w:eastAsia="宋体" w:hint="default"/>
                <w:sz w:val="18"/>
                <w:szCs w:val="18"/>
              </w:rPr>
              <w:t>自筹</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13.45%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162,068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建设中</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23"/>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3"/>
                <w:sz w:val="18"/>
              </w:rPr>
              <w:t> </w:t>
            </w:r>
            <w:r>
              <w:rPr>
                <w:rFonts w:ascii="Times New Roman"/>
                <w:spacing w:val="-43"/>
                <w:sz w:val="18"/>
              </w:rPr>
            </w:r>
            <w:r>
              <w:rPr>
                <w:rFonts w:ascii="Times New Roman"/>
                <w:sz w:val="18"/>
              </w:rPr>
              <w:t>info.co</w:t>
            </w:r>
            <w:r>
              <w:rPr>
                <w:rFonts w:ascii="Times New Roman"/>
                <w:sz w:val="18"/>
              </w:rPr>
              <w:t> m.cn</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421,657,</w:t>
            </w:r>
          </w:p>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365.65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1,130,07</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8,488.14</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400,417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,100.00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7,580,6</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23.70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139,000,00</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188,679.25</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1,311,000,0</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6,017,280.2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139,188,679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闲置募集资 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北京亚太中立信 息技术有限公司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644,328.03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15,290,000.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北京柘量投资中 心（有限合伙）</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1337"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3"/>
              <w:jc w:val="both"/>
              <w:rPr>
                <w:rFonts w:ascii="宋体" w:hAnsi="宋体" w:cs="宋体" w:eastAsia="宋体" w:hint="default"/>
                <w:sz w:val="18"/>
                <w:szCs w:val="18"/>
              </w:rPr>
            </w:pPr>
            <w:r>
              <w:rPr>
                <w:rFonts w:ascii="宋体" w:hAnsi="宋体" w:cs="宋体" w:eastAsia="宋体" w:hint="default"/>
                <w:sz w:val="18"/>
                <w:szCs w:val="18"/>
              </w:rPr>
              <w:t>天津新动金鼎万 众体育资产管理 合伙企业（有限 合伙）</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6,170,758.2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上海开域信息科 技有限公司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1,302,267.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528,394.74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9,419.00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1,311,686.4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195,592,26</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7.47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188,679.25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528,394.74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1,200,009,419.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1,332,311,6</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86.47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12,832,366.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174,478,679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10"/>
        <w:rPr>
          <w:rFonts w:ascii="宋体" w:hAnsi="宋体" w:cs="宋体" w:eastAsia="宋体" w:hint="default"/>
          <w:sz w:val="7"/>
          <w:szCs w:val="7"/>
        </w:rPr>
      </w:pPr>
    </w:p>
    <w:p>
      <w:pPr>
        <w:spacing w:line="10187" w:lineRule="exact"/>
        <w:ind w:left="148" w:right="0" w:firstLine="0"/>
        <w:rPr>
          <w:rFonts w:ascii="宋体" w:hAnsi="宋体" w:cs="宋体" w:eastAsia="宋体" w:hint="default"/>
          <w:sz w:val="20"/>
          <w:szCs w:val="20"/>
        </w:rPr>
      </w:pPr>
      <w:r>
        <w:rPr>
          <w:rFonts w:ascii="宋体" w:hAnsi="宋体" w:cs="宋体" w:eastAsia="宋体" w:hint="default"/>
          <w:position w:val="-203"/>
          <w:sz w:val="20"/>
          <w:szCs w:val="20"/>
        </w:rPr>
        <w:pict>
          <v:group style="width:478.8pt;height:509.4pt;mso-position-horizontal-relative:char;mso-position-vertical-relative:line" coordorigin="0,0" coordsize="9576,10188">
            <v:group style="position:absolute;left:12;top:17;width:855;height:468" coordorigin="12,17" coordsize="855,468">
              <v:shape style="position:absolute;left:12;top:17;width:855;height:468" coordorigin="12,17" coordsize="855,468" path="m12,485l867,485,867,17,12,17,12,485xe" filled="true" fillcolor="#d2d2d2" stroked="false">
                <v:path arrowok="t"/>
                <v:fill type="solid"/>
              </v:shape>
            </v:group>
            <v:group style="position:absolute;left:23;top:485;width:2;height:392" coordorigin="23,485" coordsize="2,392">
              <v:shape style="position:absolute;left:23;top:485;width:2;height:392" coordorigin="23,485" coordsize="0,392" path="m23,485l23,876e" filled="false" stroked="true" strokeweight="1.08pt" strokecolor="#d2d2d2">
                <v:path arrowok="t"/>
              </v:shape>
            </v:group>
            <v:group style="position:absolute;left:855;top:485;width:2;height:392" coordorigin="855,485" coordsize="2,392">
              <v:shape style="position:absolute;left:855;top:485;width:2;height:392" coordorigin="855,485" coordsize="0,392" path="m855,485l855,876e" filled="false" stroked="true" strokeweight="1.2pt" strokecolor="#d2d2d2">
                <v:path arrowok="t"/>
              </v:shape>
            </v:group>
            <v:group style="position:absolute;left:12;top:876;width:855;height:468" coordorigin="12,876" coordsize="855,468">
              <v:shape style="position:absolute;left:12;top:876;width:855;height:468" coordorigin="12,876" coordsize="855,468" path="m12,1344l867,1344,867,876,12,876,12,1344xe" filled="true" fillcolor="#d2d2d2" stroked="false">
                <v:path arrowok="t"/>
                <v:fill type="solid"/>
              </v:shape>
            </v:group>
            <v:group style="position:absolute;left:34;top:485;width:810;height:392" coordorigin="34,485" coordsize="810,392">
              <v:shape style="position:absolute;left:34;top:485;width:810;height:392" coordorigin="34,485" coordsize="810,392" path="m34,876l843,876,843,485,34,485,34,876xe" filled="true" fillcolor="#d2d2d2" stroked="false">
                <v:path arrowok="t"/>
                <v:fill type="solid"/>
              </v:shape>
            </v:group>
            <v:group style="position:absolute;left:876;top:17;width:860;height:468" coordorigin="876,17" coordsize="860,468">
              <v:shape style="position:absolute;left:876;top:17;width:860;height:468" coordorigin="876,17" coordsize="860,468" path="m876,485l1736,485,1736,17,876,17,876,485xe" filled="true" fillcolor="#d2d2d2" stroked="false">
                <v:path arrowok="t"/>
                <v:fill type="solid"/>
              </v:shape>
            </v:group>
            <v:group style="position:absolute;left:888;top:485;width:2;height:392" coordorigin="888,485" coordsize="2,392">
              <v:shape style="position:absolute;left:888;top:485;width:2;height:392" coordorigin="888,485" coordsize="0,392" path="m888,485l888,876e" filled="false" stroked="true" strokeweight="1.2pt" strokecolor="#d2d2d2">
                <v:path arrowok="t"/>
              </v:shape>
            </v:group>
            <v:group style="position:absolute;left:1725;top:485;width:2;height:392" coordorigin="1725,485" coordsize="2,392">
              <v:shape style="position:absolute;left:1725;top:485;width:2;height:392" coordorigin="1725,485" coordsize="0,392" path="m1725,485l1725,876e" filled="false" stroked="true" strokeweight="1.08pt" strokecolor="#d2d2d2">
                <v:path arrowok="t"/>
              </v:shape>
            </v:group>
            <v:group style="position:absolute;left:876;top:876;width:860;height:468" coordorigin="876,876" coordsize="860,468">
              <v:shape style="position:absolute;left:876;top:876;width:860;height:468" coordorigin="876,876" coordsize="860,468" path="m876,1344l1736,1344,1736,876,876,876,876,1344xe" filled="true" fillcolor="#d2d2d2" stroked="false">
                <v:path arrowok="t"/>
                <v:fill type="solid"/>
              </v:shape>
            </v:group>
            <v:group style="position:absolute;left:900;top:485;width:814;height:392" coordorigin="900,485" coordsize="814,392">
              <v:shape style="position:absolute;left:900;top:485;width:814;height:392" coordorigin="900,485" coordsize="814,392" path="m900,876l1714,876,1714,485,900,485,900,876xe" filled="true" fillcolor="#d2d2d2" stroked="false">
                <v:path arrowok="t"/>
                <v:fill type="solid"/>
              </v:shape>
            </v:group>
            <v:group style="position:absolute;left:1745;top:17;width:862;height:312" coordorigin="1745,17" coordsize="862,312">
              <v:shape style="position:absolute;left:1745;top:17;width:862;height:312" coordorigin="1745,17" coordsize="862,312" path="m1745,329l2607,329,2607,17,1745,17,1745,329xe" filled="true" fillcolor="#d2d2d2" stroked="false">
                <v:path arrowok="t"/>
                <v:fill type="solid"/>
              </v:shape>
            </v:group>
            <v:group style="position:absolute;left:1757;top:329;width:2;height:704" coordorigin="1757,329" coordsize="2,704">
              <v:shape style="position:absolute;left:1757;top:329;width:2;height:704" coordorigin="1757,329" coordsize="0,704" path="m1757,329l1757,1032e" filled="false" stroked="true" strokeweight="1.2pt" strokecolor="#d2d2d2">
                <v:path arrowok="t"/>
              </v:shape>
            </v:group>
            <v:group style="position:absolute;left:2595;top:329;width:2;height:704" coordorigin="2595,329" coordsize="2,704">
              <v:shape style="position:absolute;left:2595;top:329;width:2;height:704" coordorigin="2595,329" coordsize="0,704" path="m2595,329l2595,1032e" filled="false" stroked="true" strokeweight="1.2pt" strokecolor="#d2d2d2">
                <v:path arrowok="t"/>
              </v:shape>
            </v:group>
            <v:group style="position:absolute;left:1745;top:1032;width:862;height:312" coordorigin="1745,1032" coordsize="862,312">
              <v:shape style="position:absolute;left:1745;top:1032;width:862;height:312" coordorigin="1745,1032" coordsize="862,312" path="m1745,1344l2607,1344,2607,1032,1745,1032,1745,1344xe" filled="true" fillcolor="#d2d2d2" stroked="false">
                <v:path arrowok="t"/>
                <v:fill type="solid"/>
              </v:shape>
            </v:group>
            <v:group style="position:absolute;left:1769;top:329;width:814;height:351" coordorigin="1769,329" coordsize="814,351">
              <v:shape style="position:absolute;left:1769;top:329;width:814;height:351" coordorigin="1769,329" coordsize="814,351" path="m1769,679l2583,679,2583,329,1769,329,1769,679xe" filled="true" fillcolor="#d2d2d2" stroked="false">
                <v:path arrowok="t"/>
                <v:fill type="solid"/>
              </v:shape>
            </v:group>
            <v:group style="position:absolute;left:1769;top:679;width:814;height:353" coordorigin="1769,679" coordsize="814,353">
              <v:shape style="position:absolute;left:1769;top:679;width:814;height:353" coordorigin="1769,679" coordsize="814,353" path="m1769,1032l2583,1032,2583,679,1769,679,1769,1032xe" filled="true" fillcolor="#d2d2d2" stroked="false">
                <v:path arrowok="t"/>
                <v:fill type="solid"/>
              </v:shape>
            </v:group>
            <v:group style="position:absolute;left:2616;top:17;width:860;height:156" coordorigin="2616,17" coordsize="860,156">
              <v:shape style="position:absolute;left:2616;top:17;width:860;height:156" coordorigin="2616,17" coordsize="860,156" path="m2616,173l3476,173,3476,17,2616,17,2616,173xe" filled="true" fillcolor="#d2d2d2" stroked="false">
                <v:path arrowok="t"/>
                <v:fill type="solid"/>
              </v:shape>
            </v:group>
            <v:group style="position:absolute;left:2628;top:173;width:2;height:1016" coordorigin="2628,173" coordsize="2,1016">
              <v:shape style="position:absolute;left:2628;top:173;width:2;height:1016" coordorigin="2628,173" coordsize="0,1016" path="m2628,173l2628,1188e" filled="false" stroked="true" strokeweight="1.2pt" strokecolor="#d2d2d2">
                <v:path arrowok="t"/>
              </v:shape>
            </v:group>
            <v:group style="position:absolute;left:3465;top:173;width:2;height:1016" coordorigin="3465,173" coordsize="2,1016">
              <v:shape style="position:absolute;left:3465;top:173;width:2;height:1016" coordorigin="3465,173" coordsize="0,1016" path="m3465,173l3465,1188e" filled="false" stroked="true" strokeweight="1.08pt" strokecolor="#d2d2d2">
                <v:path arrowok="t"/>
              </v:shape>
            </v:group>
            <v:group style="position:absolute;left:2616;top:1188;width:860;height:156" coordorigin="2616,1188" coordsize="860,156">
              <v:shape style="position:absolute;left:2616;top:1188;width:860;height:156" coordorigin="2616,1188" coordsize="860,156" path="m2616,1344l3476,1344,3476,1188,2616,1188,2616,1344xe" filled="true" fillcolor="#d2d2d2" stroked="false">
                <v:path arrowok="t"/>
                <v:fill type="solid"/>
              </v:shape>
            </v:group>
            <v:group style="position:absolute;left:2640;top:173;width:815;height:351" coordorigin="2640,173" coordsize="815,351">
              <v:shape style="position:absolute;left:2640;top:173;width:815;height:351" coordorigin="2640,173" coordsize="815,351" path="m2640,523l3454,523,3454,173,2640,173,2640,523xe" filled="true" fillcolor="#d2d2d2" stroked="false">
                <v:path arrowok="t"/>
                <v:fill type="solid"/>
              </v:shape>
            </v:group>
            <v:group style="position:absolute;left:2640;top:523;width:815;height:312" coordorigin="2640,523" coordsize="815,312">
              <v:shape style="position:absolute;left:2640;top:523;width:815;height:312" coordorigin="2640,523" coordsize="815,312" path="m2640,835l3454,835,3454,523,2640,523,2640,835xe" filled="true" fillcolor="#d2d2d2" stroked="false">
                <v:path arrowok="t"/>
                <v:fill type="solid"/>
              </v:shape>
            </v:group>
            <v:group style="position:absolute;left:2640;top:835;width:815;height:353" coordorigin="2640,835" coordsize="815,353">
              <v:shape style="position:absolute;left:2640;top:835;width:815;height:353" coordorigin="2640,835" coordsize="815,353" path="m2640,1188l3454,1188,3454,835,2640,835,2640,1188xe" filled="true" fillcolor="#d2d2d2" stroked="false">
                <v:path arrowok="t"/>
                <v:fill type="solid"/>
              </v:shape>
            </v:group>
            <v:group style="position:absolute;left:3486;top:17;width:862;height:156" coordorigin="3486,17" coordsize="862,156">
              <v:shape style="position:absolute;left:3486;top:17;width:862;height:156" coordorigin="3486,17" coordsize="862,156" path="m3486,173l4347,173,4347,17,3486,17,3486,173xe" filled="true" fillcolor="#d2d2d2" stroked="false">
                <v:path arrowok="t"/>
                <v:fill type="solid"/>
              </v:shape>
            </v:group>
            <v:group style="position:absolute;left:3498;top:173;width:2;height:1016" coordorigin="3498,173" coordsize="2,1016">
              <v:shape style="position:absolute;left:3498;top:173;width:2;height:1016" coordorigin="3498,173" coordsize="0,1016" path="m3498,173l3498,1188e" filled="false" stroked="true" strokeweight="1.2pt" strokecolor="#d2d2d2">
                <v:path arrowok="t"/>
              </v:shape>
            </v:group>
            <v:group style="position:absolute;left:4335;top:173;width:2;height:1016" coordorigin="4335,173" coordsize="2,1016">
              <v:shape style="position:absolute;left:4335;top:173;width:2;height:1016" coordorigin="4335,173" coordsize="0,1016" path="m4335,173l4335,1188e" filled="false" stroked="true" strokeweight="1.2pt" strokecolor="#d2d2d2">
                <v:path arrowok="t"/>
              </v:shape>
            </v:group>
            <v:group style="position:absolute;left:3486;top:1188;width:862;height:156" coordorigin="3486,1188" coordsize="862,156">
              <v:shape style="position:absolute;left:3486;top:1188;width:862;height:156" coordorigin="3486,1188" coordsize="862,156" path="m3486,1344l4347,1344,4347,1188,3486,1188,3486,1344xe" filled="true" fillcolor="#d2d2d2" stroked="false">
                <v:path arrowok="t"/>
                <v:fill type="solid"/>
              </v:shape>
            </v:group>
            <v:group style="position:absolute;left:3510;top:173;width:814;height:351" coordorigin="3510,173" coordsize="814,351">
              <v:shape style="position:absolute;left:3510;top:173;width:814;height:351" coordorigin="3510,173" coordsize="814,351" path="m3510,523l4323,523,4323,173,3510,173,3510,523xe" filled="true" fillcolor="#d2d2d2" stroked="false">
                <v:path arrowok="t"/>
                <v:fill type="solid"/>
              </v:shape>
            </v:group>
            <v:group style="position:absolute;left:3510;top:523;width:814;height:312" coordorigin="3510,523" coordsize="814,312">
              <v:shape style="position:absolute;left:3510;top:523;width:814;height:312" coordorigin="3510,523" coordsize="814,312" path="m3510,835l4323,835,4323,523,3510,523,3510,835xe" filled="true" fillcolor="#d2d2d2" stroked="false">
                <v:path arrowok="t"/>
                <v:fill type="solid"/>
              </v:shape>
            </v:group>
            <v:group style="position:absolute;left:3510;top:835;width:814;height:353" coordorigin="3510,835" coordsize="814,353">
              <v:shape style="position:absolute;left:3510;top:835;width:814;height:353" coordorigin="3510,835" coordsize="814,353" path="m3510,1188l4323,1188,4323,835,3510,835,3510,1188xe" filled="true" fillcolor="#d2d2d2" stroked="false">
                <v:path arrowok="t"/>
                <v:fill type="solid"/>
              </v:shape>
            </v:group>
            <v:group style="position:absolute;left:4369;top:17;width:2;height:1328" coordorigin="4369,17" coordsize="2,1328">
              <v:shape style="position:absolute;left:4369;top:17;width:2;height:1328" coordorigin="4369,17" coordsize="0,1328" path="m4369,17l4369,1344e" filled="false" stroked="true" strokeweight="1.2pt" strokecolor="#d2d2d2">
                <v:path arrowok="t"/>
              </v:shape>
            </v:group>
            <v:group style="position:absolute;left:5205;top:17;width:2;height:1328" coordorigin="5205,17" coordsize="2,1328">
              <v:shape style="position:absolute;left:5205;top:17;width:2;height:1328" coordorigin="5205,17" coordsize="0,1328" path="m5205,17l5205,1344e" filled="false" stroked="true" strokeweight="1.2pt" strokecolor="#d2d2d2">
                <v:path arrowok="t"/>
              </v:shape>
            </v:group>
            <v:group style="position:absolute;left:4381;top:17;width:812;height:351" coordorigin="4381,17" coordsize="812,351">
              <v:shape style="position:absolute;left:4381;top:17;width:812;height:351" coordorigin="4381,17" coordsize="812,351" path="m4381,367l5193,367,5193,17,4381,17,4381,367xe" filled="true" fillcolor="#d2d2d2" stroked="false">
                <v:path arrowok="t"/>
                <v:fill type="solid"/>
              </v:shape>
            </v:group>
            <v:group style="position:absolute;left:4381;top:367;width:812;height:312" coordorigin="4381,367" coordsize="812,312">
              <v:shape style="position:absolute;left:4381;top:367;width:812;height:312" coordorigin="4381,367" coordsize="812,312" path="m4381,679l5193,679,5193,367,4381,367,4381,679xe" filled="true" fillcolor="#d2d2d2" stroked="false">
                <v:path arrowok="t"/>
                <v:fill type="solid"/>
              </v:shape>
            </v:group>
            <v:group style="position:absolute;left:4381;top:679;width:812;height:312" coordorigin="4381,679" coordsize="812,312">
              <v:shape style="position:absolute;left:4381;top:679;width:812;height:312" coordorigin="4381,679" coordsize="812,312" path="m4381,991l5193,991,5193,679,4381,679,4381,991xe" filled="true" fillcolor="#d2d2d2" stroked="false">
                <v:path arrowok="t"/>
                <v:fill type="solid"/>
              </v:shape>
            </v:group>
            <v:group style="position:absolute;left:4381;top:991;width:812;height:353" coordorigin="4381,991" coordsize="812,353">
              <v:shape style="position:absolute;left:4381;top:991;width:812;height:353" coordorigin="4381,991" coordsize="812,353" path="m4381,1344l5193,1344,5193,991,4381,991,4381,1344xe" filled="true" fillcolor="#d2d2d2" stroked="false">
                <v:path arrowok="t"/>
                <v:fill type="solid"/>
              </v:shape>
            </v:group>
            <v:group style="position:absolute;left:5238;top:17;width:2;height:1328" coordorigin="5238,17" coordsize="2,1328">
              <v:shape style="position:absolute;left:5238;top:17;width:2;height:1328" coordorigin="5238,17" coordsize="0,1328" path="m5238,17l5238,1344e" filled="false" stroked="true" strokeweight="1.2pt" strokecolor="#d2d2d2">
                <v:path arrowok="t"/>
              </v:shape>
            </v:group>
            <v:group style="position:absolute;left:6075;top:17;width:2;height:1328" coordorigin="6075,17" coordsize="2,1328">
              <v:shape style="position:absolute;left:6075;top:17;width:2;height:1328" coordorigin="6075,17" coordsize="0,1328" path="m6075,17l6075,1344e" filled="false" stroked="true" strokeweight="1.08pt" strokecolor="#d2d2d2">
                <v:path arrowok="t"/>
              </v:shape>
            </v:group>
            <v:group style="position:absolute;left:5250;top:17;width:814;height:351" coordorigin="5250,17" coordsize="814,351">
              <v:shape style="position:absolute;left:5250;top:17;width:814;height:351" coordorigin="5250,17" coordsize="814,351" path="m5250,367l6064,367,6064,17,5250,17,5250,367xe" filled="true" fillcolor="#d2d2d2" stroked="false">
                <v:path arrowok="t"/>
                <v:fill type="solid"/>
              </v:shape>
            </v:group>
            <v:group style="position:absolute;left:5250;top:367;width:814;height:312" coordorigin="5250,367" coordsize="814,312">
              <v:shape style="position:absolute;left:5250;top:367;width:814;height:312" coordorigin="5250,367" coordsize="814,312" path="m5250,679l6064,679,6064,367,5250,367,5250,679xe" filled="true" fillcolor="#d2d2d2" stroked="false">
                <v:path arrowok="t"/>
                <v:fill type="solid"/>
              </v:shape>
            </v:group>
            <v:group style="position:absolute;left:5250;top:679;width:814;height:312" coordorigin="5250,679" coordsize="814,312">
              <v:shape style="position:absolute;left:5250;top:679;width:814;height:312" coordorigin="5250,679" coordsize="814,312" path="m5250,991l6064,991,6064,679,5250,679,5250,991xe" filled="true" fillcolor="#d2d2d2" stroked="false">
                <v:path arrowok="t"/>
                <v:fill type="solid"/>
              </v:shape>
            </v:group>
            <v:group style="position:absolute;left:5250;top:991;width:814;height:353" coordorigin="5250,991" coordsize="814,353">
              <v:shape style="position:absolute;left:5250;top:991;width:814;height:353" coordorigin="5250,991" coordsize="814,353" path="m5250,1344l6064,1344,6064,991,5250,991,5250,1344xe" filled="true" fillcolor="#d2d2d2" stroked="false">
                <v:path arrowok="t"/>
                <v:fill type="solid"/>
              </v:shape>
            </v:group>
            <v:group style="position:absolute;left:6108;top:17;width:2;height:1328" coordorigin="6108,17" coordsize="2,1328">
              <v:shape style="position:absolute;left:6108;top:17;width:2;height:1328" coordorigin="6108,17" coordsize="0,1328" path="m6108,17l6108,1344e" filled="false" stroked="true" strokeweight="1.08pt" strokecolor="#d2d2d2">
                <v:path arrowok="t"/>
              </v:shape>
            </v:group>
            <v:group style="position:absolute;left:6945;top:17;width:2;height:1328" coordorigin="6945,17" coordsize="2,1328">
              <v:shape style="position:absolute;left:6945;top:17;width:2;height:1328" coordorigin="6945,17" coordsize="0,1328" path="m6945,17l6945,1344e" filled="false" stroked="true" strokeweight="1.2pt" strokecolor="#d2d2d2">
                <v:path arrowok="t"/>
              </v:shape>
            </v:group>
            <v:group style="position:absolute;left:6119;top:17;width:814;height:351" coordorigin="6119,17" coordsize="814,351">
              <v:shape style="position:absolute;left:6119;top:17;width:814;height:351" coordorigin="6119,17" coordsize="814,351" path="m6119,367l6933,367,6933,17,6119,17,6119,367xe" filled="true" fillcolor="#d2d2d2" stroked="false">
                <v:path arrowok="t"/>
                <v:fill type="solid"/>
              </v:shape>
            </v:group>
            <v:group style="position:absolute;left:6119;top:367;width:814;height:312" coordorigin="6119,367" coordsize="814,312">
              <v:shape style="position:absolute;left:6119;top:367;width:814;height:312" coordorigin="6119,367" coordsize="814,312" path="m6119,679l6933,679,6933,367,6119,367,6119,679xe" filled="true" fillcolor="#d2d2d2" stroked="false">
                <v:path arrowok="t"/>
                <v:fill type="solid"/>
              </v:shape>
            </v:group>
            <v:group style="position:absolute;left:6119;top:679;width:814;height:312" coordorigin="6119,679" coordsize="814,312">
              <v:shape style="position:absolute;left:6119;top:679;width:814;height:312" coordorigin="6119,679" coordsize="814,312" path="m6119,991l6933,991,6933,679,6119,679,6119,991xe" filled="true" fillcolor="#d2d2d2" stroked="false">
                <v:path arrowok="t"/>
                <v:fill type="solid"/>
              </v:shape>
            </v:group>
            <v:group style="position:absolute;left:6119;top:991;width:814;height:353" coordorigin="6119,991" coordsize="814,353">
              <v:shape style="position:absolute;left:6119;top:991;width:814;height:353" coordorigin="6119,991" coordsize="814,353" path="m6119,1344l6933,1344,6933,991,6119,991,6119,1344xe" filled="true" fillcolor="#d2d2d2" stroked="false">
                <v:path arrowok="t"/>
                <v:fill type="solid"/>
              </v:shape>
            </v:group>
            <v:group style="position:absolute;left:6966;top:17;width:860;height:156" coordorigin="6966,17" coordsize="860,156">
              <v:shape style="position:absolute;left:6966;top:17;width:860;height:156" coordorigin="6966,17" coordsize="860,156" path="m6966,173l7826,173,7826,17,6966,17,6966,173xe" filled="true" fillcolor="#d2d2d2" stroked="false">
                <v:path arrowok="t"/>
                <v:fill type="solid"/>
              </v:shape>
            </v:group>
            <v:group style="position:absolute;left:6978;top:173;width:2;height:1016" coordorigin="6978,173" coordsize="2,1016">
              <v:shape style="position:absolute;left:6978;top:173;width:2;height:1016" coordorigin="6978,173" coordsize="0,1016" path="m6978,173l6978,1188e" filled="false" stroked="true" strokeweight="1.2pt" strokecolor="#d2d2d2">
                <v:path arrowok="t"/>
              </v:shape>
            </v:group>
            <v:group style="position:absolute;left:7815;top:173;width:2;height:1016" coordorigin="7815,173" coordsize="2,1016">
              <v:shape style="position:absolute;left:7815;top:173;width:2;height:1016" coordorigin="7815,173" coordsize="0,1016" path="m7815,173l7815,1188e" filled="false" stroked="true" strokeweight="1.08pt" strokecolor="#d2d2d2">
                <v:path arrowok="t"/>
              </v:shape>
            </v:group>
            <v:group style="position:absolute;left:6966;top:1188;width:860;height:156" coordorigin="6966,1188" coordsize="860,156">
              <v:shape style="position:absolute;left:6966;top:1188;width:860;height:156" coordorigin="6966,1188" coordsize="860,156" path="m6966,1344l7826,1344,7826,1188,6966,1188,6966,1344xe" filled="true" fillcolor="#d2d2d2" stroked="false">
                <v:path arrowok="t"/>
                <v:fill type="solid"/>
              </v:shape>
            </v:group>
            <v:group style="position:absolute;left:6990;top:173;width:815;height:351" coordorigin="6990,173" coordsize="815,351">
              <v:shape style="position:absolute;left:6990;top:173;width:815;height:351" coordorigin="6990,173" coordsize="815,351" path="m6990,523l7804,523,7804,173,6990,173,6990,523xe" filled="true" fillcolor="#d2d2d2" stroked="false">
                <v:path arrowok="t"/>
                <v:fill type="solid"/>
              </v:shape>
            </v:group>
            <v:group style="position:absolute;left:6990;top:523;width:815;height:312" coordorigin="6990,523" coordsize="815,312">
              <v:shape style="position:absolute;left:6990;top:523;width:815;height:312" coordorigin="6990,523" coordsize="815,312" path="m6990,835l7804,835,7804,523,6990,523,6990,835xe" filled="true" fillcolor="#d2d2d2" stroked="false">
                <v:path arrowok="t"/>
                <v:fill type="solid"/>
              </v:shape>
            </v:group>
            <v:group style="position:absolute;left:6990;top:835;width:815;height:353" coordorigin="6990,835" coordsize="815,353">
              <v:shape style="position:absolute;left:6990;top:835;width:815;height:353" coordorigin="6990,835" coordsize="815,353" path="m6990,1188l7804,1188,7804,835,6990,835,6990,1188xe" filled="true" fillcolor="#d2d2d2" stroked="false">
                <v:path arrowok="t"/>
                <v:fill type="solid"/>
              </v:shape>
            </v:group>
            <v:group style="position:absolute;left:7849;top:17;width:2;height:1328" coordorigin="7849,17" coordsize="2,1328">
              <v:shape style="position:absolute;left:7849;top:17;width:2;height:1328" coordorigin="7849,17" coordsize="0,1328" path="m7849,17l7849,1344e" filled="false" stroked="true" strokeweight="1.08pt" strokecolor="#d2d2d2">
                <v:path arrowok="t"/>
              </v:shape>
            </v:group>
            <v:group style="position:absolute;left:8685;top:17;width:2;height:1328" coordorigin="8685,17" coordsize="2,1328">
              <v:shape style="position:absolute;left:8685;top:17;width:2;height:1328" coordorigin="8685,17" coordsize="0,1328" path="m8685,17l8685,1344e" filled="false" stroked="true" strokeweight="1.2pt" strokecolor="#d2d2d2">
                <v:path arrowok="t"/>
              </v:shape>
            </v:group>
            <v:group style="position:absolute;left:7860;top:17;width:814;height:351" coordorigin="7860,17" coordsize="814,351">
              <v:shape style="position:absolute;left:7860;top:17;width:814;height:351" coordorigin="7860,17" coordsize="814,351" path="m7860,367l8673,367,8673,17,7860,17,7860,367xe" filled="true" fillcolor="#d2d2d2" stroked="false">
                <v:path arrowok="t"/>
                <v:fill type="solid"/>
              </v:shape>
            </v:group>
            <v:group style="position:absolute;left:7860;top:367;width:814;height:312" coordorigin="7860,367" coordsize="814,312">
              <v:shape style="position:absolute;left:7860;top:367;width:814;height:312" coordorigin="7860,367" coordsize="814,312" path="m7860,679l8673,679,8673,367,7860,367,7860,679xe" filled="true" fillcolor="#d2d2d2" stroked="false">
                <v:path arrowok="t"/>
                <v:fill type="solid"/>
              </v:shape>
            </v:group>
            <v:group style="position:absolute;left:7860;top:679;width:814;height:312" coordorigin="7860,679" coordsize="814,312">
              <v:shape style="position:absolute;left:7860;top:679;width:814;height:312" coordorigin="7860,679" coordsize="814,312" path="m7860,991l8673,991,8673,679,7860,679,7860,991xe" filled="true" fillcolor="#d2d2d2" stroked="false">
                <v:path arrowok="t"/>
                <v:fill type="solid"/>
              </v:shape>
            </v:group>
            <v:group style="position:absolute;left:7860;top:991;width:814;height:353" coordorigin="7860,991" coordsize="814,353">
              <v:shape style="position:absolute;left:7860;top:991;width:814;height:353" coordorigin="7860,991" coordsize="814,353" path="m7860,1344l8673,1344,8673,991,7860,991,7860,1344xe" filled="true" fillcolor="#d2d2d2" stroked="false">
                <v:path arrowok="t"/>
                <v:fill type="solid"/>
              </v:shape>
            </v:group>
            <v:group style="position:absolute;left:8707;top:17;width:860;height:156" coordorigin="8707,17" coordsize="860,156">
              <v:shape style="position:absolute;left:8707;top:17;width:860;height:156" coordorigin="8707,17" coordsize="860,156" path="m8707,173l9566,173,9566,17,8707,17,8707,173xe" filled="true" fillcolor="#d2d2d2" stroked="false">
                <v:path arrowok="t"/>
                <v:fill type="solid"/>
              </v:shape>
            </v:group>
            <v:group style="position:absolute;left:8719;top:173;width:2;height:1016" coordorigin="8719,173" coordsize="2,1016">
              <v:shape style="position:absolute;left:8719;top:173;width:2;height:1016" coordorigin="8719,173" coordsize="0,1016" path="m8719,173l8719,1188e" filled="false" stroked="true" strokeweight="1.2pt" strokecolor="#d2d2d2">
                <v:path arrowok="t"/>
              </v:shape>
            </v:group>
            <v:group style="position:absolute;left:9554;top:173;width:2;height:1016" coordorigin="9554,173" coordsize="2,1016">
              <v:shape style="position:absolute;left:9554;top:173;width:2;height:1016" coordorigin="9554,173" coordsize="0,1016" path="m9554,173l9554,1188e" filled="false" stroked="true" strokeweight="1.2pt" strokecolor="#d2d2d2">
                <v:path arrowok="t"/>
              </v:shape>
            </v:group>
            <v:group style="position:absolute;left:8707;top:1188;width:860;height:156" coordorigin="8707,1188" coordsize="860,156">
              <v:shape style="position:absolute;left:8707;top:1188;width:860;height:156" coordorigin="8707,1188" coordsize="860,156" path="m8707,1344l9566,1344,9566,1188,8707,1188,8707,1344xe" filled="true" fillcolor="#d2d2d2" stroked="false">
                <v:path arrowok="t"/>
                <v:fill type="solid"/>
              </v:shape>
            </v:group>
            <v:group style="position:absolute;left:8731;top:173;width:812;height:351" coordorigin="8731,173" coordsize="812,351">
              <v:shape style="position:absolute;left:8731;top:173;width:812;height:351" coordorigin="8731,173" coordsize="812,351" path="m8731,523l9542,523,9542,173,8731,173,8731,523xe" filled="true" fillcolor="#d2d2d2" stroked="false">
                <v:path arrowok="t"/>
                <v:fill type="solid"/>
              </v:shape>
            </v:group>
            <v:group style="position:absolute;left:8731;top:523;width:812;height:312" coordorigin="8731,523" coordsize="812,312">
              <v:shape style="position:absolute;left:8731;top:523;width:812;height:312" coordorigin="8731,523" coordsize="812,312" path="m8731,835l9542,835,9542,523,8731,523,8731,835xe" filled="true" fillcolor="#d2d2d2" stroked="false">
                <v:path arrowok="t"/>
                <v:fill type="solid"/>
              </v:shape>
            </v:group>
            <v:group style="position:absolute;left:8731;top:835;width:812;height:353" coordorigin="8731,835" coordsize="812,353">
              <v:shape style="position:absolute;left:8731;top:835;width:812;height:353" coordorigin="8731,835" coordsize="812,353" path="m8731,1188l9542,1188,9542,835,8731,835,8731,1188xe" filled="true" fillcolor="#d2d2d2" stroked="false">
                <v:path arrowok="t"/>
                <v:fill type="solid"/>
              </v:shape>
            </v:group>
            <v:group style="position:absolute;left:10;top:10;width:855;height:2" coordorigin="10,10" coordsize="855,2">
              <v:shape style="position:absolute;left:10;top:10;width:855;height:2" coordorigin="10,10" coordsize="855,0" path="m10,10l864,10e" filled="false" stroked="true" strokeweight=".48pt" strokecolor="#000000">
                <v:path arrowok="t"/>
              </v:shape>
            </v:group>
            <v:group style="position:absolute;left:874;top:10;width:862;height:2" coordorigin="874,10" coordsize="862,2">
              <v:shape style="position:absolute;left:874;top:10;width:862;height:2" coordorigin="874,10" coordsize="862,0" path="m874,10l1736,10e" filled="false" stroked="true" strokeweight=".48pt" strokecolor="#000000">
                <v:path arrowok="t"/>
              </v:shape>
            </v:group>
            <v:group style="position:absolute;left:1745;top:10;width:860;height:2" coordorigin="1745,10" coordsize="860,2">
              <v:shape style="position:absolute;left:1745;top:10;width:860;height:2" coordorigin="1745,10" coordsize="860,0" path="m1745,10l2604,10e" filled="false" stroked="true" strokeweight=".48pt" strokecolor="#000000">
                <v:path arrowok="t"/>
              </v:shape>
            </v:group>
            <v:group style="position:absolute;left:2614;top:10;width:863;height:2" coordorigin="2614,10" coordsize="863,2">
              <v:shape style="position:absolute;left:2614;top:10;width:863;height:2" coordorigin="2614,10" coordsize="863,0" path="m2614,10l3476,10e" filled="false" stroked="true" strokeweight=".48pt" strokecolor="#000000">
                <v:path arrowok="t"/>
              </v:shape>
            </v:group>
            <v:group style="position:absolute;left:3486;top:10;width:860;height:2" coordorigin="3486,10" coordsize="860,2">
              <v:shape style="position:absolute;left:3486;top:10;width:860;height:2" coordorigin="3486,10" coordsize="860,0" path="m3486,10l4345,10e" filled="false" stroked="true" strokeweight=".48pt" strokecolor="#000000">
                <v:path arrowok="t"/>
              </v:shape>
            </v:group>
            <v:group style="position:absolute;left:4355;top:10;width:863;height:2" coordorigin="4355,10" coordsize="863,2">
              <v:shape style="position:absolute;left:4355;top:10;width:863;height:2" coordorigin="4355,10" coordsize="863,0" path="m4355,10l5217,10e" filled="false" stroked="true" strokeweight=".48pt" strokecolor="#000000">
                <v:path arrowok="t"/>
              </v:shape>
            </v:group>
            <v:group style="position:absolute;left:5226;top:10;width:860;height:2" coordorigin="5226,10" coordsize="860,2">
              <v:shape style="position:absolute;left:5226;top:10;width:860;height:2" coordorigin="5226,10" coordsize="860,0" path="m5226,10l6085,10e" filled="false" stroked="true" strokeweight=".48pt" strokecolor="#000000">
                <v:path arrowok="t"/>
              </v:shape>
            </v:group>
            <v:group style="position:absolute;left:6095;top:10;width:862;height:2" coordorigin="6095,10" coordsize="862,2">
              <v:shape style="position:absolute;left:6095;top:10;width:862;height:2" coordorigin="6095,10" coordsize="862,0" path="m6095,10l6957,10e" filled="false" stroked="true" strokeweight=".48pt" strokecolor="#000000">
                <v:path arrowok="t"/>
              </v:shape>
            </v:group>
            <v:group style="position:absolute;left:6966;top:10;width:860;height:2" coordorigin="6966,10" coordsize="860,2">
              <v:shape style="position:absolute;left:6966;top:10;width:860;height:2" coordorigin="6966,10" coordsize="860,0" path="m6966,10l7826,10e" filled="false" stroked="true" strokeweight=".48pt" strokecolor="#000000">
                <v:path arrowok="t"/>
              </v:shape>
            </v:group>
            <v:group style="position:absolute;left:7836;top:10;width:862;height:2" coordorigin="7836,10" coordsize="862,2">
              <v:shape style="position:absolute;left:7836;top:10;width:862;height:2" coordorigin="7836,10" coordsize="862,0" path="m7836,10l8697,10e" filled="false" stroked="true" strokeweight=".48pt" strokecolor="#000000">
                <v:path arrowok="t"/>
              </v:shape>
            </v:group>
            <v:group style="position:absolute;left:8707;top:10;width:860;height:2" coordorigin="8707,10" coordsize="860,2">
              <v:shape style="position:absolute;left:8707;top:10;width:860;height:2" coordorigin="8707,10" coordsize="860,0" path="m8707,10l9566,10e" filled="false" stroked="true" strokeweight=".48pt" strokecolor="#000000">
                <v:path arrowok="t"/>
              </v:shape>
            </v:group>
            <v:group style="position:absolute;left:8707;top:1354;width:860;height:4213" coordorigin="8707,1354" coordsize="860,4213">
              <v:shape style="position:absolute;left:8707;top:1354;width:860;height:4213" coordorigin="8707,1354" coordsize="860,4213" path="m8707,5567l9566,5567,9566,1354,8707,1354,8707,5567xe" filled="true" fillcolor="#ffffff" stroked="false">
                <v:path arrowok="t"/>
                <v:fill type="solid"/>
              </v:shape>
            </v:group>
            <v:group style="position:absolute;left:10;top:1349;width:855;height:2" coordorigin="10,1349" coordsize="855,2">
              <v:shape style="position:absolute;left:10;top:1349;width:855;height:2" coordorigin="10,1349" coordsize="855,0" path="m10,1349l864,1349e" filled="false" stroked="true" strokeweight=".48001pt" strokecolor="#000000">
                <v:path arrowok="t"/>
              </v:shape>
            </v:group>
            <v:group style="position:absolute;left:874;top:1349;width:862;height:2" coordorigin="874,1349" coordsize="862,2">
              <v:shape style="position:absolute;left:874;top:1349;width:862;height:2" coordorigin="874,1349" coordsize="862,0" path="m874,1349l1736,1349e" filled="false" stroked="true" strokeweight=".48001pt" strokecolor="#000000">
                <v:path arrowok="t"/>
              </v:shape>
            </v:group>
            <v:group style="position:absolute;left:1745;top:1349;width:860;height:2" coordorigin="1745,1349" coordsize="860,2">
              <v:shape style="position:absolute;left:1745;top:1349;width:860;height:2" coordorigin="1745,1349" coordsize="860,0" path="m1745,1349l2604,1349e" filled="false" stroked="true" strokeweight=".48001pt" strokecolor="#000000">
                <v:path arrowok="t"/>
              </v:shape>
            </v:group>
            <v:group style="position:absolute;left:2614;top:1349;width:863;height:2" coordorigin="2614,1349" coordsize="863,2">
              <v:shape style="position:absolute;left:2614;top:1349;width:863;height:2" coordorigin="2614,1349" coordsize="863,0" path="m2614,1349l3476,1349e" filled="false" stroked="true" strokeweight=".48001pt" strokecolor="#000000">
                <v:path arrowok="t"/>
              </v:shape>
            </v:group>
            <v:group style="position:absolute;left:3486;top:1349;width:860;height:2" coordorigin="3486,1349" coordsize="860,2">
              <v:shape style="position:absolute;left:3486;top:1349;width:860;height:2" coordorigin="3486,1349" coordsize="860,0" path="m3486,1349l4345,1349e" filled="false" stroked="true" strokeweight=".48001pt" strokecolor="#000000">
                <v:path arrowok="t"/>
              </v:shape>
            </v:group>
            <v:group style="position:absolute;left:4355;top:1349;width:863;height:2" coordorigin="4355,1349" coordsize="863,2">
              <v:shape style="position:absolute;left:4355;top:1349;width:863;height:2" coordorigin="4355,1349" coordsize="863,0" path="m4355,1349l5217,1349e" filled="false" stroked="true" strokeweight=".48001pt" strokecolor="#000000">
                <v:path arrowok="t"/>
              </v:shape>
            </v:group>
            <v:group style="position:absolute;left:5226;top:1349;width:860;height:2" coordorigin="5226,1349" coordsize="860,2">
              <v:shape style="position:absolute;left:5226;top:1349;width:860;height:2" coordorigin="5226,1349" coordsize="860,0" path="m5226,1349l6085,1349e" filled="false" stroked="true" strokeweight=".48001pt" strokecolor="#000000">
                <v:path arrowok="t"/>
              </v:shape>
            </v:group>
            <v:group style="position:absolute;left:6095;top:1349;width:862;height:2" coordorigin="6095,1349" coordsize="862,2">
              <v:shape style="position:absolute;left:6095;top:1349;width:862;height:2" coordorigin="6095,1349" coordsize="862,0" path="m6095,1349l6957,1349e" filled="false" stroked="true" strokeweight=".48001pt" strokecolor="#000000">
                <v:path arrowok="t"/>
              </v:shape>
            </v:group>
            <v:group style="position:absolute;left:6966;top:1349;width:860;height:2" coordorigin="6966,1349" coordsize="860,2">
              <v:shape style="position:absolute;left:6966;top:1349;width:860;height:2" coordorigin="6966,1349" coordsize="860,0" path="m6966,1349l7826,1349e" filled="false" stroked="true" strokeweight=".48001pt" strokecolor="#000000">
                <v:path arrowok="t"/>
              </v:shape>
            </v:group>
            <v:group style="position:absolute;left:7836;top:1349;width:862;height:2" coordorigin="7836,1349" coordsize="862,2">
              <v:shape style="position:absolute;left:7836;top:1349;width:862;height:2" coordorigin="7836,1349" coordsize="862,0" path="m7836,1349l8697,1349e" filled="false" stroked="true" strokeweight=".48001pt" strokecolor="#000000">
                <v:path arrowok="t"/>
              </v:shape>
            </v:group>
            <v:group style="position:absolute;left:8707;top:1349;width:860;height:2" coordorigin="8707,1349" coordsize="860,2">
              <v:shape style="position:absolute;left:8707;top:1349;width:860;height:2" coordorigin="8707,1349" coordsize="860,0" path="m8707,1349l9566,1349e" filled="false" stroked="true" strokeweight=".48001pt" strokecolor="#000000">
                <v:path arrowok="t"/>
              </v:shape>
            </v:group>
            <v:group style="position:absolute;left:5;top:5;width:2;height:10178" coordorigin="5,5" coordsize="2,10178">
              <v:shape style="position:absolute;left:5;top:5;width:2;height:10178" coordorigin="5,5" coordsize="0,10178" path="m5,5l5,10182e" filled="false" stroked="true" strokeweight=".48pt" strokecolor="#000000">
                <v:path arrowok="t"/>
              </v:shape>
            </v:group>
            <v:group style="position:absolute;left:10;top:10178;width:855;height:2" coordorigin="10,10178" coordsize="855,2">
              <v:shape style="position:absolute;left:10;top:10178;width:855;height:2" coordorigin="10,10178" coordsize="855,0" path="m10,10178l864,10178e" filled="false" stroked="true" strokeweight=".47998pt" strokecolor="#000000">
                <v:path arrowok="t"/>
              </v:shape>
            </v:group>
            <v:group style="position:absolute;left:869;top:5;width:2;height:10178" coordorigin="869,5" coordsize="2,10178">
              <v:shape style="position:absolute;left:869;top:5;width:2;height:10178" coordorigin="869,5" coordsize="0,10178" path="m869,5l869,10182e" filled="false" stroked="true" strokeweight=".48pt" strokecolor="#000000">
                <v:path arrowok="t"/>
              </v:shape>
            </v:group>
            <v:group style="position:absolute;left:874;top:10178;width:862;height:2" coordorigin="874,10178" coordsize="862,2">
              <v:shape style="position:absolute;left:874;top:10178;width:862;height:2" coordorigin="874,10178" coordsize="862,0" path="m874,10178l1736,10178e" filled="false" stroked="true" strokeweight=".47998pt" strokecolor="#000000">
                <v:path arrowok="t"/>
              </v:shape>
            </v:group>
            <v:group style="position:absolute;left:1740;top:5;width:2;height:10178" coordorigin="1740,5" coordsize="2,10178">
              <v:shape style="position:absolute;left:1740;top:5;width:2;height:10178" coordorigin="1740,5" coordsize="0,10178" path="m1740,5l1740,10182e" filled="false" stroked="true" strokeweight=".48pt" strokecolor="#000000">
                <v:path arrowok="t"/>
              </v:shape>
            </v:group>
            <v:group style="position:absolute;left:1745;top:10178;width:860;height:2" coordorigin="1745,10178" coordsize="860,2">
              <v:shape style="position:absolute;left:1745;top:10178;width:860;height:2" coordorigin="1745,10178" coordsize="860,0" path="m1745,10178l2604,10178e" filled="false" stroked="true" strokeweight=".47998pt" strokecolor="#000000">
                <v:path arrowok="t"/>
              </v:shape>
            </v:group>
            <v:group style="position:absolute;left:2609;top:5;width:2;height:10178" coordorigin="2609,5" coordsize="2,10178">
              <v:shape style="position:absolute;left:2609;top:5;width:2;height:10178" coordorigin="2609,5" coordsize="0,10178" path="m2609,5l2609,10182e" filled="false" stroked="true" strokeweight=".48pt" strokecolor="#000000">
                <v:path arrowok="t"/>
              </v:shape>
            </v:group>
            <v:group style="position:absolute;left:2614;top:10178;width:863;height:2" coordorigin="2614,10178" coordsize="863,2">
              <v:shape style="position:absolute;left:2614;top:10178;width:863;height:2" coordorigin="2614,10178" coordsize="863,0" path="m2614,10178l3476,10178e" filled="false" stroked="true" strokeweight=".47998pt" strokecolor="#000000">
                <v:path arrowok="t"/>
              </v:shape>
            </v:group>
            <v:group style="position:absolute;left:3481;top:5;width:2;height:10178" coordorigin="3481,5" coordsize="2,10178">
              <v:shape style="position:absolute;left:3481;top:5;width:2;height:10178" coordorigin="3481,5" coordsize="0,10178" path="m3481,5l3481,10182e" filled="false" stroked="true" strokeweight=".48pt" strokecolor="#000000">
                <v:path arrowok="t"/>
              </v:shape>
            </v:group>
            <v:group style="position:absolute;left:3486;top:10178;width:860;height:2" coordorigin="3486,10178" coordsize="860,2">
              <v:shape style="position:absolute;left:3486;top:10178;width:860;height:2" coordorigin="3486,10178" coordsize="860,0" path="m3486,10178l4345,10178e" filled="false" stroked="true" strokeweight=".47998pt" strokecolor="#000000">
                <v:path arrowok="t"/>
              </v:shape>
            </v:group>
            <v:group style="position:absolute;left:4350;top:5;width:2;height:10178" coordorigin="4350,5" coordsize="2,10178">
              <v:shape style="position:absolute;left:4350;top:5;width:2;height:10178" coordorigin="4350,5" coordsize="0,10178" path="m4350,5l4350,10182e" filled="false" stroked="true" strokeweight=".47998pt" strokecolor="#000000">
                <v:path arrowok="t"/>
              </v:shape>
            </v:group>
            <v:group style="position:absolute;left:4355;top:10178;width:863;height:2" coordorigin="4355,10178" coordsize="863,2">
              <v:shape style="position:absolute;left:4355;top:10178;width:863;height:2" coordorigin="4355,10178" coordsize="863,0" path="m4355,10178l5217,10178e" filled="false" stroked="true" strokeweight=".47998pt" strokecolor="#000000">
                <v:path arrowok="t"/>
              </v:shape>
            </v:group>
            <v:group style="position:absolute;left:5221;top:5;width:2;height:10178" coordorigin="5221,5" coordsize="2,10178">
              <v:shape style="position:absolute;left:5221;top:5;width:2;height:10178" coordorigin="5221,5" coordsize="0,10178" path="m5221,5l5221,10182e" filled="false" stroked="true" strokeweight=".48001pt" strokecolor="#000000">
                <v:path arrowok="t"/>
              </v:shape>
            </v:group>
            <v:group style="position:absolute;left:5226;top:10178;width:860;height:2" coordorigin="5226,10178" coordsize="860,2">
              <v:shape style="position:absolute;left:5226;top:10178;width:860;height:2" coordorigin="5226,10178" coordsize="860,0" path="m5226,10178l6085,10178e" filled="false" stroked="true" strokeweight=".47998pt" strokecolor="#000000">
                <v:path arrowok="t"/>
              </v:shape>
            </v:group>
            <v:group style="position:absolute;left:6090;top:5;width:2;height:10178" coordorigin="6090,5" coordsize="2,10178">
              <v:shape style="position:absolute;left:6090;top:5;width:2;height:10178" coordorigin="6090,5" coordsize="0,10178" path="m6090,5l6090,10182e" filled="false" stroked="true" strokeweight=".48001pt" strokecolor="#000000">
                <v:path arrowok="t"/>
              </v:shape>
            </v:group>
            <v:group style="position:absolute;left:6095;top:10178;width:862;height:2" coordorigin="6095,10178" coordsize="862,2">
              <v:shape style="position:absolute;left:6095;top:10178;width:862;height:2" coordorigin="6095,10178" coordsize="862,0" path="m6095,10178l6957,10178e" filled="false" stroked="true" strokeweight=".47998pt" strokecolor="#000000">
                <v:path arrowok="t"/>
              </v:shape>
            </v:group>
            <v:group style="position:absolute;left:6961;top:5;width:2;height:10178" coordorigin="6961,5" coordsize="2,10178">
              <v:shape style="position:absolute;left:6961;top:5;width:2;height:10178" coordorigin="6961,5" coordsize="0,10178" path="m6961,5l6961,10182e" filled="false" stroked="true" strokeweight=".48001pt" strokecolor="#000000">
                <v:path arrowok="t"/>
              </v:shape>
            </v:group>
            <v:group style="position:absolute;left:6966;top:10178;width:860;height:2" coordorigin="6966,10178" coordsize="860,2">
              <v:shape style="position:absolute;left:6966;top:10178;width:860;height:2" coordorigin="6966,10178" coordsize="860,0" path="m6966,10178l7826,10178e" filled="false" stroked="true" strokeweight=".47998pt" strokecolor="#000000">
                <v:path arrowok="t"/>
              </v:shape>
            </v:group>
            <v:group style="position:absolute;left:7831;top:5;width:2;height:10178" coordorigin="7831,5" coordsize="2,10178">
              <v:shape style="position:absolute;left:7831;top:5;width:2;height:10178" coordorigin="7831,5" coordsize="0,10178" path="m7831,5l7831,10182e" filled="false" stroked="true" strokeweight=".47998pt" strokecolor="#000000">
                <v:path arrowok="t"/>
              </v:shape>
            </v:group>
            <v:group style="position:absolute;left:8707;top:5958;width:860;height:4213" coordorigin="8707,5958" coordsize="860,4213">
              <v:shape style="position:absolute;left:8707;top:5958;width:860;height:4213" coordorigin="8707,5958" coordsize="860,4213" path="m8707,10170l9566,10170,9566,5958,8707,5958,8707,10170xe" filled="true" fillcolor="#ffffff" stroked="false">
                <v:path arrowok="t"/>
                <v:fill type="solid"/>
              </v:shape>
            </v:group>
            <v:group style="position:absolute;left:7836;top:10178;width:862;height:2" coordorigin="7836,10178" coordsize="862,2">
              <v:shape style="position:absolute;left:7836;top:10178;width:862;height:2" coordorigin="7836,10178" coordsize="862,0" path="m7836,10178l8697,10178e" filled="false" stroked="true" strokeweight=".47998pt" strokecolor="#000000">
                <v:path arrowok="t"/>
              </v:shape>
            </v:group>
            <v:group style="position:absolute;left:8702;top:5;width:2;height:10178" coordorigin="8702,5" coordsize="2,10178">
              <v:shape style="position:absolute;left:8702;top:5;width:2;height:10178" coordorigin="8702,5" coordsize="0,10178" path="m8702,5l8702,10182e" filled="false" stroked="true" strokeweight=".47998pt" strokecolor="#000000">
                <v:path arrowok="t"/>
              </v:shape>
            </v:group>
            <v:group style="position:absolute;left:8707;top:10178;width:860;height:2" coordorigin="8707,10178" coordsize="860,2">
              <v:shape style="position:absolute;left:8707;top:10178;width:860;height:2" coordorigin="8707,10178" coordsize="860,0" path="m8707,10178l9566,10178e" filled="false" stroked="true" strokeweight=".47998pt" strokecolor="#000000">
                <v:path arrowok="t"/>
              </v:shape>
            </v:group>
            <v:group style="position:absolute;left:9571;top:5;width:2;height:10178" coordorigin="9571,5" coordsize="2,10178">
              <v:shape style="position:absolute;left:9571;top:5;width:2;height:10178" coordorigin="9571,5" coordsize="0,10178" path="m9571,5l9571,10182e" filled="false" stroked="true" strokeweight=".48004pt" strokecolor="#000000">
                <v:path arrowok="t"/>
              </v:shape>
              <v:shape style="position:absolute;left:5;top:11;width:865;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spacing w:before="0"/>
                        <w:ind w:left="72" w:right="0" w:firstLine="0"/>
                        <w:jc w:val="left"/>
                        <w:rPr>
                          <w:rFonts w:ascii="宋体" w:hAnsi="宋体" w:cs="宋体" w:eastAsia="宋体" w:hint="default"/>
                          <w:sz w:val="18"/>
                          <w:szCs w:val="18"/>
                        </w:rPr>
                      </w:pPr>
                      <w:r>
                        <w:rPr>
                          <w:rFonts w:ascii="宋体" w:hAnsi="宋体" w:cs="宋体" w:eastAsia="宋体" w:hint="default"/>
                          <w:sz w:val="18"/>
                          <w:szCs w:val="18"/>
                        </w:rPr>
                        <w:t>募集年份</w:t>
                      </w:r>
                    </w:p>
                  </w:txbxContent>
                </v:textbox>
                <w10:wrap type="none"/>
              </v:shape>
              <v:shape style="position:absolute;left:869;top:11;width:872;height:133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spacing w:before="0"/>
                        <w:ind w:left="76" w:right="0" w:firstLine="0"/>
                        <w:jc w:val="left"/>
                        <w:rPr>
                          <w:rFonts w:ascii="宋体" w:hAnsi="宋体" w:cs="宋体" w:eastAsia="宋体" w:hint="default"/>
                          <w:sz w:val="18"/>
                          <w:szCs w:val="18"/>
                        </w:rPr>
                      </w:pPr>
                      <w:r>
                        <w:rPr>
                          <w:rFonts w:ascii="宋体" w:hAnsi="宋体" w:cs="宋体" w:eastAsia="宋体" w:hint="default"/>
                          <w:sz w:val="18"/>
                          <w:szCs w:val="18"/>
                        </w:rPr>
                        <w:t>募集方式</w:t>
                      </w:r>
                    </w:p>
                  </w:txbxContent>
                </v:textbox>
                <w10:wrap type="none"/>
              </v:shape>
              <v:shape style="position:absolute;left:1740;top:11;width:869;height:1338" type="#_x0000_t202" filled="false" stroked="false">
                <v:textbox inset="0,0,0,0">
                  <w:txbxContent>
                    <w:p>
                      <w:pPr>
                        <w:spacing w:line="240" w:lineRule="auto" w:before="0"/>
                        <w:rPr>
                          <w:rFonts w:ascii="宋体" w:hAnsi="宋体" w:cs="宋体" w:eastAsia="宋体" w:hint="default"/>
                          <w:sz w:val="18"/>
                          <w:szCs w:val="18"/>
                        </w:rPr>
                      </w:pPr>
                    </w:p>
                    <w:p>
                      <w:pPr>
                        <w:spacing w:line="314" w:lineRule="auto" w:before="131"/>
                        <w:ind w:left="254"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xbxContent>
                </v:textbox>
                <w10:wrap type="none"/>
              </v:shape>
              <v:shape style="position:absolute;left:2609;top:11;width:872;height:1338" type="#_x0000_t202" filled="false" stroked="false">
                <v:textbox inset="0,0,0,0">
                  <w:txbxContent>
                    <w:p>
                      <w:pPr>
                        <w:spacing w:line="240" w:lineRule="auto" w:before="2"/>
                        <w:rPr>
                          <w:rFonts w:ascii="宋体" w:hAnsi="宋体" w:cs="宋体" w:eastAsia="宋体" w:hint="default"/>
                          <w:sz w:val="16"/>
                          <w:szCs w:val="16"/>
                        </w:rPr>
                      </w:pPr>
                    </w:p>
                    <w:p>
                      <w:pPr>
                        <w:spacing w:line="316" w:lineRule="auto" w:before="0"/>
                        <w:ind w:left="77" w:right="72" w:firstLine="0"/>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xbxContent>
                </v:textbox>
                <w10:wrap type="none"/>
              </v:shape>
              <v:shape style="position:absolute;left:3481;top:11;width:869;height:1338" type="#_x0000_t202" filled="false" stroked="false">
                <v:textbox inset="0,0,0,0">
                  <w:txbxContent>
                    <w:p>
                      <w:pPr>
                        <w:spacing w:line="240" w:lineRule="auto" w:before="2"/>
                        <w:rPr>
                          <w:rFonts w:ascii="宋体" w:hAnsi="宋体" w:cs="宋体" w:eastAsia="宋体" w:hint="default"/>
                          <w:sz w:val="16"/>
                          <w:szCs w:val="16"/>
                        </w:rPr>
                      </w:pPr>
                    </w:p>
                    <w:p>
                      <w:pPr>
                        <w:spacing w:line="316" w:lineRule="auto" w:before="0"/>
                        <w:ind w:left="74" w:right="72" w:firstLine="0"/>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xbxContent>
                </v:textbox>
                <w10:wrap type="none"/>
              </v:shape>
              <v:shape style="position:absolute;left:4350;top:11;width:872;height:1338" type="#_x0000_t202" filled="false" stroked="false">
                <v:textbox inset="0,0,0,0">
                  <w:txbxContent>
                    <w:p>
                      <w:pPr>
                        <w:spacing w:line="316" w:lineRule="auto" w:before="55"/>
                        <w:ind w:left="76" w:right="72" w:firstLine="0"/>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xbxContent>
                </v:textbox>
                <w10:wrap type="none"/>
              </v:shape>
              <v:shape style="position:absolute;left:5221;top:11;width:869;height:1338" type="#_x0000_t202" filled="false" stroked="false">
                <v:textbox inset="0,0,0,0">
                  <w:txbxContent>
                    <w:p>
                      <w:pPr>
                        <w:spacing w:line="316" w:lineRule="auto" w:before="55"/>
                        <w:ind w:left="74" w:right="72" w:firstLine="0"/>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xbxContent>
                </v:textbox>
                <w10:wrap type="none"/>
              </v:shape>
              <v:shape style="position:absolute;left:6090;top:11;width:872;height:1338" type="#_x0000_t202" filled="false" stroked="false">
                <v:textbox inset="0,0,0,0">
                  <w:txbxContent>
                    <w:p>
                      <w:pPr>
                        <w:spacing w:line="316" w:lineRule="auto" w:before="55"/>
                        <w:ind w:left="74" w:right="74" w:firstLine="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xbxContent>
                </v:textbox>
                <w10:wrap type="none"/>
              </v:shape>
              <v:shape style="position:absolute;left:6961;top:11;width:870;height:1338" type="#_x0000_t202" filled="false" stroked="false">
                <v:textbox inset="0,0,0,0">
                  <w:txbxContent>
                    <w:p>
                      <w:pPr>
                        <w:spacing w:line="240" w:lineRule="auto" w:before="2"/>
                        <w:rPr>
                          <w:rFonts w:ascii="宋体" w:hAnsi="宋体" w:cs="宋体" w:eastAsia="宋体" w:hint="default"/>
                          <w:sz w:val="16"/>
                          <w:szCs w:val="16"/>
                        </w:rPr>
                      </w:pPr>
                    </w:p>
                    <w:p>
                      <w:pPr>
                        <w:spacing w:line="316" w:lineRule="auto" w:before="0"/>
                        <w:ind w:left="74" w:right="74" w:firstLine="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xbxContent>
                </v:textbox>
                <w10:wrap type="none"/>
              </v:shape>
              <v:shape style="position:absolute;left:7831;top:11;width:872;height:1338" type="#_x0000_t202" filled="false" stroked="false">
                <v:textbox inset="0,0,0,0">
                  <w:txbxContent>
                    <w:p>
                      <w:pPr>
                        <w:spacing w:line="316" w:lineRule="auto" w:before="55"/>
                        <w:ind w:left="74" w:right="74" w:firstLine="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xbxContent>
                </v:textbox>
                <w10:wrap type="none"/>
              </v:shape>
              <v:shape style="position:absolute;left:8702;top:11;width:869;height:1338" type="#_x0000_t202" filled="false" stroked="false">
                <v:textbox inset="0,0,0,0">
                  <w:txbxContent>
                    <w:p>
                      <w:pPr>
                        <w:spacing w:line="240" w:lineRule="auto" w:before="2"/>
                        <w:rPr>
                          <w:rFonts w:ascii="宋体" w:hAnsi="宋体" w:cs="宋体" w:eastAsia="宋体" w:hint="default"/>
                          <w:sz w:val="16"/>
                          <w:szCs w:val="16"/>
                        </w:rPr>
                      </w:pPr>
                    </w:p>
                    <w:p>
                      <w:pPr>
                        <w:spacing w:line="316" w:lineRule="auto" w:before="0"/>
                        <w:ind w:left="74" w:right="72" w:firstLine="0"/>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xbxContent>
                </v:textbox>
                <w10:wrap type="none"/>
              </v:shape>
              <v:shape style="position:absolute;left:34;top:5515;width:635;height:492"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spacing w:before="63"/>
                        <w:ind w:left="0" w:right="0" w:firstLine="0"/>
                        <w:jc w:val="left"/>
                        <w:rPr>
                          <w:rFonts w:ascii="宋体" w:hAnsi="宋体" w:cs="宋体" w:eastAsia="宋体" w:hint="default"/>
                          <w:sz w:val="18"/>
                          <w:szCs w:val="18"/>
                        </w:rPr>
                      </w:pPr>
                      <w:r>
                        <w:rPr>
                          <w:rFonts w:ascii="宋体" w:hAnsi="宋体" w:cs="宋体" w:eastAsia="宋体" w:hint="default"/>
                          <w:sz w:val="18"/>
                          <w:szCs w:val="18"/>
                        </w:rPr>
                        <w:t>度</w:t>
                      </w:r>
                    </w:p>
                  </w:txbxContent>
                </v:textbox>
                <w10:wrap type="none"/>
              </v:shape>
              <v:shape style="position:absolute;left:900;top:5515;width:72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非公开发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行股票</w:t>
                      </w:r>
                    </w:p>
                  </w:txbxContent>
                </v:textbox>
                <w10:wrap type="none"/>
              </v:shape>
              <v:shape style="position:absolute;left:1772;top:5681;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287,454.52</w:t>
                      </w:r>
                    </w:p>
                  </w:txbxContent>
                </v:textbox>
                <w10:wrap type="none"/>
              </v:shape>
              <v:shape style="position:absolute;left:2735;top:5681;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29,887.15</w:t>
                      </w:r>
                    </w:p>
                  </w:txbxContent>
                </v:textbox>
                <w10:wrap type="none"/>
              </v:shape>
              <v:shape style="position:absolute;left:3512;top:5681;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244,865.74</w:t>
                      </w:r>
                    </w:p>
                  </w:txbxContent>
                </v:textbox>
                <w10:wrap type="none"/>
              </v:shape>
              <v:shape style="position:absolute;left:5103;top:5681;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5973;top:5681;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6467;top:5681;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7084;top:5681;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53,627.87</w:t>
                      </w:r>
                    </w:p>
                  </w:txbxContent>
                </v:textbox>
                <w10:wrap type="none"/>
              </v:shape>
              <v:shape style="position:absolute;left:0;top:0;width:9576;height:101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line="316" w:lineRule="auto" w:before="0"/>
                        <w:ind w:left="7859" w:right="814" w:firstLine="0"/>
                        <w:jc w:val="left"/>
                        <w:rPr>
                          <w:rFonts w:ascii="宋体" w:hAnsi="宋体" w:cs="宋体" w:eastAsia="宋体" w:hint="default"/>
                          <w:sz w:val="18"/>
                          <w:szCs w:val="18"/>
                        </w:rPr>
                      </w:pPr>
                      <w:r>
                        <w:rPr>
                          <w:rFonts w:ascii="宋体" w:hAnsi="宋体" w:cs="宋体" w:eastAsia="宋体" w:hint="default"/>
                          <w:spacing w:val="-18"/>
                          <w:sz w:val="18"/>
                          <w:szCs w:val="18"/>
                        </w:rPr>
                        <w:t>公司（全资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子公司）与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银行机构、 西南证券 签订了募 集资金三 方（四方） 监管协议。 截至报告 </w:t>
                      </w:r>
                      <w:r>
                        <w:rPr>
                          <w:rFonts w:ascii="宋体" w:hAnsi="宋体" w:cs="宋体" w:eastAsia="宋体" w:hint="default"/>
                          <w:spacing w:val="-18"/>
                          <w:sz w:val="18"/>
                          <w:szCs w:val="18"/>
                        </w:rPr>
                        <w:t>期末，公司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实际补充 流动资金 </w:t>
                      </w:r>
                      <w:r>
                        <w:rPr>
                          <w:rFonts w:ascii="Times New Roman" w:hAnsi="Times New Roman" w:cs="Times New Roman" w:eastAsia="Times New Roman" w:hint="default"/>
                          <w:sz w:val="18"/>
                          <w:szCs w:val="18"/>
                        </w:rPr>
                        <w:t>29,400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spacing w:line="216" w:lineRule="exact" w:before="0"/>
                        <w:ind w:left="0" w:right="900" w:firstLine="0"/>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公司实</w:t>
                      </w:r>
                    </w:p>
                    <w:p>
                      <w:pPr>
                        <w:spacing w:line="142" w:lineRule="exact" w:before="0"/>
                        <w:ind w:left="0" w:right="28" w:firstLine="0"/>
                        <w:jc w:val="right"/>
                        <w:rPr>
                          <w:rFonts w:ascii="Times New Roman" w:hAnsi="Times New Roman" w:cs="Times New Roman" w:eastAsia="Times New Roman" w:hint="default"/>
                          <w:sz w:val="18"/>
                          <w:szCs w:val="18"/>
                        </w:rPr>
                      </w:pPr>
                      <w:r>
                        <w:rPr>
                          <w:rFonts w:ascii="Times New Roman"/>
                          <w:spacing w:val="-1"/>
                          <w:sz w:val="18"/>
                        </w:rPr>
                        <w:t>42,588.78</w:t>
                      </w:r>
                    </w:p>
                    <w:p>
                      <w:pPr>
                        <w:spacing w:line="189" w:lineRule="exact" w:before="0"/>
                        <w:ind w:left="0" w:right="994" w:firstLine="0"/>
                        <w:jc w:val="right"/>
                        <w:rPr>
                          <w:rFonts w:ascii="宋体" w:hAnsi="宋体" w:cs="宋体" w:eastAsia="宋体" w:hint="default"/>
                          <w:sz w:val="18"/>
                          <w:szCs w:val="18"/>
                        </w:rPr>
                      </w:pPr>
                      <w:r>
                        <w:rPr>
                          <w:rFonts w:ascii="宋体" w:hAnsi="宋体" w:cs="宋体" w:eastAsia="宋体" w:hint="default"/>
                          <w:sz w:val="18"/>
                          <w:szCs w:val="18"/>
                        </w:rPr>
                        <w:t>际进行现</w:t>
                      </w:r>
                    </w:p>
                    <w:p>
                      <w:pPr>
                        <w:spacing w:line="316" w:lineRule="auto" w:before="76"/>
                        <w:ind w:left="7859" w:right="994"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金管理余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13,900</w:t>
                      </w:r>
                    </w:p>
                    <w:p>
                      <w:pPr>
                        <w:spacing w:line="316" w:lineRule="auto" w:before="0"/>
                        <w:ind w:left="7859" w:right="814" w:firstLine="0"/>
                        <w:jc w:val="left"/>
                        <w:rPr>
                          <w:rFonts w:ascii="宋体" w:hAnsi="宋体" w:cs="宋体" w:eastAsia="宋体" w:hint="default"/>
                          <w:sz w:val="18"/>
                          <w:szCs w:val="18"/>
                        </w:rPr>
                      </w:pPr>
                      <w:r>
                        <w:rPr>
                          <w:rFonts w:ascii="宋体" w:hAnsi="宋体" w:cs="宋体" w:eastAsia="宋体" w:hint="default"/>
                          <w:spacing w:val="-18"/>
                          <w:sz w:val="18"/>
                          <w:szCs w:val="18"/>
                        </w:rPr>
                        <w:t>万元。其余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尚未使用 募集资金 存放于专 </w:t>
                      </w:r>
                      <w:r>
                        <w:rPr>
                          <w:rFonts w:ascii="宋体" w:hAnsi="宋体" w:cs="宋体" w:eastAsia="宋体" w:hint="default"/>
                          <w:spacing w:val="-18"/>
                          <w:sz w:val="18"/>
                          <w:szCs w:val="18"/>
                        </w:rPr>
                        <w:t>户中。公司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募集资金 的使用合 理、规范， 信息披露 及时、准 确、完整。</w:t>
                      </w:r>
                    </w:p>
                  </w:txbxContent>
                </v:textbox>
                <w10:wrap type="none"/>
              </v:shape>
            </v:group>
          </v:group>
        </w:pict>
      </w:r>
      <w:r>
        <w:rPr>
          <w:rFonts w:ascii="宋体" w:hAnsi="宋体" w:cs="宋体" w:eastAsia="宋体" w:hint="default"/>
          <w:position w:val="-203"/>
          <w:sz w:val="20"/>
          <w:szCs w:val="20"/>
        </w:rPr>
      </w:r>
    </w:p>
    <w:p>
      <w:pPr>
        <w:spacing w:after="0" w:line="10187"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352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56,675</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56,675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4"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 公开发行 股票募集 资金已使 </w:t>
            </w:r>
            <w:r>
              <w:rPr>
                <w:rFonts w:ascii="宋体" w:hAnsi="宋体" w:cs="宋体" w:eastAsia="宋体" w:hint="default"/>
                <w:spacing w:val="-18"/>
                <w:sz w:val="18"/>
                <w:szCs w:val="18"/>
              </w:rPr>
              <w:t>用完毕，募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集资金专 项账户已 注销。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344,129.52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29,887.15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301,540.74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53,627.87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42,588.78</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41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日，公司实际使用募集资金投入募投项目共计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301,540.74 </w:t>
            </w:r>
            <w:r>
              <w:rPr>
                <w:rFonts w:ascii="宋体" w:hAnsi="宋体" w:cs="宋体" w:eastAsia="宋体" w:hint="default"/>
                <w:sz w:val="18"/>
                <w:szCs w:val="18"/>
              </w:rPr>
              <w:t>万元。其中各募投项目进展情况如下：</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年重组的现金对价总额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万元，截止本报告期末累计支付现金对价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、燕郊绿色云计算基地二期项目总投资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22,844.04 </w:t>
            </w:r>
            <w:r>
              <w:rPr>
                <w:rFonts w:ascii="宋体" w:hAnsi="宋体" w:cs="宋体" w:eastAsia="宋体" w:hint="default"/>
                <w:sz w:val="18"/>
                <w:szCs w:val="18"/>
              </w:rPr>
              <w:t>万元，本报告期内投入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万元，截至本报告期末累计投入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23,395.73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万元，投入进度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102.42%</w:t>
            </w:r>
            <w:r>
              <w:rPr>
                <w:rFonts w:ascii="宋体" w:hAnsi="宋体" w:cs="宋体" w:eastAsia="宋体" w:hint="default"/>
                <w:sz w:val="18"/>
                <w:szCs w:val="18"/>
              </w:rPr>
              <w:t>。</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、上海嘉定绿色云计算基地一期项目总投资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57,354.83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万元，本报告期内投入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3,476.38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万元，截至本报告期末累计投入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52,396.82 </w:t>
            </w:r>
            <w:r>
              <w:rPr>
                <w:rFonts w:ascii="宋体" w:hAnsi="宋体" w:cs="宋体" w:eastAsia="宋体" w:hint="default"/>
                <w:sz w:val="18"/>
                <w:szCs w:val="18"/>
              </w:rPr>
              <w:t>万元，投入进度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91.36%</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、房山绿色云计算基地一期项目总投资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124,055.65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万元，本报告期内投入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26,410.77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万元，截至本报告期末累计投入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85,873.19 </w:t>
            </w:r>
            <w:r>
              <w:rPr>
                <w:rFonts w:ascii="宋体" w:hAnsi="宋体" w:cs="宋体" w:eastAsia="宋体" w:hint="default"/>
                <w:sz w:val="18"/>
                <w:szCs w:val="18"/>
              </w:rPr>
              <w:t>万元，投入进度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69.22%</w:t>
            </w:r>
            <w:r>
              <w:rPr>
                <w:rFonts w:ascii="宋体" w:hAnsi="宋体" w:cs="宋体" w:eastAsia="宋体" w:hint="default"/>
                <w:sz w:val="18"/>
                <w:szCs w:val="18"/>
              </w:rPr>
              <w:t>。</w:t>
            </w:r>
          </w:p>
          <w:p>
            <w:pPr>
              <w:pStyle w:val="TableParagraph"/>
              <w:spacing w:line="300" w:lineRule="auto" w:before="103"/>
              <w:ind w:left="24"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年重组的现金对价总额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56,675.00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7"/>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年非公开发行股票募集资金已使用完 毕，募集资金专项账户已注销。</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650"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0"/>
              <w:ind w:left="24" w:right="147"/>
              <w:jc w:val="both"/>
              <w:rPr>
                <w:rFonts w:ascii="宋体" w:hAnsi="宋体" w:cs="宋体" w:eastAsia="宋体" w:hint="default"/>
                <w:sz w:val="18"/>
                <w:szCs w:val="18"/>
              </w:rPr>
            </w:pPr>
            <w:r>
              <w:rPr>
                <w:rFonts w:ascii="宋体" w:hAnsi="宋体" w:cs="宋体" w:eastAsia="宋体" w:hint="default"/>
                <w:sz w:val="18"/>
                <w:szCs w:val="18"/>
              </w:rPr>
              <w:t>重组的 现金对 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83,200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83,200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83,200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024002pt;margin-top:597.195984pt;width:442.05pt;height:45.75pt;mso-position-horizontal-relative:page;mso-position-vertical-relative:page;z-index:-1240120" coordorigin="1860,11944" coordsize="8841,915">
            <v:shape style="position:absolute;left:1860;top:11944;width:8841;height:915" coordorigin="1860,11944" coordsize="8841,915" path="m1860,12859l10701,12859,10701,11944,1860,11944,1860,128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7"/>
        <w:gridCol w:w="730"/>
        <w:gridCol w:w="898"/>
        <w:gridCol w:w="896"/>
        <w:gridCol w:w="727"/>
        <w:gridCol w:w="898"/>
        <w:gridCol w:w="897"/>
        <w:gridCol w:w="727"/>
        <w:gridCol w:w="727"/>
        <w:gridCol w:w="899"/>
        <w:gridCol w:w="727"/>
        <w:gridCol w:w="727"/>
      </w:tblGrid>
      <w:tr>
        <w:trPr>
          <w:trHeight w:val="1649"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燕郊绿 色云计 算基地 二期项 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22,844.04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22,844.04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23,395.73</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6,061.31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11,049.7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1"/>
              <w:jc w:val="both"/>
              <w:rPr>
                <w:rFonts w:ascii="宋体" w:hAnsi="宋体" w:cs="宋体" w:eastAsia="宋体" w:hint="default"/>
                <w:sz w:val="18"/>
                <w:szCs w:val="18"/>
              </w:rPr>
            </w:pPr>
            <w:r>
              <w:rPr>
                <w:rFonts w:ascii="宋体" w:hAnsi="宋体" w:cs="宋体" w:eastAsia="宋体" w:hint="default"/>
                <w:sz w:val="18"/>
                <w:szCs w:val="18"/>
              </w:rPr>
              <w:t>上海嘉 定绿色 云计算 基地一 期项目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57,354.83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57,354.83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3,476.38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52,396.82</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91.36%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5,966.99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5,829.77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房山绿 色云计 算基地 一期项 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124,055.65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124,055.65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26,410.7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85,873.19</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69.22%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758.06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758.06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0"/>
              <w:ind w:left="24" w:right="141"/>
              <w:jc w:val="both"/>
              <w:rPr>
                <w:rFonts w:ascii="宋体" w:hAnsi="宋体" w:cs="宋体" w:eastAsia="宋体" w:hint="default"/>
                <w:sz w:val="18"/>
                <w:szCs w:val="18"/>
              </w:rPr>
            </w:pPr>
            <w:r>
              <w:rPr>
                <w:rFonts w:ascii="宋体" w:hAnsi="宋体" w:cs="宋体" w:eastAsia="宋体" w:hint="default"/>
                <w:sz w:val="18"/>
                <w:szCs w:val="18"/>
              </w:rPr>
              <w:t>重组的 现金对 价</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56,675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56,675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56,675</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344,129.52</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344,129.52</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301,540.74</w:t>
            </w:r>
          </w:p>
        </w:tc>
        <w:tc>
          <w:tcPr>
            <w:tcW w:w="8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9"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17,637.53</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17" w:type="dxa"/>
            <w:vMerge/>
            <w:tcBorders>
              <w:left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tcBorders>
              <w:left w:val="single" w:sz="10" w:space="0" w:color="D2D2D2"/>
              <w:right w:val="single" w:sz="4" w:space="0" w:color="000000"/>
            </w:tcBorders>
          </w:tcPr>
          <w:p>
            <w:pPr/>
          </w:p>
        </w:tc>
        <w:tc>
          <w:tcPr>
            <w:tcW w:w="899"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717" w:type="dxa"/>
            <w:vMerge/>
            <w:tcBorders>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344,129.52</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344,129.52</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29,887.1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301,540.74</w:t>
            </w: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12,786.3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9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17,637.53</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tcPr>
          <w:p>
            <w:pPr/>
          </w:p>
        </w:tc>
        <w:tc>
          <w:tcPr>
            <w:tcW w:w="899"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2585"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9" w:lineRule="auto" w:before="19"/>
              <w:ind w:left="24" w:right="-37"/>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、报告期内，上海嘉定绿色云计算基地一期项目已投入运营。</w:t>
            </w:r>
          </w:p>
          <w:p>
            <w:pPr>
              <w:pStyle w:val="TableParagraph"/>
              <w:spacing w:line="240" w:lineRule="auto" w:before="10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、报告期内，房山绿色云计算基地一期项目部分投入运营。</w:t>
            </w:r>
          </w:p>
        </w:tc>
      </w:tr>
      <w:tr>
        <w:trPr>
          <w:trHeight w:val="1963"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1"/>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90"/>
        <w:ind w:left="0" w:right="1133"/>
        <w:jc w:val="right"/>
      </w:pPr>
      <w:r>
        <w:rPr/>
        <w:pict>
          <v:shape style="position:absolute;margin-left:56.459999pt;margin-top:-341.798309pt;width:479.2pt;height:413.1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2"/>
                    <w:gridCol w:w="8848"/>
                  </w:tblGrid>
                  <w:tr>
                    <w:trPr>
                      <w:trHeight w:val="196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1"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日，公司第三届董事会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年第四次会议审议通过，并经独立董事发表独立意见，同意公司使用</w:t>
                        </w:r>
                      </w:p>
                      <w:p>
                        <w:pPr>
                          <w:pStyle w:val="TableParagraph"/>
                          <w:spacing w:line="300" w:lineRule="auto" w:before="63"/>
                          <w:ind w:left="24" w:right="107"/>
                          <w:jc w:val="left"/>
                          <w:rPr>
                            <w:rFonts w:ascii="宋体" w:hAnsi="宋体" w:cs="宋体" w:eastAsia="宋体" w:hint="default"/>
                            <w:sz w:val="18"/>
                            <w:szCs w:val="18"/>
                          </w:rPr>
                        </w:pPr>
                        <w:r>
                          <w:rPr>
                            <w:rFonts w:ascii="宋体" w:hAnsi="宋体" w:cs="宋体" w:eastAsia="宋体" w:hint="default"/>
                            <w:sz w:val="18"/>
                            <w:szCs w:val="18"/>
                          </w:rPr>
                          <w:t>非公开发行股份募集资金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44,545,361.13</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元置换预先已投入募集资金投资项目的自筹资金。截至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上述置换已全部实施完毕。</w:t>
                        </w:r>
                      </w:p>
                    </w:tc>
                  </w:tr>
                  <w:tr>
                    <w:trPr>
                      <w:trHeight w:val="40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用闲置</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63"/>
        <w:ind w:left="0" w:right="1136"/>
        <w:jc w:val="right"/>
      </w:pPr>
      <w:r>
        <w:rPr/>
        <w:pict>
          <v:shape style="position:absolute;margin-left:56.459999pt;margin-top:-518.008301pt;width:479.2pt;height:618.950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2"/>
                    <w:gridCol w:w="8848"/>
                  </w:tblGrid>
                  <w:tr>
                    <w:trPr>
                      <w:trHeight w:val="6138"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年第四次会议和第三届监事会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年第四次会议审议通过了《关</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，并经</w:t>
                        </w:r>
                        <w:r>
                          <w:rPr>
                            <w:rFonts w:ascii="宋体" w:hAnsi="宋体" w:cs="宋体" w:eastAsia="宋体" w:hint="default"/>
                            <w:spacing w:val="2"/>
                            <w:sz w:val="18"/>
                            <w:szCs w:val="18"/>
                          </w:rPr>
                          <w:t>独</w:t>
                        </w:r>
                        <w:r>
                          <w:rPr>
                            <w:rFonts w:ascii="宋体" w:hAnsi="宋体" w:cs="宋体" w:eastAsia="宋体" w:hint="default"/>
                            <w:sz w:val="18"/>
                            <w:szCs w:val="18"/>
                          </w:rPr>
                          <w:t>立董事发表独立意见，同意公司使用不超过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万元的闲置非公开发行募集资金暂时补充流动资金，使用期限为自董事会批准之日起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个月内，到期后将及时</w:t>
                        </w:r>
                      </w:p>
                      <w:p>
                        <w:pPr>
                          <w:pStyle w:val="TableParagraph"/>
                          <w:spacing w:line="300" w:lineRule="auto" w:before="63"/>
                          <w:ind w:left="24" w:right="31"/>
                          <w:jc w:val="both"/>
                          <w:rPr>
                            <w:rFonts w:ascii="宋体" w:hAnsi="宋体" w:cs="宋体" w:eastAsia="宋体" w:hint="default"/>
                            <w:sz w:val="18"/>
                            <w:szCs w:val="18"/>
                          </w:rPr>
                        </w:pPr>
                        <w:r>
                          <w:rPr>
                            <w:rFonts w:ascii="宋体" w:hAnsi="宋体" w:cs="宋体" w:eastAsia="宋体" w:hint="default"/>
                            <w:sz w:val="18"/>
                            <w:szCs w:val="18"/>
                          </w:rPr>
                          <w:t>归还至募集资金专用账户。截至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日，公司已将用于暂时补充流动资金的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万元人民币全部归 还至公司募集资金专户。</w:t>
                        </w:r>
                      </w:p>
                      <w:p>
                        <w:pPr>
                          <w:pStyle w:val="TableParagraph"/>
                          <w:spacing w:line="309" w:lineRule="auto" w:before="70"/>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年第四次会议和第三届监事会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年第三次会议审议通过了《关 </w:t>
                        </w:r>
                        <w:r>
                          <w:rPr>
                            <w:rFonts w:ascii="宋体" w:hAnsi="宋体" w:cs="宋体" w:eastAsia="宋体" w:hint="default"/>
                            <w:spacing w:val="-2"/>
                            <w:sz w:val="18"/>
                            <w:szCs w:val="18"/>
                          </w:rPr>
                          <w:t>于继续使用部分闲置募集资金暂时补充流动资金的议案》，并经独立董事发表独立意见，同意公司继续使用不超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万元的闲置非公开发行募集资金暂时补充流动资金，使用期限为自董事会批准之日起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个月内，到期</w:t>
                        </w:r>
                      </w:p>
                      <w:p>
                        <w:pPr>
                          <w:pStyle w:val="TableParagraph"/>
                          <w:spacing w:line="300" w:lineRule="auto" w:before="5"/>
                          <w:ind w:left="24" w:right="17"/>
                          <w:jc w:val="both"/>
                          <w:rPr>
                            <w:rFonts w:ascii="宋体" w:hAnsi="宋体" w:cs="宋体" w:eastAsia="宋体" w:hint="default"/>
                            <w:sz w:val="18"/>
                            <w:szCs w:val="18"/>
                          </w:rPr>
                        </w:pPr>
                        <w:r>
                          <w:rPr>
                            <w:rFonts w:ascii="宋体" w:hAnsi="宋体" w:cs="宋体" w:eastAsia="宋体" w:hint="default"/>
                            <w:sz w:val="18"/>
                            <w:szCs w:val="18"/>
                          </w:rPr>
                          <w:t>后将及时归还至募集资金专用账户。截至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日，公司已将用于暂时补充流动资金的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 币全部归还至公司募集资金专户。</w:t>
                        </w:r>
                      </w:p>
                      <w:p>
                        <w:pPr>
                          <w:pStyle w:val="TableParagraph"/>
                          <w:spacing w:line="240" w:lineRule="auto" w:before="72"/>
                          <w:ind w:left="24"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日，公司第三届董事会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年第七次会议和第三届监事会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年第六次会议审议通过了《关</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于继续使用闲置募集资金暂时补充流动资金的议案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，并经</w:t>
                        </w:r>
                        <w:r>
                          <w:rPr>
                            <w:rFonts w:ascii="宋体" w:hAnsi="宋体" w:cs="宋体" w:eastAsia="宋体" w:hint="default"/>
                            <w:spacing w:val="2"/>
                            <w:sz w:val="18"/>
                            <w:szCs w:val="18"/>
                          </w:rPr>
                          <w:t>独</w:t>
                        </w:r>
                        <w:r>
                          <w:rPr>
                            <w:rFonts w:ascii="宋体" w:hAnsi="宋体" w:cs="宋体" w:eastAsia="宋体" w:hint="default"/>
                            <w:sz w:val="18"/>
                            <w:szCs w:val="18"/>
                          </w:rPr>
                          <w:t>立董事发表独立意见，同意公司使用不超过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万元的闲置非公开发行募集资金暂时补充流动资金，使用期限为自董事会批准之日起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个月内，到期后将及时</w:t>
                        </w:r>
                      </w:p>
                      <w:p>
                        <w:pPr>
                          <w:pStyle w:val="TableParagraph"/>
                          <w:spacing w:line="300" w:lineRule="auto" w:before="63"/>
                          <w:ind w:left="24" w:right="14"/>
                          <w:jc w:val="both"/>
                          <w:rPr>
                            <w:rFonts w:ascii="宋体" w:hAnsi="宋体" w:cs="宋体" w:eastAsia="宋体" w:hint="default"/>
                            <w:sz w:val="18"/>
                            <w:szCs w:val="18"/>
                          </w:rPr>
                        </w:pPr>
                        <w:r>
                          <w:rPr>
                            <w:rFonts w:ascii="宋体" w:hAnsi="宋体" w:cs="宋体" w:eastAsia="宋体" w:hint="default"/>
                            <w:spacing w:val="-3"/>
                            <w:sz w:val="18"/>
                            <w:szCs w:val="18"/>
                          </w:rPr>
                          <w:t>归还至募集资金专用账户。截至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日，公司已将用于暂时补充流动资金的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万元人民币全部归 还至公司募集资金专户。</w:t>
                        </w:r>
                      </w:p>
                      <w:p>
                        <w:pPr>
                          <w:pStyle w:val="TableParagraph"/>
                          <w:spacing w:line="240" w:lineRule="auto" w:before="72"/>
                          <w:ind w:left="24"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年第二次会议和第四届监事会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年第二次会议审议通过了《关</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于继续使用闲置募集资金暂时补充流动资金的议案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，并经</w:t>
                        </w:r>
                        <w:r>
                          <w:rPr>
                            <w:rFonts w:ascii="宋体" w:hAnsi="宋体" w:cs="宋体" w:eastAsia="宋体" w:hint="default"/>
                            <w:spacing w:val="2"/>
                            <w:sz w:val="18"/>
                            <w:szCs w:val="18"/>
                          </w:rPr>
                          <w:t>独</w:t>
                        </w:r>
                        <w:r>
                          <w:rPr>
                            <w:rFonts w:ascii="宋体" w:hAnsi="宋体" w:cs="宋体" w:eastAsia="宋体" w:hint="default"/>
                            <w:sz w:val="18"/>
                            <w:szCs w:val="18"/>
                          </w:rPr>
                          <w:t>立董事发表独立意见，同意公司使用不超过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万元的闲置非公开发行募集资金暂时补充流动资金，使用期限为自董事会批准之日起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个月内，到期后将及时</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归还至募集资金专用账户。截至本报告期末，公司实际补充流动资金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96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68"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、公司（全资子公司）已与银行机构、独立财务顾问签订了募集资金三方（四方）监管协议。</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年第二次会议和第四届监事会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年第二次会议审议通过了《关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于继续使用闲置募集资金暂时补充流动资金的议案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，并经</w:t>
                        </w:r>
                        <w:r>
                          <w:rPr>
                            <w:rFonts w:ascii="宋体" w:hAnsi="宋体" w:cs="宋体" w:eastAsia="宋体" w:hint="default"/>
                            <w:spacing w:val="2"/>
                            <w:sz w:val="18"/>
                            <w:szCs w:val="18"/>
                          </w:rPr>
                          <w:t>独</w:t>
                        </w:r>
                        <w:r>
                          <w:rPr>
                            <w:rFonts w:ascii="宋体" w:hAnsi="宋体" w:cs="宋体" w:eastAsia="宋体" w:hint="default"/>
                            <w:sz w:val="18"/>
                            <w:szCs w:val="18"/>
                          </w:rPr>
                          <w:t>立董事发表独立意见，同意公司使用不超过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万元的闲置非公开发行募集资金暂时补充流动资金，使用期限为自董事会批准之日起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个月内，到期后将及时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归还至募集资金专用账户。截至本报告期末，公司实际补充流动资金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103"/>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年第二次会议和第四届监事会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年第二次会议审议通过了《关</w:t>
                        </w:r>
                        <w:r>
                          <w:rPr>
                            <w:rFonts w:ascii="宋体" w:hAnsi="宋体" w:cs="宋体" w:eastAsia="宋体" w:hint="default"/>
                            <w:sz w:val="18"/>
                            <w:szCs w:val="18"/>
                          </w:rPr>
                          <w:t> </w:t>
                        </w:r>
                        <w:r>
                          <w:rPr>
                            <w:rFonts w:ascii="宋体" w:hAnsi="宋体" w:cs="宋体" w:eastAsia="宋体" w:hint="default"/>
                            <w:spacing w:val="-2"/>
                            <w:sz w:val="18"/>
                            <w:szCs w:val="18"/>
                          </w:rPr>
                          <w:t>于继续使用闲置募集资金进行现金管理的议案》，并经独立董事发表独立意见，同意公司在保证募投项目资金需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求和资金安全的前提下，继续使用不超过人民币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30,000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万元的闲置募集资金购买安全性高、流动性好的投资产品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包括但不限于定期存款、结构化存款、银行理财产品、金融机构理财产品、国债等，该等产品须有保本要求。不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用于其他证券投资，不购买以股票及其衍生品、无担保债券为投资标的的产品。使用期限不超过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个月，在上 </w:t>
                        </w:r>
                        <w:r>
                          <w:rPr>
                            <w:rFonts w:ascii="宋体" w:hAnsi="宋体" w:cs="宋体" w:eastAsia="宋体" w:hint="default"/>
                            <w:spacing w:val="-1"/>
                            <w:sz w:val="18"/>
                            <w:szCs w:val="18"/>
                          </w:rPr>
                          <w:t>述额度及决议有效期内，可循环滚动使用。闲置募集资金现金管理到期后将及时归还至募集资金专户。截至本报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告期末，公司实际进行现金管理余额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、其余尚未使用募集资金的存放于专用账户中。</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22"/>
        <w:gridCol w:w="8848"/>
      </w:tblGrid>
      <w:tr>
        <w:trPr>
          <w:trHeight w:val="334" w:hRule="exact"/>
        </w:trPr>
        <w:tc>
          <w:tcPr>
            <w:tcW w:w="722" w:type="dxa"/>
            <w:tcBorders>
              <w:top w:val="single" w:sz="6" w:space="0" w:color="000000"/>
              <w:left w:val="nil" w:sz="6" w:space="0" w:color="auto"/>
              <w:bottom w:val="single" w:sz="4" w:space="0" w:color="000000"/>
              <w:right w:val="nil" w:sz="6" w:space="0" w:color="auto"/>
            </w:tcBorders>
          </w:tcPr>
          <w:p>
            <w:pPr/>
          </w:p>
        </w:tc>
        <w:tc>
          <w:tcPr>
            <w:tcW w:w="8848" w:type="dxa"/>
            <w:tcBorders>
              <w:top w:val="single" w:sz="6" w:space="0" w:color="000000"/>
              <w:left w:val="nil" w:sz="6" w:space="0" w:color="auto"/>
              <w:bottom w:val="single" w:sz="4" w:space="0" w:color="000000"/>
              <w:right w:val="nil" w:sz="6" w:space="0" w:color="auto"/>
            </w:tcBorders>
          </w:tcPr>
          <w:p>
            <w:pPr/>
          </w:p>
        </w:tc>
      </w:tr>
      <w:tr>
        <w:trPr>
          <w:trHeight w:val="227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公司募集资金的使用合理、规范，信息披露及时、准确、完整。</w:t>
            </w:r>
          </w:p>
        </w:tc>
      </w:tr>
    </w:tbl>
    <w:p>
      <w:pPr>
        <w:spacing w:line="240" w:lineRule="auto" w:before="3"/>
        <w:rPr>
          <w:rFonts w:ascii="宋体" w:hAnsi="宋体" w:cs="宋体" w:eastAsia="宋体" w:hint="default"/>
          <w:sz w:val="19"/>
          <w:szCs w:val="19"/>
        </w:rPr>
      </w:pPr>
    </w:p>
    <w:p>
      <w:pPr>
        <w:pStyle w:val="Heading3"/>
        <w:spacing w:line="240" w:lineRule="auto" w:before="36"/>
        <w:ind w:left="112" w:right="7334"/>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7"/>
        <w:rPr>
          <w:rFonts w:ascii="宋体" w:hAnsi="宋体" w:cs="宋体" w:eastAsia="宋体" w:hint="default"/>
          <w:sz w:val="19"/>
          <w:szCs w:val="19"/>
        </w:rPr>
      </w:pPr>
    </w:p>
    <w:p>
      <w:pPr>
        <w:pStyle w:val="Heading2"/>
        <w:spacing w:line="240" w:lineRule="auto"/>
        <w:ind w:left="112" w:right="7334"/>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2" w:right="7334"/>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1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left="112" w:right="7334"/>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7334"/>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1020" w:right="0"/>
        </w:sectPr>
      </w:pPr>
    </w:p>
    <w:p>
      <w:pPr>
        <w:pStyle w:val="BodyText"/>
        <w:spacing w:line="240" w:lineRule="auto" w:before="44"/>
        <w:ind w:left="11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112"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2" w:right="0"/>
        <w:jc w:val="left"/>
      </w:pPr>
      <w:r>
        <w:rPr/>
        <w:t>单位：元</w:t>
      </w:r>
    </w:p>
    <w:p>
      <w:pPr>
        <w:spacing w:after="0" w:line="240" w:lineRule="auto"/>
        <w:jc w:val="left"/>
        <w:sectPr>
          <w:type w:val="continuous"/>
          <w:pgSz w:w="11910" w:h="16840"/>
          <w:pgMar w:top="1060" w:bottom="700" w:left="1020" w:right="0"/>
          <w:cols w:num="2" w:equalWidth="0">
            <w:col w:w="4811" w:space="4109"/>
            <w:col w:w="1970"/>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3"/>
        <w:gridCol w:w="1198"/>
        <w:gridCol w:w="1045"/>
        <w:gridCol w:w="1044"/>
        <w:gridCol w:w="1047"/>
        <w:gridCol w:w="1046"/>
        <w:gridCol w:w="1045"/>
        <w:gridCol w:w="1043"/>
        <w:gridCol w:w="1046"/>
      </w:tblGrid>
      <w:tr>
        <w:trPr>
          <w:trHeight w:val="401"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70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726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北京科信盛 彩云计算有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云计算技 术、软件技 术的技术开 发、技术咨 询、技术服 务、技术转 让；技术检 测；物业管 理；出租商 业用房、出 租办公用 房；信息系 统集成服 务；软件开 发；计算机 技术咨询服 务；基础软 件服务、应 用软件服 务；会议服 务、承办展 览展示活 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971,458,175.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473,620,135.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320,912,726.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146,935,080.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126,555,981.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18</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8"/>
              <w:jc w:val="left"/>
              <w:rPr>
                <w:rFonts w:ascii="宋体" w:hAnsi="宋体" w:cs="宋体" w:eastAsia="宋体" w:hint="default"/>
                <w:sz w:val="18"/>
                <w:szCs w:val="18"/>
              </w:rPr>
            </w:pPr>
            <w:r>
              <w:rPr>
                <w:rFonts w:ascii="宋体" w:hAnsi="宋体" w:cs="宋体" w:eastAsia="宋体" w:hint="default"/>
                <w:sz w:val="18"/>
                <w:szCs w:val="18"/>
              </w:rPr>
              <w:t>北京无双科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代理、发布 广告，技术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1,396,376,03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361,019,305.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3,024,424,35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8.88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115,726,650.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102,204,442.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北京中金云 网科技有限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技术服务； 计算机系统 服务、数据 处理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2,408,198,79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1,394,595,46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833,449,778.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387,458,573.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328,960,138.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36</w:t>
            </w:r>
          </w:p>
        </w:tc>
      </w:tr>
    </w:tbl>
    <w:p>
      <w:pPr>
        <w:pStyle w:val="BodyText"/>
        <w:spacing w:line="240" w:lineRule="auto" w:before="49"/>
        <w:ind w:right="3827"/>
        <w:jc w:val="left"/>
      </w:pPr>
      <w:r>
        <w:rPr/>
        <w:t>报告期内取得和处置子公司的情况</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上海无双企业发展有限公司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本公司全资子公司北京无双科技有限公 司设立上海无双企业发展有限公司，经 营范围与北京无双科技有限公司相同。</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136"/>
        <w:jc w:val="right"/>
      </w:pPr>
      <w:r>
        <w:rPr/>
        <w:pict>
          <v:shape style="position:absolute;margin-left:56.400002pt;margin-top:-96.548294pt;width:479.3pt;height:181.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0"/>
                  </w:tblGrid>
                  <w:tr>
                    <w:trPr>
                      <w:trHeight w:val="227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上海中可企业发展有限公司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上海中可将利用其拥有的土地房产实施 建设上海嘉定绿色云计算基地二期项 目，该项目的总体机柜设计数为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个，为广大商企用户提供数据中心、云 计算等互联网一体化解决方案服务。有 利于提高公司的服务能力和综合竞争实 力，增强公司在长三角地区的资源储备</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光环云（上海）数据科技有限公司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本公司全资子公司光环云数据有限公司 设立光环云（上海）数据科技有限公司 经营范围与光环云数据有限公司相同， 报告期内尚未开展业务。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26"/>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986"/>
        <w:jc w:val="left"/>
      </w:pPr>
      <w:r>
        <w:rPr/>
        <w:t>（一）行业格局和趋势 公司主营业务与互联网发展息息相关。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月份中央政治局召开会议，强调要推动生物医药、医疗设备、</w:t>
      </w:r>
      <w:r>
        <w:rPr>
          <w:rFonts w:ascii="Times New Roman" w:hAnsi="Times New Roman" w:cs="Times New Roman" w:eastAsia="Times New Roman" w:hint="default"/>
        </w:rPr>
        <w:t>5G</w:t>
      </w:r>
      <w:r>
        <w:rPr/>
        <w:t>网络、</w:t>
      </w:r>
    </w:p>
    <w:p>
      <w:pPr>
        <w:pStyle w:val="BodyText"/>
        <w:spacing w:line="300" w:lineRule="auto"/>
        <w:ind w:right="1130"/>
        <w:jc w:val="both"/>
      </w:pPr>
      <w:r>
        <w:rPr>
          <w:spacing w:val="-1"/>
        </w:rPr>
        <w:t>工业互联网等加快发展。而后工信部召开会议强调加快推动</w:t>
      </w:r>
      <w:r>
        <w:rPr>
          <w:rFonts w:ascii="Times New Roman" w:hAnsi="Times New Roman" w:cs="Times New Roman" w:eastAsia="Times New Roman" w:hint="default"/>
          <w:spacing w:val="-1"/>
        </w:rPr>
        <w:t>“5G+</w:t>
      </w:r>
      <w:r>
        <w:rPr>
          <w:spacing w:val="-1"/>
        </w:rPr>
        <w:t>工业互联网</w:t>
      </w:r>
      <w:r>
        <w:rPr>
          <w:rFonts w:ascii="Times New Roman" w:hAnsi="Times New Roman" w:cs="Times New Roman" w:eastAsia="Times New Roman" w:hint="default"/>
          <w:spacing w:val="-1"/>
        </w:rPr>
        <w:t>”</w:t>
      </w:r>
      <w:r>
        <w:rPr>
          <w:spacing w:val="-1"/>
        </w:rPr>
        <w:t>融合应用，促进传统产业数字化、网络化、智</w:t>
      </w:r>
      <w:r>
        <w:rPr>
          <w:spacing w:val="-59"/>
        </w:rPr>
        <w:t> </w:t>
      </w:r>
      <w:r>
        <w:rPr>
          <w:spacing w:val="-59"/>
        </w:rPr>
      </w:r>
      <w:r>
        <w:rPr>
          <w:spacing w:val="-2"/>
        </w:rPr>
        <w:t>能化转型。中共中央政治局常务委员会于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日召开会议指出，要加大公共卫生服务，应急物资保障领域投入，加快</w:t>
      </w:r>
      <w:r>
        <w:rPr>
          <w:spacing w:val="-61"/>
        </w:rPr>
        <w:t> </w:t>
      </w:r>
      <w:r>
        <w:rPr>
          <w:spacing w:val="-61"/>
        </w:rPr>
      </w:r>
      <w:r>
        <w:rPr>
          <w:rFonts w:ascii="Times New Roman" w:hAnsi="Times New Roman" w:cs="Times New Roman" w:eastAsia="Times New Roman" w:hint="default"/>
        </w:rPr>
        <w:t>5G</w:t>
      </w:r>
      <w:r>
        <w:rPr/>
        <w:t>网络、数据中心等新型基础设施建设进度。本次中央政治局会议再次强调加快</w:t>
      </w:r>
      <w:r>
        <w:rPr>
          <w:rFonts w:ascii="Times New Roman" w:hAnsi="Times New Roman" w:cs="Times New Roman" w:eastAsia="Times New Roman" w:hint="default"/>
        </w:rPr>
        <w:t>5G</w:t>
      </w:r>
      <w:r>
        <w:rPr/>
        <w:t>网络、数据中心等新型基础设施建设进 度，预示中国</w:t>
      </w:r>
      <w:r>
        <w:rPr>
          <w:rFonts w:ascii="Times New Roman" w:hAnsi="Times New Roman" w:cs="Times New Roman" w:eastAsia="Times New Roman" w:hint="default"/>
        </w:rPr>
        <w:t>IDC</w:t>
      </w:r>
      <w:r>
        <w:rPr/>
        <w:t>业务市场规模将迎来快速增长。</w:t>
      </w:r>
    </w:p>
    <w:p>
      <w:pPr>
        <w:pStyle w:val="BodyText"/>
        <w:spacing w:line="300" w:lineRule="auto" w:before="13"/>
        <w:ind w:left="513" w:right="111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IDC</w:t>
      </w:r>
      <w:r>
        <w:rPr/>
        <w:t>市场发展趋势 </w:t>
      </w:r>
      <w:r>
        <w:rPr>
          <w:spacing w:val="-4"/>
        </w:rPr>
        <w:t>近年</w:t>
      </w:r>
      <w:r>
        <w:rPr>
          <w:rFonts w:ascii="Times New Roman" w:hAnsi="Times New Roman" w:cs="Times New Roman" w:eastAsia="Times New Roman" w:hint="default"/>
          <w:spacing w:val="-4"/>
        </w:rPr>
        <w:t>IDC</w:t>
      </w:r>
      <w:r>
        <w:rPr>
          <w:spacing w:val="-4"/>
        </w:rPr>
        <w:t>业务市场增速放缓，但市场规模绝对值仍保持增长态势。</w:t>
      </w:r>
      <w:r>
        <w:rPr>
          <w:rFonts w:ascii="Times New Roman" w:hAnsi="Times New Roman" w:cs="Times New Roman" w:eastAsia="Times New Roman" w:hint="default"/>
          <w:spacing w:val="-4"/>
        </w:rPr>
        <w:t>2019</w:t>
      </w:r>
      <w:r>
        <w:rPr>
          <w:spacing w:val="-4"/>
        </w:rPr>
        <w:t>年中国</w:t>
      </w:r>
      <w:r>
        <w:rPr>
          <w:rFonts w:ascii="Times New Roman" w:hAnsi="Times New Roman" w:cs="Times New Roman" w:eastAsia="Times New Roman" w:hint="default"/>
          <w:spacing w:val="-4"/>
        </w:rPr>
        <w:t>IDC</w:t>
      </w:r>
      <w:r>
        <w:rPr>
          <w:spacing w:val="-4"/>
        </w:rPr>
        <w:t>市场规模</w:t>
      </w:r>
      <w:r>
        <w:rPr>
          <w:rFonts w:ascii="Times New Roman" w:hAnsi="Times New Roman" w:cs="Times New Roman" w:eastAsia="Times New Roman" w:hint="default"/>
          <w:spacing w:val="-4"/>
        </w:rPr>
        <w:t>1,500</w:t>
      </w:r>
      <w:r>
        <w:rPr>
          <w:spacing w:val="-4"/>
        </w:rPr>
        <w:t>亿元左右，预计</w:t>
      </w:r>
      <w:r>
        <w:rPr>
          <w:rFonts w:ascii="Times New Roman" w:hAnsi="Times New Roman" w:cs="Times New Roman" w:eastAsia="Times New Roman" w:hint="default"/>
          <w:spacing w:val="-4"/>
        </w:rPr>
        <w:t>2022</w:t>
      </w:r>
      <w:r>
        <w:rPr>
          <w:spacing w:val="-4"/>
        </w:rPr>
        <w:t>年，</w:t>
      </w:r>
    </w:p>
    <w:p>
      <w:pPr>
        <w:pStyle w:val="BodyText"/>
        <w:spacing w:line="300" w:lineRule="auto" w:before="13"/>
        <w:ind w:right="1132"/>
        <w:jc w:val="both"/>
      </w:pPr>
      <w:r>
        <w:rPr/>
        <w:t>中国</w:t>
      </w:r>
      <w:r>
        <w:rPr>
          <w:rFonts w:ascii="Times New Roman" w:hAnsi="Times New Roman" w:cs="Times New Roman" w:eastAsia="Times New Roman" w:hint="default"/>
        </w:rPr>
        <w:t>IDC</w:t>
      </w:r>
      <w:r>
        <w:rPr/>
        <w:t>业务市场规模将超过</w:t>
      </w:r>
      <w:r>
        <w:rPr>
          <w:rFonts w:ascii="Times New Roman" w:hAnsi="Times New Roman" w:cs="Times New Roman" w:eastAsia="Times New Roman" w:hint="default"/>
        </w:rPr>
        <w:t>3,200</w:t>
      </w:r>
      <w:r>
        <w:rPr/>
        <w:t>亿元，同比增长</w:t>
      </w:r>
      <w:r>
        <w:rPr>
          <w:rFonts w:ascii="Times New Roman" w:hAnsi="Times New Roman" w:cs="Times New Roman" w:eastAsia="Times New Roman" w:hint="default"/>
        </w:rPr>
        <w:t>28.8%</w:t>
      </w:r>
      <w:r>
        <w:rPr/>
        <w:t>以上。根据通信院数据，近年来中国数据中心机架数量呈快速增长 趋势，预测到</w:t>
      </w:r>
      <w:r>
        <w:rPr>
          <w:rFonts w:ascii="Times New Roman" w:hAnsi="Times New Roman" w:cs="Times New Roman" w:eastAsia="Times New Roman" w:hint="default"/>
        </w:rPr>
        <w:t>2020</w:t>
      </w:r>
      <w:r>
        <w:rPr/>
        <w:t>年，国内数据中心机架增长到</w:t>
      </w:r>
      <w:r>
        <w:rPr>
          <w:rFonts w:ascii="Times New Roman" w:hAnsi="Times New Roman" w:cs="Times New Roman" w:eastAsia="Times New Roman" w:hint="default"/>
        </w:rPr>
        <w:t>326.7</w:t>
      </w:r>
      <w:r>
        <w:rPr/>
        <w:t>万台左右。</w:t>
      </w:r>
    </w:p>
    <w:p>
      <w:pPr>
        <w:pStyle w:val="BodyText"/>
        <w:spacing w:line="300" w:lineRule="auto" w:before="13"/>
        <w:ind w:right="1259" w:firstLine="360"/>
        <w:jc w:val="left"/>
      </w:pPr>
      <w:r>
        <w:rPr/>
        <w:t>全球超大规模数据中心数量逐年增加，增长率也持续提高，预计</w:t>
      </w:r>
      <w:r>
        <w:rPr>
          <w:rFonts w:ascii="Times New Roman" w:hAnsi="Times New Roman" w:cs="Times New Roman" w:eastAsia="Times New Roman" w:hint="default"/>
        </w:rPr>
        <w:t>2020</w:t>
      </w:r>
      <w:r>
        <w:rPr/>
        <w:t>年达到</w:t>
      </w:r>
      <w:r>
        <w:rPr>
          <w:rFonts w:ascii="Times New Roman" w:hAnsi="Times New Roman" w:cs="Times New Roman" w:eastAsia="Times New Roman" w:hint="default"/>
        </w:rPr>
        <w:t>485</w:t>
      </w:r>
      <w:r>
        <w:rPr/>
        <w:t>所。数据中心建设向规模化趋势发展</w:t>
      </w:r>
      <w:r>
        <w:rPr>
          <w:rFonts w:ascii="Times New Roman" w:hAnsi="Times New Roman" w:cs="Times New Roman" w:eastAsia="Times New Roman" w:hint="default"/>
        </w:rPr>
        <w:t>, </w:t>
      </w:r>
      <w:r>
        <w:rPr/>
        <w:t>这一趋势意味着企业的拿地能力、运维能力和数据处理能力需要随之提升，推动行业并购加剧。</w:t>
      </w:r>
    </w:p>
    <w:p>
      <w:pPr>
        <w:spacing w:line="240" w:lineRule="auto" w:before="8"/>
        <w:rPr>
          <w:rFonts w:ascii="宋体" w:hAnsi="宋体" w:cs="宋体" w:eastAsia="宋体" w:hint="default"/>
          <w:sz w:val="2"/>
          <w:szCs w:val="2"/>
        </w:rPr>
      </w:pPr>
    </w:p>
    <w:p>
      <w:pPr>
        <w:spacing w:line="3733" w:lineRule="exact"/>
        <w:ind w:left="2359"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337780" cy="237105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337780" cy="2371058"/>
                    </a:xfrm>
                    <a:prstGeom prst="rect">
                      <a:avLst/>
                    </a:prstGeom>
                  </pic:spPr>
                </pic:pic>
              </a:graphicData>
            </a:graphic>
          </wp:inline>
        </w:drawing>
      </w:r>
      <w:r>
        <w:rPr>
          <w:rFonts w:ascii="宋体" w:hAnsi="宋体" w:cs="宋体" w:eastAsia="宋体" w:hint="default"/>
          <w:position w:val="-74"/>
          <w:sz w:val="20"/>
          <w:szCs w:val="20"/>
        </w:rPr>
      </w:r>
    </w:p>
    <w:p>
      <w:pPr>
        <w:pStyle w:val="BodyText"/>
        <w:spacing w:line="240" w:lineRule="auto" w:before="9"/>
        <w:ind w:left="0" w:right="560"/>
        <w:jc w:val="center"/>
      </w:pPr>
      <w:r>
        <w:rPr/>
        <w:t>超大规模数据中心数量增加</w:t>
      </w:r>
    </w:p>
    <w:p>
      <w:pPr>
        <w:pStyle w:val="BodyText"/>
        <w:spacing w:line="240" w:lineRule="auto" w:before="76"/>
        <w:ind w:left="513" w:right="986"/>
        <w:jc w:val="left"/>
      </w:pPr>
      <w:r>
        <w:rPr>
          <w:rFonts w:ascii="Times New Roman" w:hAnsi="Times New Roman" w:cs="Times New Roman" w:eastAsia="Times New Roman" w:hint="default"/>
        </w:rPr>
        <w:t>IDC</w:t>
      </w:r>
      <w:r>
        <w:rPr/>
        <w:t>业务市场规模的增长，取决于既有需求的增长与新增需求的出现。既有需求主要来自互联网行业客户，借助</w:t>
      </w:r>
      <w:r>
        <w:rPr>
          <w:rFonts w:ascii="Times New Roman" w:hAnsi="Times New Roman" w:cs="Times New Roman" w:eastAsia="Times New Roman" w:hint="default"/>
        </w:rPr>
        <w:t>4G</w:t>
      </w:r>
      <w:r>
        <w:rPr/>
        <w:t>时代</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2"/>
        <w:jc w:val="left"/>
      </w:pPr>
      <w:r>
        <w:rPr>
          <w:spacing w:val="-4"/>
        </w:rPr>
        <w:t>激增的流量红利和云计算市场快速兴起，互联网行业快速发展，大型云服务商和互联网行业客户不断提升机柜部署规模，</w:t>
      </w:r>
      <w:r>
        <w:rPr>
          <w:rFonts w:ascii="Times New Roman" w:hAnsi="Times New Roman" w:cs="Times New Roman" w:eastAsia="Times New Roman" w:hint="default"/>
          <w:spacing w:val="-4"/>
        </w:rPr>
        <w:t>IDC</w:t>
      </w:r>
      <w:r>
        <w:rPr>
          <w:rFonts w:ascii="Times New Roman" w:hAnsi="Times New Roman" w:cs="Times New Roman" w:eastAsia="Times New Roman" w:hint="default"/>
          <w:spacing w:val="-30"/>
        </w:rPr>
        <w:t> </w:t>
      </w:r>
      <w:r>
        <w:rPr/>
        <w:t>既有需求稳步增长。</w:t>
      </w:r>
    </w:p>
    <w:p>
      <w:pPr>
        <w:pStyle w:val="BodyText"/>
        <w:spacing w:line="300" w:lineRule="auto" w:before="31"/>
        <w:ind w:right="1114" w:firstLine="360"/>
        <w:jc w:val="left"/>
      </w:pPr>
      <w:r>
        <w:rPr>
          <w:spacing w:val="-1"/>
        </w:rPr>
        <w:t>新增需求集中体现在</w:t>
      </w:r>
      <w:r>
        <w:rPr>
          <w:rFonts w:ascii="Times New Roman" w:hAnsi="Times New Roman" w:cs="Times New Roman" w:eastAsia="Times New Roman" w:hint="default"/>
          <w:spacing w:val="-1"/>
        </w:rPr>
        <w:t>5G</w:t>
      </w:r>
      <w:r>
        <w:rPr>
          <w:spacing w:val="-1"/>
        </w:rPr>
        <w:t>、物联网、虚拟现实等新兴技术的广泛商用，</w:t>
      </w:r>
      <w:r>
        <w:rPr>
          <w:rFonts w:ascii="Times New Roman" w:hAnsi="Times New Roman" w:cs="Times New Roman" w:eastAsia="Times New Roman" w:hint="default"/>
          <w:spacing w:val="-1"/>
        </w:rPr>
        <w:t>2019</w:t>
      </w:r>
      <w:r>
        <w:rPr>
          <w:spacing w:val="-1"/>
        </w:rPr>
        <w:t>年是</w:t>
      </w:r>
      <w:r>
        <w:rPr>
          <w:rFonts w:ascii="Times New Roman" w:hAnsi="Times New Roman" w:cs="Times New Roman" w:eastAsia="Times New Roman" w:hint="default"/>
          <w:spacing w:val="-1"/>
        </w:rPr>
        <w:t>5G</w:t>
      </w:r>
      <w:r>
        <w:rPr>
          <w:spacing w:val="-1"/>
        </w:rPr>
        <w:t>元年，随着各国运营商纷纷加快</w:t>
      </w:r>
      <w:r>
        <w:rPr>
          <w:rFonts w:ascii="Times New Roman" w:hAnsi="Times New Roman" w:cs="Times New Roman" w:eastAsia="Times New Roman" w:hint="default"/>
          <w:spacing w:val="-1"/>
        </w:rPr>
        <w:t>5G</w:t>
      </w:r>
      <w:r>
        <w:rPr>
          <w:spacing w:val="-1"/>
        </w:rPr>
        <w:t>网</w:t>
      </w:r>
      <w:r>
        <w:rPr/>
        <w:t> 络部署，</w:t>
      </w:r>
      <w:r>
        <w:rPr>
          <w:rFonts w:ascii="Times New Roman" w:hAnsi="Times New Roman" w:cs="Times New Roman" w:eastAsia="Times New Roman" w:hint="default"/>
        </w:rPr>
        <w:t>5G</w:t>
      </w:r>
      <w:r>
        <w:rPr/>
        <w:t>商用已正式到来。我国</w:t>
      </w:r>
      <w:r>
        <w:rPr>
          <w:rFonts w:ascii="Times New Roman" w:hAnsi="Times New Roman" w:cs="Times New Roman" w:eastAsia="Times New Roman" w:hint="default"/>
        </w:rPr>
        <w:t>5G</w:t>
      </w:r>
      <w:r>
        <w:rPr/>
        <w:t>将领先全球落地，以华为为代表的</w:t>
      </w:r>
      <w:r>
        <w:rPr>
          <w:rFonts w:ascii="Times New Roman" w:hAnsi="Times New Roman" w:cs="Times New Roman" w:eastAsia="Times New Roman" w:hint="default"/>
        </w:rPr>
        <w:t>5G</w:t>
      </w:r>
      <w:r>
        <w:rPr/>
        <w:t>运营商将拉开我国</w:t>
      </w:r>
      <w:r>
        <w:rPr>
          <w:rFonts w:ascii="Times New Roman" w:hAnsi="Times New Roman" w:cs="Times New Roman" w:eastAsia="Times New Roman" w:hint="default"/>
        </w:rPr>
        <w:t>5G</w:t>
      </w:r>
      <w:r>
        <w:rPr/>
        <w:t>时代的序幕。</w:t>
      </w:r>
      <w:r>
        <w:rPr>
          <w:rFonts w:ascii="Times New Roman" w:hAnsi="Times New Roman" w:cs="Times New Roman" w:eastAsia="Times New Roman" w:hint="default"/>
        </w:rPr>
        <w:t>5G</w:t>
      </w:r>
      <w:r>
        <w:rPr/>
        <w:t>拥有</w:t>
      </w:r>
      <w:r>
        <w:rPr>
          <w:rFonts w:ascii="Times New Roman" w:hAnsi="Times New Roman" w:cs="Times New Roman" w:eastAsia="Times New Roman" w:hint="default"/>
        </w:rPr>
        <w:t>“</w:t>
      </w:r>
      <w:r>
        <w:rPr/>
        <w:t>超高</w:t>
      </w:r>
      <w:r>
        <w:rPr>
          <w:spacing w:val="2"/>
        </w:rPr>
        <w:t> </w:t>
      </w:r>
      <w:r>
        <w:rPr/>
        <w:t>代宽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超低时延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全连接覆盖</w:t>
      </w:r>
      <w:r>
        <w:rPr>
          <w:rFonts w:ascii="Times New Roman" w:hAnsi="Times New Roman" w:cs="Times New Roman" w:eastAsia="Times New Roman" w:hint="default"/>
        </w:rPr>
        <w:t>”</w:t>
      </w:r>
      <w:r>
        <w:rPr/>
        <w:t>的网络特点，这将推动智能驾驶，万物互联等应用。这对于数据中心这一数据的底座提 出高的要求。同时</w:t>
      </w:r>
      <w:r>
        <w:rPr>
          <w:rFonts w:ascii="Times New Roman" w:hAnsi="Times New Roman" w:cs="Times New Roman" w:eastAsia="Times New Roman" w:hint="default"/>
        </w:rPr>
        <w:t>5G</w:t>
      </w:r>
      <w:r>
        <w:rPr/>
        <w:t>的落地势必伴随着数据量的激增，而这在对于数据中心构成挑战的同时，也拉动了数据中心的需求。</w:t>
      </w:r>
    </w:p>
    <w:p>
      <w:pPr>
        <w:pStyle w:val="BodyText"/>
        <w:spacing w:line="304" w:lineRule="auto" w:before="13"/>
        <w:ind w:right="1128" w:firstLine="360"/>
        <w:jc w:val="both"/>
      </w:pPr>
      <w:r>
        <w:rPr>
          <w:spacing w:val="-2"/>
        </w:rPr>
        <w:t>新兴技术的广泛商用将带来更加丰富的互联网内容呈现、更加繁多的应用场景、更加复杂的数据结构以及更加频繁的数</w:t>
      </w:r>
      <w:r>
        <w:rPr/>
        <w:t> </w:t>
      </w:r>
      <w:r>
        <w:rPr>
          <w:spacing w:val="-2"/>
        </w:rPr>
        <w:t>据处理及信息交互，进而提升</w:t>
      </w:r>
      <w:r>
        <w:rPr>
          <w:rFonts w:ascii="Times New Roman" w:hAnsi="Times New Roman" w:cs="Times New Roman" w:eastAsia="Times New Roman" w:hint="default"/>
          <w:spacing w:val="-2"/>
        </w:rPr>
        <w:t>IDC</w:t>
      </w:r>
      <w:r>
        <w:rPr>
          <w:spacing w:val="-2"/>
        </w:rPr>
        <w:t>需求的量级与精细度。具体表现在：</w:t>
      </w:r>
      <w:r>
        <w:rPr>
          <w:rFonts w:ascii="Times New Roman" w:hAnsi="Times New Roman" w:cs="Times New Roman" w:eastAsia="Times New Roman" w:hint="default"/>
          <w:spacing w:val="-2"/>
        </w:rPr>
        <w:t>5G</w:t>
      </w:r>
      <w:r>
        <w:rPr>
          <w:spacing w:val="-2"/>
        </w:rPr>
        <w:t>商用将为互联网企业提供高传输速度，降低网络延</w:t>
      </w:r>
      <w:r>
        <w:rPr>
          <w:spacing w:val="-49"/>
        </w:rPr>
        <w:t> </w:t>
      </w:r>
      <w:r>
        <w:rPr>
          <w:spacing w:val="-49"/>
        </w:rPr>
      </w:r>
      <w:r>
        <w:rPr>
          <w:spacing w:val="-1"/>
        </w:rPr>
        <w:t>时，提高用户体验，带动终端侧访问数量激增，拉升互联网行业的</w:t>
      </w:r>
      <w:r>
        <w:rPr>
          <w:rFonts w:ascii="Times New Roman" w:hAnsi="Times New Roman" w:cs="Times New Roman" w:eastAsia="Times New Roman" w:hint="default"/>
          <w:spacing w:val="-1"/>
        </w:rPr>
        <w:t>IDC</w:t>
      </w:r>
      <w:r>
        <w:rPr>
          <w:spacing w:val="-1"/>
        </w:rPr>
        <w:t>需求；物联网、工业互联网等技术的推广应用，为传</w:t>
      </w:r>
      <w:r>
        <w:rPr>
          <w:spacing w:val="-66"/>
        </w:rPr>
        <w:t> </w:t>
      </w:r>
      <w:r>
        <w:rPr>
          <w:spacing w:val="-66"/>
        </w:rPr>
      </w:r>
      <w:r>
        <w:rPr>
          <w:spacing w:val="-2"/>
        </w:rPr>
        <w:t>统行业的信息化运营管理提供保障，企业出于数字化转型的需求，将在这一基础上加速转型进程，拉升企业业务</w:t>
      </w:r>
      <w:r>
        <w:rPr>
          <w:rFonts w:ascii="Times New Roman" w:hAnsi="Times New Roman" w:cs="Times New Roman" w:eastAsia="Times New Roman" w:hint="default"/>
          <w:spacing w:val="-2"/>
        </w:rPr>
        <w:t>IT</w:t>
      </w:r>
      <w:r>
        <w:rPr>
          <w:spacing w:val="-2"/>
        </w:rPr>
        <w:t>需求，推</w:t>
      </w:r>
      <w:r>
        <w:rPr>
          <w:spacing w:val="-49"/>
        </w:rPr>
        <w:t> </w:t>
      </w:r>
      <w:r>
        <w:rPr>
          <w:spacing w:val="-49"/>
        </w:rPr>
      </w:r>
      <w:r>
        <w:rPr/>
        <w:t>动</w:t>
      </w:r>
      <w:r>
        <w:rPr>
          <w:rFonts w:ascii="Times New Roman" w:hAnsi="Times New Roman" w:cs="Times New Roman" w:eastAsia="Times New Roman" w:hint="default"/>
        </w:rPr>
        <w:t>IDC</w:t>
      </w:r>
      <w:r>
        <w:rPr/>
        <w:t>业务市场规模增长。</w:t>
      </w:r>
    </w:p>
    <w:p>
      <w:pPr>
        <w:spacing w:line="240" w:lineRule="auto" w:before="6"/>
        <w:rPr>
          <w:rFonts w:ascii="宋体" w:hAnsi="宋体" w:cs="宋体" w:eastAsia="宋体" w:hint="default"/>
          <w:sz w:val="3"/>
          <w:szCs w:val="3"/>
        </w:rPr>
      </w:pPr>
    </w:p>
    <w:p>
      <w:pPr>
        <w:spacing w:line="3038" w:lineRule="exact"/>
        <w:ind w:left="2482"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405168" cy="1929383"/>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3405168" cy="1929383"/>
                    </a:xfrm>
                    <a:prstGeom prst="rect">
                      <a:avLst/>
                    </a:prstGeom>
                  </pic:spPr>
                </pic:pic>
              </a:graphicData>
            </a:graphic>
          </wp:inline>
        </w:drawing>
      </w:r>
      <w:r>
        <w:rPr>
          <w:rFonts w:ascii="宋体" w:hAnsi="宋体" w:cs="宋体" w:eastAsia="宋体" w:hint="default"/>
          <w:position w:val="-60"/>
          <w:sz w:val="20"/>
          <w:szCs w:val="20"/>
        </w:rPr>
      </w:r>
    </w:p>
    <w:p>
      <w:pPr>
        <w:pStyle w:val="BodyText"/>
        <w:spacing w:line="240" w:lineRule="auto" w:before="46"/>
        <w:ind w:left="0" w:right="889"/>
        <w:jc w:val="center"/>
      </w:pPr>
      <w:r>
        <w:rPr>
          <w:rFonts w:ascii="Times New Roman" w:hAnsi="Times New Roman" w:cs="Times New Roman" w:eastAsia="Times New Roman" w:hint="default"/>
        </w:rPr>
        <w:t>2019-2022</w:t>
      </w:r>
      <w:r>
        <w:rPr/>
        <w:t>年中国</w:t>
      </w:r>
      <w:r>
        <w:rPr>
          <w:rFonts w:ascii="Times New Roman" w:hAnsi="Times New Roman" w:cs="Times New Roman" w:eastAsia="Times New Roman" w:hint="default"/>
        </w:rPr>
        <w:t>IDC</w:t>
      </w:r>
      <w:r>
        <w:rPr/>
        <w:t>市场规模预测</w:t>
      </w:r>
    </w:p>
    <w:p>
      <w:pPr>
        <w:spacing w:line="240" w:lineRule="auto" w:before="0"/>
        <w:rPr>
          <w:rFonts w:ascii="宋体" w:hAnsi="宋体" w:cs="宋体" w:eastAsia="宋体" w:hint="default"/>
          <w:sz w:val="18"/>
          <w:szCs w:val="18"/>
        </w:rPr>
      </w:pPr>
    </w:p>
    <w:p>
      <w:pPr>
        <w:pStyle w:val="BodyText"/>
        <w:spacing w:line="240" w:lineRule="auto" w:before="139"/>
        <w:ind w:left="513" w:right="3827"/>
        <w:jc w:val="left"/>
      </w:pPr>
      <w:r>
        <w:rPr>
          <w:rFonts w:ascii="Times New Roman" w:hAnsi="Times New Roman" w:cs="Times New Roman" w:eastAsia="Times New Roman" w:hint="default"/>
        </w:rPr>
        <w:t>2</w:t>
      </w:r>
      <w:r>
        <w:rPr/>
        <w:t>、云计算市场发展趋势</w:t>
      </w:r>
    </w:p>
    <w:p>
      <w:pPr>
        <w:pStyle w:val="BodyText"/>
        <w:spacing w:line="300" w:lineRule="auto" w:before="63"/>
        <w:ind w:right="1212" w:firstLine="360"/>
        <w:jc w:val="both"/>
      </w:pPr>
      <w:r>
        <w:rPr>
          <w:rFonts w:ascii="Times New Roman" w:hAnsi="Times New Roman" w:cs="Times New Roman" w:eastAsia="Times New Roman" w:hint="default"/>
        </w:rPr>
        <w:t>2018</w:t>
      </w:r>
      <w:r>
        <w:rPr/>
        <w:t>年全球云计算市场规模达到</w:t>
      </w:r>
      <w:r>
        <w:rPr>
          <w:rFonts w:ascii="Times New Roman" w:hAnsi="Times New Roman" w:cs="Times New Roman" w:eastAsia="Times New Roman" w:hint="default"/>
        </w:rPr>
        <w:t>2720</w:t>
      </w:r>
      <w:r>
        <w:rPr/>
        <w:t>亿美元，其中，全球公有云市场规模达到</w:t>
      </w:r>
      <w:r>
        <w:rPr>
          <w:rFonts w:ascii="Times New Roman" w:hAnsi="Times New Roman" w:cs="Times New Roman" w:eastAsia="Times New Roman" w:hint="default"/>
        </w:rPr>
        <w:t>1,363</w:t>
      </w:r>
      <w:r>
        <w:rPr/>
        <w:t>亿美元，增速</w:t>
      </w:r>
      <w:r>
        <w:rPr>
          <w:rFonts w:ascii="Times New Roman" w:hAnsi="Times New Roman" w:cs="Times New Roman" w:eastAsia="Times New Roman" w:hint="default"/>
        </w:rPr>
        <w:t>23%</w:t>
      </w:r>
      <w:r>
        <w:rPr/>
        <w:t>，未来几年的年 复合增长率将保持在</w:t>
      </w:r>
      <w:r>
        <w:rPr>
          <w:rFonts w:ascii="Times New Roman" w:hAnsi="Times New Roman" w:cs="Times New Roman" w:eastAsia="Times New Roman" w:hint="default"/>
        </w:rPr>
        <w:t>20%</w:t>
      </w:r>
      <w:r>
        <w:rPr/>
        <w:t>以上。预计到</w:t>
      </w:r>
      <w:r>
        <w:rPr>
          <w:rFonts w:ascii="Times New Roman" w:hAnsi="Times New Roman" w:cs="Times New Roman" w:eastAsia="Times New Roman" w:hint="default"/>
        </w:rPr>
        <w:t>2023</w:t>
      </w:r>
      <w:r>
        <w:rPr/>
        <w:t>年全球云计算市场规模将增长到</w:t>
      </w:r>
      <w:r>
        <w:rPr>
          <w:rFonts w:ascii="Times New Roman" w:hAnsi="Times New Roman" w:cs="Times New Roman" w:eastAsia="Times New Roman" w:hint="default"/>
        </w:rPr>
        <w:t>6,233</w:t>
      </w:r>
      <w:r>
        <w:rPr/>
        <w:t>亿美元。</w:t>
      </w:r>
    </w:p>
    <w:p>
      <w:pPr>
        <w:pStyle w:val="BodyText"/>
        <w:spacing w:line="240" w:lineRule="auto" w:before="13"/>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年我国云计算市场规</w:t>
      </w:r>
      <w:r>
        <w:rPr>
          <w:spacing w:val="-1"/>
        </w:rPr>
        <w:t>模</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t>亿元左右</w:t>
      </w:r>
      <w:r>
        <w:rPr>
          <w:spacing w:val="-77"/>
        </w:rPr>
        <w:t>。</w:t>
      </w:r>
      <w:r>
        <w:rPr/>
        <w:t>预计未来三年</w:t>
      </w:r>
      <w:r>
        <w:rPr>
          <w:spacing w:val="-80"/>
        </w:rPr>
        <w:t>，</w:t>
      </w:r>
      <w:r>
        <w:rPr/>
        <w:t>中国云计算市场规模仍将保持</w:t>
      </w:r>
      <w:r>
        <w:rPr>
          <w:rFonts w:ascii="Times New Roman" w:hAnsi="Times New Roman" w:cs="Times New Roman" w:eastAsia="Times New Roman" w:hint="default"/>
          <w:spacing w:val="1"/>
        </w:rPr>
        <w:t>35</w:t>
      </w:r>
      <w:r>
        <w:rPr>
          <w:rFonts w:ascii="Times New Roman" w:hAnsi="Times New Roman" w:cs="Times New Roman" w:eastAsia="Times New Roman" w:hint="default"/>
          <w:spacing w:val="-1"/>
        </w:rPr>
        <w:t>%</w:t>
      </w:r>
      <w:r>
        <w:rPr/>
        <w:t>以上的增长速度</w:t>
      </w:r>
      <w:r>
        <w:rPr>
          <w:spacing w:val="-77"/>
        </w:rPr>
        <w:t>，</w:t>
      </w:r>
      <w:r>
        <w:rPr/>
        <w:t>到</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p>
    <w:p>
      <w:pPr>
        <w:pStyle w:val="BodyText"/>
        <w:spacing w:line="240" w:lineRule="auto" w:before="63"/>
        <w:ind w:right="3827"/>
        <w:jc w:val="left"/>
      </w:pPr>
      <w:r>
        <w:rPr/>
        <w:t>年，市场规模将达到</w:t>
      </w:r>
      <w:r>
        <w:rPr>
          <w:rFonts w:ascii="Times New Roman" w:hAnsi="Times New Roman" w:cs="Times New Roman" w:eastAsia="Times New Roman" w:hint="default"/>
        </w:rPr>
        <w:t>2,828.1</w:t>
      </w:r>
      <w:r>
        <w:rPr/>
        <w:t>亿元，增长率达到</w:t>
      </w:r>
      <w:r>
        <w:rPr>
          <w:rFonts w:ascii="Times New Roman" w:hAnsi="Times New Roman" w:cs="Times New Roman" w:eastAsia="Times New Roman" w:hint="default"/>
        </w:rPr>
        <w:t>35.4%</w:t>
      </w:r>
      <w:r>
        <w:rPr/>
        <w:t>。</w:t>
      </w:r>
    </w:p>
    <w:p>
      <w:pPr>
        <w:spacing w:line="240" w:lineRule="auto" w:before="11"/>
        <w:rPr>
          <w:rFonts w:ascii="宋体" w:hAnsi="宋体" w:cs="宋体" w:eastAsia="宋体" w:hint="default"/>
          <w:sz w:val="14"/>
          <w:szCs w:val="14"/>
        </w:rPr>
      </w:pPr>
    </w:p>
    <w:p>
      <w:pPr>
        <w:spacing w:line="3155" w:lineRule="exact"/>
        <w:ind w:left="2073"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701955" cy="2003869"/>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3701955" cy="2003869"/>
                    </a:xfrm>
                    <a:prstGeom prst="rect">
                      <a:avLst/>
                    </a:prstGeom>
                  </pic:spPr>
                </pic:pic>
              </a:graphicData>
            </a:graphic>
          </wp:inline>
        </w:drawing>
      </w:r>
      <w:r>
        <w:rPr>
          <w:rFonts w:ascii="宋体" w:hAnsi="宋体" w:cs="宋体" w:eastAsia="宋体" w:hint="default"/>
          <w:position w:val="-62"/>
          <w:sz w:val="20"/>
          <w:szCs w:val="20"/>
        </w:rPr>
      </w:r>
    </w:p>
    <w:p>
      <w:pPr>
        <w:pStyle w:val="BodyText"/>
        <w:spacing w:line="307" w:lineRule="auto" w:before="146"/>
        <w:ind w:right="1130" w:firstLine="360"/>
        <w:jc w:val="both"/>
      </w:pPr>
      <w:r>
        <w:rPr>
          <w:spacing w:val="-2"/>
        </w:rPr>
        <w:t>从细分市场结构来看，目前公有云市场占比低于私有云，未来三年，随着云计算行动方案的持续实施，各行业云计算投</w:t>
      </w:r>
      <w:r>
        <w:rPr/>
        <w:t> 入的持续增加，以及大数据、人工智能、</w:t>
      </w:r>
      <w:r>
        <w:rPr>
          <w:rFonts w:ascii="Times New Roman" w:hAnsi="Times New Roman" w:cs="Times New Roman" w:eastAsia="Times New Roman" w:hint="default"/>
        </w:rPr>
        <w:t>5G</w:t>
      </w:r>
      <w:r>
        <w:rPr/>
        <w:t>等领域的持续发展，公有云市场仍将保持快速增长的态势，到</w:t>
      </w:r>
      <w:r>
        <w:rPr>
          <w:rFonts w:ascii="Times New Roman" w:hAnsi="Times New Roman" w:cs="Times New Roman" w:eastAsia="Times New Roman" w:hint="default"/>
        </w:rPr>
        <w:t>2021</w:t>
      </w:r>
      <w:r>
        <w:rPr/>
        <w:t>年，中国公 </w:t>
      </w:r>
      <w:r>
        <w:rPr>
          <w:spacing w:val="-3"/>
        </w:rPr>
        <w:t>有云市场规模将达到</w:t>
      </w:r>
      <w:r>
        <w:rPr>
          <w:rFonts w:ascii="Times New Roman" w:hAnsi="Times New Roman" w:cs="Times New Roman" w:eastAsia="Times New Roman" w:hint="default"/>
          <w:spacing w:val="-3"/>
        </w:rPr>
        <w:t>1,486.0</w:t>
      </w:r>
      <w:r>
        <w:rPr>
          <w:spacing w:val="-3"/>
        </w:rPr>
        <w:t>亿元。私有云市场预计未来</w:t>
      </w:r>
      <w:r>
        <w:rPr>
          <w:rFonts w:ascii="Times New Roman" w:hAnsi="Times New Roman" w:cs="Times New Roman" w:eastAsia="Times New Roman" w:hint="default"/>
          <w:spacing w:val="-3"/>
        </w:rPr>
        <w:t>3</w:t>
      </w:r>
      <w:r>
        <w:rPr>
          <w:spacing w:val="-3"/>
        </w:rPr>
        <w:t>年仍将保持在</w:t>
      </w:r>
      <w:r>
        <w:rPr>
          <w:rFonts w:ascii="Times New Roman" w:hAnsi="Times New Roman" w:cs="Times New Roman" w:eastAsia="Times New Roman" w:hint="default"/>
          <w:spacing w:val="-3"/>
        </w:rPr>
        <w:t>20%</w:t>
      </w:r>
      <w:r>
        <w:rPr>
          <w:spacing w:val="-3"/>
        </w:rPr>
        <w:t>以上的增长率，到</w:t>
      </w:r>
      <w:r>
        <w:rPr>
          <w:rFonts w:ascii="Times New Roman" w:hAnsi="Times New Roman" w:cs="Times New Roman" w:eastAsia="Times New Roman" w:hint="default"/>
          <w:spacing w:val="-3"/>
        </w:rPr>
        <w:t>2021</w:t>
      </w:r>
      <w:r>
        <w:rPr>
          <w:spacing w:val="-3"/>
        </w:rPr>
        <w:t>年，市场规模将达到</w:t>
      </w:r>
      <w:r>
        <w:rPr>
          <w:rFonts w:ascii="Times New Roman" w:hAnsi="Times New Roman" w:cs="Times New Roman" w:eastAsia="Times New Roman" w:hint="default"/>
          <w:spacing w:val="-3"/>
        </w:rPr>
        <w:t>1,342.1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亿元。</w:t>
      </w:r>
    </w:p>
    <w:p>
      <w:pPr>
        <w:spacing w:after="0" w:line="30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135" w:lineRule="exact"/>
        <w:ind w:left="2073"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693673" cy="199110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3693673" cy="199110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3"/>
        <w:rPr>
          <w:rFonts w:ascii="宋体" w:hAnsi="宋体" w:cs="宋体" w:eastAsia="宋体" w:hint="default"/>
          <w:sz w:val="8"/>
          <w:szCs w:val="8"/>
        </w:rPr>
      </w:pPr>
    </w:p>
    <w:p>
      <w:pPr>
        <w:pStyle w:val="BodyText"/>
        <w:spacing w:line="319" w:lineRule="auto" w:before="44"/>
        <w:ind w:right="1048" w:firstLine="360"/>
        <w:jc w:val="both"/>
      </w:pPr>
      <w:r>
        <w:rPr>
          <w:spacing w:val="-2"/>
        </w:rPr>
        <w:t>与中国线下服务业在新冠肺炎疫情中所遭遇的重创不同，云计算本着天然的远程服务属性，在面临这场突如其来的疫情</w:t>
      </w:r>
      <w:r>
        <w:rPr/>
        <w:t> </w:t>
      </w:r>
      <w:r>
        <w:rPr>
          <w:spacing w:val="-2"/>
        </w:rPr>
        <w:t>之时，反而呈现出了远程办公、远程医疗、远程教育等更多应用场景需求。云计算从互联网走向非互联网，从传统应用升级</w:t>
      </w:r>
      <w:r>
        <w:rPr>
          <w:spacing w:val="-67"/>
        </w:rPr>
        <w:t> </w:t>
      </w:r>
      <w:r>
        <w:rPr>
          <w:spacing w:val="-67"/>
        </w:rPr>
      </w:r>
      <w:r>
        <w:rPr/>
        <w:t>走向云原生，从影响企业</w:t>
      </w:r>
      <w:r>
        <w:rPr>
          <w:rFonts w:ascii="Times New Roman" w:hAnsi="Times New Roman" w:cs="Times New Roman" w:eastAsia="Times New Roman" w:hint="default"/>
        </w:rPr>
        <w:t>IT</w:t>
      </w:r>
      <w:r>
        <w:rPr/>
        <w:t>变革走向推动企业全面数字化转型，正深刻地影响着个人、企业乃至整个社会的生产生活方式。</w:t>
      </w:r>
    </w:p>
    <w:p>
      <w:pPr>
        <w:pStyle w:val="BodyText"/>
        <w:spacing w:line="300" w:lineRule="auto"/>
        <w:ind w:left="513" w:right="1143"/>
        <w:jc w:val="left"/>
      </w:pPr>
      <w:r>
        <w:rPr/>
        <w:t>未来</w:t>
      </w:r>
      <w:r>
        <w:rPr>
          <w:rFonts w:ascii="Times New Roman" w:hAnsi="Times New Roman" w:cs="Times New Roman" w:eastAsia="Times New Roman" w:hint="default"/>
        </w:rPr>
        <w:t>5</w:t>
      </w:r>
      <w:r>
        <w:rPr/>
        <w:t>年中国云计算市场的发展情况预测如下： 到</w:t>
      </w:r>
      <w:r>
        <w:rPr>
          <w:rFonts w:ascii="Times New Roman" w:hAnsi="Times New Roman" w:cs="Times New Roman" w:eastAsia="Times New Roman" w:hint="default"/>
        </w:rPr>
        <w:t>2021</w:t>
      </w:r>
      <w:r>
        <w:rPr/>
        <w:t>年，中国</w:t>
      </w:r>
      <w:r>
        <w:rPr>
          <w:rFonts w:ascii="Times New Roman" w:hAnsi="Times New Roman" w:cs="Times New Roman" w:eastAsia="Times New Roman" w:hint="default"/>
        </w:rPr>
        <w:t>90%</w:t>
      </w:r>
      <w:r>
        <w:rPr/>
        <w:t>以上的企业将依赖于本地</w:t>
      </w:r>
      <w:r>
        <w:rPr>
          <w:rFonts w:ascii="Times New Roman" w:hAnsi="Times New Roman" w:cs="Times New Roman" w:eastAsia="Times New Roman" w:hint="default"/>
        </w:rPr>
        <w:t>/</w:t>
      </w:r>
      <w:r>
        <w:rPr/>
        <w:t>专属私有云、多个公有云和遗留平台的组合，以满足其基础设施需求。 到</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50%</w:t>
      </w:r>
      <w:r>
        <w:rPr/>
        <w:t>的企业将部署统一的</w:t>
      </w:r>
      <w:r>
        <w:rPr>
          <w:rFonts w:ascii="Times New Roman" w:hAnsi="Times New Roman" w:cs="Times New Roman" w:eastAsia="Times New Roman" w:hint="default"/>
        </w:rPr>
        <w:t>VMs</w:t>
      </w:r>
      <w:r>
        <w:rPr/>
        <w:t>、</w:t>
      </w:r>
      <w:r>
        <w:rPr>
          <w:rFonts w:ascii="Times New Roman" w:hAnsi="Times New Roman" w:cs="Times New Roman" w:eastAsia="Times New Roman" w:hint="default"/>
        </w:rPr>
        <w:t>Kubernetes</w:t>
      </w:r>
      <w:r>
        <w:rPr/>
        <w:t>和多云管理流程和工具，以支持跨本地和公有云部署的多云管理</w:t>
      </w:r>
    </w:p>
    <w:p>
      <w:pPr>
        <w:pStyle w:val="BodyText"/>
        <w:spacing w:line="300" w:lineRule="auto" w:before="13"/>
        <w:ind w:left="513" w:right="1112" w:hanging="361"/>
        <w:jc w:val="left"/>
      </w:pPr>
      <w:r>
        <w:rPr/>
        <w:t>和治理。</w:t>
      </w:r>
      <w:r>
        <w:rPr>
          <w:rFonts w:ascii="Times New Roman" w:hAnsi="Times New Roman" w:cs="Times New Roman" w:eastAsia="Times New Roman" w:hint="default"/>
        </w:rPr>
        <w:t>60%</w:t>
      </w:r>
      <w:r>
        <w:rPr/>
        <w:t>的中国</w:t>
      </w:r>
      <w:r>
        <w:rPr>
          <w:rFonts w:ascii="Times New Roman" w:hAnsi="Times New Roman" w:cs="Times New Roman" w:eastAsia="Times New Roman" w:hint="default"/>
        </w:rPr>
        <w:t>500</w:t>
      </w:r>
      <w:r>
        <w:rPr/>
        <w:t>强企业将投资于云原生应用和平台的自动化、编排和开发生命周期管理。 </w:t>
      </w:r>
      <w:r>
        <w:rPr>
          <w:spacing w:val="-2"/>
        </w:rPr>
        <w:t>到</w:t>
      </w:r>
      <w:r>
        <w:rPr>
          <w:rFonts w:ascii="Times New Roman" w:hAnsi="Times New Roman" w:cs="Times New Roman" w:eastAsia="Times New Roman" w:hint="default"/>
          <w:spacing w:val="-2"/>
        </w:rPr>
        <w:t>2023</w:t>
      </w:r>
      <w:r>
        <w:rPr>
          <w:spacing w:val="-2"/>
        </w:rPr>
        <w:t>年，</w:t>
      </w:r>
      <w:r>
        <w:rPr>
          <w:rFonts w:ascii="Times New Roman" w:hAnsi="Times New Roman" w:cs="Times New Roman" w:eastAsia="Times New Roman" w:hint="default"/>
          <w:spacing w:val="-2"/>
        </w:rPr>
        <w:t>50%</w:t>
      </w:r>
      <w:r>
        <w:rPr>
          <w:spacing w:val="-2"/>
        </w:rPr>
        <w:t>的中国企业应用将部署在容器化的混合云</w:t>
      </w:r>
      <w:r>
        <w:rPr>
          <w:rFonts w:ascii="Times New Roman" w:hAnsi="Times New Roman" w:cs="Times New Roman" w:eastAsia="Times New Roman" w:hint="default"/>
          <w:spacing w:val="-2"/>
        </w:rPr>
        <w:t>/</w:t>
      </w:r>
      <w:r>
        <w:rPr>
          <w:spacing w:val="-2"/>
        </w:rPr>
        <w:t>多云环境中，以提供敏捷的，无缝的部署和管理体验。</w:t>
      </w:r>
      <w:r>
        <w:rPr>
          <w:rFonts w:ascii="Times New Roman" w:hAnsi="Times New Roman" w:cs="Times New Roman" w:eastAsia="Times New Roman" w:hint="default"/>
          <w:spacing w:val="-2"/>
        </w:rPr>
        <w:t>90%</w:t>
      </w:r>
      <w:r>
        <w:rPr>
          <w:spacing w:val="-2"/>
        </w:rPr>
        <w:t>的</w:t>
      </w:r>
    </w:p>
    <w:p>
      <w:pPr>
        <w:pStyle w:val="BodyText"/>
        <w:spacing w:line="300" w:lineRule="auto" w:before="13"/>
        <w:ind w:left="513" w:right="1118" w:hanging="361"/>
        <w:jc w:val="left"/>
      </w:pPr>
      <w:r>
        <w:rPr/>
        <w:t>新数字服务将使用公有云和内部</w:t>
      </w:r>
      <w:r>
        <w:rPr>
          <w:rFonts w:ascii="Times New Roman" w:hAnsi="Times New Roman" w:cs="Times New Roman" w:eastAsia="Times New Roman" w:hint="default"/>
        </w:rPr>
        <w:t>API</w:t>
      </w:r>
      <w:r>
        <w:rPr/>
        <w:t>提供的服务构建复合型应用程序；其中一半将利用人工智能</w:t>
      </w:r>
      <w:r>
        <w:rPr>
          <w:rFonts w:ascii="Times New Roman" w:hAnsi="Times New Roman" w:cs="Times New Roman" w:eastAsia="Times New Roman" w:hint="default"/>
        </w:rPr>
        <w:t>(AI)</w:t>
      </w:r>
      <w:r>
        <w:rPr/>
        <w:t>和机器学习</w:t>
      </w:r>
      <w:r>
        <w:rPr>
          <w:rFonts w:ascii="Times New Roman" w:hAnsi="Times New Roman" w:cs="Times New Roman" w:eastAsia="Times New Roman" w:hint="default"/>
        </w:rPr>
        <w:t>(ML)</w:t>
      </w:r>
      <w:r>
        <w:rPr/>
        <w:t>。 </w:t>
      </w:r>
      <w:r>
        <w:rPr>
          <w:spacing w:val="-1"/>
        </w:rPr>
        <w:t>到</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10%</w:t>
      </w:r>
      <w:r>
        <w:rPr>
          <w:spacing w:val="-1"/>
        </w:rPr>
        <w:t>的企业内部工作负载将由公有云服务商数据中心以外的、位于客户数据中心和边缘位置的公有云堆栈提</w:t>
      </w:r>
    </w:p>
    <w:p>
      <w:pPr>
        <w:pStyle w:val="BodyText"/>
        <w:spacing w:line="300" w:lineRule="auto" w:before="13"/>
        <w:ind w:right="1112"/>
        <w:jc w:val="left"/>
      </w:pPr>
      <w:r>
        <w:rPr>
          <w:spacing w:val="-1"/>
        </w:rPr>
        <w:t>供支持。</w:t>
      </w:r>
      <w:r>
        <w:rPr>
          <w:rFonts w:ascii="Times New Roman" w:hAnsi="Times New Roman" w:cs="Times New Roman" w:eastAsia="Times New Roman" w:hint="default"/>
          <w:spacing w:val="-1"/>
        </w:rPr>
        <w:t>55%</w:t>
      </w:r>
      <w:r>
        <w:rPr>
          <w:spacing w:val="-1"/>
        </w:rPr>
        <w:t>的中国企业将通过投资特定行业的</w:t>
      </w:r>
      <w:r>
        <w:rPr>
          <w:rFonts w:ascii="Times New Roman" w:hAnsi="Times New Roman" w:cs="Times New Roman" w:eastAsia="Times New Roman" w:hint="default"/>
          <w:spacing w:val="-1"/>
        </w:rPr>
        <w:t>SaaS</w:t>
      </w:r>
      <w:r>
        <w:rPr>
          <w:spacing w:val="-1"/>
        </w:rPr>
        <w:t>应用和平台来降低企业应用定制的成本和复杂性。</w:t>
      </w:r>
      <w:r>
        <w:rPr>
          <w:rFonts w:ascii="Times New Roman" w:hAnsi="Times New Roman" w:cs="Times New Roman" w:eastAsia="Times New Roman" w:hint="default"/>
          <w:spacing w:val="-1"/>
        </w:rPr>
        <w:t>50%</w:t>
      </w:r>
      <w:r>
        <w:rPr>
          <w:spacing w:val="-1"/>
        </w:rPr>
        <w:t>的大型中国企业</w:t>
      </w:r>
      <w:r>
        <w:rPr>
          <w:spacing w:val="-58"/>
        </w:rPr>
        <w:t> </w:t>
      </w:r>
      <w:r>
        <w:rPr/>
        <w:t>将在容器、开源和云原生应用开发方面依赖于第三方服务提供商</w:t>
      </w:r>
      <w:r>
        <w:rPr>
          <w:rFonts w:ascii="Times New Roman" w:hAnsi="Times New Roman" w:cs="Times New Roman" w:eastAsia="Times New Roman" w:hint="default"/>
        </w:rPr>
        <w:t>(SPs)</w:t>
      </w:r>
      <w:r>
        <w:rPr/>
        <w:t>的帮助。由人工智能自动化、物联网和智能设备需求 驱动的数据量将超过</w:t>
      </w:r>
      <w:r>
        <w:rPr>
          <w:rFonts w:ascii="Times New Roman" w:hAnsi="Times New Roman" w:cs="Times New Roman" w:eastAsia="Times New Roman" w:hint="default"/>
        </w:rPr>
        <w:t>30ZB</w:t>
      </w:r>
      <w:r>
        <w:rPr/>
        <w:t>；</w:t>
      </w:r>
      <w:r>
        <w:rPr>
          <w:rFonts w:ascii="Times New Roman" w:hAnsi="Times New Roman" w:cs="Times New Roman" w:eastAsia="Times New Roman" w:hint="default"/>
        </w:rPr>
        <w:t>20%</w:t>
      </w:r>
      <w:r>
        <w:rPr/>
        <w:t>的业务将利用它实现实时结果。</w:t>
      </w:r>
    </w:p>
    <w:p>
      <w:pPr>
        <w:pStyle w:val="BodyText"/>
        <w:spacing w:line="240" w:lineRule="auto" w:before="13"/>
        <w:ind w:left="513" w:right="1112"/>
        <w:jc w:val="left"/>
      </w:pPr>
      <w:r>
        <w:rPr/>
        <w:t>到</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50%</w:t>
      </w:r>
      <w:r>
        <w:rPr/>
        <w:t>的中国企业</w:t>
      </w:r>
      <w:r>
        <w:rPr>
          <w:rFonts w:ascii="Times New Roman" w:hAnsi="Times New Roman" w:cs="Times New Roman" w:eastAsia="Times New Roman" w:hint="default"/>
        </w:rPr>
        <w:t>IT</w:t>
      </w:r>
      <w:r>
        <w:rPr/>
        <w:t>基础设施支出将分配给公有云，四分之一的企业</w:t>
      </w:r>
      <w:r>
        <w:rPr>
          <w:rFonts w:ascii="Times New Roman" w:hAnsi="Times New Roman" w:cs="Times New Roman" w:eastAsia="Times New Roman" w:hint="default"/>
        </w:rPr>
        <w:t>IT</w:t>
      </w:r>
      <w:r>
        <w:rPr/>
        <w:t>应用将运行在公有云服务上。</w:t>
      </w:r>
    </w:p>
    <w:p>
      <w:pPr>
        <w:pStyle w:val="BodyText"/>
        <w:spacing w:line="316" w:lineRule="auto" w:before="63"/>
        <w:ind w:left="513" w:right="1112"/>
        <w:jc w:val="left"/>
      </w:pPr>
      <w:r>
        <w:rPr/>
        <w:t>（二）公司发展战略 </w:t>
      </w:r>
      <w:r>
        <w:rPr>
          <w:spacing w:val="-2"/>
        </w:rPr>
        <w:t>公司根据行业的发展趋势与市场需求，一方面积极筹划数据中心全国战略布局，在加快数据中心建设进度的同时，进一</w:t>
      </w:r>
    </w:p>
    <w:p>
      <w:pPr>
        <w:pStyle w:val="BodyText"/>
        <w:spacing w:line="316" w:lineRule="auto" w:before="19"/>
        <w:ind w:right="1112"/>
        <w:jc w:val="left"/>
      </w:pPr>
      <w:r>
        <w:rPr>
          <w:spacing w:val="-2"/>
        </w:rPr>
        <w:t>步提升数据中心服务品质，致力于成为国内一流的数据中心服务提供商；另一方面公司紧跟互联网科技发展潮流，大力发展</w:t>
      </w:r>
      <w:r>
        <w:rPr>
          <w:spacing w:val="-61"/>
        </w:rPr>
        <w:t> </w:t>
      </w:r>
      <w:r>
        <w:rPr>
          <w:spacing w:val="-61"/>
        </w:rPr>
      </w:r>
      <w:r>
        <w:rPr/>
        <w:t>并推广云计算服务，报告期内，云计算及服务收入已超过公司总收入的</w:t>
      </w:r>
      <w:r>
        <w:rPr>
          <w:rFonts w:ascii="Times New Roman" w:hAnsi="Times New Roman" w:cs="Times New Roman" w:eastAsia="Times New Roman" w:hint="default"/>
        </w:rPr>
        <w:t>70%</w:t>
      </w:r>
      <w:r>
        <w:rPr/>
        <w:t>。</w:t>
      </w:r>
    </w:p>
    <w:p>
      <w:pPr>
        <w:pStyle w:val="BodyText"/>
        <w:spacing w:line="316" w:lineRule="auto"/>
        <w:ind w:right="1131" w:firstLine="360"/>
        <w:jc w:val="both"/>
      </w:pPr>
      <w:r>
        <w:rPr>
          <w:spacing w:val="-2"/>
        </w:rPr>
        <w:t>未来，公司将继续秉承客户第一、服务至上的经营理念，以市场需求为导向，以互联网技术发展为基础，不断强化自身</w:t>
      </w:r>
      <w:r>
        <w:rPr/>
        <w:t> </w:t>
      </w:r>
      <w:r>
        <w:rPr>
          <w:spacing w:val="-2"/>
        </w:rPr>
        <w:t>核心竞争力，把企业建设成为具有高技术水平、高增长速度、高利润率、高客户满意度的国内一流的云计算及互联网业务综</w:t>
      </w:r>
      <w:r>
        <w:rPr>
          <w:spacing w:val="-64"/>
        </w:rPr>
        <w:t> </w:t>
      </w:r>
      <w:r>
        <w:rPr>
          <w:spacing w:val="-64"/>
        </w:rPr>
      </w:r>
      <w:r>
        <w:rPr/>
        <w:t>合服务提供商。</w:t>
      </w:r>
    </w:p>
    <w:p>
      <w:pPr>
        <w:pStyle w:val="BodyText"/>
        <w:spacing w:line="240" w:lineRule="auto" w:before="19"/>
        <w:ind w:left="513" w:right="3827"/>
        <w:jc w:val="left"/>
      </w:pPr>
      <w:r>
        <w:rPr/>
        <w:t>（三）</w:t>
      </w:r>
      <w:r>
        <w:rPr>
          <w:rFonts w:ascii="Times New Roman" w:hAnsi="Times New Roman" w:cs="Times New Roman" w:eastAsia="Times New Roman" w:hint="default"/>
        </w:rPr>
        <w:t>2020</w:t>
      </w:r>
      <w:r>
        <w:rPr/>
        <w:t>年经营计划</w:t>
      </w:r>
    </w:p>
    <w:p>
      <w:pPr>
        <w:pStyle w:val="BodyText"/>
        <w:spacing w:line="300" w:lineRule="auto" w:before="63"/>
        <w:ind w:right="1128" w:firstLine="360"/>
        <w:jc w:val="both"/>
      </w:pPr>
      <w:r>
        <w:rPr>
          <w:rFonts w:ascii="Times New Roman" w:hAnsi="Times New Roman" w:cs="Times New Roman" w:eastAsia="Times New Roman" w:hint="default"/>
          <w:spacing w:val="-2"/>
        </w:rPr>
        <w:t>2020</w:t>
      </w:r>
      <w:r>
        <w:rPr>
          <w:spacing w:val="-2"/>
        </w:rPr>
        <w:t>年度，公司将继续围绕企业发展战略，积极推进各在建项目实施进度，根据市场及业务发展需要，适时调整推进速</w:t>
      </w:r>
      <w:r>
        <w:rPr/>
        <w:t> </w:t>
      </w:r>
      <w:r>
        <w:rPr>
          <w:spacing w:val="-1"/>
        </w:rPr>
        <w:t>度，逐步提升</w:t>
      </w:r>
      <w:r>
        <w:rPr>
          <w:rFonts w:ascii="Times New Roman" w:hAnsi="Times New Roman" w:cs="Times New Roman" w:eastAsia="Times New Roman" w:hint="default"/>
          <w:spacing w:val="-1"/>
        </w:rPr>
        <w:t>IDC</w:t>
      </w:r>
      <w:r>
        <w:rPr>
          <w:spacing w:val="-1"/>
        </w:rPr>
        <w:t>服务规模，为公司长期稳定发展奠定坚实基础。</w:t>
      </w:r>
      <w:r>
        <w:rPr>
          <w:rFonts w:ascii="Times New Roman" w:hAnsi="Times New Roman" w:cs="Times New Roman" w:eastAsia="Times New Roman" w:hint="default"/>
          <w:spacing w:val="-1"/>
        </w:rPr>
        <w:t>2020</w:t>
      </w:r>
      <w:r>
        <w:rPr>
          <w:spacing w:val="-1"/>
        </w:rPr>
        <w:t>年公司计划在长沙国家高新技术产业开发区投资建设</w:t>
      </w:r>
      <w:r>
        <w:rPr>
          <w:spacing w:val="-69"/>
        </w:rPr>
        <w:t> </w:t>
      </w:r>
      <w:r>
        <w:rPr>
          <w:spacing w:val="-69"/>
        </w:rPr>
      </w:r>
      <w:r>
        <w:rPr>
          <w:spacing w:val="-1"/>
        </w:rPr>
        <w:t>新的云计算基地项目，总投资约</w:t>
      </w:r>
      <w:r>
        <w:rPr>
          <w:rFonts w:ascii="Times New Roman" w:hAnsi="Times New Roman" w:cs="Times New Roman" w:eastAsia="Times New Roman" w:hint="default"/>
          <w:spacing w:val="-1"/>
        </w:rPr>
        <w:t>346,380</w:t>
      </w:r>
      <w:r>
        <w:rPr>
          <w:spacing w:val="-1"/>
        </w:rPr>
        <w:t>万元，计划扩充</w:t>
      </w:r>
      <w:r>
        <w:rPr>
          <w:rFonts w:ascii="Times New Roman" w:hAnsi="Times New Roman" w:cs="Times New Roman" w:eastAsia="Times New Roman" w:hint="default"/>
          <w:spacing w:val="-1"/>
        </w:rPr>
        <w:t>16,000</w:t>
      </w:r>
      <w:r>
        <w:rPr>
          <w:spacing w:val="-1"/>
        </w:rPr>
        <w:t>个机柜。本次项目的实施将进一步扩大公司</w:t>
      </w:r>
      <w:r>
        <w:rPr>
          <w:rFonts w:ascii="Times New Roman" w:hAnsi="Times New Roman" w:cs="Times New Roman" w:eastAsia="Times New Roman" w:hint="default"/>
          <w:spacing w:val="-1"/>
        </w:rPr>
        <w:t>IDC</w:t>
      </w:r>
      <w:r>
        <w:rPr>
          <w:spacing w:val="-1"/>
        </w:rPr>
        <w:t>业务的辐射范</w:t>
      </w:r>
      <w:r>
        <w:rPr>
          <w:spacing w:val="-69"/>
        </w:rPr>
        <w:t> </w:t>
      </w:r>
      <w:r>
        <w:rPr>
          <w:spacing w:val="-1"/>
        </w:rPr>
        <w:t>围，填补公司在内陆地区</w:t>
      </w:r>
      <w:r>
        <w:rPr>
          <w:rFonts w:ascii="Times New Roman" w:hAnsi="Times New Roman" w:cs="Times New Roman" w:eastAsia="Times New Roman" w:hint="default"/>
          <w:spacing w:val="-1"/>
        </w:rPr>
        <w:t>IDC</w:t>
      </w:r>
      <w:r>
        <w:rPr>
          <w:spacing w:val="-1"/>
        </w:rPr>
        <w:t>资源的空白，有利于提高公司的服务能力和综合竞争实力。同时可增加当地就业，提高华中地</w:t>
      </w:r>
      <w:r>
        <w:rPr>
          <w:spacing w:val="-67"/>
        </w:rPr>
        <w:t> </w:t>
      </w:r>
      <w:r>
        <w:rPr>
          <w:spacing w:val="-67"/>
        </w:rPr>
      </w:r>
      <w:r>
        <w:rPr/>
        <w:t>区</w:t>
      </w:r>
      <w:r>
        <w:rPr>
          <w:rFonts w:ascii="Times New Roman" w:hAnsi="Times New Roman" w:cs="Times New Roman" w:eastAsia="Times New Roman" w:hint="default"/>
        </w:rPr>
        <w:t>IT</w:t>
      </w:r>
      <w:r>
        <w:rPr/>
        <w:t>服务能力。</w:t>
      </w:r>
    </w:p>
    <w:p>
      <w:pPr>
        <w:pStyle w:val="BodyText"/>
        <w:spacing w:line="300" w:lineRule="auto" w:before="13"/>
        <w:ind w:right="1128" w:firstLine="360"/>
        <w:jc w:val="both"/>
      </w:pPr>
      <w:r>
        <w:rPr>
          <w:spacing w:val="-2"/>
        </w:rPr>
        <w:t>随着公司数据中心规模的不断增加，为适应市场竞争需要，进一步提升数据中心专业化服务能力，</w:t>
      </w:r>
      <w:r>
        <w:rPr>
          <w:rFonts w:ascii="Times New Roman" w:hAnsi="Times New Roman" w:cs="Times New Roman" w:eastAsia="Times New Roman" w:hint="default"/>
          <w:spacing w:val="-2"/>
        </w:rPr>
        <w:t>2019</w:t>
      </w:r>
      <w:r>
        <w:rPr>
          <w:spacing w:val="-2"/>
        </w:rPr>
        <w:t>年公司组建了更</w:t>
      </w:r>
      <w:r>
        <w:rPr/>
        <w:t> 加专业的运维管理团队，推出了</w:t>
      </w:r>
      <w:r>
        <w:rPr>
          <w:rFonts w:ascii="Times New Roman" w:hAnsi="Times New Roman" w:cs="Times New Roman" w:eastAsia="Times New Roman" w:hint="default"/>
        </w:rPr>
        <w:t>“</w:t>
      </w:r>
      <w:r>
        <w:rPr/>
        <w:t>前期规划</w:t>
      </w:r>
      <w:r>
        <w:rPr>
          <w:rFonts w:ascii="Times New Roman" w:hAnsi="Times New Roman" w:cs="Times New Roman" w:eastAsia="Times New Roman" w:hint="default"/>
        </w:rPr>
        <w:t>+</w:t>
      </w:r>
      <w:r>
        <w:rPr/>
        <w:t>后期运维</w:t>
      </w:r>
      <w:r>
        <w:rPr>
          <w:rFonts w:ascii="Times New Roman" w:hAnsi="Times New Roman" w:cs="Times New Roman" w:eastAsia="Times New Roman" w:hint="default"/>
        </w:rPr>
        <w:t>”</w:t>
      </w:r>
      <w:r>
        <w:rPr/>
        <w:t>一体化的第三代数据中心运维管理模式。</w:t>
      </w:r>
      <w:r>
        <w:rPr>
          <w:rFonts w:ascii="Times New Roman" w:hAnsi="Times New Roman" w:cs="Times New Roman" w:eastAsia="Times New Roman" w:hint="default"/>
        </w:rPr>
        <w:t>2020</w:t>
      </w:r>
      <w:r>
        <w:rPr/>
        <w:t>年公司将继续不断完善 运维管理体系，为用户提供更加规范化、人性化的数据中心运维服务。</w:t>
      </w:r>
    </w:p>
    <w:p>
      <w:pPr>
        <w:pStyle w:val="BodyText"/>
        <w:spacing w:line="309" w:lineRule="auto" w:before="31"/>
        <w:ind w:right="1112" w:firstLine="360"/>
        <w:jc w:val="left"/>
      </w:pPr>
      <w:r>
        <w:rPr/>
        <w:t>在云计算业务方面，为顺应行业发展需求，公司一方面继续运营的</w:t>
      </w:r>
      <w:r>
        <w:rPr>
          <w:rFonts w:ascii="Times New Roman" w:hAnsi="Times New Roman" w:cs="Times New Roman" w:eastAsia="Times New Roman" w:hint="default"/>
        </w:rPr>
        <w:t>AWS</w:t>
      </w:r>
      <w:r>
        <w:rPr/>
        <w:t>中国（北京）区域云服务，一方面也将继续开 </w:t>
      </w:r>
      <w:r>
        <w:rPr>
          <w:spacing w:val="-2"/>
        </w:rPr>
        <w:t>拓云计算增值业务服务，拓展全国云计算销售、服务体系，为用户提供高稳定性、高安全性、高性能的云计算服务。加强与</w:t>
      </w:r>
      <w:r>
        <w:rPr>
          <w:spacing w:val="-68"/>
        </w:rPr>
        <w:t> </w:t>
      </w:r>
      <w:r>
        <w:rPr>
          <w:spacing w:val="-68"/>
        </w:rPr>
      </w:r>
      <w:r>
        <w:rPr>
          <w:spacing w:val="-1"/>
        </w:rPr>
        <w:t>各大运营商的合作，建立覆盖全国的云计算专网系统，实现</w:t>
      </w:r>
      <w:r>
        <w:rPr>
          <w:rFonts w:ascii="Times New Roman" w:hAnsi="Times New Roman" w:cs="Times New Roman" w:eastAsia="Times New Roman" w:hint="default"/>
          <w:spacing w:val="-1"/>
        </w:rPr>
        <w:t>“</w:t>
      </w:r>
      <w:r>
        <w:rPr>
          <w:spacing w:val="-1"/>
        </w:rPr>
        <w:t>云</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网</w:t>
      </w:r>
      <w:r>
        <w:rPr>
          <w:rFonts w:ascii="Times New Roman" w:hAnsi="Times New Roman" w:cs="Times New Roman" w:eastAsia="Times New Roman" w:hint="default"/>
          <w:spacing w:val="-1"/>
        </w:rPr>
        <w:t>”</w:t>
      </w:r>
      <w:r>
        <w:rPr>
          <w:spacing w:val="-1"/>
        </w:rPr>
        <w:t>的结合，大幅提高云服务客户的网络质量，改善客户</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体验，降低服务成本。公司将继续加强在云计算服务领域的研发投入，不断增强对用户的云服务咨询、集成、迁移、运维、</w:t>
      </w:r>
      <w:r>
        <w:rPr>
          <w:spacing w:val="-86"/>
        </w:rPr>
        <w:t> </w:t>
      </w:r>
      <w:r>
        <w:rPr>
          <w:spacing w:val="-86"/>
        </w:rPr>
      </w:r>
      <w:r>
        <w:rPr/>
        <w:t>人才培训及技术支持等全方位的云计算增值服务。</w:t>
      </w:r>
    </w:p>
    <w:p>
      <w:pPr>
        <w:pStyle w:val="BodyText"/>
        <w:spacing w:line="240" w:lineRule="auto" w:before="17"/>
        <w:ind w:left="513" w:right="3827"/>
        <w:jc w:val="left"/>
      </w:pPr>
      <w:r>
        <w:rPr/>
        <w:t>（四）可能面临的风险</w:t>
      </w:r>
    </w:p>
    <w:p>
      <w:pPr>
        <w:pStyle w:val="Heading5"/>
        <w:spacing w:line="240" w:lineRule="auto" w:before="76"/>
        <w:ind w:right="3827"/>
        <w:jc w:val="left"/>
        <w:rPr>
          <w:b w:val="0"/>
          <w:bCs w:val="0"/>
        </w:rPr>
      </w:pPr>
      <w:r>
        <w:rPr>
          <w:rFonts w:ascii="Times New Roman" w:hAnsi="Times New Roman" w:cs="Times New Roman" w:eastAsia="Times New Roman" w:hint="default"/>
        </w:rPr>
        <w:t>1</w:t>
      </w:r>
      <w:r>
        <w:rPr/>
        <w:t>、非公开发行股票事项的审批风险</w:t>
      </w:r>
      <w:r>
        <w:rPr>
          <w:b w:val="0"/>
          <w:bCs w:val="0"/>
        </w:rPr>
      </w:r>
    </w:p>
    <w:p>
      <w:pPr>
        <w:pStyle w:val="BodyText"/>
        <w:spacing w:line="309" w:lineRule="auto" w:before="103"/>
        <w:ind w:right="1129" w:firstLine="360"/>
        <w:jc w:val="both"/>
      </w:pPr>
      <w:r>
        <w:rPr/>
        <w:t>公司拟非公开发行股票，募集资金总额不超过</w:t>
      </w:r>
      <w:r>
        <w:rPr>
          <w:spacing w:val="-64"/>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8"/>
        </w:rPr>
        <w:t> </w:t>
      </w:r>
      <w:r>
        <w:rPr/>
        <w:t>万元，募集资金将用于投资建设北京房山绿色云计算数据中心二 期项目、上海嘉定绿色云计算基地二期项目、向智达云创（三河）科技有限公司增资取得</w:t>
      </w:r>
      <w:r>
        <w:rPr>
          <w:spacing w:val="29"/>
        </w:rPr>
        <w:t> </w:t>
      </w:r>
      <w:r>
        <w:rPr>
          <w:rFonts w:ascii="Times New Roman" w:hAnsi="Times New Roman" w:cs="Times New Roman" w:eastAsia="Times New Roman" w:hint="default"/>
        </w:rPr>
        <w:t>65%</w:t>
      </w:r>
      <w:r>
        <w:rPr/>
        <w:t>股权并投资建设燕郊绿色云</w:t>
      </w:r>
      <w:r>
        <w:rPr>
          <w:spacing w:val="-86"/>
        </w:rPr>
        <w:t> </w:t>
      </w:r>
      <w:r>
        <w:rPr>
          <w:spacing w:val="-86"/>
        </w:rPr>
      </w:r>
      <w:r>
        <w:rPr>
          <w:spacing w:val="-2"/>
        </w:rPr>
        <w:t>计算基地三四期项目、长沙绿色云计算基地一期项目及补充流动资金，解决项目资金来源。上述事项已经公司第四届董事会</w:t>
      </w:r>
      <w:r>
        <w:rPr>
          <w:spacing w:val="-62"/>
        </w:rPr>
        <w:t> </w:t>
      </w:r>
      <w:r>
        <w:rPr>
          <w:spacing w:val="-62"/>
        </w:rPr>
      </w:r>
      <w:r>
        <w:rPr>
          <w:rFonts w:ascii="Times New Roman" w:hAnsi="Times New Roman" w:cs="Times New Roman" w:eastAsia="Times New Roman" w:hint="default"/>
        </w:rPr>
        <w:t>2020</w:t>
      </w:r>
      <w:r>
        <w:rPr>
          <w:rFonts w:ascii="Times New Roman" w:hAnsi="Times New Roman" w:cs="Times New Roman" w:eastAsia="Times New Roman" w:hint="default"/>
          <w:spacing w:val="-13"/>
        </w:rPr>
        <w:t> </w:t>
      </w:r>
      <w:r>
        <w:rPr/>
        <w:t>年第一次会议及第四届监事会</w:t>
      </w:r>
      <w:r>
        <w:rPr>
          <w:spacing w:val="-5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3"/>
        </w:rPr>
        <w:t> </w:t>
      </w:r>
      <w:r>
        <w:rPr/>
        <w:t>年第一次会议审议通过，尚需获得公司股东大会审议批准，并报送中国证监会核准 </w:t>
      </w:r>
      <w:r>
        <w:rPr>
          <w:spacing w:val="-2"/>
        </w:rPr>
        <w:t>后方可实施。本次非公开发行事项能否取得上述核准以及最终取得核准的时间均存在不确定性，公司郑重提示投资者注意投</w:t>
      </w:r>
      <w:r>
        <w:rPr>
          <w:spacing w:val="-64"/>
        </w:rPr>
        <w:t> </w:t>
      </w:r>
      <w:r>
        <w:rPr>
          <w:spacing w:val="-64"/>
        </w:rPr>
      </w:r>
      <w:r>
        <w:rPr>
          <w:spacing w:val="-2"/>
        </w:rPr>
        <w:t>资风险。如本次非公开发行股票事项未能实施或低于预期，公司将通过自筹资金、银行贷款或其他融资方式解决项目建设资</w:t>
      </w:r>
      <w:r>
        <w:rPr>
          <w:spacing w:val="-62"/>
        </w:rPr>
        <w:t> </w:t>
      </w:r>
      <w:r>
        <w:rPr>
          <w:spacing w:val="-62"/>
        </w:rPr>
      </w:r>
      <w:r>
        <w:rPr/>
        <w:t>金。</w:t>
      </w:r>
    </w:p>
    <w:p>
      <w:pPr>
        <w:pStyle w:val="Heading5"/>
        <w:spacing w:line="240" w:lineRule="auto" w:before="62"/>
        <w:ind w:right="3827"/>
        <w:jc w:val="left"/>
        <w:rPr>
          <w:b w:val="0"/>
          <w:bCs w:val="0"/>
        </w:rPr>
      </w:pPr>
      <w:r>
        <w:rPr>
          <w:rFonts w:ascii="Times New Roman" w:hAnsi="Times New Roman" w:cs="Times New Roman" w:eastAsia="Times New Roman" w:hint="default"/>
        </w:rPr>
        <w:t>2</w:t>
      </w:r>
      <w:r>
        <w:rPr/>
        <w:t>、受新冠疫情影响的风险</w:t>
      </w:r>
      <w:r>
        <w:rPr>
          <w:b w:val="0"/>
          <w:bCs w:val="0"/>
        </w:rPr>
      </w:r>
    </w:p>
    <w:p>
      <w:pPr>
        <w:pStyle w:val="BodyText"/>
        <w:spacing w:line="314" w:lineRule="auto" w:before="63"/>
        <w:ind w:right="1129" w:firstLine="360"/>
        <w:jc w:val="both"/>
      </w:pPr>
      <w:r>
        <w:rPr>
          <w:rFonts w:ascii="Times New Roman" w:hAnsi="Times New Roman" w:cs="Times New Roman" w:eastAsia="Times New Roman" w:hint="default"/>
          <w:spacing w:val="-2"/>
        </w:rPr>
        <w:t>2020</w:t>
      </w:r>
      <w:r>
        <w:rPr>
          <w:spacing w:val="-2"/>
        </w:rPr>
        <w:t>年伊始，新冠病毒肺炎疫情爆发，公司积极制定防控预案，对疫情防控工作进行全面部署，确保疫情期间公司平稳</w:t>
      </w:r>
      <w:r>
        <w:rPr/>
        <w:t> </w:t>
      </w:r>
      <w:r>
        <w:rPr>
          <w:spacing w:val="-2"/>
        </w:rPr>
        <w:t>运营。尽管目前国内疫情局势持续向好，但疫情尚未结束，由于物流、现场施工受到限制，公司各项目建设进度可能受到一</w:t>
      </w:r>
      <w:r>
        <w:rPr>
          <w:spacing w:val="-67"/>
        </w:rPr>
        <w:t> </w:t>
      </w:r>
      <w:r>
        <w:rPr>
          <w:spacing w:val="-67"/>
        </w:rPr>
      </w:r>
      <w:r>
        <w:rPr>
          <w:spacing w:val="-2"/>
        </w:rPr>
        <w:t>定影响。全球性疫情可能对整体经济产生不利影响，公司从事的主营业务作为经济发展的基础性行业，服务于各行业企业客</w:t>
      </w:r>
      <w:r>
        <w:rPr>
          <w:spacing w:val="-62"/>
        </w:rPr>
        <w:t> </w:t>
      </w:r>
      <w:r>
        <w:rPr>
          <w:spacing w:val="-62"/>
        </w:rPr>
      </w:r>
      <w:r>
        <w:rPr>
          <w:spacing w:val="-2"/>
        </w:rPr>
        <w:t>户，其中不乏涉及旅游、实体经济、生活服务类客户，部分客户业务存在受到疫情影响的风险，从而可能导致公司整体业绩</w:t>
      </w:r>
      <w:r>
        <w:rPr>
          <w:spacing w:val="-67"/>
        </w:rPr>
        <w:t> </w:t>
      </w:r>
      <w:r>
        <w:rPr>
          <w:spacing w:val="-67"/>
        </w:rPr>
      </w:r>
      <w:r>
        <w:rPr/>
        <w:t>受到影响。</w:t>
      </w:r>
    </w:p>
    <w:p>
      <w:pPr>
        <w:pStyle w:val="BodyText"/>
        <w:spacing w:line="316" w:lineRule="auto" w:before="20"/>
        <w:ind w:right="1134" w:firstLine="360"/>
        <w:jc w:val="both"/>
      </w:pPr>
      <w:r>
        <w:rPr>
          <w:spacing w:val="-2"/>
        </w:rPr>
        <w:t>面对突如其来的变化，公司积极筹措防疫物资、完善防控措施，调整工作时间，确保员工复工安全。公司服务着包括医</w:t>
      </w:r>
      <w:r>
        <w:rPr/>
        <w:t> </w:t>
      </w:r>
      <w:r>
        <w:rPr>
          <w:spacing w:val="-2"/>
        </w:rPr>
        <w:t>疗、交通、媒体、互联网在内的各行业用户，在有力保障数据中心稳定运营的同时，还通过多渠道、多方式加强与客户的沟</w:t>
      </w:r>
      <w:r>
        <w:rPr>
          <w:spacing w:val="-69"/>
        </w:rPr>
        <w:t> </w:t>
      </w:r>
      <w:r>
        <w:rPr>
          <w:spacing w:val="-69"/>
        </w:rPr>
      </w:r>
      <w:r>
        <w:rPr/>
        <w:t>通联系，最大限度减少疫情对公司经营发展带来的不利影响。</w:t>
      </w:r>
    </w:p>
    <w:p>
      <w:pPr>
        <w:pStyle w:val="BodyText"/>
        <w:spacing w:line="300" w:lineRule="auto" w:before="19"/>
        <w:ind w:left="513" w:right="1112"/>
        <w:jc w:val="left"/>
      </w:pPr>
      <w:r>
        <w:rPr>
          <w:rFonts w:ascii="Times New Roman" w:hAnsi="Times New Roman" w:cs="Times New Roman" w:eastAsia="Times New Roman" w:hint="default"/>
          <w:b/>
          <w:bCs/>
        </w:rPr>
        <w:t>3</w:t>
      </w:r>
      <w:r>
        <w:rPr>
          <w:rFonts w:ascii="宋体" w:hAnsi="宋体" w:cs="宋体" w:eastAsia="宋体" w:hint="default"/>
          <w:b/>
          <w:bCs/>
        </w:rPr>
        <w:t>、应收账款回收风险</w:t>
      </w:r>
      <w:r>
        <w:rPr>
          <w:rFonts w:ascii="宋体" w:hAnsi="宋体" w:cs="宋体" w:eastAsia="宋体" w:hint="default"/>
          <w:b/>
          <w:bCs/>
          <w:w w:val="99"/>
        </w:rPr>
        <w:t> </w:t>
      </w:r>
      <w:r>
        <w:rPr>
          <w:spacing w:val="-2"/>
        </w:rPr>
        <w:t>随着公司业务规模的快速扩大，公司应收账款增速较快，</w:t>
      </w:r>
      <w:r>
        <w:rPr>
          <w:rFonts w:ascii="Times New Roman" w:hAnsi="Times New Roman" w:cs="Times New Roman" w:eastAsia="Times New Roman" w:hint="default"/>
          <w:spacing w:val="-2"/>
        </w:rPr>
        <w:t>2017</w:t>
      </w:r>
      <w:r>
        <w:rPr>
          <w:spacing w:val="-2"/>
        </w:rPr>
        <w:t>年末、</w:t>
      </w:r>
      <w:r>
        <w:rPr>
          <w:rFonts w:ascii="Times New Roman" w:hAnsi="Times New Roman" w:cs="Times New Roman" w:eastAsia="Times New Roman" w:hint="default"/>
          <w:spacing w:val="-2"/>
        </w:rPr>
        <w:t>2018</w:t>
      </w:r>
      <w:r>
        <w:rPr>
          <w:spacing w:val="-2"/>
        </w:rPr>
        <w:t>年末、本报告期末，公司应收账款账面值分别</w:t>
      </w:r>
    </w:p>
    <w:p>
      <w:pPr>
        <w:pStyle w:val="BodyText"/>
        <w:spacing w:line="312" w:lineRule="auto" w:before="13"/>
        <w:ind w:right="1128"/>
        <w:jc w:val="both"/>
      </w:pPr>
      <w:r>
        <w:rPr>
          <w:spacing w:val="-1"/>
        </w:rPr>
        <w:t>为</w:t>
      </w:r>
      <w:r>
        <w:rPr>
          <w:rFonts w:ascii="Times New Roman" w:hAnsi="Times New Roman" w:cs="Times New Roman" w:eastAsia="Times New Roman" w:hint="default"/>
          <w:spacing w:val="-1"/>
        </w:rPr>
        <w:t>98,672.49</w:t>
      </w:r>
      <w:r>
        <w:rPr>
          <w:spacing w:val="-1"/>
        </w:rPr>
        <w:t>万元、</w:t>
      </w:r>
      <w:r>
        <w:rPr>
          <w:rFonts w:ascii="Times New Roman" w:hAnsi="Times New Roman" w:cs="Times New Roman" w:eastAsia="Times New Roman" w:hint="default"/>
          <w:spacing w:val="-1"/>
        </w:rPr>
        <w:t>161,792.30</w:t>
      </w:r>
      <w:r>
        <w:rPr>
          <w:spacing w:val="-1"/>
        </w:rPr>
        <w:t>万元、</w:t>
      </w:r>
      <w:r>
        <w:rPr>
          <w:rFonts w:ascii="Times New Roman" w:hAnsi="Times New Roman" w:cs="Times New Roman" w:eastAsia="Times New Roman" w:hint="default"/>
          <w:spacing w:val="-1"/>
        </w:rPr>
        <w:t>192,825.57</w:t>
      </w:r>
      <w:r>
        <w:rPr>
          <w:spacing w:val="-1"/>
        </w:rPr>
        <w:t>万元，占公司资产总额比例分别为</w:t>
      </w:r>
      <w:r>
        <w:rPr>
          <w:rFonts w:ascii="Times New Roman" w:hAnsi="Times New Roman" w:cs="Times New Roman" w:eastAsia="Times New Roman" w:hint="default"/>
          <w:spacing w:val="-1"/>
        </w:rPr>
        <w:t>9.30%</w:t>
      </w:r>
      <w:r>
        <w:rPr>
          <w:spacing w:val="-1"/>
        </w:rPr>
        <w:t>、</w:t>
      </w:r>
      <w:r>
        <w:rPr>
          <w:rFonts w:ascii="Times New Roman" w:hAnsi="Times New Roman" w:cs="Times New Roman" w:eastAsia="Times New Roman" w:hint="default"/>
          <w:spacing w:val="-1"/>
        </w:rPr>
        <w:t>14.21%</w:t>
      </w:r>
      <w:r>
        <w:rPr>
          <w:spacing w:val="-1"/>
        </w:rPr>
        <w:t>、</w:t>
      </w:r>
      <w:r>
        <w:rPr>
          <w:rFonts w:ascii="Times New Roman" w:hAnsi="Times New Roman" w:cs="Times New Roman" w:eastAsia="Times New Roman" w:hint="default"/>
          <w:spacing w:val="-1"/>
        </w:rPr>
        <w:t>15.76%</w:t>
      </w:r>
      <w:r>
        <w:rPr>
          <w:spacing w:val="-1"/>
        </w:rPr>
        <w:t>，主要为账期内应</w:t>
      </w:r>
      <w:r>
        <w:rPr>
          <w:spacing w:val="-70"/>
        </w:rPr>
        <w:t> </w:t>
      </w:r>
      <w:r>
        <w:rPr>
          <w:spacing w:val="-70"/>
        </w:rPr>
      </w:r>
      <w:r>
        <w:rPr>
          <w:spacing w:val="-2"/>
        </w:rPr>
        <w:t>收款项，若客户因审批流程长或经营状况出现恶化等原因拖延付款，存在应收账款逐年增加且不能回收的风险。公司的客户</w:t>
      </w:r>
      <w:r>
        <w:rPr>
          <w:spacing w:val="-61"/>
        </w:rPr>
        <w:t> </w:t>
      </w:r>
      <w:r>
        <w:rPr>
          <w:spacing w:val="-61"/>
        </w:rPr>
      </w:r>
      <w:r>
        <w:rPr>
          <w:spacing w:val="-2"/>
        </w:rPr>
        <w:t>广泛分布于通信行业、电子商务、金融、保险、传媒、教育、医疗、制造等各行各业，其中不乏国内大型互联网企业、国际</w:t>
      </w:r>
      <w:r>
        <w:rPr>
          <w:spacing w:val="-68"/>
        </w:rPr>
        <w:t> </w:t>
      </w:r>
      <w:r>
        <w:rPr>
          <w:spacing w:val="-68"/>
        </w:rPr>
      </w:r>
      <w:r>
        <w:rPr/>
        <w:t>知名品牌、媒体、商业银行、保险机构以及政府部门，该等客户资信情况良好，具有较强的支付能力。</w:t>
      </w:r>
    </w:p>
    <w:p>
      <w:pPr>
        <w:pStyle w:val="BodyText"/>
        <w:spacing w:line="240" w:lineRule="auto" w:before="22"/>
        <w:ind w:left="513" w:right="1112"/>
        <w:jc w:val="left"/>
      </w:pPr>
      <w:r>
        <w:rPr/>
        <w:t>报告期内，公司进一步加强风控力度，完善回款机制，确保客户在合同约定期限内按时支付服务费用。</w:t>
      </w:r>
    </w:p>
    <w:p>
      <w:pPr>
        <w:pStyle w:val="Heading5"/>
        <w:spacing w:line="240" w:lineRule="auto" w:before="117"/>
        <w:ind w:right="3827"/>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IDC</w:t>
      </w:r>
      <w:r>
        <w:rPr>
          <w:rFonts w:ascii="Times New Roman" w:hAnsi="Times New Roman" w:cs="Times New Roman" w:eastAsia="Times New Roman" w:hint="default"/>
          <w:spacing w:val="-5"/>
        </w:rPr>
        <w:t> </w:t>
      </w:r>
      <w:r>
        <w:rPr/>
        <w:t>产业监管政策持续收紧，行业竞争加剧的风险</w:t>
      </w:r>
      <w:r>
        <w:rPr>
          <w:b w:val="0"/>
          <w:bCs w:val="0"/>
        </w:rPr>
      </w:r>
    </w:p>
    <w:p>
      <w:pPr>
        <w:pStyle w:val="BodyText"/>
        <w:spacing w:line="300" w:lineRule="auto" w:before="103"/>
        <w:ind w:right="1132" w:firstLine="360"/>
        <w:jc w:val="both"/>
      </w:pPr>
      <w:r>
        <w:rPr>
          <w:rFonts w:ascii="Times New Roman" w:hAnsi="Times New Roman" w:cs="Times New Roman" w:eastAsia="Times New Roman" w:hint="default"/>
        </w:rPr>
        <w:t>5G</w:t>
      </w:r>
      <w:r>
        <w:rPr/>
        <w:t>、云计算和</w:t>
      </w:r>
      <w:r>
        <w:rPr>
          <w:rFonts w:ascii="Times New Roman" w:hAnsi="Times New Roman" w:cs="Times New Roman" w:eastAsia="Times New Roman" w:hint="default"/>
        </w:rPr>
        <w:t>AI</w:t>
      </w:r>
      <w:r>
        <w:rPr/>
        <w:t>等新一代技术的快速演进对数据中心提出更高的需求，公司将面对更多新的发展机遇，同时越来越多 的企业开始涉足</w:t>
      </w:r>
      <w:r>
        <w:rPr>
          <w:rFonts w:ascii="Times New Roman" w:hAnsi="Times New Roman" w:cs="Times New Roman" w:eastAsia="Times New Roman" w:hint="default"/>
        </w:rPr>
        <w:t>IDC</w:t>
      </w:r>
      <w:r>
        <w:rPr/>
        <w:t>市场，公司也面临着日益激烈的市场竞争。随着北京、上海等地区对于</w:t>
      </w:r>
      <w:r>
        <w:rPr>
          <w:rFonts w:ascii="Times New Roman" w:hAnsi="Times New Roman" w:cs="Times New Roman" w:eastAsia="Times New Roman" w:hint="default"/>
        </w:rPr>
        <w:t>IDC</w:t>
      </w:r>
      <w:r>
        <w:rPr/>
        <w:t>产业监管和限制日益趋严，</w:t>
      </w:r>
      <w:r>
        <w:rPr>
          <w:spacing w:val="-74"/>
        </w:rPr>
        <w:t> </w:t>
      </w:r>
      <w:r>
        <w:rPr>
          <w:spacing w:val="-74"/>
        </w:rPr>
      </w:r>
      <w:r>
        <w:rPr/>
        <w:t>也将对公司</w:t>
      </w:r>
      <w:r>
        <w:rPr>
          <w:rFonts w:ascii="Times New Roman" w:hAnsi="Times New Roman" w:cs="Times New Roman" w:eastAsia="Times New Roman" w:hint="default"/>
        </w:rPr>
        <w:t>IDC</w:t>
      </w:r>
      <w:r>
        <w:rPr/>
        <w:t>业务的扩展带来新的挑战。</w:t>
      </w:r>
    </w:p>
    <w:p>
      <w:pPr>
        <w:pStyle w:val="BodyText"/>
        <w:spacing w:line="309" w:lineRule="auto" w:before="13"/>
        <w:ind w:right="1131" w:firstLine="360"/>
        <w:jc w:val="both"/>
      </w:pPr>
      <w:r>
        <w:rPr>
          <w:spacing w:val="-2"/>
        </w:rPr>
        <w:t>公司积极推进北京房山绿色云计算数据中心项目建设进度，报告期内一期数据中心逐步投产，进一步扩大了公司在北京</w:t>
      </w:r>
      <w:r>
        <w:rPr/>
        <w:t> 地区数据中心服务规模。二期项目在建</w:t>
      </w:r>
      <w:r>
        <w:rPr>
          <w:rFonts w:ascii="Times New Roman" w:hAnsi="Times New Roman" w:cs="Times New Roman" w:eastAsia="Times New Roman" w:hint="default"/>
        </w:rPr>
        <w:t>3</w:t>
      </w:r>
      <w:r>
        <w:rPr/>
        <w:t>栋机房楼已完成土建工程封顶，预计</w:t>
      </w:r>
      <w:r>
        <w:rPr>
          <w:rFonts w:ascii="Times New Roman" w:hAnsi="Times New Roman" w:cs="Times New Roman" w:eastAsia="Times New Roman" w:hint="default"/>
        </w:rPr>
        <w:t>2020</w:t>
      </w:r>
      <w:r>
        <w:rPr/>
        <w:t>年下半年可具备安装机电条件。公司在北</w:t>
      </w:r>
      <w:r>
        <w:rPr>
          <w:spacing w:val="-84"/>
        </w:rPr>
        <w:t> </w:t>
      </w:r>
      <w:r>
        <w:rPr>
          <w:spacing w:val="-84"/>
        </w:rPr>
      </w:r>
      <w:r>
        <w:rPr/>
        <w:t>京地区数据中心服务规模保持持续增长。</w:t>
      </w:r>
    </w:p>
    <w:p>
      <w:pPr>
        <w:pStyle w:val="BodyText"/>
        <w:spacing w:line="314" w:lineRule="auto" w:before="24"/>
        <w:ind w:right="1130" w:firstLine="360"/>
        <w:jc w:val="both"/>
      </w:pPr>
      <w:r>
        <w:rPr>
          <w:spacing w:val="-2"/>
        </w:rPr>
        <w:t>截至报告期末，河北燕郊绿色云计算基地三四期项目已取得建设工程规划许可证、施工许可证，办理完成项目环评、能</w:t>
      </w:r>
      <w:r>
        <w:rPr/>
        <w:t> </w:t>
      </w:r>
      <w:r>
        <w:rPr>
          <w:spacing w:val="-2"/>
        </w:rPr>
        <w:t>评等手续。项目土建工程已全面开工，预计</w:t>
      </w:r>
      <w:r>
        <w:rPr>
          <w:rFonts w:ascii="Times New Roman" w:hAnsi="Times New Roman" w:cs="Times New Roman" w:eastAsia="Times New Roman" w:hint="default"/>
          <w:spacing w:val="-2"/>
        </w:rPr>
        <w:t>2020</w:t>
      </w:r>
      <w:r>
        <w:rPr>
          <w:spacing w:val="-2"/>
        </w:rPr>
        <w:t>年内全部封顶，首批定制化机房设计工作已完成。上海嘉定绿色云计算基地</w:t>
      </w:r>
      <w:r>
        <w:rPr>
          <w:spacing w:val="-61"/>
        </w:rPr>
        <w:t> </w:t>
      </w:r>
      <w:r>
        <w:rPr>
          <w:spacing w:val="-61"/>
        </w:rPr>
      </w:r>
      <w:r>
        <w:rPr>
          <w:spacing w:val="-5"/>
        </w:rPr>
        <w:t>二期项目已完成立项、规划审批及环评备案工作，正在办理工程报建等相关手续，完成了原有建筑物的拆除和场地平整工作，</w:t>
      </w:r>
      <w:r>
        <w:rPr>
          <w:spacing w:val="-76"/>
        </w:rPr>
        <w:t> </w:t>
      </w:r>
      <w:r>
        <w:rPr>
          <w:spacing w:val="-76"/>
        </w:rPr>
      </w:r>
      <w:r>
        <w:rPr>
          <w:spacing w:val="-2"/>
        </w:rPr>
        <w:t>根据客户定制化需求开展机房机电配套设计工作。昆山美鸿业绿色云计算基地项目已完成园区整体方案设计、项目立项及用</w:t>
      </w:r>
      <w:r>
        <w:rPr>
          <w:spacing w:val="-64"/>
        </w:rPr>
        <w:t> </w:t>
      </w:r>
      <w:r>
        <w:rPr>
          <w:spacing w:val="-64"/>
        </w:rPr>
      </w:r>
      <w:r>
        <w:rPr/>
        <w:t>地规划审批，已办理环评备案，并启动项目能评及规划审批等工作。</w:t>
      </w:r>
    </w:p>
    <w:p>
      <w:pPr>
        <w:pStyle w:val="BodyText"/>
        <w:spacing w:line="300" w:lineRule="auto" w:before="20"/>
        <w:ind w:right="1131" w:firstLine="360"/>
        <w:jc w:val="both"/>
      </w:pPr>
      <w:r>
        <w:rPr>
          <w:spacing w:val="-1"/>
        </w:rPr>
        <w:t>上述三个项目的实施有利于增加公司在京津冀地区和长三角地区的资源储备，增强公司在全国区域范围内</w:t>
      </w:r>
      <w:r>
        <w:rPr>
          <w:rFonts w:ascii="Times New Roman" w:hAnsi="Times New Roman" w:cs="Times New Roman" w:eastAsia="Times New Roman" w:hint="default"/>
          <w:spacing w:val="-1"/>
        </w:rPr>
        <w:t>IDC</w:t>
      </w:r>
      <w:r>
        <w:rPr>
          <w:spacing w:val="-1"/>
        </w:rPr>
        <w:t>业务的竞</w:t>
      </w:r>
      <w:r>
        <w:rPr/>
        <w:t> 争实力。</w:t>
      </w:r>
    </w:p>
    <w:p>
      <w:pPr>
        <w:pStyle w:val="BodyText"/>
        <w:spacing w:line="309" w:lineRule="auto" w:before="31"/>
        <w:ind w:right="1133" w:firstLine="360"/>
        <w:jc w:val="both"/>
      </w:pPr>
      <w:r>
        <w:rPr>
          <w:spacing w:val="-2"/>
        </w:rPr>
        <w:t>报告期内，公司与中国电信股份有限公司上海分公司签订了《深化互联网数据中心及云网融合战略合作协议》，双方将</w:t>
      </w:r>
      <w:r>
        <w:rPr/>
        <w:t> </w:t>
      </w:r>
      <w:r>
        <w:rPr>
          <w:spacing w:val="-1"/>
        </w:rPr>
        <w:t>立足各自在市场营销、运维管理、资源选址建设等方面的优势，在上海及长三角地区开展</w:t>
      </w:r>
      <w:r>
        <w:rPr>
          <w:rFonts w:ascii="Times New Roman" w:hAnsi="Times New Roman" w:cs="Times New Roman" w:eastAsia="Times New Roman" w:hint="default"/>
          <w:spacing w:val="-1"/>
        </w:rPr>
        <w:t>IDC</w:t>
      </w:r>
      <w:r>
        <w:rPr>
          <w:spacing w:val="-1"/>
        </w:rPr>
        <w:t>、云网融合的紧密合作。通过</w:t>
      </w:r>
      <w:r>
        <w:rPr>
          <w:spacing w:val="-73"/>
        </w:rPr>
        <w:t> </w:t>
      </w:r>
      <w:r>
        <w:rPr>
          <w:spacing w:val="-73"/>
        </w:rPr>
      </w:r>
      <w:r>
        <w:rPr/>
        <w:t>双方合作，将进一步扩大公司在长三角地区的综合服务实力。</w:t>
      </w:r>
    </w:p>
    <w:p>
      <w:pPr>
        <w:spacing w:after="0" w:line="309"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before="44"/>
        <w:ind w:right="3827"/>
        <w:jc w:val="left"/>
        <w:rPr>
          <w:b w:val="0"/>
          <w:bCs w:val="0"/>
        </w:rPr>
      </w:pPr>
      <w:r>
        <w:rPr>
          <w:rFonts w:ascii="Times New Roman" w:hAnsi="Times New Roman" w:cs="Times New Roman" w:eastAsia="Times New Roman" w:hint="default"/>
        </w:rPr>
        <w:t>5</w:t>
      </w:r>
      <w:r>
        <w:rPr/>
        <w:t>、公司规模扩张带来的运营管理风险</w:t>
      </w:r>
      <w:r>
        <w:rPr>
          <w:b w:val="0"/>
          <w:bCs w:val="0"/>
        </w:rPr>
      </w:r>
    </w:p>
    <w:p>
      <w:pPr>
        <w:pStyle w:val="BodyText"/>
        <w:spacing w:line="312" w:lineRule="auto" w:before="63"/>
        <w:ind w:right="1128" w:firstLine="360"/>
        <w:jc w:val="both"/>
      </w:pPr>
      <w:r>
        <w:rPr>
          <w:rFonts w:ascii="Times New Roman" w:hAnsi="Times New Roman" w:cs="Times New Roman" w:eastAsia="Times New Roman" w:hint="default"/>
          <w:spacing w:val="-2"/>
        </w:rPr>
        <w:t>2019</w:t>
      </w:r>
      <w:r>
        <w:rPr>
          <w:spacing w:val="-2"/>
        </w:rPr>
        <w:t>年公司陆续在河北燕郊地区、上海嘉定地区、江苏昆山地区启动三个新建数据中心项目，</w:t>
      </w:r>
      <w:r>
        <w:rPr>
          <w:rFonts w:ascii="Times New Roman" w:hAnsi="Times New Roman" w:cs="Times New Roman" w:eastAsia="Times New Roman" w:hint="default"/>
          <w:spacing w:val="-2"/>
        </w:rPr>
        <w:t>2020</w:t>
      </w:r>
      <w:r>
        <w:rPr>
          <w:spacing w:val="-2"/>
        </w:rPr>
        <w:t>年公司拟在湖南长沙</w:t>
      </w:r>
      <w:r>
        <w:rPr/>
        <w:t> </w:t>
      </w:r>
      <w:r>
        <w:rPr>
          <w:spacing w:val="-2"/>
        </w:rPr>
        <w:t>地区投建长沙绿色云计算基地一期项目，公司经营规模将持续扩大。随着公司资产规模、业务规模、人员规模的增长，使公</w:t>
      </w:r>
      <w:r>
        <w:rPr>
          <w:spacing w:val="-67"/>
        </w:rPr>
        <w:t> </w:t>
      </w:r>
      <w:r>
        <w:rPr>
          <w:spacing w:val="-67"/>
        </w:rPr>
      </w:r>
      <w:r>
        <w:rPr>
          <w:spacing w:val="-5"/>
        </w:rPr>
        <w:t>司管理的深度和广度进一步扩大，需要公司在资源整合、市场开拓、研发和质量管理、内控制度、组织机构等方面不断探索、</w:t>
      </w:r>
      <w:r>
        <w:rPr>
          <w:spacing w:val="-80"/>
        </w:rPr>
        <w:t> </w:t>
      </w:r>
      <w:r>
        <w:rPr>
          <w:spacing w:val="-80"/>
        </w:rPr>
      </w:r>
      <w:r>
        <w:rPr/>
        <w:t>改进、作出调整，对公司管理能力、经营能力、盈利能力提出了更高的要求。</w:t>
      </w:r>
    </w:p>
    <w:p>
      <w:pPr>
        <w:pStyle w:val="BodyText"/>
        <w:spacing w:line="307" w:lineRule="auto" w:before="22"/>
        <w:ind w:right="1130" w:firstLine="360"/>
        <w:jc w:val="both"/>
      </w:pPr>
      <w:r>
        <w:rPr>
          <w:spacing w:val="-2"/>
        </w:rPr>
        <w:t>为进一步提升服务品质，适应市场竞争的需要，公司对数据中心运维服务水平提出了更高的标准和要求。为更好地强化</w:t>
      </w:r>
      <w:r>
        <w:rPr/>
        <w:t> </w:t>
      </w:r>
      <w:r>
        <w:rPr>
          <w:spacing w:val="-2"/>
        </w:rPr>
        <w:t>数据中心板块的专业化服务能力，</w:t>
      </w:r>
      <w:r>
        <w:rPr>
          <w:rFonts w:ascii="Times New Roman" w:hAnsi="Times New Roman" w:cs="Times New Roman" w:eastAsia="Times New Roman" w:hint="default"/>
          <w:spacing w:val="-2"/>
        </w:rPr>
        <w:t>2019</w:t>
      </w:r>
      <w:r>
        <w:rPr>
          <w:spacing w:val="-2"/>
        </w:rPr>
        <w:t>年公司通过引进高端人才，优化现有组织架构，组建了更加专业的运维管理团队。结</w:t>
      </w:r>
      <w:r>
        <w:rPr>
          <w:spacing w:val="-62"/>
        </w:rPr>
        <w:t> </w:t>
      </w:r>
      <w:r>
        <w:rPr>
          <w:spacing w:val="-62"/>
        </w:rPr>
      </w:r>
      <w:r>
        <w:rPr>
          <w:spacing w:val="-3"/>
        </w:rPr>
        <w:t>合数据中心行业发展趋势，推出了</w:t>
      </w:r>
      <w:r>
        <w:rPr>
          <w:rFonts w:ascii="Times New Roman" w:hAnsi="Times New Roman" w:cs="Times New Roman" w:eastAsia="Times New Roman" w:hint="default"/>
          <w:spacing w:val="-3"/>
        </w:rPr>
        <w:t>“</w:t>
      </w:r>
      <w:r>
        <w:rPr>
          <w:spacing w:val="-3"/>
        </w:rPr>
        <w:t>前期规划</w:t>
      </w:r>
      <w:r>
        <w:rPr>
          <w:rFonts w:ascii="Times New Roman" w:hAnsi="Times New Roman" w:cs="Times New Roman" w:eastAsia="Times New Roman" w:hint="default"/>
          <w:spacing w:val="-3"/>
        </w:rPr>
        <w:t>+</w:t>
      </w:r>
      <w:r>
        <w:rPr>
          <w:spacing w:val="-3"/>
        </w:rPr>
        <w:t>后期运维</w:t>
      </w:r>
      <w:r>
        <w:rPr>
          <w:rFonts w:ascii="Times New Roman" w:hAnsi="Times New Roman" w:cs="Times New Roman" w:eastAsia="Times New Roman" w:hint="default"/>
          <w:spacing w:val="-3"/>
        </w:rPr>
        <w:t>”</w:t>
      </w:r>
      <w:r>
        <w:rPr>
          <w:spacing w:val="-3"/>
        </w:rPr>
        <w:t>一体化的第三代数据中心运维管理模式，全力打造标准化、规范化、</w:t>
      </w:r>
      <w:r>
        <w:rPr/>
        <w:t> 流程化的运维管理体系，以更先进的运维理念，为用户提供更优质的服务。</w:t>
      </w:r>
    </w:p>
    <w:p>
      <w:pPr>
        <w:pStyle w:val="BodyText"/>
        <w:spacing w:line="316" w:lineRule="auto" w:before="26"/>
        <w:ind w:right="1133" w:firstLine="360"/>
        <w:jc w:val="both"/>
      </w:pPr>
      <w:r>
        <w:rPr>
          <w:spacing w:val="-2"/>
        </w:rPr>
        <w:t>同时，公司进一步调整组织架构，持续完善法人治理结构及内控制度、规范公司运作体系、提高核心管理团队的管理素</w:t>
      </w:r>
      <w:r>
        <w:rPr/>
        <w:t> 质和决策能力、以满足公司业务快速发展的需要。</w:t>
      </w:r>
    </w:p>
    <w:p>
      <w:pPr>
        <w:pStyle w:val="Heading5"/>
        <w:spacing w:line="240" w:lineRule="auto"/>
        <w:ind w:right="3827"/>
        <w:jc w:val="left"/>
        <w:rPr>
          <w:b w:val="0"/>
          <w:bCs w:val="0"/>
        </w:rPr>
      </w:pPr>
      <w:r>
        <w:rPr>
          <w:rFonts w:ascii="Times New Roman" w:hAnsi="Times New Roman" w:cs="Times New Roman" w:eastAsia="Times New Roman" w:hint="default"/>
        </w:rPr>
        <w:t>6</w:t>
      </w:r>
      <w:r>
        <w:rPr/>
        <w:t>、子公司科信盛彩业绩承诺无法实现的风险</w:t>
      </w:r>
      <w:r>
        <w:rPr>
          <w:b w:val="0"/>
          <w:bCs w:val="0"/>
        </w:rPr>
      </w:r>
    </w:p>
    <w:p>
      <w:pPr>
        <w:pStyle w:val="BodyText"/>
        <w:spacing w:line="307" w:lineRule="auto" w:before="63"/>
        <w:ind w:right="1130" w:firstLine="360"/>
        <w:jc w:val="both"/>
      </w:pPr>
      <w:r>
        <w:rPr/>
        <w:t>公司收购科信盛彩时，交易对方对科信盛彩</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年业绩做出了承诺。</w:t>
      </w:r>
      <w:r>
        <w:rPr>
          <w:rFonts w:ascii="Times New Roman" w:hAnsi="Times New Roman" w:cs="Times New Roman" w:eastAsia="Times New Roman" w:hint="default"/>
        </w:rPr>
        <w:t>2018</w:t>
      </w:r>
      <w:r>
        <w:rPr/>
        <w:t>年度和</w:t>
      </w:r>
      <w:r>
        <w:rPr>
          <w:rFonts w:ascii="Times New Roman" w:hAnsi="Times New Roman" w:cs="Times New Roman" w:eastAsia="Times New Roman" w:hint="default"/>
        </w:rPr>
        <w:t>2019</w:t>
      </w:r>
      <w:r>
        <w:rPr/>
        <w:t>年度科信盛彩均完成当年 业绩承诺，完成率分别为</w:t>
      </w:r>
      <w:r>
        <w:rPr>
          <w:rFonts w:ascii="Times New Roman" w:hAnsi="Times New Roman" w:cs="Times New Roman" w:eastAsia="Times New Roman" w:hint="default"/>
        </w:rPr>
        <w:t>103.13%</w:t>
      </w:r>
      <w:r>
        <w:rPr/>
        <w:t>和</w:t>
      </w:r>
      <w:r>
        <w:rPr>
          <w:rFonts w:ascii="Times New Roman" w:hAnsi="Times New Roman" w:cs="Times New Roman" w:eastAsia="Times New Roman" w:hint="default"/>
        </w:rPr>
        <w:t>101.90%</w:t>
      </w:r>
      <w:r>
        <w:rPr/>
        <w:t>。以后业绩承诺期间如科信盛彩经营情况未达预期，可能导致业绩承诺无法实</w:t>
      </w:r>
      <w:r>
        <w:rPr>
          <w:spacing w:val="-37"/>
        </w:rPr>
        <w:t> </w:t>
      </w:r>
      <w:r>
        <w:rPr>
          <w:spacing w:val="-37"/>
        </w:rPr>
      </w:r>
      <w:r>
        <w:rPr>
          <w:spacing w:val="-2"/>
        </w:rPr>
        <w:t>现，进而影响公司的整体经营业绩和盈利水平。若未实现业绩承诺，科信盛彩相关承诺人将以现金或股份补偿上市公司，交</w:t>
      </w:r>
      <w:r>
        <w:rPr>
          <w:spacing w:val="-63"/>
        </w:rPr>
        <w:t> </w:t>
      </w:r>
      <w:r>
        <w:rPr>
          <w:spacing w:val="-63"/>
        </w:rPr>
      </w:r>
      <w:r>
        <w:rPr/>
        <w:t>易双方约定的业绩补偿方案能够在较大程度上保障公司及广大股东的利益，降低收购风险。</w:t>
      </w:r>
    </w:p>
    <w:p>
      <w:pPr>
        <w:pStyle w:val="Heading5"/>
        <w:spacing w:line="240" w:lineRule="auto" w:before="26"/>
        <w:ind w:right="3827"/>
        <w:jc w:val="left"/>
        <w:rPr>
          <w:b w:val="0"/>
          <w:bCs w:val="0"/>
        </w:rPr>
      </w:pPr>
      <w:r>
        <w:rPr>
          <w:rFonts w:ascii="Times New Roman" w:hAnsi="Times New Roman" w:cs="Times New Roman" w:eastAsia="Times New Roman" w:hint="default"/>
        </w:rPr>
        <w:t>7</w:t>
      </w:r>
      <w:r>
        <w:rPr/>
        <w:t>、商誉减值风险</w:t>
      </w:r>
      <w:r>
        <w:rPr>
          <w:b w:val="0"/>
          <w:bCs w:val="0"/>
        </w:rPr>
      </w:r>
    </w:p>
    <w:p>
      <w:pPr>
        <w:pStyle w:val="BodyText"/>
        <w:spacing w:line="300" w:lineRule="auto" w:before="63"/>
        <w:ind w:right="1131" w:firstLine="360"/>
        <w:jc w:val="both"/>
      </w:pPr>
      <w:r>
        <w:rPr>
          <w:rFonts w:ascii="Times New Roman" w:hAnsi="Times New Roman" w:cs="Times New Roman" w:eastAsia="Times New Roman" w:hint="default"/>
          <w:spacing w:val="-2"/>
        </w:rPr>
        <w:t>2019</w:t>
      </w:r>
      <w:r>
        <w:rPr>
          <w:spacing w:val="-2"/>
        </w:rPr>
        <w:t>年，中金云网实现净利润</w:t>
      </w:r>
      <w:r>
        <w:rPr>
          <w:rFonts w:ascii="Times New Roman" w:hAnsi="Times New Roman" w:cs="Times New Roman" w:eastAsia="Times New Roman" w:hint="default"/>
          <w:spacing w:val="-2"/>
        </w:rPr>
        <w:t>32,896.01</w:t>
      </w:r>
      <w:r>
        <w:rPr>
          <w:spacing w:val="-2"/>
        </w:rPr>
        <w:t>万元，无双科技实现净利润</w:t>
      </w:r>
      <w:r>
        <w:rPr>
          <w:rFonts w:ascii="Times New Roman" w:hAnsi="Times New Roman" w:cs="Times New Roman" w:eastAsia="Times New Roman" w:hint="default"/>
          <w:spacing w:val="-2"/>
        </w:rPr>
        <w:t>10,220.44</w:t>
      </w:r>
      <w:r>
        <w:rPr>
          <w:spacing w:val="-2"/>
        </w:rPr>
        <w:t>万元，未发生商誉减值。未来，如中金云网</w:t>
      </w:r>
      <w:r>
        <w:rPr/>
        <w:t> 或无双科技经营业绩出现下滑，将导致商誉减值风险，进而对公司业绩造成不利影响。</w:t>
      </w:r>
    </w:p>
    <w:p>
      <w:pPr>
        <w:pStyle w:val="BodyText"/>
        <w:spacing w:line="300" w:lineRule="auto" w:before="31"/>
        <w:ind w:right="1132" w:firstLine="360"/>
        <w:jc w:val="both"/>
      </w:pPr>
      <w:r>
        <w:rPr>
          <w:spacing w:val="-1"/>
        </w:rPr>
        <w:t>中金云网亦庄数据中心机房已全部销售完毕，</w:t>
      </w:r>
      <w:r>
        <w:rPr>
          <w:rFonts w:ascii="Times New Roman" w:hAnsi="Times New Roman" w:cs="Times New Roman" w:eastAsia="Times New Roman" w:hint="default"/>
          <w:spacing w:val="-1"/>
        </w:rPr>
        <w:t>IDC</w:t>
      </w:r>
      <w:r>
        <w:rPr>
          <w:spacing w:val="-1"/>
        </w:rPr>
        <w:t>收入的持续增加。同时，中金云网加大在数据中心绿色节能方面的研</w:t>
      </w:r>
      <w:r>
        <w:rPr/>
        <w:t> 发投入，不断降低能耗，减少机房运行成本，进一步提高了盈利水平。</w:t>
      </w:r>
    </w:p>
    <w:p>
      <w:pPr>
        <w:pStyle w:val="BodyText"/>
        <w:spacing w:line="300" w:lineRule="auto" w:before="31"/>
        <w:ind w:right="937" w:firstLine="360"/>
        <w:jc w:val="left"/>
      </w:pPr>
      <w:r>
        <w:rPr/>
        <w:t>无双科技深挖最新的移动搜索营销机会</w:t>
      </w:r>
      <w:r>
        <w:rPr>
          <w:spacing w:val="-87"/>
        </w:rPr>
        <w:t>，</w:t>
      </w:r>
      <w:r>
        <w:rPr/>
        <w:t>为客户提供搜索引擎投放的数据监测系统</w:t>
      </w:r>
      <w:r>
        <w:rPr>
          <w:spacing w:val="-87"/>
        </w:rPr>
        <w:t>、</w:t>
      </w:r>
      <w:r>
        <w:rPr/>
        <w:t>应用统计分析平台</w:t>
      </w:r>
      <w:r>
        <w:rPr>
          <w:spacing w:val="1"/>
        </w:rPr>
        <w:t>和</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rPr>
        <w:t>aa</w:t>
      </w:r>
      <w:r>
        <w:rPr>
          <w:rFonts w:ascii="Times New Roman" w:hAnsi="Times New Roman" w:cs="Times New Roman" w:eastAsia="Times New Roman" w:hint="default"/>
          <w:w w:val="99"/>
        </w:rPr>
        <w:t>S</w:t>
      </w:r>
      <w:r>
        <w:rPr/>
        <w:t>实现工具， 帮助客户大幅降低新营销模式的学习成本和进入门槛</w:t>
      </w:r>
      <w:r>
        <w:rPr>
          <w:spacing w:val="-82"/>
        </w:rPr>
        <w:t>。</w:t>
      </w:r>
      <w:r>
        <w:rPr/>
        <w:t>在技术上已完全实</w:t>
      </w:r>
      <w:r>
        <w:rPr>
          <w:spacing w:val="1"/>
        </w:rPr>
        <w:t>现</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rPr>
        <w:t>aa</w:t>
      </w:r>
      <w:r>
        <w:rPr>
          <w:rFonts w:ascii="Times New Roman" w:hAnsi="Times New Roman" w:cs="Times New Roman" w:eastAsia="Times New Roman" w:hint="default"/>
          <w:w w:val="99"/>
        </w:rPr>
        <w:t>S</w:t>
      </w:r>
      <w:r>
        <w:rPr/>
        <w:t>云与搜索引擎各个营销产品的数据无缝对接， 并为客户提供更高粘性与附加值的技术解决方案</w:t>
      </w:r>
      <w:r>
        <w:rPr>
          <w:spacing w:val="-87"/>
        </w:rPr>
        <w:t>，</w:t>
      </w:r>
      <w:r>
        <w:rPr/>
        <w:t>营销云计算能力也得到进一步提升</w:t>
      </w:r>
      <w:r>
        <w:rPr>
          <w:spacing w:val="-87"/>
        </w:rPr>
        <w:t>，</w:t>
      </w:r>
      <w:r>
        <w:rPr/>
        <w:t>为提供更多智</w:t>
      </w:r>
      <w:r>
        <w:rPr>
          <w:spacing w:val="2"/>
        </w:rPr>
        <w:t>能</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rPr>
        <w:t>aa</w:t>
      </w:r>
      <w:r>
        <w:rPr>
          <w:rFonts w:ascii="Times New Roman" w:hAnsi="Times New Roman" w:cs="Times New Roman" w:eastAsia="Times New Roman" w:hint="default"/>
          <w:w w:val="99"/>
        </w:rPr>
        <w:t>S</w:t>
      </w:r>
      <w:r>
        <w:rPr/>
        <w:t>服务提供了基础。</w:t>
      </w:r>
    </w:p>
    <w:p>
      <w:pPr>
        <w:pStyle w:val="BodyText"/>
        <w:spacing w:line="316" w:lineRule="auto" w:before="13"/>
        <w:ind w:right="1134" w:firstLine="360"/>
        <w:jc w:val="both"/>
      </w:pPr>
      <w:r>
        <w:rPr>
          <w:spacing w:val="-2"/>
        </w:rPr>
        <w:t>公司持续从战略、业务、财务等多方面加强对子公司的管理，充分发挥业务协同效应，切实保证中金云网、无双科技的</w:t>
      </w:r>
      <w:r>
        <w:rPr/>
        <w:t> </w:t>
      </w:r>
      <w:r>
        <w:rPr>
          <w:spacing w:val="-2"/>
        </w:rPr>
        <w:t>业绩不出现重大下滑。公司将从长远发展战略出发，对无双科技、中金云网在运营、管理方面探索更多更加科学、有效的方</w:t>
      </w:r>
      <w:r>
        <w:rPr>
          <w:spacing w:val="-67"/>
        </w:rPr>
        <w:t> </w:t>
      </w:r>
      <w:r>
        <w:rPr>
          <w:spacing w:val="-67"/>
        </w:rPr>
      </w:r>
      <w:r>
        <w:rPr/>
        <w:t>式，保证公司整体经营业绩和盈利水平。</w:t>
      </w:r>
    </w:p>
    <w:p>
      <w:pPr>
        <w:pStyle w:val="BodyText"/>
        <w:spacing w:line="300" w:lineRule="auto" w:before="19"/>
        <w:ind w:left="513" w:right="1112"/>
        <w:jc w:val="left"/>
      </w:pPr>
      <w:r>
        <w:rPr>
          <w:rFonts w:ascii="Times New Roman" w:hAnsi="Times New Roman" w:cs="Times New Roman" w:eastAsia="Times New Roman" w:hint="default"/>
          <w:b/>
          <w:bCs/>
        </w:rPr>
        <w:t>8</w:t>
      </w:r>
      <w:r>
        <w:rPr>
          <w:rFonts w:ascii="宋体" w:hAnsi="宋体" w:cs="宋体" w:eastAsia="宋体" w:hint="default"/>
          <w:b/>
          <w:bCs/>
        </w:rPr>
        <w:t>、抵押、质押风险</w:t>
      </w:r>
      <w:r>
        <w:rPr>
          <w:rFonts w:ascii="宋体" w:hAnsi="宋体" w:cs="宋体" w:eastAsia="宋体" w:hint="default"/>
          <w:b/>
          <w:bCs/>
          <w:w w:val="99"/>
        </w:rPr>
        <w:t> </w:t>
      </w:r>
      <w:r>
        <w:rPr>
          <w:spacing w:val="-2"/>
        </w:rPr>
        <w:t>北京中金云网科技有限公司位于北京经济技术开发区博兴八路</w:t>
      </w:r>
      <w:r>
        <w:rPr>
          <w:rFonts w:ascii="Times New Roman" w:hAnsi="Times New Roman" w:cs="Times New Roman" w:eastAsia="Times New Roman" w:hint="default"/>
          <w:spacing w:val="-2"/>
        </w:rPr>
        <w:t>1</w:t>
      </w:r>
      <w:r>
        <w:rPr>
          <w:spacing w:val="-2"/>
        </w:rPr>
        <w:t>号</w:t>
      </w:r>
      <w:r>
        <w:rPr>
          <w:rFonts w:ascii="Times New Roman" w:hAnsi="Times New Roman" w:cs="Times New Roman" w:eastAsia="Times New Roman" w:hint="default"/>
          <w:spacing w:val="-2"/>
        </w:rPr>
        <w:t>1</w:t>
      </w:r>
      <w:r>
        <w:rPr>
          <w:spacing w:val="-2"/>
        </w:rPr>
        <w:t>幢、</w:t>
      </w:r>
      <w:r>
        <w:rPr>
          <w:rFonts w:ascii="Times New Roman" w:hAnsi="Times New Roman" w:cs="Times New Roman" w:eastAsia="Times New Roman" w:hint="default"/>
          <w:spacing w:val="-2"/>
        </w:rPr>
        <w:t>2</w:t>
      </w:r>
      <w:r>
        <w:rPr>
          <w:spacing w:val="-2"/>
        </w:rPr>
        <w:t>幢</w:t>
      </w:r>
      <w:r>
        <w:rPr>
          <w:rFonts w:ascii="Times New Roman" w:hAnsi="Times New Roman" w:cs="Times New Roman" w:eastAsia="Times New Roman" w:hint="default"/>
          <w:spacing w:val="-2"/>
        </w:rPr>
        <w:t>3</w:t>
      </w:r>
      <w:r>
        <w:rPr>
          <w:spacing w:val="-2"/>
        </w:rPr>
        <w:t>幢房产（不动产权编号：京（</w:t>
      </w:r>
      <w:r>
        <w:rPr>
          <w:rFonts w:ascii="Times New Roman" w:hAnsi="Times New Roman" w:cs="Times New Roman" w:eastAsia="Times New Roman" w:hint="default"/>
          <w:spacing w:val="-2"/>
        </w:rPr>
        <w:t>2016</w:t>
      </w:r>
      <w:r>
        <w:rPr>
          <w:spacing w:val="-2"/>
        </w:rPr>
        <w:t>）开发区</w:t>
      </w:r>
    </w:p>
    <w:p>
      <w:pPr>
        <w:pStyle w:val="BodyText"/>
        <w:spacing w:line="300" w:lineRule="auto" w:before="13"/>
        <w:ind w:right="1128"/>
        <w:jc w:val="left"/>
      </w:pPr>
      <w:r>
        <w:rPr>
          <w:spacing w:val="-1"/>
        </w:rPr>
        <w:t>不动产权第</w:t>
      </w:r>
      <w:r>
        <w:rPr>
          <w:rFonts w:ascii="Times New Roman" w:hAnsi="Times New Roman" w:cs="Times New Roman" w:eastAsia="Times New Roman" w:hint="default"/>
          <w:spacing w:val="-1"/>
        </w:rPr>
        <w:t>0011007</w:t>
      </w:r>
      <w:r>
        <w:rPr>
          <w:spacing w:val="-1"/>
        </w:rPr>
        <w:t>号）、北京经济技术开发区博兴八路</w:t>
      </w:r>
      <w:r>
        <w:rPr>
          <w:rFonts w:ascii="Times New Roman" w:hAnsi="Times New Roman" w:cs="Times New Roman" w:eastAsia="Times New Roman" w:hint="default"/>
          <w:spacing w:val="-1"/>
        </w:rPr>
        <w:t>1</w:t>
      </w:r>
      <w:r>
        <w:rPr>
          <w:spacing w:val="-1"/>
        </w:rPr>
        <w:t>号院</w:t>
      </w:r>
      <w:r>
        <w:rPr>
          <w:rFonts w:ascii="Times New Roman" w:hAnsi="Times New Roman" w:cs="Times New Roman" w:eastAsia="Times New Roman" w:hint="default"/>
          <w:spacing w:val="-1"/>
        </w:rPr>
        <w:t>4</w:t>
      </w:r>
      <w:r>
        <w:rPr>
          <w:spacing w:val="-1"/>
        </w:rPr>
        <w:t>号楼</w:t>
      </w:r>
      <w:r>
        <w:rPr>
          <w:rFonts w:ascii="Times New Roman" w:hAnsi="Times New Roman" w:cs="Times New Roman" w:eastAsia="Times New Roman" w:hint="default"/>
          <w:spacing w:val="-1"/>
        </w:rPr>
        <w:t>-1</w:t>
      </w:r>
      <w:r>
        <w:rPr>
          <w:spacing w:val="-1"/>
        </w:rPr>
        <w:t>至</w:t>
      </w:r>
      <w:r>
        <w:rPr>
          <w:rFonts w:ascii="Times New Roman" w:hAnsi="Times New Roman" w:cs="Times New Roman" w:eastAsia="Times New Roman" w:hint="default"/>
          <w:spacing w:val="-1"/>
        </w:rPr>
        <w:t>5</w:t>
      </w:r>
      <w:r>
        <w:rPr>
          <w:spacing w:val="-1"/>
        </w:rPr>
        <w:t>层</w:t>
      </w:r>
      <w:r>
        <w:rPr>
          <w:rFonts w:ascii="Times New Roman" w:hAnsi="Times New Roman" w:cs="Times New Roman" w:eastAsia="Times New Roman" w:hint="default"/>
          <w:spacing w:val="-1"/>
        </w:rPr>
        <w:t>101</w:t>
      </w:r>
      <w:r>
        <w:rPr>
          <w:spacing w:val="-1"/>
        </w:rPr>
        <w:t>等</w:t>
      </w:r>
      <w:r>
        <w:rPr>
          <w:rFonts w:ascii="Times New Roman" w:hAnsi="Times New Roman" w:cs="Times New Roman" w:eastAsia="Times New Roman" w:hint="default"/>
          <w:spacing w:val="-1"/>
        </w:rPr>
        <w:t>3</w:t>
      </w:r>
      <w:r>
        <w:rPr>
          <w:spacing w:val="-1"/>
        </w:rPr>
        <w:t>套（不动产权编号：京（</w:t>
      </w:r>
      <w:r>
        <w:rPr>
          <w:rFonts w:ascii="Times New Roman" w:hAnsi="Times New Roman" w:cs="Times New Roman" w:eastAsia="Times New Roman" w:hint="default"/>
          <w:spacing w:val="-1"/>
        </w:rPr>
        <w:t>2016</w:t>
      </w:r>
      <w:r>
        <w:rPr>
          <w:spacing w:val="-1"/>
        </w:rPr>
        <w:t>）开不动产</w:t>
      </w:r>
      <w:r>
        <w:rPr>
          <w:spacing w:val="-88"/>
        </w:rPr>
        <w:t> </w:t>
      </w:r>
      <w:r>
        <w:rPr>
          <w:spacing w:val="-88"/>
        </w:rPr>
      </w:r>
      <w:r>
        <w:rPr/>
        <w:t>权第</w:t>
      </w:r>
      <w:r>
        <w:rPr>
          <w:rFonts w:ascii="Times New Roman" w:hAnsi="Times New Roman" w:cs="Times New Roman" w:eastAsia="Times New Roman" w:hint="default"/>
        </w:rPr>
        <w:t>0013938</w:t>
      </w:r>
      <w:r>
        <w:rPr/>
        <w:t>号）设定抵押，以融资期内北京数据中心项目实现的经营收入设定质押。</w:t>
      </w:r>
    </w:p>
    <w:p>
      <w:pPr>
        <w:pStyle w:val="BodyText"/>
        <w:spacing w:line="300" w:lineRule="auto" w:before="13"/>
        <w:ind w:right="1128" w:firstLine="360"/>
        <w:jc w:val="right"/>
      </w:pPr>
      <w:r>
        <w:rPr/>
        <w:t>科信盛彩拥有的位于北京经济技术开发区瑞合西二路</w:t>
      </w:r>
      <w:r>
        <w:rPr>
          <w:rFonts w:ascii="Times New Roman" w:hAnsi="Times New Roman" w:cs="Times New Roman" w:eastAsia="Times New Roman" w:hint="default"/>
        </w:rPr>
        <w:t>6</w:t>
      </w:r>
      <w:r>
        <w:rPr/>
        <w:t>号院</w:t>
      </w:r>
      <w:r>
        <w:rPr>
          <w:rFonts w:ascii="Times New Roman" w:hAnsi="Times New Roman" w:cs="Times New Roman" w:eastAsia="Times New Roman" w:hint="default"/>
        </w:rPr>
        <w:t>7</w:t>
      </w:r>
      <w:r>
        <w:rPr/>
        <w:t>号楼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4</w:t>
      </w:r>
      <w:r>
        <w:rPr/>
        <w:t>层等</w:t>
      </w:r>
      <w:r>
        <w:rPr>
          <w:rFonts w:ascii="Times New Roman" w:hAnsi="Times New Roman" w:cs="Times New Roman" w:eastAsia="Times New Roman" w:hint="default"/>
        </w:rPr>
        <w:t>3</w:t>
      </w:r>
      <w:r>
        <w:rPr/>
        <w:t>套房屋所有权及对应国有土地使用权（不动 </w:t>
      </w:r>
      <w:r>
        <w:rPr>
          <w:spacing w:val="-2"/>
        </w:rPr>
        <w:t>产权证书编号：京（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0019466</w:t>
      </w:r>
      <w:r>
        <w:rPr>
          <w:spacing w:val="-2"/>
        </w:rPr>
        <w:t>号）、位于北京经济技术开发区瑞合西二路</w:t>
      </w:r>
      <w:r>
        <w:rPr>
          <w:rFonts w:ascii="Times New Roman" w:hAnsi="Times New Roman" w:cs="Times New Roman" w:eastAsia="Times New Roman" w:hint="default"/>
          <w:spacing w:val="-2"/>
        </w:rPr>
        <w:t>6</w:t>
      </w:r>
      <w:r>
        <w:rPr>
          <w:spacing w:val="-2"/>
        </w:rPr>
        <w:t>号院</w:t>
      </w:r>
      <w:r>
        <w:rPr>
          <w:rFonts w:ascii="Times New Roman" w:hAnsi="Times New Roman" w:cs="Times New Roman" w:eastAsia="Times New Roman" w:hint="default"/>
          <w:spacing w:val="-2"/>
        </w:rPr>
        <w:t>1</w:t>
      </w:r>
      <w:r>
        <w:rPr>
          <w:spacing w:val="-2"/>
        </w:rPr>
        <w:t>号楼等</w:t>
      </w:r>
      <w:r>
        <w:rPr>
          <w:rFonts w:ascii="Times New Roman" w:hAnsi="Times New Roman" w:cs="Times New Roman" w:eastAsia="Times New Roman" w:hint="default"/>
          <w:spacing w:val="-2"/>
        </w:rPr>
        <w:t>6</w:t>
      </w:r>
      <w:r>
        <w:rPr>
          <w:spacing w:val="-2"/>
        </w:rPr>
        <w:t>幢楼的房屋</w:t>
      </w:r>
      <w:r>
        <w:rPr>
          <w:spacing w:val="-70"/>
        </w:rPr>
        <w:t> </w:t>
      </w:r>
      <w:r>
        <w:rPr>
          <w:spacing w:val="-70"/>
        </w:rPr>
      </w:r>
      <w:r>
        <w:rPr>
          <w:spacing w:val="-3"/>
        </w:rPr>
        <w:t>所有权及对应国有土地使用权（不动产权证书编号：京（</w:t>
      </w:r>
      <w:r>
        <w:rPr>
          <w:rFonts w:ascii="Times New Roman" w:hAnsi="Times New Roman" w:cs="Times New Roman" w:eastAsia="Times New Roman" w:hint="default"/>
          <w:spacing w:val="-3"/>
        </w:rPr>
        <w:t>2016</w:t>
      </w:r>
      <w:r>
        <w:rPr>
          <w:spacing w:val="-3"/>
        </w:rPr>
        <w:t>）开发区不动产权第</w:t>
      </w:r>
      <w:r>
        <w:rPr>
          <w:rFonts w:ascii="Times New Roman" w:hAnsi="Times New Roman" w:cs="Times New Roman" w:eastAsia="Times New Roman" w:hint="default"/>
          <w:spacing w:val="-3"/>
        </w:rPr>
        <w:t>0019668</w:t>
      </w:r>
      <w:r>
        <w:rPr>
          <w:spacing w:val="-3"/>
        </w:rPr>
        <w:t>号）已抵押给相关银行用于融资。</w:t>
      </w:r>
      <w:r>
        <w:rPr/>
        <w:t> </w:t>
      </w:r>
      <w:r>
        <w:rPr>
          <w:spacing w:val="-2"/>
        </w:rPr>
        <w:t>截至本报告期末，上述房产及土地尚未解除抵押，如中金云网、科信盛彩未能按期偿还银行贷款，相关房产及土地将存</w:t>
      </w:r>
    </w:p>
    <w:p>
      <w:pPr>
        <w:pStyle w:val="BodyText"/>
        <w:spacing w:line="312" w:lineRule="auto" w:before="32"/>
        <w:ind w:left="513" w:right="1112" w:hanging="361"/>
        <w:jc w:val="left"/>
      </w:pPr>
      <w:r>
        <w:rPr/>
        <w:t>在被银行强行过户的风险。 报告期内，中金云网、科信盛彩运营情况良好，具备还款能力，公司将持续关注上述子公司的财务状况。 </w:t>
      </w:r>
      <w:r>
        <w:rPr>
          <w:rFonts w:ascii="Times New Roman" w:hAnsi="Times New Roman" w:cs="Times New Roman" w:eastAsia="Times New Roman" w:hint="default"/>
          <w:b/>
          <w:bCs/>
        </w:rPr>
        <w:t>9</w:t>
      </w:r>
      <w:r>
        <w:rPr>
          <w:rFonts w:ascii="宋体" w:hAnsi="宋体" w:cs="宋体" w:eastAsia="宋体" w:hint="default"/>
          <w:b/>
          <w:bCs/>
        </w:rPr>
        <w:t>、资产负债率较高及流动性风险</w:t>
      </w:r>
      <w:r>
        <w:rPr>
          <w:rFonts w:ascii="宋体" w:hAnsi="宋体" w:cs="宋体" w:eastAsia="宋体" w:hint="default"/>
          <w:b/>
          <w:bCs/>
          <w:w w:val="99"/>
        </w:rPr>
        <w:t> </w:t>
      </w:r>
      <w:r>
        <w:rPr/>
        <w:t>截至本报告期末，中金云网资产负债率为</w:t>
      </w:r>
      <w:r>
        <w:rPr>
          <w:rFonts w:ascii="Times New Roman" w:hAnsi="Times New Roman" w:cs="Times New Roman" w:eastAsia="Times New Roman" w:hint="default"/>
        </w:rPr>
        <w:t>43.41%</w:t>
      </w:r>
      <w:r>
        <w:rPr/>
        <w:t>，科信盛彩资产负债率为</w:t>
      </w:r>
      <w:r>
        <w:rPr>
          <w:rFonts w:ascii="Times New Roman" w:hAnsi="Times New Roman" w:cs="Times New Roman" w:eastAsia="Times New Roman" w:hint="default"/>
        </w:rPr>
        <w:t>51.25%</w:t>
      </w:r>
      <w:r>
        <w:rPr/>
        <w:t>。数据中心业务及运营对资金需求量</w:t>
      </w:r>
    </w:p>
    <w:p>
      <w:pPr>
        <w:pStyle w:val="BodyText"/>
        <w:spacing w:line="316" w:lineRule="auto" w:before="3"/>
        <w:ind w:right="1112"/>
        <w:jc w:val="left"/>
      </w:pPr>
      <w:r>
        <w:rPr>
          <w:spacing w:val="-2"/>
        </w:rPr>
        <w:t>较大，在既定的运营效率下，业务扩张主要依靠运营资金规模的扩大。在重资产运营模式下，进行数据中心前期建设需投入</w:t>
      </w:r>
      <w:r>
        <w:rPr>
          <w:spacing w:val="-64"/>
        </w:rPr>
        <w:t> </w:t>
      </w:r>
      <w:r>
        <w:rPr>
          <w:spacing w:val="-64"/>
        </w:rPr>
      </w:r>
      <w:r>
        <w:rPr/>
        <w:t>大量资金，项目投资回收期较长，导致公司可能存在流动性不足风险。</w:t>
      </w:r>
    </w:p>
    <w:p>
      <w:pPr>
        <w:pStyle w:val="BodyText"/>
        <w:spacing w:line="309" w:lineRule="auto" w:before="19"/>
        <w:ind w:left="513" w:right="1112"/>
        <w:jc w:val="left"/>
      </w:pPr>
      <w:r>
        <w:rPr/>
        <w:t>未来，随着公司各项目的竣工投产，收入将不断增加，现金流充裕，资产负债率将逐渐降低。 </w:t>
      </w:r>
      <w:r>
        <w:rPr>
          <w:rFonts w:ascii="Times New Roman" w:hAnsi="Times New Roman" w:cs="Times New Roman" w:eastAsia="Times New Roman" w:hint="default"/>
          <w:b/>
          <w:bCs/>
        </w:rPr>
        <w:t>10</w:t>
      </w:r>
      <w:r>
        <w:rPr>
          <w:rFonts w:ascii="宋体" w:hAnsi="宋体" w:cs="宋体" w:eastAsia="宋体" w:hint="default"/>
          <w:b/>
          <w:bCs/>
        </w:rPr>
        <w:t>、</w:t>
      </w:r>
      <w:r>
        <w:rPr>
          <w:rFonts w:ascii="Times New Roman" w:hAnsi="Times New Roman" w:cs="Times New Roman" w:eastAsia="Times New Roman" w:hint="default"/>
          <w:b/>
          <w:bCs/>
        </w:rPr>
        <w:t>“</w:t>
      </w:r>
      <w:r>
        <w:rPr>
          <w:rFonts w:ascii="宋体" w:hAnsi="宋体" w:cs="宋体" w:eastAsia="宋体" w:hint="default"/>
          <w:b/>
          <w:bCs/>
        </w:rPr>
        <w:t>侵害商标权纠纷</w:t>
      </w:r>
      <w:r>
        <w:rPr>
          <w:rFonts w:ascii="Times New Roman" w:hAnsi="Times New Roman" w:cs="Times New Roman" w:eastAsia="Times New Roman" w:hint="default"/>
          <w:b/>
          <w:bCs/>
        </w:rPr>
        <w:t>”</w:t>
      </w:r>
      <w:r>
        <w:rPr>
          <w:rFonts w:ascii="宋体" w:hAnsi="宋体" w:cs="宋体" w:eastAsia="宋体" w:hint="default"/>
          <w:b/>
          <w:bCs/>
        </w:rPr>
        <w:t>法律诉讼的风险</w:t>
      </w:r>
      <w:r>
        <w:rPr>
          <w:rFonts w:ascii="宋体" w:hAnsi="宋体" w:cs="宋体" w:eastAsia="宋体" w:hint="default"/>
          <w:b/>
          <w:bCs/>
          <w:w w:val="99"/>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日收到北京市高级人民法院《限期举证通知书》（</w:t>
      </w:r>
      <w:r>
        <w:rPr>
          <w:rFonts w:ascii="Times New Roman" w:hAnsi="Times New Roman" w:cs="Times New Roman" w:eastAsia="Times New Roman" w:hint="default"/>
          <w:spacing w:val="-2"/>
        </w:rPr>
        <w:t>2018</w:t>
      </w:r>
      <w:r>
        <w:rPr>
          <w:spacing w:val="-2"/>
        </w:rPr>
        <w:t>京民初</w:t>
      </w:r>
      <w:r>
        <w:rPr>
          <w:rFonts w:ascii="Times New Roman" w:hAnsi="Times New Roman" w:cs="Times New Roman" w:eastAsia="Times New Roman" w:hint="default"/>
          <w:spacing w:val="-2"/>
        </w:rPr>
        <w:t>127</w:t>
      </w:r>
      <w:r>
        <w:rPr>
          <w:spacing w:val="-2"/>
        </w:rPr>
        <w:t>号）等相关材料，得知北京炎黄盈</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986"/>
        <w:jc w:val="left"/>
      </w:pPr>
      <w:r>
        <w:rPr>
          <w:spacing w:val="-4"/>
        </w:rPr>
        <w:t>动科技发展有限责任公司以公司及亚马逊通技术服务（北京）有限公司侵害商标权纠纷事由向北京市高级人民法院提起诉讼，</w:t>
      </w:r>
      <w:r>
        <w:rPr>
          <w:spacing w:val="-43"/>
        </w:rPr>
        <w:t> </w:t>
      </w:r>
      <w:r>
        <w:rPr>
          <w:spacing w:val="-43"/>
        </w:rPr>
      </w:r>
      <w:r>
        <w:rPr>
          <w:spacing w:val="-2"/>
        </w:rPr>
        <w:t>且北京市高级人民法院已于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日受理。公司成立了专项工作组应对此次事件，并于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日向北京市高级人</w:t>
      </w:r>
      <w:r>
        <w:rPr>
          <w:spacing w:val="-54"/>
        </w:rPr>
        <w:t> </w:t>
      </w:r>
      <w:r>
        <w:rPr>
          <w:spacing w:val="-54"/>
        </w:rPr>
      </w:r>
      <w:r>
        <w:rPr>
          <w:spacing w:val="-3"/>
        </w:rPr>
        <w:t>民法院提交《管辖权异议申请书》。</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日，北京市高级人民法院驳回了公司的管辖权异议。公司于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7</w:t>
      </w:r>
      <w:r>
        <w:rPr>
          <w:spacing w:val="-3"/>
        </w:rPr>
        <w:t>日，</w:t>
      </w:r>
      <w:r>
        <w:rPr>
          <w:spacing w:val="-83"/>
        </w:rPr>
        <w:t> </w:t>
      </w:r>
      <w:r>
        <w:rPr/>
        <w:t>向最高人民法院提起《管辖权异议上诉状》。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日，最高人民法院已经开庭审理。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日公司收到最高</w:t>
      </w:r>
      <w:r>
        <w:rPr>
          <w:spacing w:val="-87"/>
        </w:rPr>
        <w:t> </w:t>
      </w:r>
      <w:r>
        <w:rPr>
          <w:spacing w:val="-87"/>
        </w:rPr>
      </w:r>
      <w:r>
        <w:rPr>
          <w:spacing w:val="-2"/>
        </w:rPr>
        <w:t>人民法院于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日作出的驳回上诉裁定。</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日，北京市高级人民法院对本案进行了公开开庭审理，目前本</w:t>
      </w:r>
      <w:r>
        <w:rPr>
          <w:spacing w:val="-55"/>
        </w:rPr>
        <w:t> </w:t>
      </w:r>
      <w:r>
        <w:rPr>
          <w:spacing w:val="-55"/>
        </w:rPr>
      </w:r>
      <w:r>
        <w:rPr>
          <w:spacing w:val="-2"/>
        </w:rPr>
        <w:t>案处于等待法庭判决阶段。截至本报告日，本次诉讼无最新进展，公司将积极配合亚马逊通应对本诉讼，如败诉公司将可能</w:t>
      </w:r>
      <w:r>
        <w:rPr>
          <w:spacing w:val="-65"/>
        </w:rPr>
        <w:t> </w:t>
      </w:r>
      <w:r>
        <w:rPr>
          <w:spacing w:val="-65"/>
        </w:rPr>
      </w:r>
      <w:r>
        <w:rPr/>
        <w:t>被要求与亚马逊通共同承担所判决的相关费用，敬请投资者注意投资风险。</w:t>
      </w:r>
    </w:p>
    <w:p>
      <w:pPr>
        <w:pStyle w:val="BodyText"/>
        <w:spacing w:line="309" w:lineRule="auto" w:before="26"/>
        <w:ind w:left="513" w:right="1112"/>
        <w:jc w:val="left"/>
      </w:pPr>
      <w:r>
        <w:rPr/>
        <w:t>公司将按照《创业板股票上市规则》等相关法规及制度的要求，及时履行有关诉讼后续进展情况的信息披露义务。 </w:t>
      </w:r>
      <w:r>
        <w:rPr>
          <w:rFonts w:ascii="Times New Roman" w:hAnsi="Times New Roman" w:cs="Times New Roman" w:eastAsia="Times New Roman" w:hint="default"/>
          <w:b/>
          <w:bCs/>
        </w:rPr>
        <w:t>11</w:t>
      </w:r>
      <w:r>
        <w:rPr>
          <w:rFonts w:ascii="宋体" w:hAnsi="宋体" w:cs="宋体" w:eastAsia="宋体" w:hint="default"/>
          <w:b/>
          <w:bCs/>
        </w:rPr>
        <w:t>、运营成本增加带来的风险</w:t>
      </w:r>
      <w:r>
        <w:rPr>
          <w:rFonts w:ascii="宋体" w:hAnsi="宋体" w:cs="宋体" w:eastAsia="宋体" w:hint="default"/>
          <w:b/>
          <w:bCs/>
          <w:w w:val="99"/>
        </w:rPr>
        <w:t> </w:t>
      </w:r>
      <w:r>
        <w:rPr>
          <w:spacing w:val="-2"/>
        </w:rPr>
        <w:t>公司经营规模和资产规模的扩大，子公司数量增加，技术研发、销售方面员工人数的增长，产能的扩大将会带来相应的</w:t>
      </w:r>
    </w:p>
    <w:p>
      <w:pPr>
        <w:pStyle w:val="BodyText"/>
        <w:spacing w:line="319" w:lineRule="auto" w:before="24"/>
        <w:ind w:right="1131"/>
        <w:jc w:val="both"/>
      </w:pPr>
      <w:r>
        <w:rPr>
          <w:spacing w:val="-2"/>
        </w:rPr>
        <w:t>各项成本费用增加，从而导致公司毛利率降低，对公司经营业绩产生一定影响。报告期内，公司通过进一步强化管理、控制</w:t>
      </w:r>
      <w:r>
        <w:rPr>
          <w:spacing w:val="-67"/>
        </w:rPr>
        <w:t> </w:t>
      </w:r>
      <w:r>
        <w:rPr>
          <w:spacing w:val="-67"/>
        </w:rPr>
      </w:r>
      <w:r>
        <w:rPr>
          <w:spacing w:val="-2"/>
        </w:rPr>
        <w:t>费用等举措，尽可能减轻成本上升压力。同时，公司在保证募投项目资金使用的前提下，使用暂时闲置的募集资金进行现金</w:t>
      </w:r>
      <w:r>
        <w:rPr>
          <w:spacing w:val="-64"/>
        </w:rPr>
        <w:t> </w:t>
      </w:r>
      <w:r>
        <w:rPr>
          <w:spacing w:val="-64"/>
        </w:rPr>
      </w:r>
      <w:r>
        <w:rPr/>
        <w:t>管理，提高资金使用效率，增加公司收益。</w:t>
      </w:r>
    </w:p>
    <w:p>
      <w:pPr>
        <w:spacing w:line="240" w:lineRule="auto" w:before="9"/>
        <w:rPr>
          <w:rFonts w:ascii="宋体" w:hAnsi="宋体" w:cs="宋体" w:eastAsia="宋体" w:hint="default"/>
          <w:sz w:val="20"/>
          <w:szCs w:val="20"/>
        </w:rPr>
      </w:pPr>
    </w:p>
    <w:p>
      <w:pPr>
        <w:pStyle w:val="Heading2"/>
        <w:spacing w:line="240" w:lineRule="auto"/>
        <w:ind w:right="3827"/>
        <w:jc w:val="left"/>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811" w:right="4727"/>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212" w:right="1124"/>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124"/>
        <w:jc w:val="left"/>
      </w:pPr>
      <w:r>
        <w:rPr/>
        <w:t>报告期内普通股利润分配政策，特别是现金分红政策的制定、执行或调整情况</w:t>
      </w:r>
    </w:p>
    <w:p>
      <w:pPr>
        <w:pStyle w:val="BodyText"/>
        <w:spacing w:line="338" w:lineRule="auto" w:before="117"/>
        <w:ind w:left="573" w:right="112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报告期内，公司严格按照相关利润分配政策和审议程序实施利润分配方案，分红标准和分红比例明确、清晰，相关的决</w:t>
      </w:r>
    </w:p>
    <w:p>
      <w:pPr>
        <w:pStyle w:val="BodyText"/>
        <w:spacing w:line="316" w:lineRule="auto" w:before="2"/>
        <w:ind w:left="212" w:right="1124"/>
        <w:jc w:val="left"/>
      </w:pPr>
      <w:r>
        <w:rPr>
          <w:spacing w:val="-2"/>
        </w:rPr>
        <w:t>策程序和机制完备；相关议案经由公司董事会、监事会审议后提交股东大会审议，公司独立董事发表了独立意见；并在分配</w:t>
      </w:r>
      <w:r>
        <w:rPr>
          <w:spacing w:val="-65"/>
        </w:rPr>
        <w:t> </w:t>
      </w:r>
      <w:r>
        <w:rPr>
          <w:spacing w:val="-65"/>
        </w:rPr>
      </w:r>
      <w:r>
        <w:rPr/>
        <w:t>方案审议通过后的</w:t>
      </w:r>
      <w:r>
        <w:rPr>
          <w:rFonts w:ascii="Times New Roman" w:hAnsi="Times New Roman" w:cs="Times New Roman" w:eastAsia="Times New Roman" w:hint="default"/>
        </w:rPr>
        <w:t>2</w:t>
      </w:r>
      <w:r>
        <w:rPr/>
        <w:t>个月内进行了权益分派，保证了全体股东的利益。</w:t>
      </w:r>
    </w:p>
    <w:p>
      <w:pPr>
        <w:pStyle w:val="BodyText"/>
        <w:spacing w:line="319" w:lineRule="auto"/>
        <w:ind w:left="573" w:right="1124"/>
        <w:jc w:val="left"/>
      </w:pPr>
      <w:r>
        <w:rPr/>
        <w:t>报告期内，公司利润分配政策的执行情况如下： </w:t>
      </w:r>
      <w:r>
        <w:rPr>
          <w:spacing w:val="-1"/>
        </w:rPr>
        <w:t>根据公司</w:t>
      </w:r>
      <w:r>
        <w:rPr>
          <w:rFonts w:ascii="Times New Roman" w:hAnsi="Times New Roman" w:cs="Times New Roman" w:eastAsia="Times New Roman" w:hint="default"/>
          <w:spacing w:val="-1"/>
        </w:rPr>
        <w:t>2018</w:t>
      </w:r>
      <w:r>
        <w:rPr>
          <w:spacing w:val="-1"/>
        </w:rPr>
        <w:t>年度股东大会审议通过的《关于公司</w:t>
      </w:r>
      <w:r>
        <w:rPr>
          <w:rFonts w:ascii="Times New Roman" w:hAnsi="Times New Roman" w:cs="Times New Roman" w:eastAsia="Times New Roman" w:hint="default"/>
          <w:spacing w:val="-1"/>
        </w:rPr>
        <w:t>2018</w:t>
      </w:r>
      <w:r>
        <w:rPr>
          <w:spacing w:val="-1"/>
        </w:rPr>
        <w:t>年度利润分配方案的议案》，以公司总股本</w:t>
      </w:r>
      <w:r>
        <w:rPr>
          <w:rFonts w:ascii="Times New Roman" w:hAnsi="Times New Roman" w:cs="Times New Roman" w:eastAsia="Times New Roman" w:hint="default"/>
          <w:spacing w:val="-1"/>
        </w:rPr>
        <w:t>1,541,195,921</w:t>
      </w:r>
      <w:r>
        <w:rPr>
          <w:spacing w:val="-1"/>
        </w:rPr>
        <w:t>股为基</w:t>
      </w:r>
    </w:p>
    <w:p>
      <w:pPr>
        <w:pStyle w:val="BodyText"/>
        <w:spacing w:line="300" w:lineRule="auto"/>
        <w:ind w:left="212" w:right="1124"/>
        <w:jc w:val="left"/>
      </w:pPr>
      <w:r>
        <w:rPr/>
        <w:t>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元人民币（含税），合计派发现金股利</w:t>
      </w:r>
      <w:r>
        <w:rPr>
          <w:rFonts w:ascii="Times New Roman" w:hAnsi="Times New Roman" w:cs="Times New Roman" w:eastAsia="Times New Roman" w:hint="default"/>
        </w:rPr>
        <w:t>30,823,918.42</w:t>
      </w:r>
      <w:r>
        <w:rPr/>
        <w:t>元（含税）。上述利润分配及 资本公积转增股本方案已于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日实施完毕。</w:t>
      </w:r>
    </w:p>
    <w:tbl>
      <w:tblPr>
        <w:tblW w:w="0" w:type="auto"/>
        <w:jc w:val="left"/>
        <w:tblInd w:w="22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现金分红政策未进行调整或变更。</w:t>
            </w:r>
          </w:p>
        </w:tc>
      </w:tr>
    </w:tbl>
    <w:p>
      <w:pPr>
        <w:pStyle w:val="BodyText"/>
        <w:spacing w:line="240" w:lineRule="auto" w:before="55"/>
        <w:ind w:left="212" w:right="1124"/>
        <w:jc w:val="left"/>
      </w:pPr>
      <w:r>
        <w:rPr/>
        <w:t>公司报告期利润分配预案及资本公积金转增股本预案与公司章程和分红管理办法等的相关规定一致</w:t>
      </w:r>
    </w:p>
    <w:p>
      <w:pPr>
        <w:pStyle w:val="BodyText"/>
        <w:spacing w:line="350" w:lineRule="auto" w:before="115"/>
        <w:ind w:left="212"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00" w:type="dxa"/>
        <w:tblLayout w:type="fixed"/>
        <w:tblCellMar>
          <w:top w:w="0" w:type="dxa"/>
          <w:left w:w="0" w:type="dxa"/>
          <w:bottom w:w="0" w:type="dxa"/>
          <w:right w:w="0" w:type="dxa"/>
        </w:tblCellMar>
        <w:tblLook w:val="01E0"/>
      </w:tblPr>
      <w:tblGrid>
        <w:gridCol w:w="4928"/>
        <w:gridCol w:w="4928"/>
      </w:tblGrid>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1,543,139,921</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30,862,798.42</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30,862,798.42</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136,042,928.93</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100%</w:t>
            </w:r>
          </w:p>
        </w:tc>
      </w:tr>
      <w:tr>
        <w:trPr>
          <w:trHeight w:val="397"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9856"/>
      </w:tblGrid>
      <w:tr>
        <w:trPr>
          <w:trHeight w:val="402"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以截至目前公司总股本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w:t>
            </w:r>
            <w:r>
              <w:rPr>
                <w:rFonts w:ascii="宋体" w:hAnsi="宋体" w:cs="宋体" w:eastAsia="宋体" w:hint="default"/>
                <w:spacing w:val="-3"/>
                <w:sz w:val="18"/>
                <w:szCs w:val="18"/>
              </w:rPr>
              <w:t>东</w:t>
            </w: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人民币（含税</w:t>
            </w:r>
            <w:r>
              <w:rPr>
                <w:rFonts w:ascii="宋体" w:hAnsi="宋体" w:cs="宋体" w:eastAsia="宋体" w:hint="default"/>
                <w:spacing w:val="-92"/>
                <w:sz w:val="18"/>
                <w:szCs w:val="18"/>
              </w:rPr>
              <w:t>）</w:t>
            </w:r>
            <w:r>
              <w:rPr>
                <w:rFonts w:ascii="宋体" w:hAnsi="宋体" w:cs="宋体" w:eastAsia="宋体" w:hint="default"/>
                <w:sz w:val="18"/>
                <w:szCs w:val="18"/>
              </w:rPr>
              <w:t>，合计派发现</w:t>
            </w:r>
            <w:r>
              <w:rPr>
                <w:rFonts w:ascii="宋体" w:hAnsi="宋体" w:cs="宋体" w:eastAsia="宋体" w:hint="default"/>
                <w:spacing w:val="2"/>
                <w:sz w:val="18"/>
                <w:szCs w:val="18"/>
              </w:rPr>
              <w:t>金</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27"/>
          <w:szCs w:val="27"/>
        </w:rPr>
      </w:pPr>
    </w:p>
    <w:p>
      <w:pPr>
        <w:pStyle w:val="BodyText"/>
        <w:spacing w:line="240" w:lineRule="auto" w:before="44"/>
        <w:ind w:left="212" w:right="1124"/>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2"/>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年度利润分配方案为：以公司总股本</w:t>
      </w:r>
      <w:r>
        <w:rPr>
          <w:rFonts w:ascii="Times New Roman" w:hAnsi="Times New Roman" w:cs="Times New Roman" w:eastAsia="Times New Roman" w:hint="default"/>
        </w:rPr>
        <w:t>1,446,351,388</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元人民币</w:t>
      </w:r>
    </w:p>
    <w:p>
      <w:pPr>
        <w:pStyle w:val="BodyText"/>
        <w:spacing w:line="240" w:lineRule="auto" w:before="60"/>
        <w:ind w:left="212" w:right="1124"/>
        <w:jc w:val="left"/>
      </w:pPr>
      <w:r>
        <w:rPr/>
        <w:t>（含税），合计派发现金股利</w:t>
      </w:r>
      <w:r>
        <w:rPr>
          <w:rFonts w:ascii="Times New Roman" w:hAnsi="Times New Roman" w:cs="Times New Roman" w:eastAsia="Times New Roman" w:hint="default"/>
        </w:rPr>
        <w:t>28,927,027.76</w:t>
      </w:r>
      <w:r>
        <w:rPr/>
        <w:t>元（含税）。</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年度利润分配方案为：以公司总股本</w:t>
      </w:r>
      <w:r>
        <w:rPr>
          <w:rFonts w:ascii="Times New Roman" w:hAnsi="Times New Roman" w:cs="Times New Roman" w:eastAsia="Times New Roman" w:hint="default"/>
        </w:rPr>
        <w:t>1,541,195,921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元人民币</w:t>
      </w:r>
    </w:p>
    <w:p>
      <w:pPr>
        <w:pStyle w:val="BodyText"/>
        <w:spacing w:line="240" w:lineRule="auto" w:before="63"/>
        <w:ind w:left="212" w:right="1124"/>
        <w:jc w:val="left"/>
      </w:pPr>
      <w:r>
        <w:rPr/>
        <w:t>（含税），合计派发现金股利</w:t>
      </w:r>
      <w:r>
        <w:rPr>
          <w:rFonts w:ascii="Times New Roman" w:hAnsi="Times New Roman" w:cs="Times New Roman" w:eastAsia="Times New Roman" w:hint="default"/>
        </w:rPr>
        <w:t>30,823,918.42</w:t>
      </w:r>
      <w:r>
        <w:rPr/>
        <w:t>元（含税）。</w:t>
      </w:r>
    </w:p>
    <w:p>
      <w:pPr>
        <w:spacing w:line="240" w:lineRule="auto" w:before="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年度利润分配方案为：以公司总股本</w:t>
      </w:r>
      <w:r>
        <w:rPr>
          <w:rFonts w:ascii="Times New Roman" w:hAnsi="Times New Roman" w:cs="Times New Roman" w:eastAsia="Times New Roman" w:hint="default"/>
        </w:rPr>
        <w:t>1,543,139,921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元人民币</w:t>
      </w:r>
    </w:p>
    <w:p>
      <w:pPr>
        <w:pStyle w:val="BodyText"/>
        <w:spacing w:line="240" w:lineRule="auto" w:before="63"/>
        <w:ind w:left="212" w:right="1124"/>
        <w:jc w:val="left"/>
      </w:pPr>
      <w:r>
        <w:rPr/>
        <w:t>（含税），合计派发现金公里</w:t>
      </w:r>
      <w:r>
        <w:rPr>
          <w:rFonts w:ascii="Times New Roman" w:hAnsi="Times New Roman" w:cs="Times New Roman" w:eastAsia="Times New Roman" w:hint="default"/>
        </w:rPr>
        <w:t>30,862,798.42</w:t>
      </w:r>
      <w:r>
        <w:rPr/>
        <w:t>元（含税）。</w:t>
      </w:r>
    </w:p>
    <w:p>
      <w:pPr>
        <w:spacing w:line="240" w:lineRule="auto" w:before="5"/>
        <w:rPr>
          <w:rFonts w:ascii="宋体" w:hAnsi="宋体" w:cs="宋体" w:eastAsia="宋体" w:hint="default"/>
          <w:sz w:val="28"/>
          <w:szCs w:val="28"/>
        </w:rPr>
      </w:pPr>
    </w:p>
    <w:p>
      <w:pPr>
        <w:pStyle w:val="BodyText"/>
        <w:spacing w:line="240" w:lineRule="auto" w:before="44"/>
        <w:ind w:left="212" w:right="1124"/>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198"/>
        <w:gridCol w:w="1195"/>
        <w:gridCol w:w="1196"/>
        <w:gridCol w:w="1196"/>
        <w:gridCol w:w="1197"/>
        <w:gridCol w:w="1184"/>
        <w:gridCol w:w="1219"/>
        <w:gridCol w:w="117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30,862,798.42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824,590,767.43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30,862,798.42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30,823,918.42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667,452,385.34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30,823,918.42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4.62%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28,927,027.76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435,862,060.15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28,927,027.76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6.64%</w:t>
            </w:r>
          </w:p>
        </w:tc>
      </w:tr>
    </w:tbl>
    <w:p>
      <w:pPr>
        <w:pStyle w:val="BodyText"/>
        <w:spacing w:line="240" w:lineRule="auto" w:before="49"/>
        <w:ind w:left="212" w:right="1124"/>
        <w:jc w:val="left"/>
      </w:pPr>
      <w:r>
        <w:rPr/>
        <w:t>公司报告期内盈利且母公司可供普通股股东分配利润为正但未提出普通股现金红利分配预案</w:t>
      </w:r>
    </w:p>
    <w:p>
      <w:pPr>
        <w:pStyle w:val="BodyText"/>
        <w:spacing w:line="240" w:lineRule="auto" w:before="115"/>
        <w:ind w:left="21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1124"/>
        <w:jc w:val="left"/>
        <w:rPr>
          <w:b w:val="0"/>
          <w:bCs w:val="0"/>
        </w:rPr>
      </w:pPr>
      <w:bookmarkStart w:name="二、承诺事项履行情况" w:id="65"/>
      <w:bookmarkEnd w:id="65"/>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left="212" w:right="1124"/>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21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91" w:type="dxa"/>
        <w:tblLayout w:type="fixed"/>
        <w:tblCellMar>
          <w:top w:w="0" w:type="dxa"/>
          <w:left w:w="0" w:type="dxa"/>
          <w:bottom w:w="0" w:type="dxa"/>
          <w:right w:w="0" w:type="dxa"/>
        </w:tblCellMar>
        <w:tblLook w:val="01E0"/>
      </w:tblPr>
      <w:tblGrid>
        <w:gridCol w:w="1011"/>
        <w:gridCol w:w="850"/>
        <w:gridCol w:w="992"/>
        <w:gridCol w:w="3545"/>
        <w:gridCol w:w="991"/>
        <w:gridCol w:w="994"/>
        <w:gridCol w:w="1303"/>
      </w:tblGrid>
      <w:tr>
        <w:trPr>
          <w:trHeight w:val="401" w:hRule="exact"/>
        </w:trPr>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54" w:hRule="exact"/>
        </w:trPr>
        <w:tc>
          <w:tcPr>
            <w:tcW w:w="10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99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关于避免同 业竞争的承 诺、关于规 范关联交易 的承诺、关</w:t>
            </w:r>
          </w:p>
        </w:tc>
        <w:tc>
          <w:tcPr>
            <w:tcW w:w="3545" w:type="dxa"/>
            <w:vMerge w:val="restart"/>
            <w:tcBorders>
              <w:top w:val="single" w:sz="4" w:space="0" w:color="000000"/>
              <w:left w:val="single" w:sz="4" w:space="0" w:color="000000"/>
              <w:right w:val="single" w:sz="4" w:space="0" w:color="000000"/>
            </w:tcBorders>
          </w:tcPr>
          <w:p>
            <w:pPr>
              <w:pStyle w:val="TableParagraph"/>
              <w:spacing w:line="309" w:lineRule="auto" w:before="49"/>
              <w:ind w:left="384" w:right="22" w:hanging="360"/>
              <w:jc w:val="left"/>
              <w:rPr>
                <w:rFonts w:ascii="宋体" w:hAnsi="宋体" w:cs="宋体" w:eastAsia="宋体" w:hint="default"/>
                <w:sz w:val="18"/>
                <w:szCs w:val="18"/>
              </w:rPr>
            </w:pPr>
            <w:r>
              <w:rPr>
                <w:rFonts w:ascii="宋体" w:hAnsi="宋体" w:cs="宋体" w:eastAsia="宋体" w:hint="default"/>
                <w:spacing w:val="-2"/>
                <w:sz w:val="18"/>
                <w:szCs w:val="18"/>
              </w:rPr>
              <w:t>一、关于避免同业竞争的承诺：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及本公司之全资、控股子企业目前不拥 有及经营任何在商业上与光环新网正在 </w:t>
            </w:r>
            <w:r>
              <w:rPr>
                <w:rFonts w:ascii="宋体" w:hAnsi="宋体" w:cs="宋体" w:eastAsia="宋体" w:hint="default"/>
                <w:spacing w:val="-2"/>
                <w:sz w:val="18"/>
                <w:szCs w:val="18"/>
              </w:rPr>
              <w:t>经营的业务有直接竞争的业务。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w:t>
            </w:r>
            <w:r>
              <w:rPr>
                <w:rFonts w:ascii="宋体" w:hAnsi="宋体" w:cs="宋体" w:eastAsia="宋体" w:hint="default"/>
                <w:sz w:val="18"/>
                <w:szCs w:val="18"/>
              </w:rPr>
              <w:t> 司承诺本公司本身、并且本公司必将通</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703" w:hRule="exact"/>
        </w:trPr>
        <w:tc>
          <w:tcPr>
            <w:tcW w:w="10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50" w:type="dxa"/>
            <w:vMerge/>
            <w:tcBorders>
              <w:left w:val="single" w:sz="10"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54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454" w:hRule="exact"/>
        </w:trPr>
        <w:tc>
          <w:tcPr>
            <w:tcW w:w="10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54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509"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56"/>
              <w:jc w:val="both"/>
              <w:rPr>
                <w:rFonts w:ascii="宋体" w:hAnsi="宋体" w:cs="宋体" w:eastAsia="宋体" w:hint="default"/>
                <w:sz w:val="18"/>
                <w:szCs w:val="18"/>
              </w:rPr>
            </w:pPr>
            <w:r>
              <w:rPr>
                <w:rFonts w:ascii="宋体" w:hAnsi="宋体" w:cs="宋体" w:eastAsia="宋体" w:hint="default"/>
                <w:sz w:val="18"/>
                <w:szCs w:val="18"/>
              </w:rPr>
              <w:t>于保持上市 公司独立性 的承诺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384" w:right="22"/>
              <w:jc w:val="left"/>
              <w:rPr>
                <w:rFonts w:ascii="宋体" w:hAnsi="宋体" w:cs="宋体" w:eastAsia="宋体" w:hint="default"/>
                <w:sz w:val="18"/>
                <w:szCs w:val="18"/>
              </w:rPr>
            </w:pPr>
            <w:r>
              <w:rPr>
                <w:rFonts w:ascii="宋体" w:hAnsi="宋体" w:cs="宋体" w:eastAsia="宋体" w:hint="default"/>
                <w:sz w:val="18"/>
                <w:szCs w:val="18"/>
              </w:rPr>
              <w:t>过法律程序使本公司之全资、控股子企 业将来均不从事任何在商业上与光环新 网正在经营的业务有直接竞争的业务。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、如本公司（包括受本公司控制的子企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业或其他关联企业）将来经营的产品或 服务与光环新网的主营产品或服务有可 能形成竞争，本公司同意光环新网有权 优先收购本公司与该等产品或服务有关 的资产或本公司在子企业中的全部股 </w:t>
            </w:r>
            <w:r>
              <w:rPr>
                <w:rFonts w:ascii="宋体" w:hAnsi="宋体" w:cs="宋体" w:eastAsia="宋体" w:hint="default"/>
                <w:spacing w:val="-2"/>
                <w:sz w:val="18"/>
                <w:szCs w:val="18"/>
              </w:rPr>
              <w:t>权。</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、如因本公司未履行在本承诺函中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所作的承诺给光环新网造成损失的，本 公司将赔偿光环新网的实际损失。</w:t>
            </w:r>
          </w:p>
          <w:p>
            <w:pPr>
              <w:pStyle w:val="TableParagraph"/>
              <w:spacing w:line="314" w:lineRule="auto" w:before="59"/>
              <w:ind w:left="384" w:right="22" w:hanging="360"/>
              <w:jc w:val="left"/>
              <w:rPr>
                <w:rFonts w:ascii="宋体" w:hAnsi="宋体" w:cs="宋体" w:eastAsia="宋体" w:hint="default"/>
                <w:sz w:val="18"/>
                <w:szCs w:val="18"/>
              </w:rPr>
            </w:pPr>
            <w:r>
              <w:rPr>
                <w:rFonts w:ascii="宋体" w:hAnsi="宋体" w:cs="宋体" w:eastAsia="宋体" w:hint="default"/>
                <w:spacing w:val="-2"/>
                <w:sz w:val="18"/>
                <w:szCs w:val="18"/>
              </w:rPr>
              <w:t>二、关于规范关联交易的承诺：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、尽量避免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或减少与上市公司及其下属子公司之间 </w:t>
            </w:r>
            <w:r>
              <w:rPr>
                <w:rFonts w:ascii="宋体" w:hAnsi="宋体" w:cs="宋体" w:eastAsia="宋体" w:hint="default"/>
                <w:spacing w:val="-2"/>
                <w:sz w:val="18"/>
                <w:szCs w:val="18"/>
              </w:rPr>
              <w:t>的关联交易；</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、对于无法避免或有合理</w:t>
            </w:r>
            <w:r>
              <w:rPr>
                <w:rFonts w:ascii="宋体" w:hAnsi="宋体" w:cs="宋体" w:eastAsia="宋体" w:hint="default"/>
                <w:sz w:val="18"/>
                <w:szCs w:val="18"/>
              </w:rPr>
              <w:t> 理由存在的关联交易，将与上市公司依 法签订规范的关联交易协议，并按照有 关法律、法规、规章、其他规范性文件 和公司章程的规定履行批准程序；关联 交易价格按照市场原则确定，保证关联 交易价格具有公允性；保证按照有关法 律、法规、规章、其他规范性文件和公 司章程的规定履行关联交易的信息披露 </w:t>
            </w:r>
            <w:r>
              <w:rPr>
                <w:rFonts w:ascii="宋体" w:hAnsi="宋体" w:cs="宋体" w:eastAsia="宋体" w:hint="default"/>
                <w:spacing w:val="-2"/>
                <w:sz w:val="18"/>
                <w:szCs w:val="18"/>
              </w:rPr>
              <w:t>义务；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、保证不利用关联交易非法移转</w:t>
            </w:r>
            <w:r>
              <w:rPr>
                <w:rFonts w:ascii="宋体" w:hAnsi="宋体" w:cs="宋体" w:eastAsia="宋体" w:hint="default"/>
                <w:sz w:val="18"/>
                <w:szCs w:val="18"/>
              </w:rPr>
              <w:t> 上市公司的资金、利润，不利用关联交 易损害上市公司及非关联股东的利益。</w:t>
            </w:r>
          </w:p>
          <w:p>
            <w:pPr>
              <w:pStyle w:val="TableParagraph"/>
              <w:spacing w:line="312" w:lineRule="auto" w:before="61"/>
              <w:ind w:left="384" w:right="22" w:hanging="360"/>
              <w:jc w:val="left"/>
              <w:rPr>
                <w:rFonts w:ascii="宋体" w:hAnsi="宋体" w:cs="宋体" w:eastAsia="宋体" w:hint="default"/>
                <w:sz w:val="18"/>
                <w:szCs w:val="18"/>
              </w:rPr>
            </w:pPr>
            <w:r>
              <w:rPr>
                <w:rFonts w:ascii="宋体" w:hAnsi="宋体" w:cs="宋体" w:eastAsia="宋体" w:hint="default"/>
                <w:spacing w:val="-2"/>
                <w:sz w:val="18"/>
                <w:szCs w:val="18"/>
              </w:rPr>
              <w:t>三、关于保持上市公司独立性的承诺：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w:t>
            </w:r>
            <w:r>
              <w:rPr>
                <w:rFonts w:ascii="宋体" w:hAnsi="宋体" w:cs="宋体" w:eastAsia="宋体" w:hint="default"/>
                <w:spacing w:val="-85"/>
                <w:sz w:val="18"/>
                <w:szCs w:val="18"/>
              </w:rPr>
              <w:t> </w:t>
            </w:r>
            <w:r>
              <w:rPr>
                <w:rFonts w:ascii="宋体" w:hAnsi="宋体" w:cs="宋体" w:eastAsia="宋体" w:hint="default"/>
                <w:spacing w:val="-2"/>
                <w:sz w:val="18"/>
                <w:szCs w:val="18"/>
              </w:rPr>
              <w:t>证上市公司人员独立（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）保证上市公司</w:t>
            </w:r>
            <w:r>
              <w:rPr>
                <w:rFonts w:ascii="宋体" w:hAnsi="宋体" w:cs="宋体" w:eastAsia="宋体" w:hint="default"/>
                <w:sz w:val="18"/>
                <w:szCs w:val="18"/>
              </w:rPr>
              <w:t> 的生产经营与行政管理（包括劳动、人 事及薪酬管理等）完全独立于本公司及 </w:t>
            </w:r>
            <w:r>
              <w:rPr>
                <w:rFonts w:ascii="宋体" w:hAnsi="宋体" w:cs="宋体" w:eastAsia="宋体" w:hint="default"/>
                <w:spacing w:val="-6"/>
                <w:sz w:val="18"/>
                <w:szCs w:val="18"/>
              </w:rPr>
              <w:t>本公司控制的其他企业。（</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）保证上市</w:t>
            </w:r>
            <w:r>
              <w:rPr>
                <w:rFonts w:ascii="宋体" w:hAnsi="宋体" w:cs="宋体" w:eastAsia="宋体" w:hint="default"/>
                <w:sz w:val="18"/>
                <w:szCs w:val="18"/>
              </w:rPr>
              <w:t> 公司的董事、监事和高级管理人员严格 按照《中华人民共和国公司法》和《公 司章程》的有关规定产生，保证上市公 司的总经理、副总经理、财务负责人、 董事会秘书等高级管理人员均在上市公 司专职工作，不在本公司及本公司控制 的其他企业担任除董事、监事以外的职 </w:t>
            </w:r>
            <w:r>
              <w:rPr>
                <w:rFonts w:ascii="宋体" w:hAnsi="宋体" w:cs="宋体" w:eastAsia="宋体" w:hint="default"/>
                <w:spacing w:val="-6"/>
                <w:sz w:val="18"/>
                <w:szCs w:val="18"/>
              </w:rPr>
              <w:t>务。（</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）本公司不干预上市公司董事会</w:t>
            </w:r>
            <w:r>
              <w:rPr>
                <w:rFonts w:ascii="宋体" w:hAnsi="宋体" w:cs="宋体" w:eastAsia="宋体" w:hint="default"/>
                <w:sz w:val="18"/>
                <w:szCs w:val="18"/>
              </w:rPr>
              <w:t> </w:t>
            </w:r>
            <w:r>
              <w:rPr>
                <w:rFonts w:ascii="宋体" w:hAnsi="宋体" w:cs="宋体" w:eastAsia="宋体" w:hint="default"/>
                <w:spacing w:val="-2"/>
                <w:sz w:val="18"/>
                <w:szCs w:val="18"/>
              </w:rPr>
              <w:t>和股东大会行使职权、作出决定。</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w:t>
            </w:r>
            <w:r>
              <w:rPr>
                <w:rFonts w:ascii="宋体" w:hAnsi="宋体" w:cs="宋体" w:eastAsia="宋体" w:hint="default"/>
                <w:spacing w:val="-8"/>
                <w:sz w:val="18"/>
                <w:szCs w:val="18"/>
              </w:rPr>
              <w:t> </w:t>
            </w:r>
            <w:r>
              <w:rPr>
                <w:rFonts w:ascii="宋体" w:hAnsi="宋体" w:cs="宋体" w:eastAsia="宋体" w:hint="default"/>
                <w:spacing w:val="-2"/>
                <w:sz w:val="18"/>
                <w:szCs w:val="18"/>
              </w:rPr>
              <w:t>证上市公司资产独立（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）保证上市公司</w:t>
            </w:r>
            <w:r>
              <w:rPr>
                <w:rFonts w:ascii="宋体" w:hAnsi="宋体" w:cs="宋体" w:eastAsia="宋体" w:hint="default"/>
                <w:sz w:val="18"/>
                <w:szCs w:val="18"/>
              </w:rPr>
              <w:t> 具有与经营有关的业务体系和相关的独 </w:t>
            </w:r>
            <w:r>
              <w:rPr>
                <w:rFonts w:ascii="宋体" w:hAnsi="宋体" w:cs="宋体" w:eastAsia="宋体" w:hint="default"/>
                <w:spacing w:val="-6"/>
                <w:sz w:val="18"/>
                <w:szCs w:val="18"/>
              </w:rPr>
              <w:t>立完整的资产。（</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）保证本公司及本公</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9.790009pt;margin-top:92.669983pt;width:55.35pt;height:594.8pt;mso-position-horizontal-relative:page;mso-position-vertical-relative:page;z-index:-1239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司控制的其他企业不以任何方式违法违</w:t>
            </w:r>
          </w:p>
        </w:tc>
        <w:tc>
          <w:tcPr>
            <w:tcW w:w="991" w:type="dxa"/>
            <w:vMerge w:val="restart"/>
            <w:tcBorders>
              <w:top w:val="single" w:sz="4" w:space="0" w:color="000000"/>
              <w:left w:val="single" w:sz="4" w:space="0" w:color="000000"/>
              <w:right w:val="single" w:sz="4" w:space="0" w:color="000000"/>
            </w:tcBorders>
          </w:tcPr>
          <w:p>
            <w:pPr>
              <w:pStyle w:val="TableParagraph"/>
              <w:spacing w:line="11895"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49.2pt;height:594.8pt;mso-position-horizontal-relative:char;mso-position-vertical-relative:line" coordorigin="0,0" coordsize="984,11896">
                  <v:group style="position:absolute;left:0;top:0;width:984;height:11896" coordorigin="0,0" coordsize="984,11896">
                    <v:shape style="position:absolute;left:0;top:0;width:984;height:11896" coordorigin="0,0" coordsize="984,11896" path="m0,11896l984,11896,984,0,0,0,0,11896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994" w:type="dxa"/>
            <w:vMerge w:val="restart"/>
            <w:tcBorders>
              <w:top w:val="single" w:sz="4" w:space="0" w:color="000000"/>
              <w:left w:val="single" w:sz="4" w:space="0" w:color="000000"/>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规占用上市公司的资金、资产</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证不以上市公司的资产为本公司及本公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司控制的其他企业的债务违规提供担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）保证上市公司的住所独立于本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hAnsi="宋体" w:cs="宋体" w:eastAsia="宋体" w:hint="default"/>
                <w:spacing w:val="-2"/>
                <w:sz w:val="18"/>
                <w:szCs w:val="18"/>
              </w:rPr>
              <w:t>公司及本公司控制的其他企业。</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hAnsi="宋体" w:cs="宋体" w:eastAsia="宋体" w:hint="default"/>
                <w:spacing w:val="-2"/>
                <w:sz w:val="18"/>
                <w:szCs w:val="18"/>
              </w:rPr>
              <w:t>上市公司财务独立（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）保证上市公司建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立独立的财务部门和独立的财务核算体</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w:t>
            </w:r>
            <w:r>
              <w:rPr>
                <w:rFonts w:ascii="宋体" w:hAnsi="宋体" w:cs="宋体" w:eastAsia="宋体" w:hint="default"/>
                <w:spacing w:val="-68"/>
                <w:sz w:val="18"/>
                <w:szCs w:val="18"/>
              </w:rPr>
              <w:t>，</w:t>
            </w:r>
            <w:r>
              <w:rPr>
                <w:rFonts w:ascii="宋体" w:hAnsi="宋体" w:cs="宋体" w:eastAsia="宋体" w:hint="default"/>
                <w:sz w:val="18"/>
                <w:szCs w:val="18"/>
              </w:rPr>
              <w:t>具有规范</w:t>
            </w:r>
            <w:r>
              <w:rPr>
                <w:rFonts w:ascii="宋体" w:hAnsi="宋体" w:cs="宋体" w:eastAsia="宋体" w:hint="default"/>
                <w:spacing w:val="-68"/>
                <w:sz w:val="18"/>
                <w:szCs w:val="18"/>
              </w:rPr>
              <w:t>、</w:t>
            </w:r>
            <w:r>
              <w:rPr>
                <w:rFonts w:ascii="宋体" w:hAnsi="宋体" w:cs="宋体" w:eastAsia="宋体" w:hint="default"/>
                <w:sz w:val="18"/>
                <w:szCs w:val="18"/>
              </w:rPr>
              <w:t>独立的财务核算制度</w:t>
            </w:r>
            <w:r>
              <w:rPr>
                <w:rFonts w:ascii="宋体" w:hAnsi="宋体" w:cs="宋体" w:eastAsia="宋体" w:hint="default"/>
                <w:spacing w:val="-15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保证上市公司独立在银行开户，不和本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公司及本公司控制的其他企业共用银行</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）保证上市公司的财务人员不</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在本公司及本公司控制的其他企业兼</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w:t>
            </w:r>
            <w:r>
              <w:rPr>
                <w:rFonts w:ascii="宋体" w:hAnsi="宋体" w:cs="宋体" w:eastAsia="宋体" w:hint="default"/>
                <w:spacing w:val="-15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68"/>
                <w:sz w:val="18"/>
                <w:szCs w:val="18"/>
              </w:rPr>
              <w:t>）</w:t>
            </w:r>
            <w:r>
              <w:rPr>
                <w:rFonts w:ascii="宋体" w:hAnsi="宋体" w:cs="宋体" w:eastAsia="宋体" w:hint="default"/>
                <w:sz w:val="18"/>
                <w:szCs w:val="18"/>
              </w:rPr>
              <w:t>保证上市公司依法独立纳税</w:t>
            </w:r>
            <w:r>
              <w:rPr>
                <w:rFonts w:ascii="宋体" w:hAnsi="宋体" w:cs="宋体" w:eastAsia="宋体" w:hint="default"/>
                <w:spacing w:val="-15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保障上市公司能够独立作出财务决策，</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本公司不干预上市公司的资金使用。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hAnsi="宋体" w:cs="宋体" w:eastAsia="宋体" w:hint="default"/>
                <w:spacing w:val="-2"/>
                <w:sz w:val="18"/>
                <w:szCs w:val="18"/>
              </w:rPr>
              <w:t>保证上市公司机构独立（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司依法建立健全股份公司法人治理结</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构，拥有独立、完整的组织机构，与本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公司及本公司控制的其他企业间不存在</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机构混同的情形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）保证上市公司的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股东大会、董事会、独立董事、监事、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总经理等依照法律、法规和公司章程独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2"/>
                <w:sz w:val="18"/>
                <w:szCs w:val="18"/>
              </w:rPr>
              <w:t>立行使职权。</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、保证上市公司业务独立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）保证上市公司拥有独立开展经营活</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动的资产、人员、资质和能力，具有面</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向市场独立自主持续经营的能力</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保证本公司除通过下属子公司行使股东</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权利之外，不对上市公司的业务活动进</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行干预</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）保证本公司及本公司控制</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的其他企业避免从事与上市公司具有实</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质性竞争的业务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）保证尽量减少本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公司及本公司控制的其他企业与上市公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司的关联交易；在进行确有必要且无法</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避免的关联交易时，保证按照市场化原</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则和公允价格进行公平操作，并按相关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法律法规和规范性文件的规定履行关联</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5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交易决策程序及信息披露义务。</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r>
      <w:tr>
        <w:trPr>
          <w:trHeight w:val="351"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32"/>
              <w:jc w:val="center"/>
              <w:rPr>
                <w:rFonts w:ascii="宋体" w:hAnsi="宋体" w:cs="宋体" w:eastAsia="宋体" w:hint="default"/>
                <w:sz w:val="18"/>
                <w:szCs w:val="18"/>
              </w:rPr>
            </w:pPr>
            <w:r>
              <w:rPr>
                <w:rFonts w:ascii="宋体" w:hAnsi="宋体" w:cs="宋体" w:eastAsia="宋体" w:hint="default"/>
                <w:sz w:val="18"/>
                <w:szCs w:val="18"/>
              </w:rPr>
              <w:t>关于避免同</w:t>
            </w: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2"/>
                <w:sz w:val="18"/>
                <w:szCs w:val="18"/>
              </w:rPr>
              <w:t>一、关于避免同业竞争的承诺：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、本人以及</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56"/>
              <w:jc w:val="both"/>
              <w:rPr>
                <w:rFonts w:ascii="宋体" w:hAnsi="宋体" w:cs="宋体" w:eastAsia="宋体" w:hint="default"/>
                <w:sz w:val="18"/>
                <w:szCs w:val="18"/>
              </w:rPr>
            </w:pPr>
            <w:r>
              <w:rPr>
                <w:rFonts w:ascii="宋体" w:hAnsi="宋体" w:cs="宋体" w:eastAsia="宋体" w:hint="default"/>
                <w:sz w:val="18"/>
                <w:szCs w:val="18"/>
              </w:rPr>
              <w:t>业竞争的承 诺、关于规 范关联交易</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384" w:right="22"/>
              <w:jc w:val="both"/>
              <w:rPr>
                <w:rFonts w:ascii="宋体" w:hAnsi="宋体" w:cs="宋体" w:eastAsia="宋体" w:hint="default"/>
                <w:sz w:val="18"/>
                <w:szCs w:val="18"/>
              </w:rPr>
            </w:pPr>
            <w:r>
              <w:rPr>
                <w:rFonts w:ascii="宋体" w:hAnsi="宋体" w:cs="宋体" w:eastAsia="宋体" w:hint="default"/>
                <w:sz w:val="18"/>
                <w:szCs w:val="18"/>
              </w:rPr>
              <w:t>本人之全资、控股子企业目前不拥有及 经营任何在商业上与光环新网正在经营 </w:t>
            </w:r>
            <w:r>
              <w:rPr>
                <w:rFonts w:ascii="宋体" w:hAnsi="宋体" w:cs="宋体" w:eastAsia="宋体" w:hint="default"/>
                <w:spacing w:val="-2"/>
                <w:sz w:val="18"/>
                <w:szCs w:val="18"/>
              </w:rPr>
              <w:t>的业务有直接竞争的业务。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、本人承诺</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314"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32"/>
              <w:jc w:val="center"/>
              <w:rPr>
                <w:rFonts w:ascii="宋体" w:hAnsi="宋体" w:cs="宋体" w:eastAsia="宋体" w:hint="default"/>
                <w:sz w:val="18"/>
                <w:szCs w:val="18"/>
              </w:rPr>
            </w:pPr>
            <w:r>
              <w:rPr>
                <w:rFonts w:ascii="宋体" w:hAnsi="宋体" w:cs="宋体" w:eastAsia="宋体" w:hint="default"/>
                <w:sz w:val="18"/>
                <w:szCs w:val="18"/>
              </w:rPr>
              <w:t>的承诺、关</w:t>
            </w: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本人本身、并且本人必将通过法律程序</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755005pt;margin-top:92.665985pt;width:91.4pt;height:674.85pt;mso-position-horizontal-relative:page;mso-position-vertical-relative:page;z-index:-1239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ind w:left="0" w:right="0"/>
                    <w:jc w:val="left"/>
                  </w:pPr>
                  <w:r>
                    <w:rPr/>
                    <w:t>司的董事、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于保持上市</w:t>
            </w: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使本人之全资、控股子企业将来均不从</w:t>
            </w:r>
          </w:p>
        </w:tc>
        <w:tc>
          <w:tcPr>
            <w:tcW w:w="991" w:type="dxa"/>
            <w:vMerge w:val="restart"/>
            <w:tcBorders>
              <w:top w:val="single" w:sz="4" w:space="0" w:color="000000"/>
              <w:left w:val="single" w:sz="4" w:space="0" w:color="000000"/>
              <w:right w:val="single" w:sz="4" w:space="0" w:color="000000"/>
            </w:tcBorders>
          </w:tcPr>
          <w:p>
            <w:pPr>
              <w:pStyle w:val="TableParagraph"/>
              <w:spacing w:line="13496"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9"/>
                <w:sz w:val="20"/>
                <w:szCs w:val="20"/>
              </w:rPr>
              <w:pict>
                <v:group style="width:49.2pt;height:674.85pt;mso-position-horizontal-relative:char;mso-position-vertical-relative:line" coordorigin="0,0" coordsize="984,13497">
                  <v:group style="position:absolute;left:0;top:0;width:984;height:13497" coordorigin="0,0" coordsize="984,13497">
                    <v:shape style="position:absolute;left:0;top:0;width:984;height:13497" coordorigin="0,0" coordsize="984,13497" path="m0,13497l984,13497,984,0,0,0,0,13497xe" filled="true" fillcolor="#ffffff" stroked="false">
                      <v:path arrowok="t"/>
                      <v:fill type="solid"/>
                    </v:shape>
                  </v:group>
                </v:group>
              </w:pict>
            </w:r>
            <w:r>
              <w:rPr>
                <w:rFonts w:ascii="Times New Roman" w:hAnsi="Times New Roman" w:cs="Times New Roman" w:eastAsia="Times New Roman" w:hint="default"/>
                <w:position w:val="-269"/>
                <w:sz w:val="20"/>
                <w:szCs w:val="20"/>
              </w:rPr>
            </w:r>
          </w:p>
        </w:tc>
        <w:tc>
          <w:tcPr>
            <w:tcW w:w="994" w:type="dxa"/>
            <w:vMerge w:val="restart"/>
            <w:tcBorders>
              <w:top w:val="single" w:sz="4" w:space="0" w:color="000000"/>
              <w:left w:val="single" w:sz="4" w:space="0" w:color="000000"/>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公司独立性</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事任何在商业上与光环新网正在经营的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hAnsi="宋体" w:cs="宋体" w:eastAsia="宋体" w:hint="default"/>
                <w:spacing w:val="-2"/>
                <w:sz w:val="18"/>
                <w:szCs w:val="18"/>
              </w:rPr>
              <w:t>业务有直接竞争的业务。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、如本人（包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括受本人控制的子企业或其他关联企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业）将来经营的产品或服务与光环新网</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的主营产品或服务有可能形成竞争，本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人同意光环新网有权优先收购本人与该</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等产品或服务有关的资产或本人在子企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2"/>
                <w:sz w:val="18"/>
                <w:szCs w:val="18"/>
              </w:rPr>
              <w:t>业中的全部股权。</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、如因本人未履行在</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本承诺函中所作的承诺给光环新网造成</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损失的，本人将赔偿光环新网的实际损</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3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36"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宋体" w:hAnsi="宋体" w:cs="宋体" w:eastAsia="宋体" w:hint="default"/>
                <w:sz w:val="18"/>
                <w:szCs w:val="18"/>
              </w:rPr>
            </w:pPr>
            <w:r>
              <w:rPr>
                <w:rFonts w:ascii="宋体" w:hAnsi="宋体" w:cs="宋体" w:eastAsia="宋体" w:hint="default"/>
                <w:spacing w:val="-2"/>
                <w:sz w:val="18"/>
                <w:szCs w:val="18"/>
              </w:rPr>
              <w:t>二、关于规范关联交易的承诺：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、尽量避免</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或减少与上市公司及其下属子公司之间</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的关联交易；</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、对于无法避免或有合</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理理由存在的关联交易，将与上市公司</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依法签订规范的关联交易协议，并按照</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有关法律、法规、规章、其他规范性文</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件和公司章程的规定履行批准程序；关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联交易价格按照市场原则确定，保证关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联交易价格具有公允性；保证按照有关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法律、法规、规章、其他规范性文件和</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公司章程的规定履行关联交易的信息披</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2"/>
                <w:sz w:val="18"/>
                <w:szCs w:val="18"/>
              </w:rPr>
              <w:t>露义务；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、保证不利用关联交易非法移</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转上市公司的资金、利润，不利用关联</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交易损害上市公司及非关联股东的利</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3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3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35"/>
              <w:jc w:val="right"/>
              <w:rPr>
                <w:rFonts w:ascii="宋体" w:hAnsi="宋体" w:cs="宋体" w:eastAsia="宋体" w:hint="default"/>
                <w:sz w:val="18"/>
                <w:szCs w:val="18"/>
              </w:rPr>
            </w:pPr>
            <w:r>
              <w:rPr>
                <w:rFonts w:ascii="宋体" w:hAnsi="宋体" w:cs="宋体" w:eastAsia="宋体" w:hint="default"/>
                <w:spacing w:val="-2"/>
                <w:sz w:val="18"/>
                <w:szCs w:val="18"/>
              </w:rPr>
              <w:t>三、关于保持上市公司独立性的承诺：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w:t>
            </w:r>
            <w:r>
              <w:rPr>
                <w:rFonts w:ascii="宋体" w:hAnsi="宋体" w:cs="宋体" w:eastAsia="宋体" w:hint="default"/>
                <w:sz w:val="18"/>
                <w:szCs w:val="18"/>
              </w:rPr>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hAnsi="宋体" w:cs="宋体" w:eastAsia="宋体" w:hint="default"/>
                <w:spacing w:val="-2"/>
                <w:sz w:val="18"/>
                <w:szCs w:val="18"/>
              </w:rPr>
              <w:t>证上市公司人员独立（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）保证上市公司</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的生产经营与行政管理（包括劳动、人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事及薪酬管理等）完全独立于本人控制</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的其他企业</w:t>
            </w:r>
            <w:r>
              <w:rPr>
                <w:rFonts w:ascii="宋体" w:hAnsi="宋体" w:cs="宋体" w:eastAsia="宋体" w:hint="default"/>
                <w:spacing w:val="-10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保证上市公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监事和高级管理人员严格按照《中华人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民共和国公司法》和《公司章程》的有</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关规定产生，保证上市公司的总经理、</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副总经理、财务负责人、董事会秘书等</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高级管理人员均在上市公司专职工作，</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不在本人控制的其他企业担任除董事、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2"/>
                <w:sz w:val="18"/>
                <w:szCs w:val="18"/>
              </w:rPr>
              <w:t>监事以外的职务。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、保证上市公司资产</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hAnsi="宋体" w:cs="宋体" w:eastAsia="宋体" w:hint="default"/>
                <w:spacing w:val="-2"/>
                <w:sz w:val="18"/>
                <w:szCs w:val="18"/>
              </w:rPr>
              <w:t>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）保证上市公司具有与经营有关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的业务体系和相关的独立完整的资产。</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）保证本人控制的其他企业不以任何</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4"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hAnsi="宋体" w:cs="宋体" w:eastAsia="宋体" w:hint="default"/>
                <w:sz w:val="18"/>
                <w:szCs w:val="18"/>
              </w:rPr>
              <w:t>方式违法违规占用上市公司的资金、资</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9.790009pt;margin-top:92.669983pt;width:55.35pt;height:548pt;mso-position-horizontal-relative:page;mso-position-vertical-relative:page;z-index:-1239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2"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）保证不以上市公司的资产为本</w:t>
            </w:r>
          </w:p>
        </w:tc>
        <w:tc>
          <w:tcPr>
            <w:tcW w:w="991" w:type="dxa"/>
            <w:vMerge w:val="restart"/>
            <w:tcBorders>
              <w:top w:val="single" w:sz="4" w:space="0" w:color="000000"/>
              <w:left w:val="single" w:sz="4" w:space="0" w:color="000000"/>
              <w:right w:val="single" w:sz="4" w:space="0" w:color="000000"/>
            </w:tcBorders>
          </w:tcPr>
          <w:p>
            <w:pPr>
              <w:pStyle w:val="TableParagraph"/>
              <w:spacing w:line="10959"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8"/>
                <w:sz w:val="20"/>
                <w:szCs w:val="20"/>
              </w:rPr>
              <w:pict>
                <v:group style="width:49.2pt;height:548pt;mso-position-horizontal-relative:char;mso-position-vertical-relative:line" coordorigin="0,0" coordsize="984,10960">
                  <v:group style="position:absolute;left:0;top:0;width:984;height:10960" coordorigin="0,0" coordsize="984,10960">
                    <v:shape style="position:absolute;left:0;top:0;width:984;height:10960" coordorigin="0,0" coordsize="984,10960" path="m0,10960l984,10960,984,0,0,0,0,10960xe" filled="true" fillcolor="#ffffff" stroked="false">
                      <v:path arrowok="t"/>
                      <v:fill type="solid"/>
                    </v:shape>
                  </v:group>
                </v:group>
              </w:pict>
            </w:r>
            <w:r>
              <w:rPr>
                <w:rFonts w:ascii="Times New Roman" w:hAnsi="Times New Roman" w:cs="Times New Roman" w:eastAsia="Times New Roman" w:hint="default"/>
                <w:position w:val="-218"/>
                <w:sz w:val="20"/>
                <w:szCs w:val="20"/>
              </w:rPr>
            </w:r>
          </w:p>
        </w:tc>
        <w:tc>
          <w:tcPr>
            <w:tcW w:w="994" w:type="dxa"/>
            <w:vMerge w:val="restart"/>
            <w:tcBorders>
              <w:top w:val="single" w:sz="4" w:space="0" w:color="000000"/>
              <w:left w:val="single" w:sz="4" w:space="0" w:color="000000"/>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人控制的其他企业的债务违规提供担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）保证上市公司的住所独立于本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pacing w:val="-2"/>
                <w:sz w:val="18"/>
                <w:szCs w:val="18"/>
              </w:rPr>
              <w:t>人控制的其他企业。</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、保证上市公司财</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pacing w:val="-2"/>
                <w:sz w:val="18"/>
                <w:szCs w:val="18"/>
              </w:rPr>
              <w:t>务独立（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）保证上市公司建立独立的财</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务部门和独立的财务核算体系，具有规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范、独立的财务核算制度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）保证上</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市公司独立在银行开户，不和本人控制</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的其他企业共用银行账户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）保证上</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市公司的财务人员不在本人控制的其他</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企业兼职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）保证上市公司依法独立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84" w:right="0"/>
              <w:jc w:val="left"/>
              <w:rPr>
                <w:rFonts w:ascii="宋体" w:hAnsi="宋体" w:cs="宋体" w:eastAsia="宋体" w:hint="default"/>
                <w:sz w:val="18"/>
                <w:szCs w:val="18"/>
              </w:rPr>
            </w:pPr>
            <w:r>
              <w:rPr>
                <w:rFonts w:ascii="宋体" w:hAnsi="宋体" w:cs="宋体" w:eastAsia="宋体" w:hint="default"/>
                <w:sz w:val="18"/>
                <w:szCs w:val="18"/>
              </w:rPr>
              <w:t>纳税</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）保障上市公司能够独立作出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财务决策，本公司不干预上市公司的资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、保证上市公司机构独立（</w:t>
            </w:r>
            <w:r>
              <w:rPr>
                <w:rFonts w:ascii="Times New Roman" w:hAnsi="Times New Roman" w:cs="Times New Roman" w:eastAsia="Times New Roman" w:hint="default"/>
                <w:sz w:val="18"/>
                <w:szCs w:val="18"/>
              </w:rPr>
              <w:t>1</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保证上市公司依法建立健全股份公司法</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人治理结构，拥有独立、完整的组织机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构，与本人控制的其他企业间不存在机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构混同的情形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）保证上市公司的股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东大会、董事会、独立董事、监事、总</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经理等依照法律、法规和公司章程独立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行使职权。</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、保证上市公司业务独立（</w:t>
            </w:r>
            <w:r>
              <w:rPr>
                <w:rFonts w:ascii="Times New Roman" w:hAnsi="Times New Roman" w:cs="Times New Roman" w:eastAsia="Times New Roman" w:hint="default"/>
                <w:spacing w:val="-11"/>
                <w:sz w:val="18"/>
                <w:szCs w:val="18"/>
              </w:rPr>
              <w:t>1</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保证上市公司拥有独立开展经营活动的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资产、人员、资质和能力，具有面向市</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场独立自主持续经营的能力</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）保证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本公司除通过下属子公司行使股东权利</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之外，不对上市公司的业务活动进行干</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）保证本人控制的其他企业避免</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从事与上市公司具有实质性竞争的业</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）保证尽量减少本人控制的其他</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z w:val="18"/>
                <w:szCs w:val="18"/>
              </w:rPr>
              <w:t>企业与上市公司的关联交易；在进行确</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有必要且无法避免的关联交易时，保证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按照市场化原则和公允价格进行公平操</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作，并按相关法律法规和规范性文件的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规定履行关联交易决策程序及信息披露</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58"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义务。</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r>
      <w:tr>
        <w:trPr>
          <w:trHeight w:val="1339"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天图投 资、利扬 盛达、徐 庆良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因本次重大资产重组取得的上市公司股份自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个月内将不以任何方式转让， 包括但不限于通过证券市场公开转让或通过 协议方式转让。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股份锁定期限 </w:t>
            </w:r>
            <w:r>
              <w:rPr>
                <w:rFonts w:ascii="宋体" w:hAnsi="宋体" w:cs="宋体" w:eastAsia="宋体" w:hint="default"/>
                <w:spacing w:val="-3"/>
                <w:sz w:val="18"/>
                <w:szCs w:val="18"/>
              </w:rPr>
              <w:t>届满，承诺事项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履行完毕。</w:t>
            </w:r>
          </w:p>
        </w:tc>
      </w:tr>
      <w:tr>
        <w:trPr>
          <w:trHeight w:val="1025"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5"/>
              <w:jc w:val="right"/>
              <w:rPr>
                <w:rFonts w:ascii="宋体" w:hAnsi="宋体" w:cs="宋体" w:eastAsia="宋体" w:hint="default"/>
                <w:sz w:val="18"/>
                <w:szCs w:val="18"/>
              </w:rPr>
            </w:pPr>
            <w:r>
              <w:rPr>
                <w:rFonts w:ascii="宋体" w:hAnsi="宋体" w:cs="宋体" w:eastAsia="宋体" w:hint="default"/>
                <w:sz w:val="18"/>
                <w:szCs w:val="18"/>
              </w:rPr>
              <w:t>中金盛世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8"/>
              <w:ind w:left="24" w:right="19"/>
              <w:jc w:val="left"/>
              <w:rPr>
                <w:rFonts w:ascii="宋体" w:hAnsi="宋体" w:cs="宋体" w:eastAsia="宋体" w:hint="default"/>
                <w:sz w:val="18"/>
                <w:szCs w:val="18"/>
              </w:rPr>
            </w:pPr>
            <w:r>
              <w:rPr>
                <w:rFonts w:ascii="宋体" w:hAnsi="宋体" w:cs="宋体" w:eastAsia="宋体" w:hint="default"/>
                <w:sz w:val="18"/>
                <w:szCs w:val="18"/>
              </w:rPr>
              <w:t>因本次重大资产重组取得的股份自上市之日 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个月内将不以任何方式转让，包括但不 限于通过证券市场公开转让或通过协议方式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8"/>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股份锁定期限 </w:t>
            </w:r>
            <w:r>
              <w:rPr>
                <w:rFonts w:ascii="宋体" w:hAnsi="宋体" w:cs="宋体" w:eastAsia="宋体" w:hint="default"/>
                <w:spacing w:val="-3"/>
                <w:sz w:val="18"/>
                <w:szCs w:val="18"/>
              </w:rPr>
              <w:t>届满，且中金云</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603"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转让。在此基础上，为增强利润补偿的可操 作性和可实现性，中金盛世所持股份按以下 </w:t>
            </w:r>
            <w:r>
              <w:rPr>
                <w:rFonts w:ascii="宋体" w:hAnsi="宋体" w:cs="宋体" w:eastAsia="宋体" w:hint="default"/>
                <w:spacing w:val="-5"/>
                <w:sz w:val="18"/>
                <w:szCs w:val="18"/>
              </w:rPr>
              <w:t>节奏解除限售：（</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）第一期股份应于本次发</w:t>
            </w:r>
            <w:r>
              <w:rPr>
                <w:rFonts w:ascii="宋体" w:hAnsi="宋体" w:cs="宋体" w:eastAsia="宋体" w:hint="default"/>
                <w:spacing w:val="-81"/>
                <w:sz w:val="18"/>
                <w:szCs w:val="18"/>
              </w:rPr>
              <w:t> </w:t>
            </w:r>
            <w:r>
              <w:rPr>
                <w:rFonts w:ascii="宋体" w:hAnsi="宋体" w:cs="宋体" w:eastAsia="宋体" w:hint="default"/>
                <w:sz w:val="18"/>
                <w:szCs w:val="18"/>
              </w:rPr>
              <w:t>行的股份上市满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个月且根据标的公司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p>
          <w:p>
            <w:pPr>
              <w:pStyle w:val="TableParagraph"/>
              <w:spacing w:line="304" w:lineRule="auto" w:before="3"/>
              <w:ind w:left="24" w:right="19"/>
              <w:jc w:val="left"/>
              <w:rPr>
                <w:rFonts w:ascii="宋体" w:hAnsi="宋体" w:cs="宋体" w:eastAsia="宋体" w:hint="default"/>
                <w:sz w:val="18"/>
                <w:szCs w:val="18"/>
              </w:rPr>
            </w:pPr>
            <w:r>
              <w:rPr>
                <w:rFonts w:ascii="宋体" w:hAnsi="宋体" w:cs="宋体" w:eastAsia="宋体" w:hint="default"/>
                <w:sz w:val="18"/>
                <w:szCs w:val="18"/>
              </w:rPr>
              <w:t>年度盈利专项审核报告确认实现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年度承 诺净利润或完成利润补偿后解除限售，解除 限售的股份数量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通过本次发行获得的股份 总数</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年度补偿股份数量；（</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）第</w:t>
            </w:r>
            <w:r>
              <w:rPr>
                <w:rFonts w:ascii="宋体" w:hAnsi="宋体" w:cs="宋体" w:eastAsia="宋体" w:hint="default"/>
                <w:spacing w:val="-24"/>
                <w:sz w:val="18"/>
                <w:szCs w:val="18"/>
              </w:rPr>
              <w:t> </w:t>
            </w:r>
            <w:r>
              <w:rPr>
                <w:rFonts w:ascii="宋体" w:hAnsi="宋体" w:cs="宋体" w:eastAsia="宋体" w:hint="default"/>
                <w:sz w:val="18"/>
                <w:szCs w:val="18"/>
              </w:rPr>
              <w:t>二期股份应于本次发行的股份上市满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w:t>
            </w:r>
          </w:p>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且根据标的公司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年度盈利专项审核报告</w:t>
            </w:r>
          </w:p>
          <w:p>
            <w:pPr>
              <w:pStyle w:val="TableParagraph"/>
              <w:spacing w:line="300" w:lineRule="auto" w:before="63"/>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确认实现</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年度承诺净利润数或完成利润 </w:t>
            </w:r>
            <w:r>
              <w:rPr>
                <w:rFonts w:ascii="宋体" w:hAnsi="宋体" w:cs="宋体" w:eastAsia="宋体" w:hint="default"/>
                <w:spacing w:val="-2"/>
                <w:sz w:val="18"/>
                <w:szCs w:val="18"/>
              </w:rPr>
              <w:t>补偿后解除限售，解除限售的股份数量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通过</w:t>
            </w:r>
            <w:r>
              <w:rPr>
                <w:rFonts w:ascii="宋体" w:hAnsi="宋体" w:cs="宋体" w:eastAsia="宋体" w:hint="default"/>
                <w:spacing w:val="-85"/>
                <w:sz w:val="18"/>
                <w:szCs w:val="18"/>
              </w:rPr>
              <w:t> </w:t>
            </w:r>
            <w:r>
              <w:rPr>
                <w:rFonts w:ascii="宋体" w:hAnsi="宋体" w:cs="宋体" w:eastAsia="宋体" w:hint="default"/>
                <w:sz w:val="18"/>
                <w:szCs w:val="18"/>
              </w:rPr>
              <w:t>本次发行获得的股份总数</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w:t>
            </w:r>
            <w:r>
              <w:rPr>
                <w:rFonts w:ascii="宋体" w:hAnsi="宋体" w:cs="宋体" w:eastAsia="宋体" w:hint="default"/>
                <w:spacing w:val="-5"/>
                <w:sz w:val="18"/>
                <w:szCs w:val="18"/>
              </w:rPr>
              <w:t>补偿股份数量；（</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）第三期股份应于本次发</w:t>
            </w:r>
            <w:r>
              <w:rPr>
                <w:rFonts w:ascii="宋体" w:hAnsi="宋体" w:cs="宋体" w:eastAsia="宋体" w:hint="default"/>
                <w:spacing w:val="-81"/>
                <w:sz w:val="18"/>
                <w:szCs w:val="18"/>
              </w:rPr>
              <w:t> </w:t>
            </w:r>
            <w:r>
              <w:rPr>
                <w:rFonts w:ascii="宋体" w:hAnsi="宋体" w:cs="宋体" w:eastAsia="宋体" w:hint="default"/>
                <w:sz w:val="18"/>
                <w:szCs w:val="18"/>
              </w:rPr>
              <w:t>行的股份上市满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个月且根据标的公司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2018</w:t>
            </w:r>
          </w:p>
          <w:p>
            <w:pPr>
              <w:pStyle w:val="TableParagraph"/>
              <w:spacing w:line="309"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年度盈利专项审核报告确认实现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年度承 诺净利润数且标的公司《减值测试报告》确 认没有减值或完成利润及减值补偿后解除限 </w:t>
            </w:r>
            <w:r>
              <w:rPr>
                <w:rFonts w:ascii="宋体" w:hAnsi="宋体" w:cs="宋体" w:eastAsia="宋体" w:hint="default"/>
                <w:spacing w:val="-2"/>
                <w:sz w:val="18"/>
                <w:szCs w:val="18"/>
              </w:rPr>
              <w:t>售，解除限售的股份数量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通过本次发行获得</w:t>
            </w:r>
            <w:r>
              <w:rPr>
                <w:rFonts w:ascii="宋体" w:hAnsi="宋体" w:cs="宋体" w:eastAsia="宋体" w:hint="default"/>
                <w:spacing w:val="-85"/>
                <w:sz w:val="18"/>
                <w:szCs w:val="18"/>
              </w:rPr>
              <w:t> </w:t>
            </w:r>
            <w:r>
              <w:rPr>
                <w:rFonts w:ascii="宋体" w:hAnsi="宋体" w:cs="宋体" w:eastAsia="宋体" w:hint="default"/>
                <w:sz w:val="18"/>
                <w:szCs w:val="18"/>
              </w:rPr>
              <w:t>的股份总数</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年度补偿股份数量</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－减值测试补偿股份数量。</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3"/>
              <w:jc w:val="left"/>
              <w:rPr>
                <w:rFonts w:ascii="宋体" w:hAnsi="宋体" w:cs="宋体" w:eastAsia="宋体" w:hint="default"/>
                <w:sz w:val="18"/>
                <w:szCs w:val="18"/>
              </w:rPr>
            </w:pPr>
            <w:r>
              <w:rPr>
                <w:rFonts w:ascii="宋体" w:hAnsi="宋体" w:cs="宋体" w:eastAsia="宋体" w:hint="default"/>
                <w:sz w:val="18"/>
                <w:szCs w:val="18"/>
              </w:rPr>
              <w:t>网三年业绩承 </w:t>
            </w:r>
            <w:r>
              <w:rPr>
                <w:rFonts w:ascii="宋体" w:hAnsi="宋体" w:cs="宋体" w:eastAsia="宋体" w:hint="default"/>
                <w:spacing w:val="-3"/>
                <w:sz w:val="18"/>
                <w:szCs w:val="18"/>
              </w:rPr>
              <w:t>诺，承诺事项履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行完毕。</w:t>
            </w:r>
          </w:p>
        </w:tc>
      </w:tr>
      <w:tr>
        <w:trPr>
          <w:trHeight w:val="6915"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卓程达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因本次重大资产重组取得的股份自上市之日 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个月内将不以任何方式转让，包括但不 限于通过证券市场公开转让或通过协议方式 转让。在此基础上，为增强盈利预测补偿的 可操作性和可实现性，卓程达所持股份按以 </w:t>
            </w:r>
            <w:r>
              <w:rPr>
                <w:rFonts w:ascii="宋体" w:hAnsi="宋体" w:cs="宋体" w:eastAsia="宋体" w:hint="default"/>
                <w:spacing w:val="-5"/>
                <w:sz w:val="18"/>
                <w:szCs w:val="18"/>
              </w:rPr>
              <w:t>下节奏解除限售：（</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）第一期股份应于本次</w:t>
            </w:r>
            <w:r>
              <w:rPr>
                <w:rFonts w:ascii="宋体" w:hAnsi="宋体" w:cs="宋体" w:eastAsia="宋体" w:hint="default"/>
                <w:spacing w:val="-81"/>
                <w:sz w:val="18"/>
                <w:szCs w:val="18"/>
              </w:rPr>
              <w:t> </w:t>
            </w:r>
            <w:r>
              <w:rPr>
                <w:rFonts w:ascii="宋体" w:hAnsi="宋体" w:cs="宋体" w:eastAsia="宋体" w:hint="default"/>
                <w:sz w:val="18"/>
                <w:szCs w:val="18"/>
              </w:rPr>
              <w:t>发行的股份上市满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个月且根据标的公司</w:t>
            </w:r>
          </w:p>
          <w:p>
            <w:pPr>
              <w:pStyle w:val="TableParagraph"/>
              <w:spacing w:line="307" w:lineRule="auto" w:before="3"/>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年度盈利专项审核报告确认实现</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 度承诺净利润数或完成利润补偿后解除限 售，解除限售的股份数量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通过本次发行获得 的股份总数</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年度补偿股份数量；</w:t>
            </w:r>
          </w:p>
          <w:p>
            <w:pPr>
              <w:pStyle w:val="TableParagraph"/>
              <w:spacing w:line="304" w:lineRule="auto" w:before="7"/>
              <w:ind w:left="24" w:right="14"/>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）第二期股份应于本次发行的股份上市满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个月且根据标的公司</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年度盈利专项审 核报告确认标的公司实现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年度承诺净利 润数或完成利润补偿后解除限售，解除限售 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通过本次发行获得的股份总数</w:t>
            </w:r>
          </w:p>
          <w:p>
            <w:pPr>
              <w:pStyle w:val="TableParagraph"/>
              <w:spacing w:line="300" w:lineRule="auto" w:before="9"/>
              <w:ind w:left="24" w:right="12" w:firstLine="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pacing w:val="-10"/>
                <w:sz w:val="18"/>
                <w:szCs w:val="18"/>
              </w:rPr>
              <w:t>年度补偿股份数量；（</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）第三期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股份应于本次发行的股份上市满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个月且根</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据标的公司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年度盈利专项审核报告确认</w:t>
            </w:r>
          </w:p>
          <w:p>
            <w:pPr>
              <w:pStyle w:val="TableParagraph"/>
              <w:spacing w:line="309" w:lineRule="auto" w:before="63"/>
              <w:ind w:left="24" w:right="15"/>
              <w:jc w:val="left"/>
              <w:rPr>
                <w:rFonts w:ascii="宋体" w:hAnsi="宋体" w:cs="宋体" w:eastAsia="宋体" w:hint="default"/>
                <w:sz w:val="18"/>
                <w:szCs w:val="18"/>
              </w:rPr>
            </w:pPr>
            <w:r>
              <w:rPr>
                <w:rFonts w:ascii="宋体" w:hAnsi="宋体" w:cs="宋体" w:eastAsia="宋体" w:hint="default"/>
                <w:sz w:val="18"/>
                <w:szCs w:val="18"/>
              </w:rPr>
              <w:t>标的公司实现</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年度承诺净利润数且标的 公司《减值测试报告》确认没有减值或完成 利润及减值补偿后解除限售，解除限售的股</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4"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股份锁定期限 </w:t>
            </w:r>
            <w:r>
              <w:rPr>
                <w:rFonts w:ascii="宋体" w:hAnsi="宋体" w:cs="宋体" w:eastAsia="宋体" w:hint="default"/>
                <w:spacing w:val="-3"/>
                <w:sz w:val="18"/>
                <w:szCs w:val="18"/>
              </w:rPr>
              <w:t>届满，且中金云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网三年业绩承 </w:t>
            </w:r>
            <w:r>
              <w:rPr>
                <w:rFonts w:ascii="宋体" w:hAnsi="宋体" w:cs="宋体" w:eastAsia="宋体" w:hint="default"/>
                <w:spacing w:val="-3"/>
                <w:sz w:val="18"/>
                <w:szCs w:val="18"/>
              </w:rPr>
              <w:t>诺，承诺事项履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行完毕。</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5.790009pt;margin-top:356.569977pt;width:109.35pt;height:179.45pt;mso-position-horizontal-relative:page;mso-position-vertical-relative:page;z-index:-1239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3"/>
                    <w:ind w:left="0" w:right="0"/>
                    <w:jc w:val="left"/>
                  </w:pPr>
                  <w:r>
                    <w:rPr/>
                    <w:t>减值测试报告》</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86"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通过本次发行获得的股份总数</w:t>
            </w:r>
            <w:r>
              <w:rPr>
                <w:rFonts w:ascii="Times New Roman" w:hAnsi="Times New Roman" w:cs="Times New Roman" w:eastAsia="Times New Roman" w:hint="default"/>
                <w:sz w:val="18"/>
                <w:szCs w:val="18"/>
              </w:rPr>
              <w:t>×38%</w:t>
            </w:r>
          </w:p>
          <w:p>
            <w:pPr>
              <w:pStyle w:val="TableParagraph"/>
              <w:spacing w:line="300" w:lineRule="auto" w:before="63"/>
              <w:ind w:left="24"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年度补偿股份数量－减值测试补偿股 份数量。</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7892"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杨雨、利 源顶盛、 宇扬锦 </w:t>
            </w:r>
            <w:r>
              <w:rPr>
                <w:rFonts w:ascii="宋体" w:hAnsi="宋体" w:cs="宋体" w:eastAsia="宋体" w:hint="default"/>
                <w:spacing w:val="-11"/>
                <w:sz w:val="18"/>
                <w:szCs w:val="18"/>
              </w:rPr>
              <w:t>达、陈静、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郑善伟、</w:t>
            </w:r>
            <w:r>
              <w:rPr>
                <w:rFonts w:ascii="宋体" w:hAnsi="宋体" w:cs="宋体" w:eastAsia="宋体" w:hint="default"/>
                <w:sz w:val="18"/>
                <w:szCs w:val="18"/>
              </w:rPr>
              <w:t> 唐征卫、 申海山、 许小平</w:t>
            </w:r>
          </w:p>
        </w:tc>
        <w:tc>
          <w:tcPr>
            <w:tcW w:w="99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6" w:right="56"/>
              <w:jc w:val="left"/>
              <w:rPr>
                <w:rFonts w:ascii="宋体" w:hAnsi="宋体" w:cs="宋体" w:eastAsia="宋体" w:hint="default"/>
                <w:sz w:val="18"/>
                <w:szCs w:val="18"/>
              </w:rPr>
            </w:pPr>
            <w:r>
              <w:rPr>
                <w:rFonts w:ascii="宋体" w:hAnsi="宋体" w:cs="宋体" w:eastAsia="宋体" w:hint="default"/>
                <w:sz w:val="18"/>
                <w:szCs w:val="18"/>
              </w:rPr>
              <w:t>股份锁定承 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35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85pt;height:17.650pt;mso-position-horizontal-relative:char;mso-position-vertical-relative:line" coordorigin="0,0" coordsize="937,353">
                  <v:group style="position:absolute;left:0;top:0;width:937;height:353" coordorigin="0,0" coordsize="937,353">
                    <v:shape style="position:absolute;left:0;top:0;width:937;height:353" coordorigin="0,0" coordsize="937,353" path="m0,353l936,353,93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因本次重大资产重组取得的上市公司股份自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个月内将不以任何方式转让， 包括但不限于通过证券市场公开转让或通过 协议方式转让。在此基础上，为增强利润预 测补偿的可操作性和可实现性，上述各方所 </w:t>
            </w:r>
            <w:r>
              <w:rPr>
                <w:rFonts w:ascii="宋体" w:hAnsi="宋体" w:cs="宋体" w:eastAsia="宋体" w:hint="default"/>
                <w:spacing w:val="-5"/>
                <w:sz w:val="18"/>
                <w:szCs w:val="18"/>
              </w:rPr>
              <w:t>持股份按以下节奏解除限售：（</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）第一期股</w:t>
            </w:r>
            <w:r>
              <w:rPr>
                <w:rFonts w:ascii="宋体" w:hAnsi="宋体" w:cs="宋体" w:eastAsia="宋体" w:hint="default"/>
                <w:spacing w:val="-79"/>
                <w:sz w:val="18"/>
                <w:szCs w:val="18"/>
              </w:rPr>
              <w:t> </w:t>
            </w:r>
            <w:r>
              <w:rPr>
                <w:rFonts w:ascii="宋体" w:hAnsi="宋体" w:cs="宋体" w:eastAsia="宋体" w:hint="default"/>
                <w:sz w:val="18"/>
                <w:szCs w:val="18"/>
              </w:rPr>
              <w:t>份应于本次发行的股份上市满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个月且根据</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标的公司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年度盈利专项审核报告确认标</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的公司实现</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年度承诺净利润数或完成利 </w:t>
            </w:r>
            <w:r>
              <w:rPr>
                <w:rFonts w:ascii="宋体" w:hAnsi="宋体" w:cs="宋体" w:eastAsia="宋体" w:hint="default"/>
                <w:spacing w:val="-2"/>
                <w:sz w:val="18"/>
                <w:szCs w:val="18"/>
              </w:rPr>
              <w:t>润补偿后解除限售，解除限售的股份数量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w:t>
            </w:r>
            <w:r>
              <w:rPr>
                <w:rFonts w:ascii="宋体" w:hAnsi="宋体" w:cs="宋体" w:eastAsia="宋体" w:hint="default"/>
                <w:spacing w:val="-85"/>
                <w:sz w:val="18"/>
                <w:szCs w:val="18"/>
              </w:rPr>
              <w:t> </w:t>
            </w:r>
            <w:r>
              <w:rPr>
                <w:rFonts w:ascii="宋体" w:hAnsi="宋体" w:cs="宋体" w:eastAsia="宋体" w:hint="default"/>
                <w:sz w:val="18"/>
                <w:szCs w:val="18"/>
              </w:rPr>
              <w:t>过本次发行获得的股份总数</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度补偿股份数量；（</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）第二期股份应于本次</w:t>
            </w:r>
            <w:r>
              <w:rPr>
                <w:rFonts w:ascii="宋体" w:hAnsi="宋体" w:cs="宋体" w:eastAsia="宋体" w:hint="default"/>
                <w:spacing w:val="-81"/>
                <w:sz w:val="18"/>
                <w:szCs w:val="18"/>
              </w:rPr>
              <w:t> </w:t>
            </w:r>
            <w:r>
              <w:rPr>
                <w:rFonts w:ascii="宋体" w:hAnsi="宋体" w:cs="宋体" w:eastAsia="宋体" w:hint="default"/>
                <w:sz w:val="18"/>
                <w:szCs w:val="18"/>
              </w:rPr>
              <w:t>发行的股份上市满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个月且根据标的公司</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年度盈利专项审核报告确认标的公司实</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年度承诺净利润数或完成利润补偿后 </w:t>
            </w:r>
            <w:r>
              <w:rPr>
                <w:rFonts w:ascii="宋体" w:hAnsi="宋体" w:cs="宋体" w:eastAsia="宋体" w:hint="default"/>
                <w:spacing w:val="-2"/>
                <w:sz w:val="18"/>
                <w:szCs w:val="18"/>
              </w:rPr>
              <w:t>解除限售，解除限售的股份数量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通过本次发</w:t>
            </w:r>
            <w:r>
              <w:rPr>
                <w:rFonts w:ascii="宋体" w:hAnsi="宋体" w:cs="宋体" w:eastAsia="宋体" w:hint="default"/>
                <w:spacing w:val="-85"/>
                <w:sz w:val="18"/>
                <w:szCs w:val="18"/>
              </w:rPr>
              <w:t> </w:t>
            </w:r>
            <w:r>
              <w:rPr>
                <w:rFonts w:ascii="宋体" w:hAnsi="宋体" w:cs="宋体" w:eastAsia="宋体" w:hint="default"/>
                <w:sz w:val="18"/>
                <w:szCs w:val="18"/>
              </w:rPr>
              <w:t>行获得的股份总数</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年度补偿股 </w:t>
            </w:r>
            <w:r>
              <w:rPr>
                <w:rFonts w:ascii="宋体" w:hAnsi="宋体" w:cs="宋体" w:eastAsia="宋体" w:hint="default"/>
                <w:spacing w:val="-5"/>
                <w:sz w:val="18"/>
                <w:szCs w:val="18"/>
              </w:rPr>
              <w:t>份数量；（</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）第三期股份应于本次发行的股</w:t>
            </w:r>
            <w:r>
              <w:rPr>
                <w:rFonts w:ascii="宋体" w:hAnsi="宋体" w:cs="宋体" w:eastAsia="宋体" w:hint="default"/>
                <w:spacing w:val="-81"/>
                <w:sz w:val="18"/>
                <w:szCs w:val="18"/>
              </w:rPr>
              <w:t> </w:t>
            </w:r>
            <w:r>
              <w:rPr>
                <w:rFonts w:ascii="宋体" w:hAnsi="宋体" w:cs="宋体" w:eastAsia="宋体" w:hint="default"/>
                <w:sz w:val="18"/>
                <w:szCs w:val="18"/>
              </w:rPr>
              <w:t>份上市满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个月且根据标的公司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7"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盈利专项审核报告确认标的公司实现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 度承诺净利润数且标的公司《 确认没有减值或完成利润及减值补偿后解除 </w:t>
            </w:r>
            <w:r>
              <w:rPr>
                <w:rFonts w:ascii="宋体" w:hAnsi="宋体" w:cs="宋体" w:eastAsia="宋体" w:hint="default"/>
                <w:spacing w:val="-2"/>
                <w:sz w:val="18"/>
                <w:szCs w:val="18"/>
              </w:rPr>
              <w:t>限售，解除限售的股份数量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通过本次发行获</w:t>
            </w:r>
            <w:r>
              <w:rPr>
                <w:rFonts w:ascii="宋体" w:hAnsi="宋体" w:cs="宋体" w:eastAsia="宋体" w:hint="default"/>
                <w:spacing w:val="-85"/>
                <w:sz w:val="18"/>
                <w:szCs w:val="18"/>
              </w:rPr>
              <w:t> </w:t>
            </w:r>
            <w:r>
              <w:rPr>
                <w:rFonts w:ascii="宋体" w:hAnsi="宋体" w:cs="宋体" w:eastAsia="宋体" w:hint="default"/>
                <w:sz w:val="18"/>
                <w:szCs w:val="18"/>
              </w:rPr>
              <w:t>得的股份总数</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年度补偿股份数 量－减值测试补偿股份数量。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358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9.2pt;height:179.45pt;mso-position-horizontal-relative:char;mso-position-vertical-relative:line" coordorigin="0,0" coordsize="984,3589">
                  <v:group style="position:absolute;left:0;top:0;width:984;height:3589" coordorigin="0,0" coordsize="984,3589">
                    <v:shape style="position:absolute;left:0;top:0;width:984;height:3589" coordorigin="0,0" coordsize="984,3589" path="m0,3588l984,3588,984,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股份锁定期限 </w:t>
            </w:r>
            <w:r>
              <w:rPr>
                <w:rFonts w:ascii="宋体" w:hAnsi="宋体" w:cs="宋体" w:eastAsia="宋体" w:hint="default"/>
                <w:spacing w:val="-3"/>
                <w:sz w:val="18"/>
                <w:szCs w:val="18"/>
              </w:rPr>
              <w:t>届满，且中金云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网三年业绩承 </w:t>
            </w:r>
            <w:r>
              <w:rPr>
                <w:rFonts w:ascii="宋体" w:hAnsi="宋体" w:cs="宋体" w:eastAsia="宋体" w:hint="default"/>
                <w:spacing w:val="-3"/>
                <w:sz w:val="18"/>
                <w:szCs w:val="18"/>
              </w:rPr>
              <w:t>诺，承诺事项履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行完毕。</w:t>
            </w:r>
          </w:p>
        </w:tc>
      </w:tr>
      <w:tr>
        <w:trPr>
          <w:trHeight w:val="4419"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中金盛 世、利源 顶盛、卓 程达、利 扬盛达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关于避免同 业竞争的承 诺函；关于 规范关联交 易的承诺函</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、关于避免同业竞争的承诺函：本企业及本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企业的关联方与中金云网业务相关的资产已 全部转让给光环新网，本企业剩余资产与业 务与中金云网不存在同业竞争；自本企业持 有光环新网股份期间以及转让光环新网全部 股份后的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年内，未经光环新网同意，本企 业及本企业的关联方将不直接或间接从事任 何可能与光环新网或和中金云网业务相同、 相似或相竞争的活动，也不直接或间接地在 与光环新网或中金云网业务相同、相似或相 竞争的单位拥有权益（包括但不限于投资、 </w:t>
            </w:r>
            <w:r>
              <w:rPr>
                <w:rFonts w:ascii="宋体" w:hAnsi="宋体" w:cs="宋体" w:eastAsia="宋体" w:hint="default"/>
                <w:spacing w:val="-6"/>
                <w:sz w:val="18"/>
                <w:szCs w:val="18"/>
              </w:rPr>
              <w:t>合作、承包、租赁、委托经营等方式），如获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得的商业机会将与光环新网或和中金云网的 主营业务发生同业竞争或可能发生同业竞争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承诺人成为 光环新网股 东期间以及 减持全部光 环新网股份 后两年内。</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77002pt;margin-top:628.295959pt;width:91.35pt;height:132.6pt;mso-position-horizontal-relative:page;mso-position-vertical-relative:page;z-index:-1239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不公允的、</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148"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2"/>
              <w:jc w:val="both"/>
              <w:rPr>
                <w:rFonts w:ascii="宋体" w:hAnsi="宋体" w:cs="宋体" w:eastAsia="宋体" w:hint="default"/>
                <w:sz w:val="18"/>
                <w:szCs w:val="18"/>
              </w:rPr>
            </w:pPr>
            <w:r>
              <w:rPr>
                <w:rFonts w:ascii="宋体" w:hAnsi="宋体" w:cs="宋体" w:eastAsia="宋体" w:hint="default"/>
                <w:sz w:val="18"/>
                <w:szCs w:val="18"/>
              </w:rPr>
              <w:t>的，本企业将立即通知光环新网，并尽力将 该商业机会给予光环新网，以确保光环新网 利益不受损害。</w:t>
            </w:r>
          </w:p>
          <w:p>
            <w:pPr>
              <w:pStyle w:val="TableParagraph"/>
              <w:spacing w:line="316" w:lineRule="auto" w:before="57"/>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、关于规范关联交易的承诺函：本次交易前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本企业不存在与中金云网未披露的、不公允 的、不合理的关联交易；本次交易后，本企 业将采取有效措施尽量避免与光环新网、中 金云网之间发生关联交易，在进行确有必要 且无法避免的关联交易时，保证按市场化原 则和公允价格进行公平操作，并按相关法律 法规、规范性文件及光环新网公司章程、中 金云网公司章程的规定签署协议、履行决策 程序等。</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5"/>
              <w:jc w:val="both"/>
              <w:rPr>
                <w:rFonts w:ascii="宋体" w:hAnsi="宋体" w:cs="宋体" w:eastAsia="宋体" w:hint="default"/>
                <w:sz w:val="18"/>
                <w:szCs w:val="18"/>
              </w:rPr>
            </w:pPr>
            <w:r>
              <w:rPr>
                <w:rFonts w:ascii="宋体" w:hAnsi="宋体" w:cs="宋体" w:eastAsia="宋体" w:hint="default"/>
                <w:sz w:val="18"/>
                <w:szCs w:val="18"/>
              </w:rPr>
              <w:t>杨雨、王 薇薇、王 绪生、余 红军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6"/>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354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本人在标的公司任职期间及离职后两年内， 不会自己经营或以他人名义直接或间接经营 与标的公司及光环新网相同或相类似的业 务，不会在同标的公司及光环新网存在相同 或者相类似业务的实体担任任何职务或为其 </w:t>
            </w:r>
            <w:r>
              <w:rPr>
                <w:rFonts w:ascii="宋体" w:hAnsi="宋体" w:cs="宋体" w:eastAsia="宋体" w:hint="default"/>
                <w:spacing w:val="-3"/>
                <w:sz w:val="18"/>
                <w:szCs w:val="18"/>
              </w:rPr>
              <w:t>提供任何服务。如本人违反前述不竞争承诺，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本人同意将因违反承诺所获得经营利润、工</w:t>
            </w:r>
            <w:r>
              <w:rPr>
                <w:rFonts w:ascii="宋体" w:hAnsi="宋体" w:cs="宋体" w:eastAsia="宋体" w:hint="default"/>
                <w:sz w:val="18"/>
                <w:szCs w:val="18"/>
              </w:rPr>
              <w:t> 资、报酬等全部收益上缴光环新网，前述赔 偿仍不能弥补光环新网因此遭受的损失的， 本人将另行赔偿光环新网的损失。</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50"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8pt;height:17.55pt;mso-position-horizontal-relative:char;mso-position-vertical-relative:line" coordorigin="0,0" coordsize="936,351">
                  <v:group style="position:absolute;left:0;top:0;width:936;height:351" coordorigin="0,0" coordsize="936,351">
                    <v:shape style="position:absolute;left:0;top:0;width:936;height:351" coordorigin="0,0" coordsize="936,351" path="m0,350l936,350,936,0,0,0,0,350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8"/>
              <w:jc w:val="both"/>
              <w:rPr>
                <w:rFonts w:ascii="宋体" w:hAnsi="宋体" w:cs="宋体" w:eastAsia="宋体" w:hint="default"/>
                <w:sz w:val="18"/>
                <w:szCs w:val="18"/>
              </w:rPr>
            </w:pPr>
            <w:r>
              <w:rPr>
                <w:rFonts w:ascii="宋体" w:hAnsi="宋体" w:cs="宋体" w:eastAsia="宋体" w:hint="default"/>
                <w:sz w:val="18"/>
                <w:szCs w:val="18"/>
              </w:rPr>
              <w:t>承诺人在中 金云网任职 期间及离职 后两年内。</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6020"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施侃、冯 天放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关于避免同 业竞争的承 诺函；关于 规范关联交 易的承诺函</w:t>
            </w:r>
          </w:p>
        </w:tc>
        <w:tc>
          <w:tcPr>
            <w:tcW w:w="354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4"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、关于避免同业竞争的承诺函：本人与无双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科技业务相关的资产已全部转让给光环新 网，本人剩余资产与业务与无双科技不存在 同业竞争；自本人在无双科技任职期间及离 职后两年内，不会自己经营或以他人名义直 接或间接经营与无双科技及光环新网相同或 相类似的业务，不会在同无双科技及光环新 网存在相同或者相类似业务的实体担任任何 职务或为其提供任何服务；如违反前述不竞 争承诺的，应当将其因违反承诺所获得经营 利润、工资、报酬等全部收益上缴光环新网</w:t>
            </w:r>
            <w:r>
              <w:rPr>
                <w:rFonts w:ascii="宋体" w:hAnsi="宋体" w:cs="宋体" w:eastAsia="宋体" w:hint="default"/>
                <w:sz w:val="18"/>
                <w:szCs w:val="18"/>
              </w:rPr>
              <w:t> 前述赔偿仍不能弥补光环新网因此遭受的损 失的，光环新网有权要求违约主体就其遭受 的损失承担赔偿责任。</w:t>
            </w:r>
          </w:p>
          <w:p>
            <w:pPr>
              <w:pStyle w:val="TableParagraph"/>
              <w:spacing w:line="314" w:lineRule="auto" w:before="59"/>
              <w:ind w:left="24"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、关于规范关联交易的承诺函：本次交易前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本人不存在与无双科技未披露的、 不合理的关联交易；本次交易后，本人将采 取有效措施尽量避免与光环新网、无双科技 之间发生关联交易，在进行确有必要且无法</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03" w:lineRule="exact" w:before="60"/>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005"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9"/>
                <w:sz w:val="20"/>
                <w:szCs w:val="20"/>
              </w:rPr>
              <w:pict>
                <v:group style="width:49.2pt;height:150.3pt;mso-position-horizontal-relative:char;mso-position-vertical-relative:line" coordorigin="0,0" coordsize="984,3006">
                  <v:group style="position:absolute;left:0;top:353;width:984;height:2652" coordorigin="0,353" coordsize="984,2652">
                    <v:shape style="position:absolute;left:0;top:353;width:984;height:2652" coordorigin="0,353" coordsize="984,2652" path="m0,3005l984,3005,984,353,0,353,0,3005xe" filled="true" fillcolor="#ffffff" stroked="false">
                      <v:path arrowok="t"/>
                      <v:fill type="solid"/>
                    </v:shape>
                  </v:group>
                  <v:group style="position:absolute;left:24;top:0;width:936;height:354" coordorigin="24,0" coordsize="936,354">
                    <v:shape style="position:absolute;left:24;top:0;width:936;height:354" coordorigin="24,0" coordsize="936,354" path="m24,353l960,353,960,0,24,0,24,353xe" filled="true" fillcolor="#ffffff" stroked="false">
                      <v:path arrowok="t"/>
                      <v:fill type="solid"/>
                    </v:shape>
                  </v:group>
                </v:group>
              </w:pict>
            </w:r>
            <w:r>
              <w:rPr>
                <w:rFonts w:ascii="Times New Roman" w:hAnsi="Times New Roman" w:cs="Times New Roman" w:eastAsia="Times New Roman" w:hint="default"/>
                <w:position w:val="-59"/>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58"/>
              <w:jc w:val="both"/>
              <w:rPr>
                <w:rFonts w:ascii="宋体" w:hAnsi="宋体" w:cs="宋体" w:eastAsia="宋体" w:hint="default"/>
                <w:sz w:val="18"/>
                <w:szCs w:val="18"/>
              </w:rPr>
            </w:pPr>
            <w:r>
              <w:rPr>
                <w:rFonts w:ascii="宋体" w:hAnsi="宋体" w:cs="宋体" w:eastAsia="宋体" w:hint="default"/>
                <w:sz w:val="18"/>
                <w:szCs w:val="18"/>
              </w:rPr>
              <w:t>承诺人在无 双科技任职 期间及离职 后两年内。</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77002pt;margin-top:92.659981pt;width:118.35pt;height:64.3500pt;mso-position-horizontal-relative:page;mso-position-vertical-relative:page;z-index:-1239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履行决策程序等。</w:t>
                  </w:r>
                </w:p>
              </w:txbxContent>
            </v:textbox>
            <w10:wrap type="none"/>
          </v:shape>
        </w:pict>
      </w:r>
      <w:r>
        <w:rPr/>
        <w:pict>
          <v:shape style="position:absolute;margin-left:225.770004pt;margin-top:255.145981pt;width:199.35pt;height:62.45pt;mso-position-horizontal-relative:page;mso-position-vertical-relative:page;z-index:-1239664" type="#_x0000_t202" filled="false" stroked="false">
            <v:textbox inset="0,0,0,0">
              <w:txbxContent>
                <w:p>
                  <w:pPr>
                    <w:spacing w:line="240" w:lineRule="auto" w:before="4"/>
                    <w:rPr>
                      <w:rFonts w:ascii="Times New Roman" w:hAnsi="Times New Roman" w:cs="Times New Roman" w:eastAsia="Times New Roman" w:hint="default"/>
                      <w:sz w:val="24"/>
                      <w:szCs w:val="24"/>
                    </w:rPr>
                  </w:pPr>
                </w:p>
                <w:p>
                  <w:pPr>
                    <w:pStyle w:val="BodyText"/>
                    <w:spacing w:line="240" w:lineRule="auto"/>
                    <w:ind w:left="0" w:right="0"/>
                    <w:jc w:val="left"/>
                  </w:pPr>
                  <w:r>
                    <w:rPr/>
                    <w:t>光环新网在同等条件下有优先购买权；</w:t>
                  </w:r>
                </w:p>
              </w:txbxContent>
            </v:textbox>
            <w10:wrap type="none"/>
          </v:shape>
        </w:pict>
      </w:r>
      <w:r>
        <w:rPr/>
        <w:pict>
          <v:group style="position:absolute;margin-left:375.910004pt;margin-top:255.145981pt;width:49.2pt;height:62.45pt;mso-position-horizontal-relative:page;mso-position-vertical-relative:page;z-index:-1239640" coordorigin="7518,5103" coordsize="984,1249">
            <v:shape style="position:absolute;left:7518;top:5103;width:984;height:1249" coordorigin="7518,5103" coordsize="984,1249" path="m7518,6351l8502,6351,8502,5103,7518,5103,7518,635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避免的关联交易时，保证按市场化原则和公</w:t>
            </w:r>
          </w:p>
        </w:tc>
        <w:tc>
          <w:tcPr>
            <w:tcW w:w="991" w:type="dxa"/>
            <w:vMerge w:val="restart"/>
            <w:tcBorders>
              <w:top w:val="single" w:sz="4" w:space="0" w:color="000000"/>
              <w:left w:val="single" w:sz="4" w:space="0" w:color="000000"/>
              <w:right w:val="single" w:sz="4" w:space="0" w:color="000000"/>
            </w:tcBorders>
          </w:tcPr>
          <w:p>
            <w:pPr>
              <w:pStyle w:val="TableParagraph"/>
              <w:spacing w:line="1286"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49.2pt;height:64.3500pt;mso-position-horizontal-relative:char;mso-position-vertical-relative:line" coordorigin="0,0" coordsize="984,1287">
                  <v:group style="position:absolute;left:0;top:0;width:984;height:1287" coordorigin="0,0" coordsize="984,1287">
                    <v:shape style="position:absolute;left:0;top:0;width:984;height:1287" coordorigin="0,0" coordsize="984,1287" path="m0,1286l984,1286,984,0,0,0,0,1286xe" filled="true" fillcolor="#ffffff" stroked="false">
                      <v:path arrowok="t"/>
                      <v:fill type="solid"/>
                    </v:shape>
                  </v:group>
                </v:group>
              </w:pict>
            </w:r>
            <w:r>
              <w:rPr>
                <w:rFonts w:ascii="Times New Roman" w:hAnsi="Times New Roman" w:cs="Times New Roman" w:eastAsia="Times New Roman" w:hint="default"/>
                <w:position w:val="-25"/>
                <w:sz w:val="20"/>
                <w:szCs w:val="20"/>
              </w:rPr>
            </w:r>
          </w:p>
        </w:tc>
        <w:tc>
          <w:tcPr>
            <w:tcW w:w="994" w:type="dxa"/>
            <w:vMerge w:val="restart"/>
            <w:tcBorders>
              <w:top w:val="single" w:sz="4" w:space="0" w:color="000000"/>
              <w:left w:val="single" w:sz="4" w:space="0" w:color="000000"/>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允价格进行公平操作，并按相关法律法规、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规范性文件及光环新网公司章程、无双科技</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5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公司章程的规定签署协议、</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r>
      <w:tr>
        <w:trPr>
          <w:trHeight w:val="355"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在本人成为光环新网股东期间以及减持光环</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新网全部股份后两年内：本人将促使南京安</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施侃</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关于南京安 与吉信息技 术有限公司 避免同业竞 争的承诺函</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89"/>
              <w:jc w:val="both"/>
              <w:rPr>
                <w:rFonts w:ascii="宋体" w:hAnsi="宋体" w:cs="宋体" w:eastAsia="宋体" w:hint="default"/>
                <w:sz w:val="18"/>
                <w:szCs w:val="18"/>
              </w:rPr>
            </w:pPr>
            <w:r>
              <w:rPr>
                <w:rFonts w:ascii="宋体" w:hAnsi="宋体" w:cs="宋体" w:eastAsia="宋体" w:hint="default"/>
                <w:sz w:val="18"/>
                <w:szCs w:val="18"/>
              </w:rPr>
              <w:t>与吉避免与无双科技及光环新网发生商业上 的直接竞争；在南京安与吉盈利的情况下， 光环新网有权要求按照双方认可的公允价格 收购本人持有的南京安与吉的全部或部分股 权；如本人对外转让所持有的南京安与吉的 股权，</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58"/>
              <w:jc w:val="both"/>
              <w:rPr>
                <w:rFonts w:ascii="宋体" w:hAnsi="宋体" w:cs="宋体" w:eastAsia="宋体" w:hint="default"/>
                <w:sz w:val="18"/>
                <w:szCs w:val="18"/>
              </w:rPr>
            </w:pPr>
            <w:r>
              <w:rPr>
                <w:rFonts w:ascii="宋体" w:hAnsi="宋体" w:cs="宋体" w:eastAsia="宋体" w:hint="default"/>
                <w:sz w:val="18"/>
                <w:szCs w:val="18"/>
              </w:rPr>
              <w:t>承诺人成为 光环新网股 东期间以及 减持全部光 环新网股份 后两年内。</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如本人违反上述承诺给光环新网造成损失</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的，本人将赔偿光环新网的全部损失。</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在中金盛世成为光环新网股东期间以及减持</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光环新网全部股份后两年内，除中金盛世已</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投资的中金数据系统有限责任公司控股的烟</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台中金数据系统有限公司和中金花桥数据系</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统有限公司外，本人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本公司及其下属全资、</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控股子企业将来均不从事任何与中金云网及</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中金数 据、中金 盛世及中 金盛世实 际控制人 杨洁、张 利</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38"/>
              <w:jc w:val="both"/>
              <w:rPr>
                <w:rFonts w:ascii="宋体" w:hAnsi="宋体" w:cs="宋体" w:eastAsia="宋体" w:hint="default"/>
                <w:sz w:val="18"/>
                <w:szCs w:val="18"/>
              </w:rPr>
            </w:pPr>
            <w:r>
              <w:rPr>
                <w:rFonts w:ascii="宋体" w:hAnsi="宋体" w:cs="宋体" w:eastAsia="宋体" w:hint="default"/>
                <w:sz w:val="18"/>
                <w:szCs w:val="18"/>
              </w:rPr>
              <w:t>光环新网相同或类似的业务；本人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 促使烟台中金数据系统有限公司和中金花桥 数据系统有限公司避免与中金云网及光环新 网发生商业上的直接竞争；在烟台中金数据 系统有限公司、中金花桥数据系统有限公司 盈利的情况下，光环新网有权要求按照公允 价格收购中金数据系统有限责任公司持有的 该等公司的全部或部分股权；如中金数据系</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中金盛世成 为光环新网 股东期间以 及减持光环 新网全部股 份后两年 内。</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统有限公司对外转让其所持有的烟台中金数</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据系统有限公司、中金花桥数据系统有限公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司的股权，光环新网在同等条件下有优先购</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买权；如本人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本公司违反上述承诺给光环新</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网造成损失的，本人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本公司将赔偿光环新网</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的全部损失。</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本企业与中金盛世之间目前不存在口头或书</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022"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95"/>
              <w:jc w:val="left"/>
              <w:rPr>
                <w:rFonts w:ascii="宋体" w:hAnsi="宋体" w:cs="宋体" w:eastAsia="宋体" w:hint="default"/>
                <w:sz w:val="18"/>
                <w:szCs w:val="18"/>
              </w:rPr>
            </w:pPr>
            <w:r>
              <w:rPr>
                <w:rFonts w:ascii="宋体" w:hAnsi="宋体" w:cs="宋体" w:eastAsia="宋体" w:hint="default"/>
                <w:sz w:val="18"/>
                <w:szCs w:val="18"/>
              </w:rPr>
              <w:t>利源顶 盛、宇扬 锦达、卓 程达、利 扬盛达</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关于不存在 一致行动安 排的声明与 承诺</w:t>
            </w: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both"/>
              <w:rPr>
                <w:rFonts w:ascii="宋体" w:hAnsi="宋体" w:cs="宋体" w:eastAsia="宋体" w:hint="default"/>
                <w:sz w:val="18"/>
                <w:szCs w:val="18"/>
              </w:rPr>
            </w:pPr>
            <w:r>
              <w:rPr>
                <w:rFonts w:ascii="宋体" w:hAnsi="宋体" w:cs="宋体" w:eastAsia="宋体" w:hint="default"/>
                <w:sz w:val="18"/>
                <w:szCs w:val="18"/>
              </w:rPr>
              <w:t>面的一致行动协议或者其他一致行动安排以 谋求共同扩大上市公司表决权数量；本次交 易完成后也不会互相达成一致行动的合意或 签署一致行动协议或类似安排的协议；本企 业与中金盛世之间不采取一致行动，不通过 协议、其他安排共同扩大所能够支配的上市</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319"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公司表决权数量；本企业将放弃所持上市公</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司股份的表决权。综上，本企业与中金盛世 之间不存在一致行动安排。</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金福沈、 共青城国 创投资管 理合伙企 业（有限 </w:t>
            </w:r>
            <w:r>
              <w:rPr>
                <w:rFonts w:ascii="宋体" w:hAnsi="宋体" w:cs="宋体" w:eastAsia="宋体" w:hint="default"/>
                <w:spacing w:val="-22"/>
                <w:sz w:val="18"/>
                <w:szCs w:val="18"/>
              </w:rPr>
              <w:t>合伙）、光</w:t>
            </w:r>
            <w:r>
              <w:rPr>
                <w:rFonts w:ascii="宋体" w:hAnsi="宋体" w:cs="宋体" w:eastAsia="宋体" w:hint="default"/>
                <w:sz w:val="18"/>
                <w:szCs w:val="18"/>
              </w:rPr>
              <w:t> 环控股有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6"/>
              <w:jc w:val="both"/>
              <w:rPr>
                <w:rFonts w:ascii="宋体" w:hAnsi="宋体" w:cs="宋体" w:eastAsia="宋体" w:hint="default"/>
                <w:sz w:val="18"/>
                <w:szCs w:val="18"/>
              </w:rPr>
            </w:pPr>
            <w:r>
              <w:rPr>
                <w:rFonts w:ascii="宋体" w:hAnsi="宋体" w:cs="宋体" w:eastAsia="宋体" w:hint="default"/>
                <w:sz w:val="18"/>
                <w:szCs w:val="18"/>
              </w:rPr>
              <w:t>业绩承诺及 利润补偿安 排</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光环新网以发行股份和支付现金相结合的方 式购买科信盛彩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的股权，光环控股、共 青城国创、金福沈共同承诺科信盛彩</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 </w:t>
            </w:r>
            <w:r>
              <w:rPr>
                <w:rFonts w:ascii="宋体" w:hAnsi="宋体" w:cs="宋体" w:eastAsia="宋体" w:hint="default"/>
                <w:spacing w:val="-12"/>
                <w:sz w:val="18"/>
                <w:szCs w:val="18"/>
              </w:rPr>
              <w:t>度、</w:t>
            </w:r>
            <w:r>
              <w:rPr>
                <w:rFonts w:ascii="Times New Roman" w:hAnsi="Times New Roman" w:cs="Times New Roman" w:eastAsia="Times New Roman" w:hint="default"/>
                <w:spacing w:val="-12"/>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年度所对应的每年实现 的扣除非经常性损益后归属于母公司所有者 的净利润数分别不低于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9,210.00 </w:t>
            </w:r>
            <w:r>
              <w:rPr>
                <w:rFonts w:ascii="宋体" w:hAnsi="宋体" w:cs="宋体" w:eastAsia="宋体" w:hint="default"/>
                <w:sz w:val="18"/>
                <w:szCs w:val="18"/>
              </w:rPr>
              <w:t>万元、</w:t>
            </w:r>
          </w:p>
          <w:p>
            <w:pPr>
              <w:pStyle w:val="TableParagraph"/>
              <w:spacing w:line="309" w:lineRule="auto" w:before="7"/>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12,420.00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16,100.00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万元。若未实现上 述业绩承诺，承诺人将以现金或股份补偿上 市公司。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3"/>
              <w:jc w:val="left"/>
              <w:rPr>
                <w:rFonts w:ascii="宋体" w:hAnsi="宋体" w:cs="宋体" w:eastAsia="宋体" w:hint="default"/>
                <w:sz w:val="18"/>
                <w:szCs w:val="18"/>
              </w:rPr>
            </w:pPr>
            <w:r>
              <w:rPr>
                <w:rFonts w:ascii="宋体" w:hAnsi="宋体" w:cs="宋体" w:eastAsia="宋体" w:hint="default"/>
                <w:sz w:val="18"/>
                <w:szCs w:val="18"/>
              </w:rPr>
              <w:t>报告期内承诺 人遵守了所做 </w:t>
            </w:r>
            <w:r>
              <w:rPr>
                <w:rFonts w:ascii="宋体" w:hAnsi="宋体" w:cs="宋体" w:eastAsia="宋体" w:hint="default"/>
                <w:spacing w:val="-3"/>
                <w:sz w:val="18"/>
                <w:szCs w:val="18"/>
              </w:rPr>
              <w:t>承诺，截至本报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告期末，承诺方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已完成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p>
          <w:p>
            <w:pPr>
              <w:pStyle w:val="TableParagraph"/>
              <w:spacing w:line="300" w:lineRule="auto"/>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 承诺。</w:t>
            </w:r>
          </w:p>
        </w:tc>
      </w:tr>
      <w:tr>
        <w:trPr>
          <w:trHeight w:val="8202" w:hRule="exact"/>
        </w:trPr>
        <w:tc>
          <w:tcPr>
            <w:tcW w:w="1022"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因本次发行取得的股份自上市之日起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 内将不以任何方式转让，包括但不限于通过 证券市场公开转让或通过协议方式转让。在 本次重组于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年实施完毕且前述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锁定期届满的前提下，金福沈通过本次重组 获得的光环新网股份按以下步骤分批解锁：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、第一期股份应于本次发行的股份上市满</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个月且根据科信盛彩</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年度盈利专项审核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报告确认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年度实际实现的净利润达到</w:t>
            </w:r>
          </w:p>
          <w:p>
            <w:pPr>
              <w:pStyle w:val="TableParagraph"/>
              <w:spacing w:line="300" w:lineRule="auto" w:before="63"/>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年度承诺净利润的或完成利润补偿后解 </w:t>
            </w:r>
            <w:r>
              <w:rPr>
                <w:rFonts w:ascii="宋体" w:hAnsi="宋体" w:cs="宋体" w:eastAsia="宋体" w:hint="default"/>
                <w:spacing w:val="-2"/>
                <w:sz w:val="18"/>
                <w:szCs w:val="18"/>
              </w:rPr>
              <w:t>除限售，解除限售的股份数量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通过本次发行</w:t>
            </w:r>
            <w:r>
              <w:rPr>
                <w:rFonts w:ascii="宋体" w:hAnsi="宋体" w:cs="宋体" w:eastAsia="宋体" w:hint="default"/>
                <w:spacing w:val="-85"/>
                <w:sz w:val="18"/>
                <w:szCs w:val="18"/>
              </w:rPr>
              <w:t> </w:t>
            </w:r>
            <w:r>
              <w:rPr>
                <w:rFonts w:ascii="宋体" w:hAnsi="宋体" w:cs="宋体" w:eastAsia="宋体" w:hint="default"/>
                <w:sz w:val="18"/>
                <w:szCs w:val="18"/>
              </w:rPr>
              <w:t>获得的股份总数×</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年度补偿股份 </w:t>
            </w:r>
            <w:r>
              <w:rPr>
                <w:rFonts w:ascii="宋体" w:hAnsi="宋体" w:cs="宋体" w:eastAsia="宋体" w:hint="default"/>
                <w:spacing w:val="-2"/>
                <w:sz w:val="18"/>
                <w:szCs w:val="18"/>
              </w:rPr>
              <w:t>数量；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、第二期股份应于本次发行的股份上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市满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个月且根据科信盛彩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年度盈利</w:t>
            </w:r>
          </w:p>
          <w:p>
            <w:pPr>
              <w:pStyle w:val="TableParagraph"/>
              <w:spacing w:line="304" w:lineRule="auto" w:before="13"/>
              <w:ind w:left="24" w:right="75"/>
              <w:jc w:val="left"/>
              <w:rPr>
                <w:rFonts w:ascii="宋体" w:hAnsi="宋体" w:cs="宋体" w:eastAsia="宋体" w:hint="default"/>
                <w:sz w:val="18"/>
                <w:szCs w:val="18"/>
              </w:rPr>
            </w:pPr>
            <w:r>
              <w:rPr>
                <w:rFonts w:ascii="宋体" w:hAnsi="宋体" w:cs="宋体" w:eastAsia="宋体" w:hint="default"/>
                <w:sz w:val="18"/>
                <w:szCs w:val="18"/>
              </w:rPr>
              <w:t>专项审核报告确认实现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年两年累 计承诺净利润或完成利润补偿后解除限售， 解除限售的股份数量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通过本次发行获得的 股份总数×</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年度补偿股份数量； </w:t>
            </w:r>
            <w:r>
              <w:rPr>
                <w:rFonts w:ascii="Times New Roman" w:hAnsi="Times New Roman" w:cs="Times New Roman" w:eastAsia="Times New Roman" w:hint="default"/>
                <w:sz w:val="18"/>
                <w:szCs w:val="18"/>
              </w:rPr>
              <w:t>3</w:t>
            </w:r>
            <w:r>
              <w:rPr>
                <w:rFonts w:ascii="宋体" w:hAnsi="宋体" w:cs="宋体" w:eastAsia="宋体" w:hint="default"/>
                <w:sz w:val="18"/>
                <w:szCs w:val="18"/>
              </w:rPr>
              <w:t>、第三期股份应于盈利专项审核报告确认</w:t>
            </w:r>
          </w:p>
          <w:p>
            <w:pPr>
              <w:pStyle w:val="TableParagraph"/>
              <w:spacing w:line="314" w:lineRule="auto" w:before="9"/>
              <w:ind w:left="24"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2019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年累计实现净利润数 不低于三年累计承诺净利润数且根据科信盛 彩《减值测试报告》确认没有减值或完成利 润及减值补偿后解除限售，解除限售的股份 数量</w:t>
            </w:r>
            <w:r>
              <w:rPr>
                <w:rFonts w:ascii="Times New Roman" w:hAnsi="Times New Roman" w:cs="Times New Roman" w:eastAsia="Times New Roman" w:hint="default"/>
                <w:sz w:val="18"/>
                <w:szCs w:val="18"/>
              </w:rPr>
              <w:t>=</w:t>
            </w:r>
            <w:r>
              <w:rPr>
                <w:rFonts w:ascii="宋体" w:hAnsi="宋体" w:cs="宋体" w:eastAsia="宋体" w:hint="default"/>
                <w:sz w:val="18"/>
                <w:szCs w:val="18"/>
              </w:rPr>
              <w:t>通过本次发行获得的股份总数×</w:t>
            </w:r>
            <w:r>
              <w:rPr>
                <w:rFonts w:ascii="Times New Roman" w:hAnsi="Times New Roman" w:cs="Times New Roman" w:eastAsia="Times New Roman" w:hint="default"/>
                <w:sz w:val="18"/>
                <w:szCs w:val="18"/>
              </w:rPr>
              <w:t>50%</w:t>
            </w:r>
          </w:p>
          <w:p>
            <w:pPr>
              <w:pStyle w:val="TableParagraph"/>
              <w:spacing w:line="300" w:lineRule="auto" w:before="1"/>
              <w:ind w:left="24"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年度补偿股份数量－减值测试补偿股 份数量。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1651"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共青城国 创投资管 理合伙企 业（有限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因本次发行取得的光环新网新增股份自上市 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个月内不以任何方式转让，包括但 不限于通过证券市场公开转让或通过协议方 式转让。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日股份锁定期 </w:t>
            </w:r>
            <w:r>
              <w:rPr>
                <w:rFonts w:ascii="宋体" w:hAnsi="宋体" w:cs="宋体" w:eastAsia="宋体" w:hint="default"/>
                <w:spacing w:val="-3"/>
                <w:sz w:val="18"/>
                <w:szCs w:val="18"/>
              </w:rPr>
              <w:t>届满，承诺事项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履行完毕。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51"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共青城云 创投资管 理合伙企 业（有限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因本次发行取得的光环新网新增股份自上市 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个月内不以任何方式转让，包括但 不限于通过证券市场公开转让或通过协议方 式转让。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6642"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泰康人寿 保险有限 责任公司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传统、泰 康人寿保 险有限责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投 连</w:t>
            </w:r>
            <w:r>
              <w:rPr>
                <w:rFonts w:ascii="Times New Roman" w:hAnsi="Times New Roman" w:cs="Times New Roman" w:eastAsia="Times New Roman" w:hint="default"/>
                <w:sz w:val="18"/>
                <w:szCs w:val="18"/>
              </w:rPr>
              <w:t>-</w:t>
            </w:r>
            <w:r>
              <w:rPr>
                <w:rFonts w:ascii="宋体" w:hAnsi="宋体" w:cs="宋体" w:eastAsia="宋体" w:hint="default"/>
                <w:sz w:val="18"/>
                <w:szCs w:val="18"/>
              </w:rPr>
              <w:t>多策略 优选、上 海并购股 权投资基 金合伙企 业（有限 </w:t>
            </w:r>
            <w:r>
              <w:rPr>
                <w:rFonts w:ascii="宋体" w:hAnsi="宋体" w:cs="宋体" w:eastAsia="宋体" w:hint="default"/>
                <w:spacing w:val="-22"/>
                <w:sz w:val="18"/>
                <w:szCs w:val="18"/>
              </w:rPr>
              <w:t>合伙）、共</w:t>
            </w:r>
            <w:r>
              <w:rPr>
                <w:rFonts w:ascii="宋体" w:hAnsi="宋体" w:cs="宋体" w:eastAsia="宋体" w:hint="default"/>
                <w:sz w:val="18"/>
                <w:szCs w:val="18"/>
              </w:rPr>
              <w:t> 青城胜恒 投资管理 有限公 司、北信 瑞丰基金 管理有限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89"/>
              <w:jc w:val="both"/>
              <w:rPr>
                <w:rFonts w:ascii="宋体" w:hAnsi="宋体" w:cs="宋体" w:eastAsia="宋体" w:hint="default"/>
                <w:sz w:val="18"/>
                <w:szCs w:val="18"/>
              </w:rPr>
            </w:pPr>
            <w:r>
              <w:rPr>
                <w:rFonts w:ascii="宋体" w:hAnsi="宋体" w:cs="宋体" w:eastAsia="宋体" w:hint="default"/>
                <w:sz w:val="18"/>
                <w:szCs w:val="18"/>
              </w:rPr>
              <w:t>本单位参加此次北京光环新网科技股份有限 公司非公开发行股票申购，根据《创业板上 </w:t>
            </w:r>
            <w:r>
              <w:rPr>
                <w:rFonts w:ascii="宋体" w:hAnsi="宋体" w:cs="宋体" w:eastAsia="宋体" w:hint="default"/>
                <w:spacing w:val="-10"/>
                <w:sz w:val="18"/>
                <w:szCs w:val="18"/>
              </w:rPr>
              <w:t>市公司证券发行管理暂行办法》、《上市公司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非公开发行股票实施细则》等相关规定，若 获得配售，同意本次认购所获股份自光环新 网本次非公开发行新增股份上市首日起十二 个月内不进行转让。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日股份锁定期 </w:t>
            </w:r>
            <w:r>
              <w:rPr>
                <w:rFonts w:ascii="宋体" w:hAnsi="宋体" w:cs="宋体" w:eastAsia="宋体" w:hint="default"/>
                <w:spacing w:val="-3"/>
                <w:sz w:val="18"/>
                <w:szCs w:val="18"/>
              </w:rPr>
              <w:t>届满，承诺事项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履行完毕。</w:t>
            </w:r>
          </w:p>
        </w:tc>
      </w:tr>
      <w:tr>
        <w:trPr>
          <w:trHeight w:val="2035" w:hRule="exact"/>
        </w:trPr>
        <w:tc>
          <w:tcPr>
            <w:tcW w:w="1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 w:right="0"/>
              <w:jc w:val="left"/>
              <w:rPr>
                <w:rFonts w:ascii="宋体" w:hAnsi="宋体" w:cs="宋体" w:eastAsia="宋体" w:hint="default"/>
                <w:sz w:val="18"/>
                <w:szCs w:val="18"/>
              </w:rPr>
            </w:pPr>
            <w:r>
              <w:rPr>
                <w:rFonts w:ascii="宋体" w:hAnsi="宋体" w:cs="宋体" w:eastAsia="宋体" w:hint="default"/>
                <w:sz w:val="18"/>
                <w:szCs w:val="18"/>
              </w:rPr>
              <w:t>百汇达</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独立性承 诺、不竞争 承诺、股份 锁定承诺、 关于公平关 联交易的承 诺、关于承 担社会保险 和住房公积 金补缴义务 的承诺、根 据《新股发 行意见》作 出的相关承 诺</w:t>
            </w:r>
          </w:p>
        </w:tc>
        <w:tc>
          <w:tcPr>
            <w:tcW w:w="3545"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、关于在人员、资产、财务、机构和业务方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面独立的承诺函：发行人控股股东百汇达已 作出书面承诺：其将按照法律、法规及公司 章程依法行使股东权利，不利用股东身份影 响公司的独立性，保持公司在资产、人员、 财务、业务和机构等方面的独立性。</w:t>
            </w:r>
          </w:p>
          <w:p>
            <w:pPr>
              <w:pStyle w:val="TableParagraph"/>
              <w:spacing w:line="316" w:lineRule="auto" w:before="61"/>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、不竞争承诺函：发行人控股股东百汇达已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作出书面承诺：其本身及其投资的全资、控 股子企业（若有）目前不拥有及经营任何在 商业上与公司正在经营的业务有直接竞争的 业务；其本身并且必将通过法律程序使其全 资、控股子企业将来均不从事任何在商业上 与公司正在经营的业务有直接竞争的业务； 如其（包括受其控制的子企业或其他关联企 业）将来经营的产品或服务与公司的主营产 品或服务有可能形成竞争，其同意公司有权</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303" w:type="dxa"/>
            <w:vMerge w:val="restart"/>
            <w:tcBorders>
              <w:top w:val="single" w:sz="4" w:space="0" w:color="000000"/>
              <w:left w:val="single" w:sz="4" w:space="0" w:color="000000"/>
              <w:right w:val="single" w:sz="4" w:space="0" w:color="000000"/>
            </w:tcBorders>
          </w:tcPr>
          <w:p>
            <w:pPr>
              <w:pStyle w:val="TableParagraph"/>
              <w:spacing w:line="316" w:lineRule="auto" w:before="70"/>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承诺人所持有 的光环新网股 票已于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日锁定期</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届满，截至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4"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 诺人所持有的 股份锁定期满 </w:t>
            </w:r>
            <w:r>
              <w:rPr>
                <w:rFonts w:ascii="宋体" w:hAnsi="宋体" w:cs="宋体" w:eastAsia="宋体" w:hint="default"/>
                <w:spacing w:val="-3"/>
                <w:sz w:val="18"/>
                <w:szCs w:val="18"/>
              </w:rPr>
              <w:t>已满两年，其关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w:t>
            </w:r>
            <w:r>
              <w:rPr>
                <w:rFonts w:ascii="宋体" w:hAnsi="宋体" w:cs="宋体" w:eastAsia="宋体" w:hint="default"/>
                <w:sz w:val="18"/>
                <w:szCs w:val="18"/>
              </w:rPr>
              <w:t>对于光环新 网首次公开发 行股票前本公 司所持的光环 </w:t>
            </w:r>
            <w:r>
              <w:rPr>
                <w:rFonts w:ascii="宋体" w:hAnsi="宋体" w:cs="宋体" w:eastAsia="宋体" w:hint="default"/>
                <w:spacing w:val="-3"/>
                <w:sz w:val="18"/>
                <w:szCs w:val="18"/>
              </w:rPr>
              <w:t>新网股票，在股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票锁定期满后 </w:t>
            </w:r>
            <w:r>
              <w:rPr>
                <w:rFonts w:ascii="宋体" w:hAnsi="宋体" w:cs="宋体" w:eastAsia="宋体" w:hint="default"/>
                <w:spacing w:val="-3"/>
                <w:sz w:val="18"/>
                <w:szCs w:val="18"/>
              </w:rPr>
              <w:t>的两年内，本公</w:t>
            </w:r>
          </w:p>
        </w:tc>
      </w:tr>
      <w:tr>
        <w:trPr>
          <w:trHeight w:val="1016" w:hRule="exact"/>
        </w:trPr>
        <w:tc>
          <w:tcPr>
            <w:tcW w:w="1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87"/>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0" w:type="dxa"/>
            <w:vMerge/>
            <w:tcBorders>
              <w:left w:val="single" w:sz="10"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54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2033" w:hRule="exact"/>
        </w:trPr>
        <w:tc>
          <w:tcPr>
            <w:tcW w:w="1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54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0.769989pt;margin-top:92.665985pt;width:154.35pt;height:663.2pt;mso-position-horizontal-relative:page;mso-position-vertical-relative:page;z-index:-1239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除参与公开发售的股份外，</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900" w:right="0"/>
                    <w:jc w:val="left"/>
                  </w:pPr>
                  <w:r>
                    <w:rPr/>
                    <w:t>职后六个月内，</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198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优先收购其与该等产品或服务有关的资产或</w:t>
            </w:r>
          </w:p>
        </w:tc>
        <w:tc>
          <w:tcPr>
            <w:tcW w:w="991" w:type="dxa"/>
            <w:vMerge w:val="restart"/>
            <w:tcBorders>
              <w:top w:val="single" w:sz="4" w:space="0" w:color="000000"/>
              <w:left w:val="single" w:sz="4" w:space="0" w:color="000000"/>
              <w:right w:val="single" w:sz="4" w:space="0" w:color="000000"/>
            </w:tcBorders>
          </w:tcPr>
          <w:p>
            <w:pPr>
              <w:pStyle w:val="TableParagraph"/>
              <w:spacing w:line="13263"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4"/>
                <w:sz w:val="20"/>
                <w:szCs w:val="20"/>
              </w:rPr>
              <w:pict>
                <v:group style="width:49.2pt;height:663.2pt;mso-position-horizontal-relative:char;mso-position-vertical-relative:line" coordorigin="0,0" coordsize="984,13264">
                  <v:group style="position:absolute;left:0;top:0;width:984;height:13264" coordorigin="0,0" coordsize="984,13264">
                    <v:shape style="position:absolute;left:0;top:0;width:984;height:13264" coordorigin="0,0" coordsize="984,13264" path="m0,13264l984,13264,984,0,0,0,0,13264xe" filled="true" fillcolor="#ffffff" stroked="false">
                      <v:path arrowok="t"/>
                      <v:fill type="solid"/>
                    </v:shape>
                  </v:group>
                </v:group>
              </w:pict>
            </w:r>
            <w:r>
              <w:rPr>
                <w:rFonts w:ascii="Times New Roman" w:hAnsi="Times New Roman" w:cs="Times New Roman" w:eastAsia="Times New Roman" w:hint="default"/>
                <w:position w:val="-264"/>
                <w:sz w:val="20"/>
                <w:szCs w:val="20"/>
              </w:rPr>
            </w:r>
          </w:p>
        </w:tc>
        <w:tc>
          <w:tcPr>
            <w:tcW w:w="994" w:type="dxa"/>
            <w:vMerge w:val="restart"/>
            <w:tcBorders>
              <w:top w:val="single" w:sz="4" w:space="0" w:color="000000"/>
              <w:left w:val="single" w:sz="4" w:space="0" w:color="000000"/>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司通过证券交</w:t>
            </w: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其在子企业中的全部股权；如因其未履行在</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易所减持已解</w:t>
            </w: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承诺函中所作的承诺给公司造成损失的，其</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除限售的股份</w:t>
            </w: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将赔偿公司的实际损失。</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3"/>
              <w:jc w:val="center"/>
              <w:rPr>
                <w:rFonts w:ascii="宋体" w:hAnsi="宋体" w:cs="宋体" w:eastAsia="宋体" w:hint="default"/>
                <w:sz w:val="18"/>
                <w:szCs w:val="18"/>
              </w:rPr>
            </w:pPr>
            <w:r>
              <w:rPr>
                <w:rFonts w:ascii="宋体" w:hAnsi="宋体" w:cs="宋体" w:eastAsia="宋体" w:hint="default"/>
                <w:sz w:val="18"/>
                <w:szCs w:val="18"/>
              </w:rPr>
              <w:t>的价格不低于</w:t>
            </w:r>
          </w:p>
        </w:tc>
      </w:tr>
      <w:tr>
        <w:trPr>
          <w:trHeight w:val="336"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、股份锁定承诺函：发行人控股股东百汇达</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本次发行价格。</w:t>
            </w: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已作出书面承诺：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63"/>
              <w:jc w:val="center"/>
              <w:rPr>
                <w:rFonts w:ascii="宋体" w:hAnsi="宋体" w:cs="宋体" w:eastAsia="宋体" w:hint="default"/>
                <w:sz w:val="18"/>
                <w:szCs w:val="18"/>
              </w:rPr>
            </w:pPr>
            <w:r>
              <w:rPr>
                <w:rFonts w:ascii="宋体" w:hAnsi="宋体" w:cs="宋体" w:eastAsia="宋体" w:hint="default"/>
                <w:sz w:val="18"/>
                <w:szCs w:val="18"/>
              </w:rPr>
              <w:t>上述减持计划</w:t>
            </w: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在公司股票上市前以及自公司股票上市之日</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18"/>
                <w:szCs w:val="18"/>
              </w:rPr>
            </w:pPr>
            <w:r>
              <w:rPr>
                <w:rFonts w:ascii="宋体" w:hAnsi="宋体" w:cs="宋体" w:eastAsia="宋体" w:hint="default"/>
                <w:sz w:val="18"/>
                <w:szCs w:val="18"/>
              </w:rPr>
              <w:t>应在减持前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个月内，不转让或者委托他人管理其直</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63"/>
              <w:jc w:val="center"/>
              <w:rPr>
                <w:rFonts w:ascii="宋体" w:hAnsi="宋体" w:cs="宋体" w:eastAsia="宋体" w:hint="default"/>
                <w:sz w:val="18"/>
                <w:szCs w:val="18"/>
              </w:rPr>
            </w:pPr>
            <w:r>
              <w:rPr>
                <w:rFonts w:ascii="宋体" w:hAnsi="宋体" w:cs="宋体" w:eastAsia="宋体" w:hint="default"/>
                <w:sz w:val="18"/>
                <w:szCs w:val="18"/>
              </w:rPr>
              <w:t>交易日予以公</w:t>
            </w: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接或间接持有的公司公开发行股票前已发行</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84"/>
              <w:jc w:val="center"/>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宋体" w:hAnsi="宋体" w:cs="宋体" w:eastAsia="宋体" w:hint="default"/>
                <w:sz w:val="18"/>
                <w:szCs w:val="18"/>
              </w:rPr>
              <w:t>的承诺事</w:t>
            </w:r>
          </w:p>
        </w:tc>
      </w:tr>
      <w:tr>
        <w:trPr>
          <w:trHeight w:val="336"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不由公司回购该等股份。在耿殿根任</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4" w:right="0"/>
              <w:jc w:val="center"/>
              <w:rPr>
                <w:rFonts w:ascii="宋体" w:hAnsi="宋体" w:cs="宋体" w:eastAsia="宋体" w:hint="default"/>
                <w:sz w:val="18"/>
                <w:szCs w:val="18"/>
              </w:rPr>
            </w:pPr>
            <w:r>
              <w:rPr>
                <w:rFonts w:ascii="宋体" w:hAnsi="宋体" w:cs="宋体" w:eastAsia="宋体" w:hint="default"/>
                <w:sz w:val="18"/>
                <w:szCs w:val="18"/>
              </w:rPr>
              <w:t>项已履行完毕。</w:t>
            </w: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职期间每年转让的股份不得超过其所持有公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司股份总数的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；耿殿根离</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不得转让其所持有的公司股份。若耿殿根在</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公司股票上市之日起六个月内申报离职，则</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自申报离职之日起十八个月内不转让其所持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有的公司股份；若耿殿根在公司股票上市之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日起第七个月至第十二个月之间申报离职，</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则自申报离职之日起十二个月内不转让其所</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持有的公司股份。</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、关于公平关联交易的承诺函：发行人控股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股东百汇达已作出书面承诺：在不与法律、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法规相抵触的前提下，在权利所及范围内，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其将确保其本身及其全资、控股下属企业在</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与公司进行关联交易时将按公平、公开的市</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场原则进行，并履行法律、法规、规范性文</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件和公司章程规定的程序。其承诺并确保其</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本身及其全资、控股下属企业不通过与公司</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之间的关联交易谋求特殊的利益，不会进行</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有损公司及其中小股东利益的关联交易。</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、关于承担社会保险和住房公积金补缴义务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的承诺函：发行人控股股东百汇达已作出书</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面承诺：若发行人历史上需要补缴任何社会</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保险和住房公积金，或因历史上欠缴社会保</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险和住房公积金受到任何处罚，一切费用和</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经济损失由其承担。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、其他承诺：根据《意见》的规定及发行监</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管问答的要求，发行人控股股东百汇达于</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w:t>
            </w:r>
            <w:r>
              <w:rPr>
                <w:rFonts w:ascii="宋体" w:hAnsi="宋体" w:cs="宋体" w:eastAsia="宋体" w:hint="default"/>
                <w:spacing w:val="-22"/>
                <w:sz w:val="18"/>
                <w:szCs w:val="18"/>
              </w:rPr>
              <w:t>具</w:t>
            </w: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承诺如下</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对于光环新网首次公开发行股票前本公司所</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持的光环新网股票，在股票锁定期满后的两</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年内，本公司通过证券交易所减持已解除限</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售的股份的价格不低于本次发行价格。上述</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5.755005pt;margin-top:92.669983pt;width:109.4pt;height:641.6pt;mso-position-horizontal-relative:page;mso-position-vertical-relative:page;z-index:-1239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1"/>
                      <w:szCs w:val="21"/>
                    </w:rPr>
                  </w:pPr>
                </w:p>
                <w:p>
                  <w:pPr>
                    <w:pStyle w:val="BodyText"/>
                    <w:spacing w:line="240" w:lineRule="auto"/>
                    <w:ind w:left="0" w:right="0"/>
                    <w:jc w:val="left"/>
                  </w:pPr>
                  <w:r>
                    <w:rPr/>
                    <w:t>价格完成回购；</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若有虚假记载、</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2"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减持计划应在减持前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w:t>
            </w:r>
          </w:p>
        </w:tc>
        <w:tc>
          <w:tcPr>
            <w:tcW w:w="991" w:type="dxa"/>
            <w:vMerge w:val="restart"/>
            <w:tcBorders>
              <w:top w:val="single" w:sz="4" w:space="0" w:color="000000"/>
              <w:left w:val="single" w:sz="4" w:space="0" w:color="000000"/>
              <w:right w:val="single" w:sz="4" w:space="0" w:color="000000"/>
            </w:tcBorders>
          </w:tcPr>
          <w:p>
            <w:pPr>
              <w:pStyle w:val="TableParagraph"/>
              <w:spacing w:line="12831"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49.2pt;height:641.6pt;mso-position-horizontal-relative:char;mso-position-vertical-relative:line" coordorigin="0,0" coordsize="984,12832">
                  <v:group style="position:absolute;left:0;top:0;width:984;height:12832" coordorigin="0,0" coordsize="984,12832">
                    <v:shape style="position:absolute;left:0;top:0;width:984;height:12832" coordorigin="0,0" coordsize="984,12832" path="m0,12832l984,12832,984,0,0,0,0,12832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994" w:type="dxa"/>
            <w:vMerge w:val="restart"/>
            <w:tcBorders>
              <w:top w:val="single" w:sz="4" w:space="0" w:color="000000"/>
              <w:left w:val="single" w:sz="4" w:space="0" w:color="000000"/>
              <w:right w:val="single" w:sz="4" w:space="0" w:color="000000"/>
            </w:tcBorders>
          </w:tcPr>
          <w:p>
            <w:pPr/>
          </w:p>
        </w:tc>
        <w:tc>
          <w:tcPr>
            <w:tcW w:w="1303" w:type="dxa"/>
            <w:vMerge w:val="restart"/>
            <w:tcBorders>
              <w:top w:val="single" w:sz="4" w:space="0" w:color="000000"/>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）自光环新网上市至本公司减持期间，光</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环新网如有派息、送股、资本公积金转增股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本、配股等除权除息事项，减持底价下限将</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相应进行调整</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）本公司作为光环新网的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控股股东，希望通过光环新网业绩的增长获</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得股权增值和分红回报。截至本承诺函出具</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之日，本公司未有减持所持光环新网股份的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计划或安排</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）本公司将严格遵守我国法</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律法规关于控股股东持股及股份变动的有关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规定以及本公司作出的股份锁定承诺，规范</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诚信履行控股股东的义务。如本公司违反本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承诺进行减持的，自愿将减持所得收益上缴</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光环新网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）光环新网本次发行的招股书</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若有虚假记载、误导性陈述或者重大遗漏，</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对判断光环新网是否符合法律规定的发行条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件构成重大、实质影响的，光环新网及本公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司将依法回购首次公开发行的全部新股，且</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本公司将购回已转让的原限售股份。出现上</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述情形，光环新网将公告回购新股的股份回</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购计划，包括回购股份数量、价格区间、完</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成时间等信息。如光环新网未能履行回购新</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股的股份回购义务，则由本公司履行上述义</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务。本公司应在前述违法违规情形之日起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宋体" w:hAnsi="宋体" w:cs="宋体" w:eastAsia="宋体" w:hint="default"/>
                <w:spacing w:val="-85"/>
                <w:sz w:val="18"/>
                <w:szCs w:val="18"/>
              </w:rPr>
              <w:t>内</w:t>
            </w:r>
            <w:r>
              <w:rPr>
                <w:rFonts w:ascii="宋体" w:hAnsi="宋体" w:cs="宋体" w:eastAsia="宋体" w:hint="default"/>
                <w:sz w:val="18"/>
                <w:szCs w:val="18"/>
              </w:rPr>
              <w:t>（简称</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购回期</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以市场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期间公司如有派息、送股、资本公积金转增</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股本、配股等除权除息事项，购回底价相应</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进行调整。除非交易对方在购回期内不接受</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要约，否则本公司将购回已转让的全部限售</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3"/>
                <w:sz w:val="18"/>
                <w:szCs w:val="18"/>
              </w:rPr>
              <w:t>）</w:t>
            </w:r>
            <w:r>
              <w:rPr>
                <w:rFonts w:ascii="宋体" w:hAnsi="宋体" w:cs="宋体" w:eastAsia="宋体" w:hint="default"/>
                <w:sz w:val="18"/>
                <w:szCs w:val="18"/>
              </w:rPr>
              <w:t>本次发行的招股书</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误导性陈述或者重大遗漏，致使投资者在证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券交易中遭受损失的，本公司将依法赔偿投</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资者损失</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）本公司若未能履行上述承诺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0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及其他在光环新网招股书中披露的其他公开</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承诺，则本公司将按有关法律、法规的规定</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及监管部门的要求承担相应的责任；同时，</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若本公司未履行相关承诺致使投资者在证券</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交易中遭受损失，本公司将自愿按相应的赔</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偿金额申请冻结所持有的光环新网相应市值</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12"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5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的股票，以为本公司根据法律法规和监管要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r>
      <w:tr>
        <w:trPr>
          <w:trHeight w:val="357" w:hRule="exact"/>
        </w:trPr>
        <w:tc>
          <w:tcPr>
            <w:tcW w:w="102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求赔偿投资者损失提供保障。</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r>
      <w:tr>
        <w:trPr>
          <w:trHeight w:val="674"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天津红杉 资本投资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根据《新股 发行意见》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根据《新股发行意见》的规定及发行监管问 </w:t>
            </w:r>
            <w:r>
              <w:rPr>
                <w:rFonts w:ascii="宋体" w:hAnsi="宋体" w:cs="宋体" w:eastAsia="宋体" w:hint="default"/>
                <w:spacing w:val="-5"/>
                <w:sz w:val="18"/>
                <w:szCs w:val="18"/>
              </w:rPr>
              <w:t>答的要求，承诺如下：（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）对于公司首次公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作出承诺开 始至承诺履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7.769989pt;margin-top:110.18998pt;width:127.35pt;height:187.25pt;mso-position-horizontal-relative:page;mso-position-vertical-relative:page;z-index:-1239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left="0" w:right="0"/>
                    <w:jc w:val="left"/>
                  </w:pPr>
                  <w:r>
                    <w:rPr/>
                    <w:t>个交易日予以公告。</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107"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基金中心</w:t>
            </w:r>
          </w:p>
          <w:p>
            <w:pPr>
              <w:pStyle w:val="TableParagraph"/>
              <w:spacing w:line="316" w:lineRule="auto" w:before="76"/>
              <w:ind w:left="23" w:right="95"/>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56"/>
              <w:jc w:val="left"/>
              <w:rPr>
                <w:rFonts w:ascii="宋体" w:hAnsi="宋体" w:cs="宋体" w:eastAsia="宋体" w:hint="default"/>
                <w:sz w:val="18"/>
                <w:szCs w:val="18"/>
              </w:rPr>
            </w:pPr>
            <w:r>
              <w:rPr>
                <w:rFonts w:ascii="宋体" w:hAnsi="宋体" w:cs="宋体" w:eastAsia="宋体" w:hint="default"/>
                <w:sz w:val="18"/>
                <w:szCs w:val="18"/>
              </w:rPr>
              <w:t>作出的相关 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开发行股票前本企业所持的公司股票，除参 与公开发售的股份外，在股票锁定期满后， 本企业将通过证券交易所集中竞价交易、大 宗交易等法律法规允许的方式按照届时的市 场价格或大宗交易确定的价格进行减持。在 股票锁定期满后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个月内，本企业计划减持</w:t>
            </w:r>
            <w:r>
              <w:rPr>
                <w:rFonts w:ascii="宋体" w:hAnsi="宋体" w:cs="宋体" w:eastAsia="宋体" w:hint="default"/>
                <w:sz w:val="18"/>
                <w:szCs w:val="18"/>
              </w:rPr>
              <w:t> 该解除锁定部分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到</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的公司股票。上</w:t>
            </w:r>
            <w:r>
              <w:rPr>
                <w:rFonts w:ascii="宋体" w:hAnsi="宋体" w:cs="宋体" w:eastAsia="宋体" w:hint="default"/>
                <w:sz w:val="18"/>
                <w:szCs w:val="18"/>
              </w:rPr>
              <w:t> 述减持计划应在减持前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p>
          <w:p>
            <w:pPr>
              <w:pStyle w:val="TableParagraph"/>
              <w:spacing w:line="314" w:lineRule="auto" w:before="3"/>
              <w:ind w:left="24" w:right="2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）本企业将严格遵守我国法律法规关于股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东持股及股份变动的有关规定以及本企业作 出的股份锁定承诺，规范诚信履行股东的义 务。如本企业违反本承诺进行减持的，将承 担相应的法定责任。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744"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49.2pt;height:187.25pt;mso-position-horizontal-relative:char;mso-position-vertical-relative:line" coordorigin="0,0" coordsize="984,3745">
                  <v:group style="position:absolute;left:0;top:0;width:984;height:3745" coordorigin="0,0" coordsize="984,3745">
                    <v:shape style="position:absolute;left:0;top:0;width:984;height:3745" coordorigin="0,0" coordsize="984,3745" path="m0,3744l984,3744,984,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7"/>
              <w:jc w:val="left"/>
              <w:rPr>
                <w:rFonts w:ascii="宋体" w:hAnsi="宋体" w:cs="宋体" w:eastAsia="宋体" w:hint="default"/>
                <w:sz w:val="18"/>
                <w:szCs w:val="18"/>
              </w:rPr>
            </w:pPr>
            <w:r>
              <w:rPr>
                <w:rFonts w:ascii="宋体" w:hAnsi="宋体" w:cs="宋体" w:eastAsia="宋体" w:hint="default"/>
                <w:sz w:val="18"/>
                <w:szCs w:val="18"/>
              </w:rPr>
              <w:t>承诺事项履行 完毕。</w:t>
            </w:r>
          </w:p>
        </w:tc>
      </w:tr>
      <w:tr>
        <w:trPr>
          <w:trHeight w:val="9219"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股份锁定承 诺、关于公 平关联交易 的承诺、不 竞争承诺、 根据《新股 发现意见》 作出的承诺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、股份锁定承诺：在耿殿根在公司任职期间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每年转让的股份不超过所持有公司股份总数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；在耿殿根离职后六个月内，不转让 所持有的公司股份。</w:t>
            </w:r>
          </w:p>
          <w:p>
            <w:pPr>
              <w:pStyle w:val="TableParagraph"/>
              <w:spacing w:line="316" w:lineRule="auto" w:before="67"/>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、公平关联交易承诺：其均将促使其本人所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控制的企业（若有）与公司之间的任何交易 按公平的市场原则和正常的商业条件进行， 并履行必经的法律程序；其本人并将促使其 本人所控制的企业（若有）不要求或接受公 司给予任何优于在一项市场公平交易中的第 三者所能给予的条件，不产生有损公司及其 股东利益的交易。其本人并将促使其本人所 控制的企业（若有）在经营业务中不利用其 在公司的地位转移利润或从事其他行为来损 害公司及其股东的利益。</w:t>
            </w:r>
          </w:p>
          <w:p>
            <w:pPr>
              <w:pStyle w:val="TableParagraph"/>
              <w:spacing w:line="316" w:lineRule="auto" w:before="57"/>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、不竞争承诺：其本身及其投资的全资、控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股子企业（若有）目前不拥有及经营任何在 商业上与公司正在经营的业务有直接竞争的 业务；其本身并且必将通过法律程序使其全 资、控股子企业将来均不从事任何在商业上 与公司正在经营的业务有直接竞争的业务； 如其本身（包括受其控制的子企业或其他关 联企业）将来经营的产品或服务与公司的主 营产品或服务有可能形成竞争，其同意公司 有权优先收购其与该等产品或服务有关的资 产或其在子企业中的全部股权；如因其未履 行在承诺函中所作的承诺给公司造成损失 的，其将赔偿公司的实际损失。</w:t>
            </w:r>
          </w:p>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、根据《新股发行意见》的规定及发行监管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承诺人所持有 的光环新网股 票已于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日锁定期</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届满，截至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4" w:lineRule="auto" w:before="63"/>
              <w:ind w:left="24" w:right="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 诺人所持有的 股份锁定期满 </w:t>
            </w:r>
            <w:r>
              <w:rPr>
                <w:rFonts w:ascii="宋体" w:hAnsi="宋体" w:cs="宋体" w:eastAsia="宋体" w:hint="default"/>
                <w:spacing w:val="-3"/>
                <w:sz w:val="18"/>
                <w:szCs w:val="18"/>
              </w:rPr>
              <w:t>已满两年，其关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w:t>
            </w:r>
            <w:r>
              <w:rPr>
                <w:rFonts w:ascii="宋体" w:hAnsi="宋体" w:cs="宋体" w:eastAsia="宋体" w:hint="default"/>
                <w:sz w:val="18"/>
                <w:szCs w:val="18"/>
              </w:rPr>
              <w:t>对于公司首 次公开发行股 票前本人所持 </w:t>
            </w:r>
            <w:r>
              <w:rPr>
                <w:rFonts w:ascii="宋体" w:hAnsi="宋体" w:cs="宋体" w:eastAsia="宋体" w:hint="default"/>
                <w:spacing w:val="-3"/>
                <w:sz w:val="18"/>
                <w:szCs w:val="18"/>
              </w:rPr>
              <w:t>的公司股票，在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股票锁定期满 </w:t>
            </w:r>
            <w:r>
              <w:rPr>
                <w:rFonts w:ascii="宋体" w:hAnsi="宋体" w:cs="宋体" w:eastAsia="宋体" w:hint="default"/>
                <w:spacing w:val="-3"/>
                <w:sz w:val="18"/>
                <w:szCs w:val="18"/>
              </w:rPr>
              <w:t>后的两年内，本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人通过证券交 易所减持已解 除限售的股份 的价格不低于 本次发行价格。 上述减持计划 应在减持前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交易日予以公 </w:t>
            </w:r>
            <w:r>
              <w:rPr>
                <w:rFonts w:ascii="宋体" w:hAnsi="宋体" w:cs="宋体" w:eastAsia="宋体" w:hint="default"/>
                <w:spacing w:val="-12"/>
                <w:w w:val="99"/>
                <w:sz w:val="18"/>
                <w:szCs w:val="18"/>
              </w:rPr>
              <w:t>告。</w:t>
            </w:r>
            <w:r>
              <w:rPr>
                <w:rFonts w:ascii="Times New Roman" w:hAnsi="Times New Roman" w:cs="Times New Roman" w:eastAsia="Times New Roman" w:hint="default"/>
                <w:spacing w:val="-12"/>
                <w:w w:val="99"/>
                <w:sz w:val="18"/>
                <w:szCs w:val="18"/>
              </w:rPr>
              <w:t>"</w:t>
            </w:r>
            <w:r>
              <w:rPr>
                <w:rFonts w:ascii="宋体" w:hAnsi="宋体" w:cs="宋体" w:eastAsia="宋体" w:hint="default"/>
                <w:spacing w:val="-12"/>
                <w:w w:val="99"/>
                <w:sz w:val="18"/>
                <w:szCs w:val="18"/>
              </w:rPr>
              <w:t>的承诺事项</w:t>
            </w:r>
            <w:r>
              <w:rPr>
                <w:rFonts w:ascii="宋体" w:hAnsi="宋体" w:cs="宋体" w:eastAsia="宋体" w:hint="default"/>
                <w:spacing w:val="-83"/>
                <w:w w:val="99"/>
                <w:sz w:val="18"/>
                <w:szCs w:val="18"/>
              </w:rPr>
              <w:t> </w:t>
            </w:r>
            <w:r>
              <w:rPr>
                <w:rFonts w:ascii="宋体" w:hAnsi="宋体" w:cs="宋体" w:eastAsia="宋体" w:hint="default"/>
                <w:sz w:val="18"/>
                <w:szCs w:val="18"/>
              </w:rPr>
              <w:t>已履行完毕。</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22"/>
        <w:gridCol w:w="850"/>
        <w:gridCol w:w="992"/>
        <w:gridCol w:w="3545"/>
        <w:gridCol w:w="991"/>
        <w:gridCol w:w="994"/>
        <w:gridCol w:w="1303"/>
      </w:tblGrid>
      <w:tr>
        <w:trPr>
          <w:trHeight w:val="401"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043" w:hRule="exact"/>
        </w:trPr>
        <w:tc>
          <w:tcPr>
            <w:tcW w:w="1022"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86"/>
              <w:jc w:val="both"/>
              <w:rPr>
                <w:rFonts w:ascii="宋体" w:hAnsi="宋体" w:cs="宋体" w:eastAsia="宋体" w:hint="default"/>
                <w:sz w:val="18"/>
                <w:szCs w:val="18"/>
              </w:rPr>
            </w:pPr>
            <w:r>
              <w:rPr>
                <w:rFonts w:ascii="宋体" w:hAnsi="宋体" w:cs="宋体" w:eastAsia="宋体" w:hint="default"/>
                <w:spacing w:val="-5"/>
                <w:sz w:val="18"/>
                <w:szCs w:val="18"/>
              </w:rPr>
              <w:t>问答的要求，做出承诺：（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）对于公司首次</w:t>
            </w:r>
            <w:r>
              <w:rPr>
                <w:rFonts w:ascii="宋体" w:hAnsi="宋体" w:cs="宋体" w:eastAsia="宋体" w:hint="default"/>
                <w:spacing w:val="-81"/>
                <w:sz w:val="18"/>
                <w:szCs w:val="18"/>
              </w:rPr>
              <w:t> </w:t>
            </w:r>
            <w:r>
              <w:rPr>
                <w:rFonts w:ascii="宋体" w:hAnsi="宋体" w:cs="宋体" w:eastAsia="宋体" w:hint="default"/>
                <w:sz w:val="18"/>
                <w:szCs w:val="18"/>
              </w:rPr>
              <w:t>公开发行股票前本人所持的公司股票，在股 票锁定期满后的两年内，本人通过证券交易 所减持已解除限售的股份的价格不低于本次 发行价格。上述减持计划应在减持前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w:t>
            </w:r>
            <w:r>
              <w:rPr>
                <w:rFonts w:ascii="宋体" w:hAnsi="宋体" w:cs="宋体" w:eastAsia="宋体" w:hint="default"/>
                <w:spacing w:val="-5"/>
                <w:sz w:val="18"/>
                <w:szCs w:val="18"/>
              </w:rPr>
              <w:t>易日予以公告。（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）自公司上市至本人减持</w:t>
            </w:r>
            <w:r>
              <w:rPr>
                <w:rFonts w:ascii="宋体" w:hAnsi="宋体" w:cs="宋体" w:eastAsia="宋体" w:hint="default"/>
                <w:spacing w:val="-81"/>
                <w:sz w:val="18"/>
                <w:szCs w:val="18"/>
              </w:rPr>
              <w:t> </w:t>
            </w:r>
            <w:r>
              <w:rPr>
                <w:rFonts w:ascii="宋体" w:hAnsi="宋体" w:cs="宋体" w:eastAsia="宋体" w:hint="default"/>
                <w:sz w:val="18"/>
                <w:szCs w:val="18"/>
              </w:rPr>
              <w:t>期间，公司如有派息、送股、资本公积金转 增股本、配股等除权除息事项，减持底价下 </w:t>
            </w:r>
            <w:r>
              <w:rPr>
                <w:rFonts w:ascii="宋体" w:hAnsi="宋体" w:cs="宋体" w:eastAsia="宋体" w:hint="default"/>
                <w:spacing w:val="-5"/>
                <w:sz w:val="18"/>
                <w:szCs w:val="18"/>
              </w:rPr>
              <w:t>限将相应进行调整。（</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）本人希望通过公司</w:t>
            </w:r>
            <w:r>
              <w:rPr>
                <w:rFonts w:ascii="宋体" w:hAnsi="宋体" w:cs="宋体" w:eastAsia="宋体" w:hint="default"/>
                <w:spacing w:val="-81"/>
                <w:sz w:val="18"/>
                <w:szCs w:val="18"/>
              </w:rPr>
              <w:t> </w:t>
            </w:r>
            <w:r>
              <w:rPr>
                <w:rFonts w:ascii="宋体" w:hAnsi="宋体" w:cs="宋体" w:eastAsia="宋体" w:hint="default"/>
                <w:sz w:val="18"/>
                <w:szCs w:val="18"/>
              </w:rPr>
              <w:t>业绩的增长获得股权增值和分红回报。截至 本说明函出具之日，本人未有减持所持公司 </w:t>
            </w:r>
            <w:r>
              <w:rPr>
                <w:rFonts w:ascii="宋体" w:hAnsi="宋体" w:cs="宋体" w:eastAsia="宋体" w:hint="default"/>
                <w:spacing w:val="-5"/>
                <w:sz w:val="18"/>
                <w:szCs w:val="18"/>
              </w:rPr>
              <w:t>股份的计划或安排。（</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）本人将严格遵守我</w:t>
            </w:r>
            <w:r>
              <w:rPr>
                <w:rFonts w:ascii="宋体" w:hAnsi="宋体" w:cs="宋体" w:eastAsia="宋体" w:hint="default"/>
                <w:spacing w:val="-81"/>
                <w:sz w:val="18"/>
                <w:szCs w:val="18"/>
              </w:rPr>
              <w:t> </w:t>
            </w:r>
            <w:r>
              <w:rPr>
                <w:rFonts w:ascii="宋体" w:hAnsi="宋体" w:cs="宋体" w:eastAsia="宋体" w:hint="default"/>
                <w:sz w:val="18"/>
                <w:szCs w:val="18"/>
              </w:rPr>
              <w:t>国法律法规关于股东持股及股份变动的有关 规定以及本人作出的股份锁定承诺，规范诚 信履行股东的义务。如本人违反本承诺进行 减持的，自愿将减持所得收益上缴公司。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2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耿岩、郭 明强、王 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545"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在耿殿根在公司任职期间每年转让的股份不 超过所持有公司股份总数的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；在耿殿根 离职后六个月内，不转让所持有的公司股份</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03"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508"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49.2pt;height:25.45pt;mso-position-horizontal-relative:char;mso-position-vertical-relative:line" coordorigin="0,0" coordsize="984,509">
                  <v:group style="position:absolute;left:0;top:353;width:984;height:156" coordorigin="0,353" coordsize="984,156">
                    <v:shape style="position:absolute;left:0;top:353;width:984;height:156" coordorigin="0,353" coordsize="984,156" path="m0,509l984,509,984,353,0,353,0,509xe" filled="true" fillcolor="#ffffff" stroked="false">
                      <v:path arrowok="t"/>
                      <v:fill type="solid"/>
                    </v:shape>
                  </v:group>
                  <v:group style="position:absolute;left:24;top:0;width:936;height:353" coordorigin="24,0" coordsize="936,353">
                    <v:shape style="position:absolute;left:24;top:0;width:936;height:353" coordorigin="24,0" coordsize="936,353" path="m24,353l960,353,960,0,24,0,24,353xe" filled="true" fillcolor="#ffffff" stroked="false">
                      <v:path arrowok="t"/>
                      <v:fill type="solid"/>
                    </v:shape>
                  </v:group>
                </v:group>
              </w:pict>
            </w:r>
            <w:r>
              <w:rPr>
                <w:rFonts w:ascii="Times New Roman" w:hAnsi="Times New Roman" w:cs="Times New Roman" w:eastAsia="Times New Roman" w:hint="default"/>
                <w:position w:val="-9"/>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报告期内承诺 人遵守了所做 承诺。</w:t>
            </w:r>
          </w:p>
        </w:tc>
      </w:tr>
      <w:tr>
        <w:trPr>
          <w:trHeight w:val="713"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7"/>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675"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8"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7"/>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675"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12"/>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北京科信盛彩 云计算有限公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12,417.74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12,655.60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64"/>
              <w:jc w:val="left"/>
              <w:rPr>
                <w:rFonts w:ascii="Times New Roman" w:hAnsi="Times New Roman" w:cs="Times New Roman" w:eastAsia="Times New Roman" w:hint="default"/>
                <w:sz w:val="18"/>
                <w:szCs w:val="18"/>
              </w:rPr>
            </w:pPr>
            <w:hyperlink r:id="rId16">
              <w:r>
                <w:rPr>
                  <w:rFonts w:ascii="Times New Roman"/>
                  <w:spacing w:val="-2"/>
                  <w:sz w:val="18"/>
                </w:rPr>
                <w:t>www.cninfo.co</w:t>
              </w:r>
            </w:hyperlink>
            <w:r>
              <w:rPr>
                <w:rFonts w:ascii="Times New Roman"/>
                <w:spacing w:val="-36"/>
                <w:sz w:val="18"/>
              </w:rPr>
              <w:t> </w:t>
            </w:r>
            <w:r>
              <w:rPr>
                <w:rFonts w:ascii="Times New Roman"/>
                <w:spacing w:val="-36"/>
                <w:sz w:val="18"/>
              </w:rPr>
            </w:r>
            <w:r>
              <w:rPr>
                <w:rFonts w:ascii="Times New Roman"/>
                <w:sz w:val="18"/>
              </w:rPr>
              <w:t>m.cn</w:t>
            </w:r>
          </w:p>
        </w:tc>
      </w:tr>
    </w:tbl>
    <w:p>
      <w:pPr>
        <w:pStyle w:val="BodyText"/>
        <w:spacing w:line="240" w:lineRule="auto" w:before="49"/>
        <w:ind w:right="3827"/>
        <w:jc w:val="left"/>
      </w:pPr>
      <w:r>
        <w:rPr/>
        <w:t>公司股东、交易对手方对公司或相关资产年度经营业绩作出的承诺情况</w:t>
      </w:r>
    </w:p>
    <w:p>
      <w:pPr>
        <w:pStyle w:val="BodyText"/>
        <w:spacing w:line="240" w:lineRule="auto" w:before="11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9" w:firstLine="360"/>
        <w:jc w:val="both"/>
      </w:pPr>
      <w:r>
        <w:rPr>
          <w:spacing w:val="-2"/>
        </w:rPr>
        <w:t>科信盛彩原股东光环控股、国创投资、金福沈共同承诺</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年度及</w:t>
      </w:r>
      <w:r>
        <w:rPr>
          <w:rFonts w:ascii="Times New Roman" w:hAnsi="Times New Roman" w:cs="Times New Roman" w:eastAsia="Times New Roman" w:hint="default"/>
          <w:spacing w:val="-2"/>
        </w:rPr>
        <w:t>2020</w:t>
      </w:r>
      <w:r>
        <w:rPr>
          <w:spacing w:val="-2"/>
        </w:rPr>
        <w:t>年度科信盛彩所对应的每年实现的扣</w:t>
      </w:r>
      <w:r>
        <w:rPr/>
        <w:t> 除非经常性损益后归属于母公司所有者的净利润数分别不低于</w:t>
      </w:r>
      <w:r>
        <w:rPr>
          <w:rFonts w:ascii="Times New Roman" w:hAnsi="Times New Roman" w:cs="Times New Roman" w:eastAsia="Times New Roman" w:hint="default"/>
        </w:rPr>
        <w:t>9,210.00</w:t>
      </w:r>
      <w:r>
        <w:rPr/>
        <w:t>万元、</w:t>
      </w:r>
      <w:r>
        <w:rPr>
          <w:rFonts w:ascii="Times New Roman" w:hAnsi="Times New Roman" w:cs="Times New Roman" w:eastAsia="Times New Roman" w:hint="default"/>
        </w:rPr>
        <w:t>12,420.00</w:t>
      </w:r>
      <w:r>
        <w:rPr/>
        <w:t>万元、</w:t>
      </w:r>
      <w:r>
        <w:rPr>
          <w:rFonts w:ascii="Times New Roman" w:hAnsi="Times New Roman" w:cs="Times New Roman" w:eastAsia="Times New Roman" w:hint="default"/>
        </w:rPr>
        <w:t>16,100.00</w:t>
      </w:r>
      <w:r>
        <w:rPr/>
        <w:t>万元。科信盛彩</w:t>
      </w:r>
      <w:r>
        <w:rPr>
          <w:rFonts w:ascii="Times New Roman" w:hAnsi="Times New Roman" w:cs="Times New Roman" w:eastAsia="Times New Roman" w:hint="default"/>
        </w:rPr>
        <w:t>2019 </w:t>
      </w:r>
      <w:r>
        <w:rPr/>
        <w:t>年度实现扣除非经常行损益后的非经常性损益后的归属于母公司所有者的净利润</w:t>
      </w:r>
      <w:r>
        <w:rPr>
          <w:rFonts w:ascii="Times New Roman" w:hAnsi="Times New Roman" w:cs="Times New Roman" w:eastAsia="Times New Roman" w:hint="default"/>
        </w:rPr>
        <w:t>12,655.60</w:t>
      </w:r>
      <w:r>
        <w:rPr/>
        <w:t>万元，已经中兴华会计师事务所</w:t>
      </w:r>
    </w:p>
    <w:p>
      <w:pPr>
        <w:pStyle w:val="BodyText"/>
        <w:spacing w:line="240" w:lineRule="auto" w:before="13"/>
        <w:ind w:right="3827"/>
        <w:jc w:val="left"/>
      </w:pPr>
      <w:r>
        <w:rPr/>
        <w:t>（特殊普通合伙审计）审计并出具中兴华核字（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010085</w:t>
      </w:r>
      <w:r>
        <w:rPr/>
        <w:t>号《审核报告》。</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3827"/>
        <w:jc w:val="left"/>
        <w:rPr>
          <w:b w:val="0"/>
          <w:bCs w:val="0"/>
        </w:rPr>
      </w:pPr>
      <w:bookmarkStart w:name="四、董事会对最近一期“非标准审计报告”相关情况的说明" w:id="69"/>
      <w:bookmarkEnd w:id="69"/>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2"/>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详见第十二节、五、</w:t>
      </w:r>
      <w:r>
        <w:rPr>
          <w:rFonts w:ascii="Times New Roman" w:hAnsi="Times New Roman" w:cs="Times New Roman" w:eastAsia="Times New Roman" w:hint="default"/>
        </w:rPr>
        <w:t>30.</w:t>
      </w:r>
      <w:r>
        <w:rPr/>
        <w:t>重要会计政策和会计估计变更。</w:t>
      </w:r>
    </w:p>
    <w:p>
      <w:pPr>
        <w:spacing w:line="240" w:lineRule="auto" w:before="13"/>
        <w:rPr>
          <w:rFonts w:ascii="宋体" w:hAnsi="宋体" w:cs="宋体" w:eastAsia="宋体" w:hint="default"/>
          <w:sz w:val="17"/>
          <w:szCs w:val="17"/>
        </w:rPr>
      </w:pPr>
    </w:p>
    <w:p>
      <w:pPr>
        <w:pStyle w:val="Heading2"/>
        <w:spacing w:line="240" w:lineRule="auto"/>
        <w:ind w:right="3827"/>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0" w:firstLine="360"/>
        <w:jc w:val="both"/>
      </w:pPr>
      <w:r>
        <w:rPr>
          <w:rFonts w:ascii="Times New Roman" w:hAnsi="Times New Roman" w:cs="Times New Roman" w:eastAsia="Times New Roman" w:hint="default"/>
          <w:spacing w:val="-5"/>
        </w:rPr>
        <w:t>2019</w:t>
      </w:r>
      <w:r>
        <w:rPr>
          <w:spacing w:val="-5"/>
        </w:rPr>
        <w:t>年度合并范围共增加三户，分别是二级子公司上海无双企业发展有限公司、上海中可企业发展有限公司和光环云（上</w:t>
      </w:r>
      <w:r>
        <w:rPr/>
        <w:t> 海）数据科技有限公司。具体如下：</w:t>
      </w:r>
    </w:p>
    <w:p>
      <w:pPr>
        <w:pStyle w:val="BodyText"/>
        <w:spacing w:line="240" w:lineRule="auto" w:before="31"/>
        <w:ind w:left="513" w:right="3827"/>
        <w:jc w:val="left"/>
      </w:pPr>
      <w:r>
        <w:rPr>
          <w:rFonts w:ascii="Times New Roman" w:hAnsi="Times New Roman" w:cs="Times New Roman" w:eastAsia="Times New Roman" w:hint="default"/>
        </w:rPr>
        <w:t>1</w:t>
      </w:r>
      <w:r>
        <w:rPr/>
        <w:t>、二级子公司上海无双企业发展有限公司</w:t>
      </w:r>
    </w:p>
    <w:p>
      <w:pPr>
        <w:pStyle w:val="BodyText"/>
        <w:spacing w:line="240" w:lineRule="auto" w:before="63"/>
        <w:ind w:left="513" w:right="98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日，全资子公司北京无双科技有限公司出资设立上海无双企业发展有限公司，北京无双科技有限公司认缴</w:t>
      </w:r>
    </w:p>
    <w:p>
      <w:pPr>
        <w:pStyle w:val="BodyText"/>
        <w:spacing w:line="240" w:lineRule="auto" w:before="63"/>
        <w:ind w:right="3827"/>
        <w:jc w:val="left"/>
      </w:pPr>
      <w:r>
        <w:rPr>
          <w:rFonts w:ascii="Times New Roman" w:hAnsi="Times New Roman" w:cs="Times New Roman" w:eastAsia="Times New Roman" w:hint="default"/>
        </w:rPr>
        <w:t>1,000</w:t>
      </w:r>
      <w:r>
        <w:rPr/>
        <w:t>万元，持股比例</w:t>
      </w:r>
      <w:r>
        <w:rPr>
          <w:rFonts w:ascii="Times New Roman" w:hAnsi="Times New Roman" w:cs="Times New Roman" w:eastAsia="Times New Roman" w:hint="default"/>
        </w:rPr>
        <w:t>100%</w:t>
      </w:r>
      <w:r>
        <w:rPr/>
        <w:t>，并纳入合并范围。</w:t>
      </w:r>
    </w:p>
    <w:p>
      <w:pPr>
        <w:pStyle w:val="BodyText"/>
        <w:spacing w:line="240" w:lineRule="auto" w:before="63"/>
        <w:ind w:left="513" w:right="3827"/>
        <w:jc w:val="left"/>
      </w:pPr>
      <w:r>
        <w:rPr>
          <w:rFonts w:ascii="Times New Roman" w:hAnsi="Times New Roman" w:cs="Times New Roman" w:eastAsia="Times New Roman" w:hint="default"/>
        </w:rPr>
        <w:t>2</w:t>
      </w:r>
      <w:r>
        <w:rPr/>
        <w:t>、二级子公司上海中可企业发展有限公司</w:t>
      </w:r>
    </w:p>
    <w:p>
      <w:pPr>
        <w:pStyle w:val="BodyText"/>
        <w:spacing w:line="300" w:lineRule="auto" w:before="63"/>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日，全资子公司光环新网（上海）信息服务有限公司以</w:t>
      </w:r>
      <w:r>
        <w:rPr>
          <w:rFonts w:ascii="Times New Roman" w:hAnsi="Times New Roman" w:cs="Times New Roman" w:eastAsia="Times New Roman" w:hint="default"/>
        </w:rPr>
        <w:t>13,980</w:t>
      </w:r>
      <w:r>
        <w:rPr/>
        <w:t>万元收购张辉、上海步拉维企业管理咨询事 </w:t>
      </w:r>
      <w:r>
        <w:rPr>
          <w:spacing w:val="-1"/>
        </w:rPr>
        <w:t>务所以及上海番塔西企业管理咨询事务所合计持有的上海中可</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日完成工商变更，上海中可成为光环</w:t>
      </w:r>
      <w:r>
        <w:rPr>
          <w:spacing w:val="-88"/>
        </w:rPr>
        <w:t> </w:t>
      </w:r>
      <w:r>
        <w:rPr>
          <w:spacing w:val="-88"/>
        </w:rPr>
      </w:r>
      <w:r>
        <w:rPr/>
        <w:t>新网（上海）信息服务有限公司的全资子公司并纳入合并范围。</w:t>
      </w:r>
    </w:p>
    <w:p>
      <w:pPr>
        <w:pStyle w:val="BodyText"/>
        <w:spacing w:line="240" w:lineRule="auto" w:before="32"/>
        <w:ind w:left="513" w:right="3827"/>
        <w:jc w:val="left"/>
      </w:pPr>
      <w:r>
        <w:rPr>
          <w:rFonts w:ascii="Times New Roman" w:hAnsi="Times New Roman" w:cs="Times New Roman" w:eastAsia="Times New Roman" w:hint="default"/>
        </w:rPr>
        <w:t>3</w:t>
      </w:r>
      <w:r>
        <w:rPr/>
        <w:t>、二级子公司光环云（上海）数据科技有限公司</w:t>
      </w:r>
    </w:p>
    <w:p>
      <w:pPr>
        <w:pStyle w:val="BodyText"/>
        <w:spacing w:line="300" w:lineRule="auto" w:before="63"/>
        <w:ind w:right="113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日，控股子公司光环云数据有限公司出资设立光环云（上海）数据科技有限公司，光环云数据有限公司认 缴</w:t>
      </w:r>
      <w:r>
        <w:rPr>
          <w:rFonts w:ascii="Times New Roman" w:hAnsi="Times New Roman" w:cs="Times New Roman" w:eastAsia="Times New Roman" w:hint="default"/>
        </w:rPr>
        <w:t>1,000</w:t>
      </w:r>
      <w:r>
        <w:rPr/>
        <w:t>万元，持股比例</w:t>
      </w:r>
      <w:r>
        <w:rPr>
          <w:rFonts w:ascii="Times New Roman" w:hAnsi="Times New Roman" w:cs="Times New Roman" w:eastAsia="Times New Roman" w:hint="default"/>
        </w:rPr>
        <w:t>100%</w:t>
      </w:r>
      <w:r>
        <w:rPr/>
        <w:t>，并纳入合并范围。</w:t>
      </w:r>
    </w:p>
    <w:p>
      <w:pPr>
        <w:spacing w:line="240" w:lineRule="auto" w:before="5"/>
        <w:rPr>
          <w:rFonts w:ascii="宋体" w:hAnsi="宋体" w:cs="宋体" w:eastAsia="宋体" w:hint="default"/>
          <w:sz w:val="20"/>
          <w:szCs w:val="20"/>
        </w:rPr>
      </w:pPr>
    </w:p>
    <w:p>
      <w:pPr>
        <w:pStyle w:val="Heading2"/>
        <w:spacing w:line="240" w:lineRule="auto"/>
        <w:ind w:right="3827"/>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白秀荣、韩靖</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白秀荣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年、韩靖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3827"/>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3827"/>
        <w:jc w:val="left"/>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3827"/>
        <w:jc w:val="left"/>
        <w:rPr>
          <w:b w:val="0"/>
          <w:bCs w:val="0"/>
        </w:rPr>
      </w:pPr>
      <w:bookmarkStart w:name="十二、处罚及整改情况" w:id="77"/>
      <w:bookmarkEnd w:id="77"/>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3827"/>
        <w:jc w:val="left"/>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11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报告期内，公司及其控股股东、实际控制人诚信状况良好，不存在未履行法院生效判决、所负数额较大的债务到期未清</w:t>
      </w:r>
    </w:p>
    <w:p>
      <w:pPr>
        <w:pStyle w:val="BodyText"/>
        <w:spacing w:line="240" w:lineRule="auto" w:before="1"/>
        <w:ind w:right="3827"/>
        <w:jc w:val="left"/>
      </w:pPr>
      <w:r>
        <w:rPr/>
        <w:t>偿等情况。</w:t>
      </w:r>
    </w:p>
    <w:p>
      <w:pPr>
        <w:spacing w:line="240" w:lineRule="auto" w:before="1"/>
        <w:rPr>
          <w:rFonts w:ascii="宋体" w:hAnsi="宋体" w:cs="宋体" w:eastAsia="宋体" w:hint="default"/>
          <w:sz w:val="25"/>
          <w:szCs w:val="25"/>
        </w:rPr>
      </w:pPr>
    </w:p>
    <w:p>
      <w:pPr>
        <w:pStyle w:val="Heading2"/>
        <w:spacing w:line="240" w:lineRule="auto"/>
        <w:ind w:right="1112"/>
        <w:jc w:val="left"/>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1112"/>
        <w:jc w:val="left"/>
      </w:pPr>
      <w:r>
        <w:rPr>
          <w:rFonts w:ascii="Times New Roman" w:hAnsi="Times New Roman" w:cs="Times New Roman" w:eastAsia="Times New Roman" w:hint="default"/>
        </w:rPr>
        <w:t>2016</w:t>
      </w:r>
      <w:r>
        <w:rPr/>
        <w:t>年公司推出了首期股票期权激励计划，报告期内股权激励计划的具体实施情况如下：</w:t>
      </w:r>
    </w:p>
    <w:p>
      <w:pPr>
        <w:pStyle w:val="BodyText"/>
        <w:spacing w:line="240" w:lineRule="auto" w:before="63"/>
        <w:ind w:left="513" w:right="3827"/>
        <w:jc w:val="left"/>
      </w:pPr>
      <w:r>
        <w:rPr/>
        <w:t>（一）报告期内股权激励计划的调整及实施情况</w:t>
      </w:r>
    </w:p>
    <w:p>
      <w:pPr>
        <w:pStyle w:val="BodyText"/>
        <w:spacing w:line="300" w:lineRule="auto" w:before="76"/>
        <w:ind w:right="1034"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日，公司首期股票期权激励计划激励对象在第二个行权期内共自主行权</w:t>
      </w:r>
      <w:r>
        <w:rPr>
          <w:rFonts w:ascii="Times New Roman" w:hAnsi="Times New Roman" w:cs="Times New Roman" w:eastAsia="Times New Roman" w:hint="default"/>
          <w:spacing w:val="-2"/>
        </w:rPr>
        <w:t>1,520,100</w:t>
      </w:r>
      <w:r>
        <w:rPr>
          <w:spacing w:val="-2"/>
        </w:rPr>
        <w:t>份，未</w:t>
      </w:r>
      <w:r>
        <w:rPr/>
        <w:t> 行权股票期权数量为</w:t>
      </w:r>
      <w:r>
        <w:rPr>
          <w:rFonts w:ascii="Times New Roman" w:hAnsi="Times New Roman" w:cs="Times New Roman" w:eastAsia="Times New Roman" w:hint="default"/>
        </w:rPr>
        <w:t>1,473,900</w:t>
      </w:r>
      <w:r>
        <w:rPr/>
        <w:t>份。</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日公司召开第三届董事会</w:t>
      </w:r>
      <w:r>
        <w:rPr>
          <w:rFonts w:ascii="Times New Roman" w:hAnsi="Times New Roman" w:cs="Times New Roman" w:eastAsia="Times New Roman" w:hint="default"/>
        </w:rPr>
        <w:t>2019</w:t>
      </w:r>
      <w:r>
        <w:rPr/>
        <w:t>年第二会议审议通过了《关于注销首期股票期 </w:t>
      </w:r>
      <w:r>
        <w:rPr>
          <w:spacing w:val="-3"/>
        </w:rPr>
        <w:t>权激励计划第二个行权期未行权股票期权的议案》，同意对第二个行权期内已授予但未行权的</w:t>
      </w:r>
      <w:r>
        <w:rPr>
          <w:rFonts w:ascii="Times New Roman" w:hAnsi="Times New Roman" w:cs="Times New Roman" w:eastAsia="Times New Roman" w:hint="default"/>
          <w:spacing w:val="-3"/>
        </w:rPr>
        <w:t>1,473,900</w:t>
      </w:r>
      <w:r>
        <w:rPr>
          <w:spacing w:val="-3"/>
        </w:rPr>
        <w:t>份股票期权予以注销。</w:t>
      </w:r>
      <w:r>
        <w:rPr>
          <w:spacing w:val="-86"/>
        </w:rPr>
        <w:t> </w:t>
      </w:r>
      <w:r>
        <w:rPr>
          <w:spacing w:val="-86"/>
        </w:rPr>
      </w:r>
      <w:r>
        <w:rPr>
          <w:spacing w:val="-2"/>
        </w:rPr>
        <w:t>上述股权注销后，公司首期股票期权激励计划已获授但尚未行权的股票期权总数由</w:t>
      </w:r>
      <w:r>
        <w:rPr>
          <w:rFonts w:ascii="Times New Roman" w:hAnsi="Times New Roman" w:cs="Times New Roman" w:eastAsia="Times New Roman" w:hint="default"/>
          <w:spacing w:val="-2"/>
        </w:rPr>
        <w:t>5,988,000</w:t>
      </w:r>
      <w:r>
        <w:rPr>
          <w:spacing w:val="-2"/>
        </w:rPr>
        <w:t>份调整为</w:t>
      </w:r>
      <w:r>
        <w:rPr>
          <w:rFonts w:ascii="Times New Roman" w:hAnsi="Times New Roman" w:cs="Times New Roman" w:eastAsia="Times New Roman" w:hint="default"/>
          <w:spacing w:val="-2"/>
        </w:rPr>
        <w:t>2,994,000</w:t>
      </w:r>
      <w:r>
        <w:rPr>
          <w:spacing w:val="-2"/>
        </w:rPr>
        <w:t>份。独立董事</w:t>
      </w:r>
      <w:r>
        <w:rPr>
          <w:spacing w:val="-49"/>
        </w:rPr>
        <w:t> </w:t>
      </w:r>
      <w:r>
        <w:rPr>
          <w:spacing w:val="-49"/>
        </w:rPr>
      </w:r>
      <w:r>
        <w:rPr/>
        <w:t>及监事会就本次注销未行权期权事项发表了独立意见和核查意见，法律顾问出具了法律意见书。</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4" w:firstLine="360"/>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17</w:t>
      </w:r>
      <w:r>
        <w:rPr>
          <w:spacing w:val="-5"/>
        </w:rPr>
        <w:t>日，公司召开第三届董事会</w:t>
      </w:r>
      <w:r>
        <w:rPr>
          <w:rFonts w:ascii="Times New Roman" w:hAnsi="Times New Roman" w:cs="Times New Roman" w:eastAsia="Times New Roman" w:hint="default"/>
          <w:spacing w:val="-5"/>
        </w:rPr>
        <w:t>2019</w:t>
      </w:r>
      <w:r>
        <w:rPr>
          <w:spacing w:val="-5"/>
        </w:rPr>
        <w:t>年第二会议审议通过了《关于调整首期股票期权激励计划激励对象名单、</w:t>
      </w:r>
      <w:r>
        <w:rPr/>
        <w:t> 股票期权数量及注销部分股票期权的议案》及《关于首期股票期权激励计划第三个行权期可行权的议案》，取消</w:t>
      </w:r>
      <w:r>
        <w:rPr>
          <w:rFonts w:ascii="Times New Roman" w:hAnsi="Times New Roman" w:cs="Times New Roman" w:eastAsia="Times New Roman" w:hint="default"/>
        </w:rPr>
        <w:t>4</w:t>
      </w:r>
      <w:r>
        <w:rPr/>
        <w:t>名已离职</w:t>
      </w:r>
      <w:r>
        <w:rPr>
          <w:spacing w:val="-87"/>
        </w:rPr>
        <w:t> </w:t>
      </w:r>
      <w:r>
        <w:rPr/>
        <w:t>激励对象及</w:t>
      </w:r>
      <w:r>
        <w:rPr>
          <w:rFonts w:ascii="Times New Roman" w:hAnsi="Times New Roman" w:cs="Times New Roman" w:eastAsia="Times New Roman" w:hint="default"/>
        </w:rPr>
        <w:t>1</w:t>
      </w:r>
      <w:r>
        <w:rPr/>
        <w:t>名自愿放弃其已获授全部期权的激励对象资格并注销该</w:t>
      </w:r>
      <w:r>
        <w:rPr>
          <w:rFonts w:ascii="Times New Roman" w:hAnsi="Times New Roman" w:cs="Times New Roman" w:eastAsia="Times New Roman" w:hint="default"/>
        </w:rPr>
        <w:t>5</w:t>
      </w:r>
      <w:r>
        <w:rPr/>
        <w:t>名激励对象已获授但尚未行权的</w:t>
      </w:r>
      <w:r>
        <w:rPr>
          <w:rFonts w:ascii="Times New Roman" w:hAnsi="Times New Roman" w:cs="Times New Roman" w:eastAsia="Times New Roman" w:hint="default"/>
        </w:rPr>
        <w:t>132,000</w:t>
      </w:r>
      <w:r>
        <w:rPr/>
        <w:t>份股票期权，</w:t>
      </w:r>
      <w:r>
        <w:rPr>
          <w:spacing w:val="-87"/>
        </w:rPr>
        <w:t> </w:t>
      </w:r>
      <w:r>
        <w:rPr>
          <w:spacing w:val="-2"/>
        </w:rPr>
        <w:t>调整后公司首期股权期权激励计划已获授但尚未行权的股票期权总数由</w:t>
      </w:r>
      <w:r>
        <w:rPr>
          <w:rFonts w:ascii="Times New Roman" w:hAnsi="Times New Roman" w:cs="Times New Roman" w:eastAsia="Times New Roman" w:hint="default"/>
          <w:spacing w:val="-2"/>
        </w:rPr>
        <w:t>2,994,000</w:t>
      </w:r>
      <w:r>
        <w:rPr>
          <w:spacing w:val="-2"/>
        </w:rPr>
        <w:t>份调整为</w:t>
      </w:r>
      <w:r>
        <w:rPr>
          <w:rFonts w:ascii="Times New Roman" w:hAnsi="Times New Roman" w:cs="Times New Roman" w:eastAsia="Times New Roman" w:hint="default"/>
          <w:spacing w:val="-2"/>
        </w:rPr>
        <w:t>2,862,000</w:t>
      </w:r>
      <w:r>
        <w:rPr>
          <w:spacing w:val="-2"/>
        </w:rPr>
        <w:t>份，激励对象由</w:t>
      </w:r>
      <w:r>
        <w:rPr>
          <w:rFonts w:ascii="Times New Roman" w:hAnsi="Times New Roman" w:cs="Times New Roman" w:eastAsia="Times New Roman" w:hint="default"/>
          <w:spacing w:val="-2"/>
        </w:rPr>
        <w:t>91</w:t>
      </w:r>
      <w:r>
        <w:rPr>
          <w:spacing w:val="-2"/>
        </w:rPr>
        <w:t>人调整</w:t>
      </w:r>
      <w:r>
        <w:rPr>
          <w:spacing w:val="-49"/>
        </w:rPr>
        <w:t> </w:t>
      </w:r>
      <w:r>
        <w:rPr>
          <w:spacing w:val="-49"/>
        </w:rPr>
      </w:r>
      <w:r>
        <w:rPr/>
        <w:t>为</w:t>
      </w:r>
      <w:r>
        <w:rPr>
          <w:rFonts w:ascii="Times New Roman" w:hAnsi="Times New Roman" w:cs="Times New Roman" w:eastAsia="Times New Roman" w:hint="default"/>
        </w:rPr>
        <w:t>86</w:t>
      </w:r>
      <w:r>
        <w:rPr/>
        <w:t>人。确认首期股票期权激励计划第三个行权期行权条件已经满足，</w:t>
      </w:r>
      <w:r>
        <w:rPr>
          <w:rFonts w:ascii="Times New Roman" w:hAnsi="Times New Roman" w:cs="Times New Roman" w:eastAsia="Times New Roman" w:hint="default"/>
        </w:rPr>
        <w:t>86</w:t>
      </w:r>
      <w:r>
        <w:rPr/>
        <w:t>名激励对象在第三个行权期内可行权数量为 </w:t>
      </w:r>
      <w:r>
        <w:rPr>
          <w:rFonts w:ascii="Times New Roman" w:hAnsi="Times New Roman" w:cs="Times New Roman" w:eastAsia="Times New Roman" w:hint="default"/>
          <w:spacing w:val="-2"/>
        </w:rPr>
        <w:t>2,862,000</w:t>
      </w:r>
      <w:r>
        <w:rPr>
          <w:spacing w:val="-2"/>
        </w:rPr>
        <w:t>份。独立董事就本次调整及期权行权等相关事项发表了独立意见，法律顾问出具了法律意见书；监事会对调整后激</w:t>
      </w:r>
      <w:r>
        <w:rPr>
          <w:spacing w:val="-56"/>
        </w:rPr>
        <w:t> </w:t>
      </w:r>
      <w:r>
        <w:rPr>
          <w:spacing w:val="-56"/>
        </w:rPr>
      </w:r>
      <w:r>
        <w:rPr/>
        <w:t>励对象名单发表了核查意见。</w:t>
      </w:r>
    </w:p>
    <w:p>
      <w:pPr>
        <w:pStyle w:val="BodyText"/>
        <w:spacing w:line="300" w:lineRule="auto" w:before="31"/>
        <w:ind w:right="1112"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日，公司召开第四届董事会</w:t>
      </w:r>
      <w:r>
        <w:rPr>
          <w:rFonts w:ascii="Times New Roman" w:hAnsi="Times New Roman" w:cs="Times New Roman" w:eastAsia="Times New Roman" w:hint="default"/>
          <w:spacing w:val="-2"/>
        </w:rPr>
        <w:t>2019</w:t>
      </w:r>
      <w:r>
        <w:rPr>
          <w:spacing w:val="-2"/>
        </w:rPr>
        <w:t>年第二次会议审议通过了《关于调整首期股票期权激励计划股票期权行</w:t>
      </w:r>
      <w:r>
        <w:rPr/>
        <w:t> 权价格的议案》，因公司于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日实施了</w:t>
      </w:r>
      <w:r>
        <w:rPr>
          <w:rFonts w:ascii="Times New Roman" w:hAnsi="Times New Roman" w:cs="Times New Roman" w:eastAsia="Times New Roman" w:hint="default"/>
        </w:rPr>
        <w:t>“</w:t>
      </w: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元人民币（含税）</w:t>
      </w:r>
      <w:r>
        <w:rPr>
          <w:rFonts w:ascii="Times New Roman" w:hAnsi="Times New Roman" w:cs="Times New Roman" w:eastAsia="Times New Roman" w:hint="default"/>
        </w:rPr>
        <w:t>”</w:t>
      </w:r>
      <w:r>
        <w:rPr/>
        <w:t>的</w:t>
      </w:r>
      <w:r>
        <w:rPr>
          <w:rFonts w:ascii="Times New Roman" w:hAnsi="Times New Roman" w:cs="Times New Roman" w:eastAsia="Times New Roman" w:hint="default"/>
        </w:rPr>
        <w:t>2018</w:t>
      </w:r>
      <w:r>
        <w:rPr/>
        <w:t>年度利润分配方案， 行权价格由</w:t>
      </w:r>
      <w:r>
        <w:rPr>
          <w:rFonts w:ascii="Times New Roman" w:hAnsi="Times New Roman" w:cs="Times New Roman" w:eastAsia="Times New Roman" w:hint="default"/>
        </w:rPr>
        <w:t>18.04</w:t>
      </w:r>
      <w:r>
        <w:rPr/>
        <w:t>元调整为</w:t>
      </w:r>
      <w:r>
        <w:rPr>
          <w:rFonts w:ascii="Times New Roman" w:hAnsi="Times New Roman" w:cs="Times New Roman" w:eastAsia="Times New Roman" w:hint="default"/>
        </w:rPr>
        <w:t>18.02</w:t>
      </w:r>
      <w:r>
        <w:rPr/>
        <w:t>元。独立董事就本次期权价格调整事项发表了独立意见，法律顾问出具了法律意见书。</w:t>
      </w:r>
    </w:p>
    <w:p>
      <w:pPr>
        <w:pStyle w:val="BodyText"/>
        <w:spacing w:line="240" w:lineRule="auto" w:before="53"/>
        <w:ind w:left="513" w:right="986"/>
        <w:jc w:val="left"/>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2020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日，公司召开第四届董事会</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年第一次会议审议通过了《关于注销首期股票期权激励计划第三个</w:t>
      </w:r>
    </w:p>
    <w:p>
      <w:pPr>
        <w:pStyle w:val="BodyText"/>
        <w:spacing w:line="240" w:lineRule="auto" w:before="63"/>
        <w:ind w:right="986"/>
        <w:jc w:val="left"/>
        <w:rPr>
          <w:rFonts w:ascii="Times New Roman" w:hAnsi="Times New Roman" w:cs="Times New Roman" w:eastAsia="Times New Roman" w:hint="default"/>
        </w:rPr>
      </w:pPr>
      <w:r>
        <w:rPr/>
        <w:t>行权期未行权股票期权的议案</w:t>
      </w:r>
      <w:r>
        <w:rPr>
          <w:spacing w:val="-89"/>
        </w:rPr>
        <w:t>》</w:t>
      </w:r>
      <w:r>
        <w:rPr/>
        <w:t>，公司首期股票期权激励计划第三个行权期已于</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日期限届满，</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40" w:lineRule="auto" w:before="63"/>
        <w:ind w:right="986"/>
        <w:jc w:val="left"/>
      </w:pPr>
      <w:r>
        <w:rPr/>
        <w:t>日至</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日公司首</w:t>
      </w:r>
      <w:r>
        <w:rPr>
          <w:spacing w:val="-3"/>
        </w:rPr>
        <w:t>期</w:t>
      </w:r>
      <w:r>
        <w:rPr/>
        <w:t>股票期权激励计划激励对象在第三个行权期内共自主行权</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44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份</w:t>
      </w:r>
      <w:r>
        <w:rPr>
          <w:spacing w:val="-82"/>
        </w:rPr>
        <w:t>，</w:t>
      </w:r>
      <w:r>
        <w:rPr/>
        <w:t>未行权股票期权数量</w:t>
      </w:r>
    </w:p>
    <w:p>
      <w:pPr>
        <w:pStyle w:val="BodyText"/>
        <w:spacing w:line="300" w:lineRule="auto" w:before="63"/>
        <w:ind w:right="1121"/>
        <w:jc w:val="left"/>
      </w:pPr>
      <w:r>
        <w:rPr/>
        <w:t>为</w:t>
      </w:r>
      <w:r>
        <w:rPr>
          <w:spacing w:val="-45"/>
        </w:rPr>
        <w:t> </w:t>
      </w:r>
      <w:r>
        <w:rPr>
          <w:rFonts w:ascii="Times New Roman" w:hAnsi="Times New Roman" w:cs="Times New Roman" w:eastAsia="Times New Roman" w:hint="default"/>
        </w:rPr>
        <w:t>918,000</w:t>
      </w:r>
      <w:r>
        <w:rPr>
          <w:rFonts w:ascii="Times New Roman" w:hAnsi="Times New Roman" w:cs="Times New Roman" w:eastAsia="Times New Roman" w:hint="default"/>
          <w:spacing w:val="1"/>
        </w:rPr>
        <w:t> </w:t>
      </w:r>
      <w:r>
        <w:rPr/>
        <w:t>份。根据公司《首期股票期权激励计划》的规定，对第三个行权期内已授予但未行权的</w:t>
      </w:r>
      <w:r>
        <w:rPr>
          <w:spacing w:val="-44"/>
        </w:rPr>
        <w:t> </w:t>
      </w:r>
      <w:r>
        <w:rPr>
          <w:rFonts w:ascii="Times New Roman" w:hAnsi="Times New Roman" w:cs="Times New Roman" w:eastAsia="Times New Roman" w:hint="default"/>
        </w:rPr>
        <w:t>918,000</w:t>
      </w:r>
      <w:r>
        <w:rPr>
          <w:rFonts w:ascii="Times New Roman" w:hAnsi="Times New Roman" w:cs="Times New Roman" w:eastAsia="Times New Roman" w:hint="default"/>
          <w:spacing w:val="1"/>
        </w:rPr>
        <w:t> </w:t>
      </w:r>
      <w:r>
        <w:rPr/>
        <w:t>份股票期权予以 注销。</w:t>
      </w:r>
    </w:p>
    <w:p>
      <w:pPr>
        <w:pStyle w:val="BodyText"/>
        <w:spacing w:line="316" w:lineRule="auto" w:before="70"/>
        <w:ind w:right="1130" w:firstLine="360"/>
        <w:jc w:val="both"/>
      </w:pPr>
      <w:r>
        <w:rPr>
          <w:spacing w:val="-2"/>
        </w:rPr>
        <w:t>上述期权注销后，公司首期股票期权激励计划实施完毕。公司首期股权期权激励计划的实施，进一步完善了公司治理结</w:t>
      </w:r>
      <w:r>
        <w:rPr/>
        <w:t> </w:t>
      </w:r>
      <w:r>
        <w:rPr>
          <w:spacing w:val="-2"/>
        </w:rPr>
        <w:t>构，健全了公司激励约束机制，实现了股东、公司和管理层利益一致，有效调动了管理者和重要骨干的积极性，对公司长期</w:t>
      </w:r>
      <w:r>
        <w:rPr>
          <w:spacing w:val="-67"/>
        </w:rPr>
        <w:t> </w:t>
      </w:r>
      <w:r>
        <w:rPr>
          <w:spacing w:val="-67"/>
        </w:rPr>
      </w:r>
      <w:r>
        <w:rPr/>
        <w:t>稳定持续发展起到了促进作用。公司管理团队将继续认真履行职责，尽全力为股东创造价值。</w:t>
      </w:r>
    </w:p>
    <w:p>
      <w:pPr>
        <w:pStyle w:val="BodyText"/>
        <w:spacing w:line="316" w:lineRule="auto" w:before="19"/>
        <w:ind w:left="513" w:right="1033"/>
        <w:jc w:val="left"/>
      </w:pPr>
      <w:r>
        <w:rPr/>
        <w:t>（二）本次股权激励计划实施对公司的影响 截至本报告出具日，公司首期股票期权激励计划已实施完毕，本次股权激励计划的实施，进一步完善了公司治理结构，</w:t>
      </w:r>
    </w:p>
    <w:p>
      <w:pPr>
        <w:pStyle w:val="BodyText"/>
        <w:spacing w:line="316" w:lineRule="auto" w:before="19"/>
        <w:ind w:right="1112"/>
        <w:jc w:val="left"/>
      </w:pPr>
      <w:r>
        <w:rPr>
          <w:spacing w:val="-2"/>
        </w:rPr>
        <w:t>健全了公司激励约束机制，实现了股东、公司和管理层利益一致，有效调动了管理者和重要骨干的积极性，对公司长期稳定</w:t>
      </w:r>
      <w:r>
        <w:rPr>
          <w:spacing w:val="-65"/>
        </w:rPr>
        <w:t> </w:t>
      </w:r>
      <w:r>
        <w:rPr>
          <w:spacing w:val="-65"/>
        </w:rPr>
      </w:r>
      <w:r>
        <w:rPr/>
        <w:t>持续发展起到了促进作用。公司管理团队将继续认真履行职责，尽全力为股东创造价值。</w:t>
      </w:r>
    </w:p>
    <w:p>
      <w:pPr>
        <w:pStyle w:val="BodyText"/>
        <w:spacing w:line="240" w:lineRule="auto" w:before="19"/>
        <w:ind w:left="513" w:right="1112"/>
        <w:jc w:val="left"/>
      </w:pPr>
      <w:r>
        <w:rPr/>
        <w:t>本次股权激励计划成本合计为</w:t>
      </w:r>
      <w:r>
        <w:rPr>
          <w:rFonts w:ascii="Times New Roman" w:hAnsi="Times New Roman" w:cs="Times New Roman" w:eastAsia="Times New Roman" w:hint="default"/>
        </w:rPr>
        <w:t>3,096.88</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年股票期权成本摊销情况见下表：</w:t>
      </w:r>
    </w:p>
    <w:p>
      <w:pPr>
        <w:spacing w:line="240" w:lineRule="auto" w:before="2"/>
        <w:rPr>
          <w:rFonts w:ascii="宋体" w:hAnsi="宋体" w:cs="宋体" w:eastAsia="宋体" w:hint="default"/>
          <w:sz w:val="4"/>
          <w:szCs w:val="4"/>
        </w:rPr>
      </w:pPr>
    </w:p>
    <w:tbl>
      <w:tblPr>
        <w:tblW w:w="0" w:type="auto"/>
        <w:jc w:val="left"/>
        <w:tblInd w:w="712" w:type="dxa"/>
        <w:tblLayout w:type="fixed"/>
        <w:tblCellMar>
          <w:top w:w="0" w:type="dxa"/>
          <w:left w:w="0" w:type="dxa"/>
          <w:bottom w:w="0" w:type="dxa"/>
          <w:right w:w="0" w:type="dxa"/>
        </w:tblCellMar>
        <w:tblLook w:val="01E0"/>
      </w:tblPr>
      <w:tblGrid>
        <w:gridCol w:w="1668"/>
        <w:gridCol w:w="1733"/>
        <w:gridCol w:w="1702"/>
        <w:gridCol w:w="1702"/>
        <w:gridCol w:w="1702"/>
      </w:tblGrid>
      <w:tr>
        <w:trPr>
          <w:trHeight w:val="74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需摊销的费用合计</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年度（万元）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年度（万元）</w:t>
            </w:r>
          </w:p>
        </w:tc>
      </w:tr>
      <w:tr>
        <w:trPr>
          <w:trHeight w:val="42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13" w:right="0"/>
              <w:jc w:val="left"/>
              <w:rPr>
                <w:rFonts w:ascii="Times New Roman" w:hAnsi="Times New Roman" w:cs="Times New Roman" w:eastAsia="Times New Roman" w:hint="default"/>
                <w:sz w:val="18"/>
                <w:szCs w:val="18"/>
              </w:rPr>
            </w:pPr>
            <w:r>
              <w:rPr>
                <w:rFonts w:ascii="Times New Roman"/>
                <w:sz w:val="18"/>
              </w:rPr>
              <w:t>3,245.79</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1,375.92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1,170.44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448.95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29.00</w:t>
            </w:r>
          </w:p>
        </w:tc>
      </w:tr>
    </w:tbl>
    <w:p>
      <w:pPr>
        <w:pStyle w:val="BodyText"/>
        <w:spacing w:line="240" w:lineRule="auto" w:before="8"/>
        <w:ind w:left="513" w:right="3827"/>
        <w:jc w:val="left"/>
      </w:pPr>
      <w:r>
        <w:rPr/>
        <w:t>本次股权激励计划的成本已在经常性损益中列支。</w:t>
      </w:r>
    </w:p>
    <w:p>
      <w:pPr>
        <w:pStyle w:val="BodyText"/>
        <w:spacing w:line="316" w:lineRule="auto" w:before="76"/>
        <w:ind w:left="513" w:right="1393"/>
        <w:jc w:val="left"/>
      </w:pPr>
      <w:r>
        <w:rPr/>
        <w:t>（三）报告期内股权激励计划事项信息披露情况 报告期内，有关公司首期股票期权激励计划的具体内容详见公司在中国证监会指定创业板信息披露网站巨潮资讯网</w:t>
      </w:r>
    </w:p>
    <w:p>
      <w:pPr>
        <w:pStyle w:val="BodyText"/>
        <w:spacing w:line="240" w:lineRule="auto" w:before="19"/>
        <w:ind w:right="3827"/>
        <w:jc w:val="left"/>
      </w:pPr>
      <w:r>
        <w:rPr/>
        <w:t>（</w:t>
      </w:r>
      <w:hyperlink r:id="rId11">
        <w:r>
          <w:rPr>
            <w:rFonts w:ascii="Times New Roman" w:hAnsi="Times New Roman" w:cs="Times New Roman" w:eastAsia="Times New Roman" w:hint="default"/>
          </w:rPr>
          <w:t>http://www.cninfo.com.cn</w:t>
        </w:r>
      </w:hyperlink>
      <w:r>
        <w:rPr/>
        <w:t>）上的公告：</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6249"/>
        <w:gridCol w:w="1844"/>
        <w:gridCol w:w="1567"/>
      </w:tblGrid>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5"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第三届董事会</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年第二次会议决议公告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31" w:right="0"/>
              <w:jc w:val="left"/>
              <w:rPr>
                <w:rFonts w:ascii="Times New Roman" w:hAnsi="Times New Roman" w:cs="Times New Roman" w:eastAsia="Times New Roman" w:hint="default"/>
                <w:sz w:val="18"/>
                <w:szCs w:val="18"/>
              </w:rPr>
            </w:pPr>
            <w:r>
              <w:rPr>
                <w:rFonts w:ascii="Times New Roman"/>
                <w:sz w:val="18"/>
              </w:rPr>
              <w:t>2019-016</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第三届监事会</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年第二次会议决议公告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31" w:right="0"/>
              <w:jc w:val="left"/>
              <w:rPr>
                <w:rFonts w:ascii="Times New Roman" w:hAnsi="Times New Roman" w:cs="Times New Roman" w:eastAsia="Times New Roman" w:hint="default"/>
                <w:sz w:val="18"/>
                <w:szCs w:val="18"/>
              </w:rPr>
            </w:pPr>
            <w:r>
              <w:rPr>
                <w:rFonts w:ascii="Times New Roman"/>
                <w:sz w:val="18"/>
              </w:rPr>
              <w:t>2019-017</w:t>
            </w:r>
          </w:p>
        </w:tc>
      </w:tr>
      <w:tr>
        <w:trPr>
          <w:trHeight w:val="740"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756" w:right="1" w:hanging="2754"/>
              <w:jc w:val="left"/>
              <w:rPr>
                <w:rFonts w:ascii="宋体" w:hAnsi="宋体" w:cs="宋体" w:eastAsia="宋体" w:hint="default"/>
                <w:sz w:val="18"/>
                <w:szCs w:val="18"/>
              </w:rPr>
            </w:pPr>
            <w:r>
              <w:rPr>
                <w:rFonts w:ascii="宋体" w:hAnsi="宋体" w:cs="宋体" w:eastAsia="宋体" w:hint="default"/>
                <w:spacing w:val="-3"/>
                <w:sz w:val="18"/>
                <w:szCs w:val="18"/>
              </w:rPr>
              <w:t>关于调整首期股票期权激励计划激励对象名单、股票期权数量及注销部分股票期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权的公告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31" w:right="0"/>
              <w:jc w:val="left"/>
              <w:rPr>
                <w:rFonts w:ascii="Times New Roman" w:hAnsi="Times New Roman" w:cs="Times New Roman" w:eastAsia="Times New Roman" w:hint="default"/>
                <w:sz w:val="18"/>
                <w:szCs w:val="18"/>
              </w:rPr>
            </w:pPr>
            <w:r>
              <w:rPr>
                <w:rFonts w:ascii="Times New Roman"/>
                <w:sz w:val="18"/>
              </w:rPr>
              <w:t>2019-027</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关于注销首期股票期权激励计划第二个行权期未行权股票期权的公告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31" w:right="0"/>
              <w:jc w:val="left"/>
              <w:rPr>
                <w:rFonts w:ascii="Times New Roman" w:hAnsi="Times New Roman" w:cs="Times New Roman" w:eastAsia="Times New Roman" w:hint="default"/>
                <w:sz w:val="18"/>
                <w:szCs w:val="18"/>
              </w:rPr>
            </w:pPr>
            <w:r>
              <w:rPr>
                <w:rFonts w:ascii="Times New Roman"/>
                <w:sz w:val="18"/>
              </w:rPr>
              <w:t>2019-028</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关于首期股票期权激励计划第三个行权期可行权事宜的公告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31" w:right="0"/>
              <w:jc w:val="left"/>
              <w:rPr>
                <w:rFonts w:ascii="Times New Roman" w:hAnsi="Times New Roman" w:cs="Times New Roman" w:eastAsia="Times New Roman" w:hint="default"/>
                <w:sz w:val="18"/>
                <w:szCs w:val="18"/>
              </w:rPr>
            </w:pPr>
            <w:r>
              <w:rPr>
                <w:rFonts w:ascii="Times New Roman"/>
                <w:sz w:val="18"/>
              </w:rPr>
              <w:t>2019-029</w:t>
            </w:r>
          </w:p>
        </w:tc>
      </w:tr>
      <w:tr>
        <w:trPr>
          <w:trHeight w:val="739"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226" w:right="58" w:hanging="1172"/>
              <w:jc w:val="left"/>
              <w:rPr>
                <w:rFonts w:ascii="宋体" w:hAnsi="宋体" w:cs="宋体" w:eastAsia="宋体" w:hint="default"/>
                <w:sz w:val="18"/>
                <w:szCs w:val="18"/>
              </w:rPr>
            </w:pPr>
            <w:r>
              <w:rPr>
                <w:rFonts w:ascii="宋体" w:hAnsi="宋体" w:cs="宋体" w:eastAsia="宋体" w:hint="default"/>
                <w:sz w:val="18"/>
                <w:szCs w:val="18"/>
              </w:rPr>
              <w:t>北京市嘉源律师事务所关于北京光环新网科技股份有限公司首期股票期权激励 计划第三个行权期可行权相关事项的法律意见书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首期股票期权激励计划激励对象名单（调整后）</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6249"/>
        <w:gridCol w:w="1844"/>
        <w:gridCol w:w="1567"/>
      </w:tblGrid>
      <w:tr>
        <w:trPr>
          <w:trHeight w:val="428"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《关于首期股票期权激励计划第三个行权期可行权事宜的公告》的更正公告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2019-035</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关于部分已授予股票期权注销完成的公告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2019-036</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关于首期股票期权激励计划第三个行权期采用自主行权模式的提示性公告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2019-045</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关于调整首期股票期权激励计划股票期权行权价格的公告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2019-052</w:t>
            </w:r>
          </w:p>
        </w:tc>
      </w:tr>
      <w:tr>
        <w:trPr>
          <w:trHeight w:val="739"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675" w:right="58" w:hanging="1621"/>
              <w:jc w:val="left"/>
              <w:rPr>
                <w:rFonts w:ascii="宋体" w:hAnsi="宋体" w:cs="宋体" w:eastAsia="宋体" w:hint="default"/>
                <w:sz w:val="18"/>
                <w:szCs w:val="18"/>
              </w:rPr>
            </w:pPr>
            <w:r>
              <w:rPr>
                <w:rFonts w:ascii="宋体" w:hAnsi="宋体" w:cs="宋体" w:eastAsia="宋体" w:hint="default"/>
                <w:sz w:val="18"/>
                <w:szCs w:val="18"/>
              </w:rPr>
              <w:t>北京市嘉源律师事务所关于北京光环新网股份有限公司调整首期股票期权激励 计划股票期权行权价格的法律意见书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第四届董事会</w:t>
            </w:r>
            <w:r>
              <w:rPr>
                <w:rFonts w:ascii="Times New Roman" w:hAnsi="Times New Roman" w:cs="Times New Roman" w:eastAsia="Times New Roman" w:hint="default"/>
                <w:sz w:val="18"/>
                <w:szCs w:val="18"/>
              </w:rPr>
              <w:t>2020</w:t>
            </w:r>
            <w:r>
              <w:rPr>
                <w:rFonts w:ascii="宋体" w:hAnsi="宋体" w:cs="宋体" w:eastAsia="宋体" w:hint="default"/>
                <w:sz w:val="18"/>
                <w:szCs w:val="18"/>
              </w:rPr>
              <w:t>年第一次会议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2020-010</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第四届监事会</w:t>
            </w:r>
            <w:r>
              <w:rPr>
                <w:rFonts w:ascii="Times New Roman" w:hAnsi="Times New Roman" w:cs="Times New Roman" w:eastAsia="Times New Roman" w:hint="default"/>
                <w:sz w:val="18"/>
                <w:szCs w:val="18"/>
              </w:rPr>
              <w:t>2020</w:t>
            </w:r>
            <w:r>
              <w:rPr>
                <w:rFonts w:ascii="宋体" w:hAnsi="宋体" w:cs="宋体" w:eastAsia="宋体" w:hint="default"/>
                <w:sz w:val="18"/>
                <w:szCs w:val="18"/>
              </w:rPr>
              <w:t>年第一次会议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2020-011</w:t>
            </w:r>
          </w:p>
        </w:tc>
      </w:tr>
      <w:tr>
        <w:trPr>
          <w:trHeight w:val="427"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关于注销首期股票期权激励计划第三个行权期未行权股票期权的公告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2020-027</w:t>
            </w:r>
          </w:p>
        </w:tc>
      </w:tr>
      <w:tr>
        <w:trPr>
          <w:trHeight w:val="740" w:hRule="exact"/>
        </w:trPr>
        <w:tc>
          <w:tcPr>
            <w:tcW w:w="62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1226" w:right="57" w:hanging="1172"/>
              <w:jc w:val="left"/>
              <w:rPr>
                <w:rFonts w:ascii="宋体" w:hAnsi="宋体" w:cs="宋体" w:eastAsia="宋体" w:hint="default"/>
                <w:sz w:val="18"/>
                <w:szCs w:val="18"/>
              </w:rPr>
            </w:pPr>
            <w:r>
              <w:rPr>
                <w:rFonts w:ascii="宋体" w:hAnsi="宋体" w:cs="宋体" w:eastAsia="宋体" w:hint="default"/>
                <w:sz w:val="18"/>
                <w:szCs w:val="18"/>
              </w:rPr>
              <w:t>北京市嘉源律师事务所关于北京光环新网股份有限公司注销首期股票期权激励 计划第三个行权期未行权股票期权的法律意见书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3827"/>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3827"/>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3827"/>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3827"/>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3827"/>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91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关联担保情况：</w:t>
      </w:r>
    </w:p>
    <w:p>
      <w:pPr>
        <w:pStyle w:val="BodyText"/>
        <w:spacing w:line="300" w:lineRule="auto" w:before="41"/>
        <w:ind w:right="1130" w:firstLine="360"/>
        <w:jc w:val="both"/>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日，本公司与子公司中金云网作为共同借款人，与工商银行经济开发区支行签订</w:t>
      </w:r>
      <w:r>
        <w:rPr>
          <w:rFonts w:ascii="Times New Roman" w:hAnsi="Times New Roman" w:cs="Times New Roman" w:eastAsia="Times New Roman" w:hint="default"/>
          <w:spacing w:val="-3"/>
        </w:rPr>
        <w:t>2019</w:t>
      </w:r>
      <w:r>
        <w:rPr>
          <w:spacing w:val="-3"/>
        </w:rPr>
        <w:t>（亦庄）字</w:t>
      </w:r>
      <w:r>
        <w:rPr>
          <w:rFonts w:ascii="Times New Roman" w:hAnsi="Times New Roman" w:cs="Times New Roman" w:eastAsia="Times New Roman" w:hint="default"/>
          <w:spacing w:val="-3"/>
        </w:rPr>
        <w:t>00156</w:t>
      </w:r>
      <w:r>
        <w:rPr>
          <w:rFonts w:ascii="Times New Roman" w:hAnsi="Times New Roman" w:cs="Times New Roman" w:eastAsia="Times New Roman" w:hint="default"/>
        </w:rPr>
        <w:t> </w:t>
      </w:r>
      <w:r>
        <w:rPr>
          <w:spacing w:val="-2"/>
        </w:rPr>
        <w:t>号经营性物业支持借款合同，该借款合同项下总贷款金额</w:t>
      </w:r>
      <w:r>
        <w:rPr>
          <w:rFonts w:ascii="Times New Roman" w:hAnsi="Times New Roman" w:cs="Times New Roman" w:eastAsia="Times New Roman" w:hint="default"/>
          <w:spacing w:val="-2"/>
        </w:rPr>
        <w:t>15</w:t>
      </w:r>
      <w:r>
        <w:rPr>
          <w:spacing w:val="-2"/>
        </w:rPr>
        <w:t>亿元，借款期限</w:t>
      </w:r>
      <w:r>
        <w:rPr>
          <w:rFonts w:ascii="Times New Roman" w:hAnsi="Times New Roman" w:cs="Times New Roman" w:eastAsia="Times New Roman" w:hint="default"/>
          <w:spacing w:val="-2"/>
        </w:rPr>
        <w:t>15</w:t>
      </w:r>
      <w:r>
        <w:rPr>
          <w:spacing w:val="-2"/>
        </w:rPr>
        <w:t>年。以中金云网位于北京经济技术开发区博兴</w:t>
      </w:r>
      <w:r>
        <w:rPr>
          <w:spacing w:val="-64"/>
        </w:rPr>
        <w:t> </w:t>
      </w:r>
      <w:r>
        <w:rPr>
          <w:spacing w:val="-64"/>
        </w:rPr>
      </w:r>
      <w:r>
        <w:rPr/>
        <w:t>八路</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2</w:t>
      </w:r>
      <w:r>
        <w:rPr/>
        <w:t>幢、</w:t>
      </w:r>
      <w:r>
        <w:rPr>
          <w:rFonts w:ascii="Times New Roman" w:hAnsi="Times New Roman" w:cs="Times New Roman" w:eastAsia="Times New Roman" w:hint="default"/>
        </w:rPr>
        <w:t>3</w:t>
      </w:r>
      <w:r>
        <w:rPr/>
        <w:t>幢房产（不动产权编号：京（</w:t>
      </w:r>
      <w:r>
        <w:rPr>
          <w:rFonts w:ascii="Times New Roman" w:hAnsi="Times New Roman" w:cs="Times New Roman" w:eastAsia="Times New Roman" w:hint="default"/>
        </w:rPr>
        <w:t>2016</w:t>
      </w:r>
      <w:r>
        <w:rPr/>
        <w:t>）开发区不动产权第</w:t>
      </w:r>
      <w:r>
        <w:rPr>
          <w:rFonts w:ascii="Times New Roman" w:hAnsi="Times New Roman" w:cs="Times New Roman" w:eastAsia="Times New Roman" w:hint="default"/>
        </w:rPr>
        <w:t>0011007</w:t>
      </w:r>
      <w:r>
        <w:rPr/>
        <w:t>号）、北京经济技术开发区博兴八路</w:t>
      </w:r>
      <w:r>
        <w:rPr>
          <w:rFonts w:ascii="Times New Roman" w:hAnsi="Times New Roman" w:cs="Times New Roman" w:eastAsia="Times New Roman" w:hint="default"/>
        </w:rPr>
        <w:t>1</w:t>
      </w:r>
    </w:p>
    <w:p>
      <w:pPr>
        <w:spacing w:after="0" w:line="300"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167"/>
        <w:jc w:val="both"/>
      </w:pPr>
      <w:r>
        <w:rPr/>
        <w:t>号院</w:t>
      </w:r>
      <w:r>
        <w:rPr>
          <w:rFonts w:ascii="Times New Roman" w:hAnsi="Times New Roman" w:cs="Times New Roman" w:eastAsia="Times New Roman" w:hint="default"/>
        </w:rPr>
        <w:t>4</w:t>
      </w:r>
      <w:r>
        <w:rPr/>
        <w:t>号楼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101</w:t>
      </w:r>
      <w:r>
        <w:rPr/>
        <w:t>等</w:t>
      </w:r>
      <w:r>
        <w:rPr>
          <w:rFonts w:ascii="Times New Roman" w:hAnsi="Times New Roman" w:cs="Times New Roman" w:eastAsia="Times New Roman" w:hint="default"/>
        </w:rPr>
        <w:t>3</w:t>
      </w:r>
      <w:r>
        <w:rPr/>
        <w:t>套（不动产权编号：京（</w:t>
      </w:r>
      <w:r>
        <w:rPr>
          <w:rFonts w:ascii="Times New Roman" w:hAnsi="Times New Roman" w:cs="Times New Roman" w:eastAsia="Times New Roman" w:hint="default"/>
        </w:rPr>
        <w:t>2016</w:t>
      </w:r>
      <w:r>
        <w:rPr/>
        <w:t>）开不动产权第</w:t>
      </w:r>
      <w:r>
        <w:rPr>
          <w:rFonts w:ascii="Times New Roman" w:hAnsi="Times New Roman" w:cs="Times New Roman" w:eastAsia="Times New Roman" w:hint="default"/>
        </w:rPr>
        <w:t>0013938</w:t>
      </w:r>
      <w:r>
        <w:rPr/>
        <w:t>号）设定抵押，以融资期内中金云网数据中 心项目实现的经营收入设定质押，并由耿殿根个人承担无限连带责任保证担保。</w:t>
      </w:r>
    </w:p>
    <w:p>
      <w:pPr>
        <w:pStyle w:val="BodyText"/>
        <w:spacing w:line="300" w:lineRule="auto" w:before="72"/>
        <w:ind w:right="1128"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日，子公司科信盛彩与中国工商银行股份有限公司北京经济技术开发区支行签订《固定资产支持融资</w:t>
      </w:r>
      <w:r>
        <w:rPr/>
        <w:t> 借款合同》（编号：</w:t>
      </w:r>
      <w:r>
        <w:rPr>
          <w:rFonts w:ascii="Times New Roman" w:hAnsi="Times New Roman" w:cs="Times New Roman" w:eastAsia="Times New Roman" w:hint="default"/>
        </w:rPr>
        <w:t>0020000094-2018</w:t>
      </w:r>
      <w:r>
        <w:rPr/>
        <w:t>年（亦庄）字</w:t>
      </w:r>
      <w:r>
        <w:rPr>
          <w:rFonts w:ascii="Times New Roman" w:hAnsi="Times New Roman" w:cs="Times New Roman" w:eastAsia="Times New Roman" w:hint="default"/>
        </w:rPr>
        <w:t>00093</w:t>
      </w:r>
      <w:r>
        <w:rPr/>
        <w:t>号），科信盛彩以位于北京经济技术开发区瑞合西二路</w:t>
      </w:r>
      <w:r>
        <w:rPr>
          <w:rFonts w:ascii="Times New Roman" w:hAnsi="Times New Roman" w:cs="Times New Roman" w:eastAsia="Times New Roman" w:hint="default"/>
        </w:rPr>
        <w:t>6</w:t>
      </w:r>
      <w:r>
        <w:rPr/>
        <w:t>号院的房 </w:t>
      </w:r>
      <w:r>
        <w:rPr>
          <w:spacing w:val="-2"/>
        </w:rPr>
        <w:t>屋所有权及对应的土地使用权（不动产权号：京（</w:t>
      </w:r>
      <w:r>
        <w:rPr>
          <w:rFonts w:ascii="Times New Roman" w:hAnsi="Times New Roman" w:cs="Times New Roman" w:eastAsia="Times New Roman" w:hint="default"/>
          <w:spacing w:val="-2"/>
        </w:rPr>
        <w:t>2016</w:t>
      </w:r>
      <w:r>
        <w:rPr>
          <w:spacing w:val="-2"/>
        </w:rPr>
        <w:t>）开发区不动产第</w:t>
      </w:r>
      <w:r>
        <w:rPr>
          <w:rFonts w:ascii="Times New Roman" w:hAnsi="Times New Roman" w:cs="Times New Roman" w:eastAsia="Times New Roman" w:hint="default"/>
          <w:spacing w:val="-2"/>
        </w:rPr>
        <w:t>0019466</w:t>
      </w:r>
      <w:r>
        <w:rPr>
          <w:spacing w:val="-2"/>
        </w:rPr>
        <w:t>号、京（</w:t>
      </w:r>
      <w:r>
        <w:rPr>
          <w:rFonts w:ascii="Times New Roman" w:hAnsi="Times New Roman" w:cs="Times New Roman" w:eastAsia="Times New Roman" w:hint="default"/>
          <w:spacing w:val="-2"/>
        </w:rPr>
        <w:t>2016</w:t>
      </w:r>
      <w:r>
        <w:rPr>
          <w:spacing w:val="-2"/>
        </w:rPr>
        <w:t>）开发区不动产权第</w:t>
      </w:r>
      <w:r>
        <w:rPr>
          <w:rFonts w:ascii="Times New Roman" w:hAnsi="Times New Roman" w:cs="Times New Roman" w:eastAsia="Times New Roman" w:hint="default"/>
          <w:spacing w:val="-2"/>
        </w:rPr>
        <w:t>0019668</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号）为抵押，保证人为本公司及自然人耿殿根，合同项下借款金额为</w:t>
      </w:r>
      <w:r>
        <w:rPr>
          <w:rFonts w:ascii="Times New Roman" w:hAnsi="Times New Roman" w:cs="Times New Roman" w:eastAsia="Times New Roman" w:hint="default"/>
        </w:rPr>
        <w:t>62,000</w:t>
      </w:r>
      <w:r>
        <w:rPr/>
        <w:t>万元整，借款期限为</w:t>
      </w:r>
      <w:r>
        <w:rPr>
          <w:rFonts w:ascii="Times New Roman" w:hAnsi="Times New Roman" w:cs="Times New Roman" w:eastAsia="Times New Roman" w:hint="default"/>
        </w:rPr>
        <w:t>10</w:t>
      </w:r>
      <w:r>
        <w:rPr/>
        <w:t>年。</w:t>
      </w:r>
    </w:p>
    <w:p>
      <w:pPr>
        <w:pStyle w:val="BodyText"/>
        <w:spacing w:line="300" w:lineRule="auto" w:before="51"/>
        <w:ind w:right="1132"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日，公司与中国工商银行北京经济技术开发区支行签订流动资金贷款合同，由耿殿根作为连带责任保</w:t>
      </w:r>
      <w:r>
        <w:rPr/>
        <w:t> 证人，贷款额度为壹亿元，期限为</w:t>
      </w:r>
      <w:r>
        <w:rPr>
          <w:rFonts w:ascii="Times New Roman" w:hAnsi="Times New Roman" w:cs="Times New Roman" w:eastAsia="Times New Roman" w:hint="default"/>
        </w:rPr>
        <w:t>1</w:t>
      </w:r>
      <w:r>
        <w:rPr/>
        <w:t>年，自实际提款日起算。截至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日，该担保项下贷款已全部偿还。</w:t>
      </w:r>
    </w:p>
    <w:p>
      <w:pPr>
        <w:pStyle w:val="BodyText"/>
        <w:spacing w:line="300" w:lineRule="auto" w:before="53"/>
        <w:ind w:right="1132"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日，公司与招商银行股份有限公司北京建国路支行签订授信协议，由耿殿根作为连带责任保证人，授</w:t>
      </w:r>
      <w:r>
        <w:rPr/>
        <w:t> 信额度为人民币壹亿元，期限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日，该笔担保项下贷款余额</w:t>
      </w:r>
      <w:r>
        <w:rPr>
          <w:rFonts w:ascii="Times New Roman" w:hAnsi="Times New Roman" w:cs="Times New Roman" w:eastAsia="Times New Roman" w:hint="default"/>
        </w:rPr>
        <w:t>50,000,000.00</w:t>
      </w:r>
      <w:r>
        <w:rPr/>
        <w:t>元。</w:t>
      </w:r>
    </w:p>
    <w:p>
      <w:pPr>
        <w:pStyle w:val="BodyText"/>
        <w:spacing w:line="300" w:lineRule="auto" w:before="53"/>
        <w:ind w:right="1139"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日，公司与北京银行股份有限公司红星支行签订综合授信合同，由百汇达及耿殿根作为连带责任保证 人，授信额度为人民币壹亿元，期限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日，该担保项下贷款余额已偿还。</w:t>
      </w:r>
    </w:p>
    <w:p>
      <w:pPr>
        <w:pStyle w:val="BodyText"/>
        <w:spacing w:line="300" w:lineRule="auto" w:before="52"/>
        <w:ind w:right="1133" w:firstLine="360"/>
        <w:jc w:val="both"/>
      </w:pPr>
      <w:r>
        <w:rPr/>
        <w:t>（</w:t>
      </w:r>
      <w:r>
        <w:rPr>
          <w:rFonts w:ascii="Times New Roman" w:hAnsi="Times New Roman" w:cs="Times New Roman" w:eastAsia="Times New Roman" w:hint="default"/>
        </w:rPr>
        <w:t>6</w:t>
      </w:r>
      <w:r>
        <w:rPr/>
        <w:t>）公司分别在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日与华夏银行股份有限公司北京长安支行签订最高额融资合同，由耿殿 </w:t>
      </w:r>
      <w:r>
        <w:rPr>
          <w:spacing w:val="14"/>
        </w:rPr>
        <w:t>根作为连带责任保证人，最高融资额度人民币为贰亿元，期限</w:t>
      </w:r>
      <w:r>
        <w:rPr>
          <w:spacing w:val="-69"/>
        </w:rPr>
        <w:t> </w:t>
      </w:r>
      <w:r>
        <w:rPr>
          <w:rFonts w:ascii="Times New Roman" w:hAnsi="Times New Roman" w:cs="Times New Roman" w:eastAsia="Times New Roman" w:hint="default"/>
          <w:spacing w:val="9"/>
        </w:rPr>
        <w:t>1</w:t>
      </w:r>
      <w:r>
        <w:rPr>
          <w:spacing w:val="9"/>
        </w:rPr>
        <w:t>年。</w:t>
      </w:r>
      <w:r>
        <w:rPr>
          <w:spacing w:val="-73"/>
        </w:rPr>
        <w:t> </w:t>
      </w:r>
      <w:r>
        <w:rPr>
          <w:spacing w:val="11"/>
        </w:rPr>
        <w:t>截至</w:t>
      </w:r>
      <w:r>
        <w:rPr>
          <w:rFonts w:ascii="Times New Roman" w:hAnsi="Times New Roman" w:cs="Times New Roman" w:eastAsia="Times New Roman" w:hint="default"/>
          <w:spacing w:val="11"/>
        </w:rPr>
        <w:t>2019</w:t>
      </w:r>
      <w:r>
        <w:rPr>
          <w:spacing w:val="11"/>
        </w:rPr>
        <w:t>年</w:t>
      </w:r>
      <w:r>
        <w:rPr>
          <w:rFonts w:ascii="Times New Roman" w:hAnsi="Times New Roman" w:cs="Times New Roman" w:eastAsia="Times New Roman" w:hint="default"/>
          <w:spacing w:val="11"/>
        </w:rPr>
        <w:t>12</w:t>
      </w:r>
      <w:r>
        <w:rPr>
          <w:spacing w:val="11"/>
        </w:rPr>
        <w:t>月</w:t>
      </w:r>
      <w:r>
        <w:rPr>
          <w:rFonts w:ascii="Times New Roman" w:hAnsi="Times New Roman" w:cs="Times New Roman" w:eastAsia="Times New Roman" w:hint="default"/>
          <w:spacing w:val="11"/>
        </w:rPr>
        <w:t>31</w:t>
      </w:r>
      <w:r>
        <w:rPr>
          <w:spacing w:val="11"/>
        </w:rPr>
        <w:t>日，该担保项下贷款余额为</w:t>
      </w:r>
      <w:r>
        <w:rPr/>
        <w:t> </w:t>
      </w:r>
      <w:r>
        <w:rPr>
          <w:rFonts w:ascii="Times New Roman" w:hAnsi="Times New Roman" w:cs="Times New Roman" w:eastAsia="Times New Roman" w:hint="default"/>
        </w:rPr>
        <w:t>130,000,000.00</w:t>
      </w:r>
      <w:r>
        <w:rPr/>
        <w:t>元。</w:t>
      </w:r>
    </w:p>
    <w:p>
      <w:pPr>
        <w:pStyle w:val="BodyText"/>
        <w:spacing w:line="300" w:lineRule="auto" w:before="53"/>
        <w:ind w:right="1046" w:firstLine="36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日，公司与中国民生银行股份有限公司北京分行签订综合授信合同，由耿殿根作为连带责任保证人， 最高授信额度为壹亿伍仟万元整，期限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日，该担保项下贷款余额</w:t>
      </w:r>
      <w:r>
        <w:rPr>
          <w:rFonts w:ascii="Times New Roman" w:hAnsi="Times New Roman" w:cs="Times New Roman" w:eastAsia="Times New Roman" w:hint="default"/>
        </w:rPr>
        <w:t>100,000,000.00</w:t>
      </w:r>
      <w:r>
        <w:rPr/>
        <w:t>元。</w:t>
      </w:r>
    </w:p>
    <w:p>
      <w:pPr>
        <w:pStyle w:val="BodyText"/>
        <w:spacing w:line="300" w:lineRule="auto" w:before="53"/>
        <w:ind w:right="1128" w:firstLine="360"/>
        <w:jc w:val="both"/>
      </w:pPr>
      <w:r>
        <w:rPr>
          <w:spacing w:val="-2"/>
        </w:rPr>
        <w:t>（</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日，公司与宁波银行股份有限公司北京分行签订银行承兑总协议，同时耿殿根与宁波银行股份有限公</w:t>
      </w:r>
      <w:r>
        <w:rPr/>
        <w:t> </w:t>
      </w:r>
      <w:r>
        <w:rPr>
          <w:spacing w:val="-2"/>
        </w:rPr>
        <w:t>司北京分行签订最高额保证合同，为公司提供最高债权限额为等值人民币贰亿元整的连带责任保证担保。截止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0"/>
        </w:rPr>
        <w:t> </w:t>
      </w:r>
      <w:r>
        <w:rPr/>
        <w:t>日公司在宁波银行股份有限公司北京分行开具银行承兑汇票金额壹亿元，票据到期日为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w:t>
      </w:r>
    </w:p>
    <w:p>
      <w:pPr>
        <w:pStyle w:val="BodyText"/>
        <w:spacing w:line="300" w:lineRule="auto" w:before="51"/>
        <w:ind w:right="1132" w:firstLine="360"/>
        <w:jc w:val="both"/>
      </w:pPr>
      <w:r>
        <w:rPr>
          <w:spacing w:val="-5"/>
        </w:rPr>
        <w:t>（</w:t>
      </w:r>
      <w:r>
        <w:rPr>
          <w:rFonts w:ascii="Times New Roman" w:hAnsi="Times New Roman" w:cs="Times New Roman" w:eastAsia="Times New Roman" w:hint="default"/>
          <w:spacing w:val="-5"/>
        </w:rPr>
        <w:t>9</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月，公司与紫金信托有限责任公司签订信托贷款合同，由耿殿根作为连带责任保证人，贷款额度为伍亿元。</w:t>
      </w:r>
      <w:r>
        <w:rPr/>
        <w:t>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日，该担保项下贷款已全部偿还。</w:t>
      </w:r>
    </w:p>
    <w:p>
      <w:pPr>
        <w:pStyle w:val="BodyText"/>
        <w:spacing w:line="300" w:lineRule="auto" w:before="53"/>
        <w:ind w:right="1139" w:firstLine="360"/>
        <w:jc w:val="both"/>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日，公司与工商银行北京经济技术开发区支行签订借款合同，由耿殿根作为连带责任保证人，最高 授信额度为壹亿元整，期限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日，贷款余额为</w:t>
      </w:r>
      <w:r>
        <w:rPr>
          <w:rFonts w:ascii="Times New Roman" w:hAnsi="Times New Roman" w:cs="Times New Roman" w:eastAsia="Times New Roman" w:hint="default"/>
        </w:rPr>
        <w:t>4,797,664.69</w:t>
      </w:r>
      <w:r>
        <w:rPr/>
        <w:t>元。</w:t>
      </w:r>
    </w:p>
    <w:p>
      <w:pPr>
        <w:pStyle w:val="BodyText"/>
        <w:spacing w:line="316" w:lineRule="auto" w:before="53"/>
        <w:ind w:left="513" w:right="1123"/>
        <w:jc w:val="left"/>
      </w:pPr>
      <w:r>
        <w:rPr/>
        <w:t>其他关联交易：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日与金福沈签署了《一致行动协议》，公司和金福沈分别以</w:t>
      </w:r>
      <w:r>
        <w:rPr>
          <w:rFonts w:ascii="Times New Roman" w:hAnsi="Times New Roman" w:cs="Times New Roman" w:eastAsia="Times New Roman" w:hint="default"/>
        </w:rPr>
        <w:t>3,972.97</w:t>
      </w:r>
      <w:r>
        <w:rPr/>
        <w:t>万元、</w:t>
      </w:r>
      <w:r>
        <w:rPr>
          <w:rFonts w:ascii="Times New Roman" w:hAnsi="Times New Roman" w:cs="Times New Roman" w:eastAsia="Times New Roman" w:hint="default"/>
        </w:rPr>
        <w:t>7,459.46</w:t>
      </w:r>
      <w:r>
        <w:rPr/>
        <w:t>万元现金对昆山</w:t>
      </w:r>
    </w:p>
    <w:p>
      <w:pPr>
        <w:pStyle w:val="BodyText"/>
        <w:spacing w:line="316" w:lineRule="auto"/>
        <w:ind w:right="1131"/>
        <w:jc w:val="both"/>
      </w:pPr>
      <w:r>
        <w:rPr>
          <w:spacing w:val="-2"/>
        </w:rPr>
        <w:t>美鸿业金属制品有限公司进行增资（详见第十二节、财务报告十六、其他重要事项），自本次投资完成之日起，在决定标的</w:t>
      </w:r>
      <w:r>
        <w:rPr>
          <w:spacing w:val="-68"/>
        </w:rPr>
        <w:t> </w:t>
      </w:r>
      <w:r>
        <w:rPr>
          <w:spacing w:val="-68"/>
        </w:rPr>
      </w:r>
      <w:r>
        <w:rPr>
          <w:spacing w:val="-2"/>
        </w:rPr>
        <w:t>公司有关经营发展、且需经标的公司股东会审议批准的重大事项时，金福沈将跟随公司行使股东权利，与公司保持一致。特</w:t>
      </w:r>
      <w:r>
        <w:rPr>
          <w:spacing w:val="-64"/>
        </w:rPr>
        <w:t> </w:t>
      </w:r>
      <w:r>
        <w:rPr>
          <w:spacing w:val="-64"/>
        </w:rPr>
      </w:r>
      <w:r>
        <w:rPr>
          <w:spacing w:val="-2"/>
        </w:rPr>
        <w:t>别是行使股东会召集权、提案权、表决权时采取一致行动。如协议一方拟就上述约定所述一致行动事项向股东会提出议案时</w:t>
      </w:r>
      <w:r>
        <w:rPr>
          <w:spacing w:val="-65"/>
        </w:rPr>
        <w:t> </w:t>
      </w:r>
      <w:r>
        <w:rPr>
          <w:spacing w:val="-65"/>
        </w:rPr>
      </w:r>
      <w:r>
        <w:rPr/>
        <w:t>及在标的公司召开股东会上述所述一致行动事项前，最终按照甲方决定的意见在股东会上对该等事项提议及行使表决权。</w:t>
      </w:r>
    </w:p>
    <w:p>
      <w:pPr>
        <w:pStyle w:val="BodyText"/>
        <w:spacing w:line="240" w:lineRule="auto" w:before="59"/>
        <w:ind w:right="0"/>
        <w:jc w:val="both"/>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关于公司及子公司向银行申请授信额度的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关于公司及子公司向银行申请授信额度及 贷款的公告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关于向银行等金融机构申请授信额度的公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关于收购及增资取得昆山美鸿业金属制品 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w:t>
            </w:r>
            <w:r>
              <w:rPr>
                <w:rFonts w:ascii="宋体" w:hAnsi="宋体" w:cs="宋体" w:eastAsia="宋体" w:hint="default"/>
                <w:sz w:val="18"/>
                <w:szCs w:val="18"/>
              </w:rPr>
              <w:t>股权的公告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3827"/>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3827"/>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3827"/>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39"/>
        <w:ind w:left="513" w:right="1112"/>
        <w:jc w:val="left"/>
      </w:pPr>
      <w:r>
        <w:rPr>
          <w:rFonts w:ascii="Times New Roman" w:hAnsi="Times New Roman" w:cs="Times New Roman" w:eastAsia="Times New Roman" w:hint="default"/>
        </w:rPr>
        <w:t>1</w:t>
      </w:r>
      <w:r>
        <w:rPr/>
        <w:t>、子公司中金云网出租办公楼部分房间及附属物给中金数据系统有限公司使用，年租金</w:t>
      </w:r>
      <w:r>
        <w:rPr>
          <w:rFonts w:ascii="Times New Roman" w:hAnsi="Times New Roman" w:cs="Times New Roman" w:eastAsia="Times New Roman" w:hint="default"/>
        </w:rPr>
        <w:t>14,253,647.85</w:t>
      </w:r>
      <w:r>
        <w:rPr/>
        <w:t>元。</w:t>
      </w:r>
    </w:p>
    <w:p>
      <w:pPr>
        <w:pStyle w:val="BodyText"/>
        <w:spacing w:line="300" w:lineRule="auto" w:before="103"/>
        <w:ind w:right="1131" w:firstLine="360"/>
        <w:jc w:val="both"/>
      </w:pPr>
      <w:r>
        <w:rPr>
          <w:rFonts w:ascii="Times New Roman" w:hAnsi="Times New Roman" w:cs="Times New Roman" w:eastAsia="Times New Roman" w:hint="default"/>
        </w:rPr>
        <w:t>2</w:t>
      </w:r>
      <w:r>
        <w:rPr/>
        <w:t>、子公司光环云数据与尚阳科技股份有限公司签订了融资租赁合同，租赁物为办公设备。开展融资租赁的固定资产截 </w:t>
      </w:r>
      <w:r>
        <w:rPr>
          <w:spacing w:val="-2"/>
        </w:rPr>
        <w:t>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w:t>
      </w:r>
      <w:r>
        <w:rPr>
          <w:rFonts w:ascii="Times New Roman" w:hAnsi="Times New Roman" w:cs="Times New Roman" w:eastAsia="Times New Roman" w:hint="default"/>
          <w:spacing w:val="-2"/>
        </w:rPr>
        <w:t>5,376,448.01</w:t>
      </w:r>
      <w:r>
        <w:rPr>
          <w:spacing w:val="-2"/>
        </w:rPr>
        <w:t>元，融资金额</w:t>
      </w:r>
      <w:r>
        <w:rPr>
          <w:rFonts w:ascii="Times New Roman" w:hAnsi="Times New Roman" w:cs="Times New Roman" w:eastAsia="Times New Roman" w:hint="default"/>
          <w:spacing w:val="-2"/>
        </w:rPr>
        <w:t>7,984,344.08</w:t>
      </w:r>
      <w:r>
        <w:rPr>
          <w:spacing w:val="-2"/>
        </w:rPr>
        <w:t>元，租赁期自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日融资期限为三</w:t>
      </w:r>
      <w:r>
        <w:rPr>
          <w:spacing w:val="-33"/>
        </w:rPr>
        <w:t> </w:t>
      </w:r>
      <w:r>
        <w:rPr>
          <w:spacing w:val="-33"/>
        </w:rPr>
      </w:r>
      <w:r>
        <w:rPr/>
        <w:t>年，租赁期满，公司以留购价格</w:t>
      </w:r>
      <w:r>
        <w:rPr>
          <w:rFonts w:ascii="Times New Roman" w:hAnsi="Times New Roman" w:cs="Times New Roman" w:eastAsia="Times New Roman" w:hint="default"/>
        </w:rPr>
        <w:t>0</w:t>
      </w:r>
      <w:r>
        <w:rPr/>
        <w:t>元回购该部分租赁物所有权，光环云数据有限公司董事长杨宇航为连带责任保证人。</w:t>
      </w:r>
    </w:p>
    <w:p>
      <w:pPr>
        <w:pStyle w:val="BodyText"/>
        <w:spacing w:line="240" w:lineRule="auto" w:before="53"/>
        <w:ind w:left="513" w:right="1112"/>
        <w:jc w:val="left"/>
      </w:pPr>
      <w:r>
        <w:rPr>
          <w:rFonts w:ascii="Times New Roman" w:hAnsi="Times New Roman" w:cs="Times New Roman" w:eastAsia="Times New Roman" w:hint="default"/>
          <w:spacing w:val="3"/>
        </w:rPr>
        <w:t>3</w:t>
      </w:r>
      <w:r>
        <w:rPr>
          <w:spacing w:val="3"/>
        </w:rPr>
        <w:t>、子公司光环云谷承租智达云创（三河）科技有限公司厂房及场地用于燕郊绿色云计算基地一期项目，合同总金额</w:t>
      </w:r>
    </w:p>
    <w:p>
      <w:pPr>
        <w:pStyle w:val="BodyText"/>
        <w:spacing w:line="240" w:lineRule="auto" w:before="63"/>
        <w:ind w:right="3827"/>
        <w:jc w:val="left"/>
      </w:pPr>
      <w:r>
        <w:rPr>
          <w:rFonts w:ascii="Times New Roman" w:hAnsi="Times New Roman" w:cs="Times New Roman" w:eastAsia="Times New Roman" w:hint="default"/>
        </w:rPr>
        <w:t>60,713,917.50</w:t>
      </w:r>
      <w:r>
        <w:rPr/>
        <w:t>元，租期</w:t>
      </w:r>
      <w:r>
        <w:rPr>
          <w:rFonts w:ascii="Times New Roman" w:hAnsi="Times New Roman" w:cs="Times New Roman" w:eastAsia="Times New Roman" w:hint="default"/>
        </w:rPr>
        <w:t>10</w:t>
      </w:r>
      <w:r>
        <w:rPr/>
        <w:t>年。</w:t>
      </w:r>
    </w:p>
    <w:p>
      <w:pPr>
        <w:pStyle w:val="BodyText"/>
        <w:spacing w:line="240" w:lineRule="auto" w:before="101"/>
        <w:ind w:left="513" w:right="1112"/>
        <w:jc w:val="left"/>
      </w:pPr>
      <w:r>
        <w:rPr>
          <w:rFonts w:ascii="Times New Roman" w:hAnsi="Times New Roman" w:cs="Times New Roman" w:eastAsia="Times New Roman" w:hint="default"/>
          <w:spacing w:val="3"/>
        </w:rPr>
        <w:t>4</w:t>
      </w:r>
      <w:r>
        <w:rPr>
          <w:spacing w:val="3"/>
        </w:rPr>
        <w:t>、子公司光环云谷承租智达云创（三河）科技有限公司厂房及场地用于燕郊绿色云计算基地二期项目，合同总金额</w:t>
      </w:r>
    </w:p>
    <w:p>
      <w:pPr>
        <w:pStyle w:val="BodyText"/>
        <w:spacing w:line="240" w:lineRule="auto" w:before="63"/>
        <w:ind w:right="3827"/>
        <w:jc w:val="left"/>
      </w:pPr>
      <w:r>
        <w:rPr>
          <w:rFonts w:ascii="Times New Roman" w:hAnsi="Times New Roman" w:cs="Times New Roman" w:eastAsia="Times New Roman" w:hint="default"/>
        </w:rPr>
        <w:t>151,408,606.60</w:t>
      </w:r>
      <w:r>
        <w:rPr>
          <w:rFonts w:ascii="Times New Roman" w:hAnsi="Times New Roman" w:cs="Times New Roman" w:eastAsia="Times New Roman" w:hint="default"/>
          <w:spacing w:val="36"/>
        </w:rPr>
        <w:t> </w:t>
      </w:r>
      <w:r>
        <w:rPr/>
        <w:t>元，租期</w:t>
      </w:r>
      <w:r>
        <w:rPr>
          <w:rFonts w:ascii="Times New Roman" w:hAnsi="Times New Roman" w:cs="Times New Roman" w:eastAsia="Times New Roman" w:hint="default"/>
        </w:rPr>
        <w:t>10</w:t>
      </w:r>
      <w:r>
        <w:rPr/>
        <w:t>年。</w:t>
      </w:r>
    </w:p>
    <w:p>
      <w:pPr>
        <w:pStyle w:val="BodyText"/>
        <w:spacing w:line="240" w:lineRule="auto" w:before="103"/>
        <w:ind w:left="513" w:right="1112"/>
        <w:jc w:val="left"/>
      </w:pPr>
      <w:r>
        <w:rPr>
          <w:rFonts w:ascii="Times New Roman" w:hAnsi="Times New Roman" w:cs="Times New Roman" w:eastAsia="Times New Roman" w:hint="default"/>
          <w:spacing w:val="8"/>
        </w:rPr>
        <w:t>5</w:t>
      </w:r>
      <w:r>
        <w:rPr>
          <w:spacing w:val="8"/>
        </w:rPr>
        <w:t>、子公司科信盛彩固定资产中印刷车间、成品库、原料库已于</w:t>
      </w:r>
      <w:r>
        <w:rPr>
          <w:rFonts w:ascii="Times New Roman" w:hAnsi="Times New Roman" w:cs="Times New Roman" w:eastAsia="Times New Roman" w:hint="default"/>
          <w:spacing w:val="8"/>
        </w:rPr>
        <w:t>2014</w:t>
      </w:r>
      <w:r>
        <w:rPr>
          <w:spacing w:val="8"/>
        </w:rPr>
        <w:t>年</w:t>
      </w:r>
      <w:r>
        <w:rPr>
          <w:rFonts w:ascii="Times New Roman" w:hAnsi="Times New Roman" w:cs="Times New Roman" w:eastAsia="Times New Roman" w:hint="default"/>
          <w:spacing w:val="8"/>
        </w:rPr>
        <w:t>7</w:t>
      </w:r>
      <w:r>
        <w:rPr>
          <w:spacing w:val="8"/>
        </w:rPr>
        <w:t>月</w:t>
      </w:r>
      <w:r>
        <w:rPr>
          <w:rFonts w:ascii="Times New Roman" w:hAnsi="Times New Roman" w:cs="Times New Roman" w:eastAsia="Times New Roman" w:hint="default"/>
          <w:spacing w:val="8"/>
        </w:rPr>
        <w:t>1</w:t>
      </w:r>
      <w:r>
        <w:rPr>
          <w:spacing w:val="8"/>
        </w:rPr>
        <w:t>日出租，租期</w:t>
      </w:r>
      <w:r>
        <w:rPr>
          <w:rFonts w:ascii="Times New Roman" w:hAnsi="Times New Roman" w:cs="Times New Roman" w:eastAsia="Times New Roman" w:hint="default"/>
          <w:spacing w:val="8"/>
        </w:rPr>
        <w:t>9</w:t>
      </w:r>
      <w:r>
        <w:rPr>
          <w:spacing w:val="8"/>
        </w:rPr>
        <w:t>年，</w:t>
      </w:r>
      <w:r>
        <w:rPr>
          <w:rFonts w:ascii="Times New Roman" w:hAnsi="Times New Roman" w:cs="Times New Roman" w:eastAsia="Times New Roman" w:hint="default"/>
          <w:spacing w:val="8"/>
        </w:rPr>
        <w:t>2019</w:t>
      </w:r>
      <w:r>
        <w:rPr>
          <w:spacing w:val="8"/>
        </w:rPr>
        <w:t>年度租赁收入</w:t>
      </w:r>
      <w:r>
        <w:rPr/>
      </w:r>
    </w:p>
    <w:p>
      <w:pPr>
        <w:pStyle w:val="BodyText"/>
        <w:spacing w:line="240" w:lineRule="auto" w:before="63"/>
        <w:ind w:right="3827"/>
        <w:jc w:val="left"/>
      </w:pPr>
      <w:r>
        <w:rPr>
          <w:rFonts w:ascii="Times New Roman" w:hAnsi="Times New Roman" w:cs="Times New Roman" w:eastAsia="Times New Roman" w:hint="default"/>
        </w:rPr>
        <w:t>10,613,358.53</w:t>
      </w:r>
      <w:r>
        <w:rPr/>
        <w:t>元，租赁期满后承租方可请求租约期限续展。</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3827"/>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3827"/>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1.15pt;mso-position-horizontal-relative:char;mso-position-vertical-relative:line" coordorigin="0,0" coordsize="9586,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9565;top:17;width:2;height:392" coordorigin="9565,17" coordsize="2,392">
              <v:shape style="position:absolute;left:9565;top:17;width:2;height:392" coordorigin="9565,17" coordsize="0,392" path="m9565,17l9565,408e" filled="false" stroked="true" strokeweight="1.08pt" strokecolor="#d2d2d2">
                <v:path arrowok="t"/>
              </v:shape>
            </v:group>
            <v:group style="position:absolute;left:34;top:17;width:9521;height:392" coordorigin="34,17" coordsize="9521,392">
              <v:shape style="position:absolute;left:34;top:17;width:9521;height:392" coordorigin="34,17" coordsize="9521,392" path="m34,408l9554,408,9554,17,34,17,34,408xe" filled="true" fillcolor="#d2d2d2" stroked="false">
                <v:path arrowok="t"/>
                <v:fill type="solid"/>
              </v:shape>
            </v:group>
            <v:group style="position:absolute;left:10;top:10;width:9566;height:2" coordorigin="10,10" coordsize="9566,2">
              <v:shape style="position:absolute;left:10;top:10;width:9566;height:2" coordorigin="10,10" coordsize="9566,0" path="m10,10l9576,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9566;height:2" coordorigin="10,413" coordsize="9566,2">
              <v:shape style="position:absolute;left:10;top:413;width:9566;height:2" coordorigin="10,413" coordsize="9566,0" path="m10,413l9576,413e" filled="false" stroked="true" strokeweight=".47998pt" strokecolor="#000000">
                <v:path arrowok="t"/>
              </v:shape>
            </v:group>
            <v:group style="position:absolute;left:9580;top:5;width:2;height:413" coordorigin="9580,5" coordsize="2,413">
              <v:shape style="position:absolute;left:9580;top:5;width:2;height:413" coordorigin="9580,5" coordsize="0,413" path="m9580,5l9580,418e" filled="false" stroked="true" strokeweight=".47998pt" strokecolor="#000000">
                <v:path arrowok="t"/>
              </v:shape>
              <v:shape style="position:absolute;left:6;top:11;width:9564;height:402" type="#_x0000_t202" filled="false" stroked="false">
                <v:textbox inset="0,0,0,0">
                  <w:txbxContent>
                    <w:p>
                      <w:pPr>
                        <w:spacing w:before="55"/>
                        <w:ind w:left="9" w:right="0" w:firstLine="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302"/>
        <w:gridCol w:w="1058"/>
        <w:gridCol w:w="1029"/>
        <w:gridCol w:w="1052"/>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1"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53"/>
              <w:jc w:val="left"/>
              <w:rPr>
                <w:rFonts w:ascii="宋体" w:hAnsi="宋体" w:cs="宋体" w:eastAsia="宋体" w:hint="default"/>
                <w:sz w:val="18"/>
                <w:szCs w:val="18"/>
              </w:rPr>
            </w:pPr>
            <w:r>
              <w:rPr>
                <w:rFonts w:ascii="宋体" w:hAnsi="宋体" w:cs="宋体" w:eastAsia="宋体" w:hint="default"/>
                <w:sz w:val="18"/>
                <w:szCs w:val="18"/>
              </w:rPr>
              <w:t>北京科信盛彩云计计 算有限公司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62,000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45,405.96</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111"/>
              <w:jc w:val="both"/>
              <w:rPr>
                <w:rFonts w:ascii="宋体" w:hAnsi="宋体" w:cs="宋体" w:eastAsia="宋体" w:hint="default"/>
                <w:sz w:val="18"/>
                <w:szCs w:val="18"/>
              </w:rPr>
            </w:pPr>
            <w:r>
              <w:rPr>
                <w:rFonts w:ascii="宋体" w:hAnsi="宋体" w:cs="宋体" w:eastAsia="宋体" w:hint="default"/>
                <w:sz w:val="18"/>
                <w:szCs w:val="18"/>
              </w:rPr>
              <w:t>自主合同项 下借款期限 届满之次日 起两年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45,405.96</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w:t>
            </w:r>
          </w:p>
        </w:tc>
      </w:tr>
      <w:tr>
        <w:trPr>
          <w:trHeight w:val="166"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29" w:type="dxa"/>
            <w:gridSpan w:val="2"/>
            <w:vMerge w:val="restart"/>
            <w:tcBorders>
              <w:top w:val="single" w:sz="4" w:space="0" w:color="000000"/>
              <w:left w:val="single" w:sz="10" w:space="0" w:color="D2D2D2"/>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62,000</w:t>
            </w:r>
          </w:p>
        </w:tc>
        <w:tc>
          <w:tcPr>
            <w:tcW w:w="20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8"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p>
        </w:tc>
        <w:tc>
          <w:tcPr>
            <w:tcW w:w="2627" w:type="dxa"/>
            <w:gridSpan w:val="3"/>
            <w:vMerge w:val="restart"/>
            <w:tcBorders>
              <w:top w:val="single" w:sz="4" w:space="0" w:color="000000"/>
              <w:left w:val="single" w:sz="12"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45,405.96</w:t>
            </w:r>
          </w:p>
        </w:tc>
      </w:tr>
      <w:tr>
        <w:trPr>
          <w:trHeight w:val="392"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29" w:type="dxa"/>
            <w:gridSpan w:val="2"/>
            <w:vMerge/>
            <w:tcBorders>
              <w:left w:val="single" w:sz="10" w:space="0" w:color="D2D2D2"/>
              <w:right w:val="single" w:sz="13" w:space="0" w:color="D2D2D2"/>
            </w:tcBorders>
          </w:tcPr>
          <w:p>
            <w:pPr/>
          </w:p>
        </w:tc>
        <w:tc>
          <w:tcPr>
            <w:tcW w:w="2087" w:type="dxa"/>
            <w:gridSpan w:val="2"/>
            <w:vMerge/>
            <w:tcBorders>
              <w:left w:val="single" w:sz="4" w:space="0" w:color="000000"/>
              <w:right w:val="single" w:sz="4" w:space="0" w:color="000000"/>
            </w:tcBorders>
            <w:shd w:val="clear" w:color="auto" w:fill="D2D2D2"/>
          </w:tcPr>
          <w:p>
            <w:pPr/>
          </w:p>
        </w:tc>
        <w:tc>
          <w:tcPr>
            <w:tcW w:w="2627" w:type="dxa"/>
            <w:gridSpan w:val="3"/>
            <w:vMerge/>
            <w:tcBorders>
              <w:left w:val="single" w:sz="12" w:space="0" w:color="D2D2D2"/>
              <w:right w:val="single" w:sz="4" w:space="0" w:color="000000"/>
            </w:tcBorders>
          </w:tcPr>
          <w:p>
            <w:pPr/>
          </w:p>
        </w:tc>
      </w:tr>
      <w:tr>
        <w:trPr>
          <w:trHeight w:val="162"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229" w:type="dxa"/>
            <w:gridSpan w:val="2"/>
            <w:vMerge/>
            <w:tcBorders>
              <w:left w:val="single" w:sz="10" w:space="0" w:color="D2D2D2"/>
              <w:bottom w:val="single" w:sz="4" w:space="0" w:color="000000"/>
              <w:right w:val="single" w:sz="13" w:space="0" w:color="D2D2D2"/>
            </w:tcBorders>
          </w:tcPr>
          <w:p>
            <w:pPr/>
          </w:p>
        </w:tc>
        <w:tc>
          <w:tcPr>
            <w:tcW w:w="2087" w:type="dxa"/>
            <w:gridSpan w:val="2"/>
            <w:vMerge/>
            <w:tcBorders>
              <w:left w:val="single" w:sz="4" w:space="0" w:color="000000"/>
              <w:bottom w:val="single" w:sz="4" w:space="0" w:color="000000"/>
              <w:right w:val="single" w:sz="4" w:space="0" w:color="000000"/>
            </w:tcBorders>
            <w:shd w:val="clear" w:color="auto" w:fill="D2D2D2"/>
          </w:tcPr>
          <w:p>
            <w:pPr/>
          </w:p>
        </w:tc>
        <w:tc>
          <w:tcPr>
            <w:tcW w:w="2627" w:type="dxa"/>
            <w:gridSpan w:val="3"/>
            <w:vMerge/>
            <w:tcBorders>
              <w:left w:val="single" w:sz="12" w:space="0" w:color="D2D2D2"/>
              <w:bottom w:val="single" w:sz="4" w:space="0" w:color="000000"/>
              <w:right w:val="single" w:sz="4" w:space="0" w:color="000000"/>
            </w:tcBorders>
          </w:tcPr>
          <w:p>
            <w:pPr/>
          </w:p>
        </w:tc>
      </w:tr>
      <w:tr>
        <w:trPr>
          <w:trHeight w:val="402" w:hRule="exact"/>
        </w:trPr>
        <w:tc>
          <w:tcPr>
            <w:tcW w:w="4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实际担保总额占公司净资产的比例</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right="3827"/>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70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3827"/>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2"/>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40" w:lineRule="auto"/>
        <w:jc w:val="left"/>
        <w:sectPr>
          <w:type w:val="continuous"/>
          <w:pgSz w:w="11910" w:h="16840"/>
          <w:pgMar w:top="1060" w:bottom="70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432" w:right="5224"/>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32" w:right="52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427"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5"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6"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北京光 环新网 科技股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亚马逊 通技术 服务</w:t>
            </w:r>
          </w:p>
          <w:p>
            <w:pPr>
              <w:pStyle w:val="TableParagraph"/>
              <w:spacing w:line="316" w:lineRule="auto" w:before="17"/>
              <w:ind w:left="23" w:right="62"/>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特定经 营性资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63"/>
              <w:jc w:val="left"/>
              <w:rPr>
                <w:rFonts w:ascii="宋体" w:hAnsi="宋体" w:cs="宋体" w:eastAsia="宋体" w:hint="default"/>
                <w:sz w:val="18"/>
                <w:szCs w:val="18"/>
              </w:rPr>
            </w:pPr>
            <w:r>
              <w:rPr>
                <w:rFonts w:ascii="宋体" w:hAnsi="宋体" w:cs="宋体" w:eastAsia="宋体" w:hint="default"/>
                <w:sz w:val="18"/>
                <w:szCs w:val="18"/>
              </w:rPr>
              <w:t>参考市 场定价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84,583.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3" w:right="93"/>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spacing w:line="240" w:lineRule="auto" w:before="1"/>
        <w:rPr>
          <w:rFonts w:ascii="宋体" w:hAnsi="宋体" w:cs="宋体" w:eastAsia="宋体" w:hint="default"/>
          <w:sz w:val="18"/>
          <w:szCs w:val="18"/>
        </w:rPr>
      </w:pPr>
    </w:p>
    <w:p>
      <w:pPr>
        <w:pStyle w:val="Heading2"/>
        <w:spacing w:line="240" w:lineRule="auto" w:before="26"/>
        <w:ind w:left="432" w:right="5224"/>
        <w:jc w:val="left"/>
        <w:rPr>
          <w:b w:val="0"/>
          <w:bCs w:val="0"/>
        </w:rPr>
      </w:pPr>
      <w:bookmarkStart w:name="十七、社会责任情况" w:id="98"/>
      <w:bookmarkEnd w:id="98"/>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32" w:right="5224"/>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547" w:lineRule="auto"/>
        <w:ind w:left="432" w:right="5224"/>
        <w:jc w:val="left"/>
      </w:pPr>
      <w:r>
        <w:rPr/>
        <w:t>公司已披露《</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5"/>
        </w:rPr>
        <w:t>年度社会责任报告》，详细内容请参见巨潮资讯网。</w:t>
      </w:r>
      <w:r>
        <w:rPr>
          <w:spacing w:val="-87"/>
        </w:rPr>
        <w:t> </w:t>
      </w:r>
      <w:r>
        <w:rPr>
          <w:spacing w:val="-87"/>
        </w:rPr>
      </w:r>
      <w:bookmarkStart w:name="2、履行精准扶贫社会责任情况" w:id="100"/>
      <w:bookmarkEnd w:id="100"/>
      <w:r>
        <w:rPr>
          <w:spacing w:val="-87"/>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t>公司报告年度未开展精准扶贫工作，也暂无后续精准扶贫计划。</w:t>
      </w:r>
    </w:p>
    <w:p>
      <w:pPr>
        <w:pStyle w:val="Heading2"/>
        <w:spacing w:line="240" w:lineRule="auto" w:before="100"/>
        <w:ind w:left="432" w:right="5224"/>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2" w:right="52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716"/>
        <w:gridCol w:w="5487"/>
        <w:gridCol w:w="1973"/>
        <w:gridCol w:w="1817"/>
      </w:tblGrid>
      <w:tr>
        <w:trPr>
          <w:trHeight w:val="715" w:hRule="exact"/>
        </w:trPr>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5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其他重大事项概述</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33" w:right="91" w:hanging="540"/>
              <w:jc w:val="left"/>
              <w:rPr>
                <w:rFonts w:ascii="宋体" w:hAnsi="宋体" w:cs="宋体" w:eastAsia="宋体" w:hint="default"/>
                <w:sz w:val="18"/>
                <w:szCs w:val="18"/>
              </w:rPr>
            </w:pPr>
            <w:r>
              <w:rPr>
                <w:rFonts w:ascii="宋体" w:hAnsi="宋体" w:cs="宋体" w:eastAsia="宋体" w:hint="default"/>
                <w:sz w:val="18"/>
                <w:szCs w:val="18"/>
              </w:rPr>
              <w:t>临时报告披露网站查 询索引</w:t>
            </w:r>
          </w:p>
        </w:tc>
      </w:tr>
      <w:tr>
        <w:trPr>
          <w:trHeight w:val="401"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5487"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月公司与河北燕郊云计算基地一二期项目的土地产权方岩峰 公司签署了增资合作协议，双方拟利用岩峰公司拥有的位于三河市燕 郊创意谷街南侧、精工园东侧的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宗土地及对应的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处地上房产共同 合作建设数据中心。合作方式上，岩峰公司拟进行存续分立，分立后 的新公司将承接岩峰公司持有的土地及房产，公司或公司联合其他第 三方共同向分立主体增资，增资后公司将获得分立主体的控股权。目 前岩峰公司分立后的新公司智达云创已完成工商注册。公司拟以现金 </w:t>
            </w:r>
            <w:r>
              <w:rPr>
                <w:rFonts w:ascii="Times New Roman" w:hAnsi="Times New Roman" w:cs="Times New Roman" w:eastAsia="Times New Roman" w:hint="default"/>
                <w:sz w:val="18"/>
                <w:szCs w:val="18"/>
              </w:rPr>
              <w:t>112,701 </w:t>
            </w:r>
            <w:r>
              <w:rPr>
                <w:rFonts w:ascii="宋体" w:hAnsi="宋体" w:cs="宋体" w:eastAsia="宋体" w:hint="default"/>
                <w:sz w:val="18"/>
                <w:szCs w:val="18"/>
              </w:rPr>
              <w:t>万元对智达云创进行增资并取得其</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65%</w:t>
            </w:r>
            <w:r>
              <w:rPr>
                <w:rFonts w:ascii="宋体" w:hAnsi="宋体" w:cs="宋体" w:eastAsia="宋体" w:hint="default"/>
                <w:spacing w:val="-6"/>
                <w:sz w:val="18"/>
                <w:szCs w:val="18"/>
              </w:rPr>
              <w:t>股权。智达云创作为实</w:t>
            </w:r>
            <w:r>
              <w:rPr>
                <w:rFonts w:ascii="宋体" w:hAnsi="宋体" w:cs="宋体" w:eastAsia="宋体" w:hint="default"/>
                <w:sz w:val="18"/>
                <w:szCs w:val="18"/>
              </w:rPr>
              <w:t> 施主体建设燕郊绿色云计算基地三四期项目，该项目预计可容纳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个机柜，投资规模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298,600.00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4" w:hRule="exact"/>
        </w:trPr>
        <w:tc>
          <w:tcPr>
            <w:tcW w:w="716" w:type="dxa"/>
            <w:vMerge/>
            <w:tcBorders>
              <w:left w:val="single" w:sz="4" w:space="0" w:color="000000"/>
              <w:right w:val="single" w:sz="4" w:space="0" w:color="000000"/>
            </w:tcBorders>
          </w:tcPr>
          <w:p>
            <w:pPr/>
          </w:p>
        </w:tc>
        <w:tc>
          <w:tcPr>
            <w:tcW w:w="5487"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817" w:type="dxa"/>
            <w:vMerge/>
            <w:tcBorders>
              <w:left w:val="single" w:sz="4" w:space="0" w:color="000000"/>
              <w:right w:val="single" w:sz="4" w:space="0" w:color="000000"/>
            </w:tcBorders>
          </w:tcPr>
          <w:p>
            <w:pPr/>
          </w:p>
        </w:tc>
      </w:tr>
      <w:tr>
        <w:trPr>
          <w:trHeight w:val="401" w:hRule="exact"/>
        </w:trPr>
        <w:tc>
          <w:tcPr>
            <w:tcW w:w="716" w:type="dxa"/>
            <w:vMerge/>
            <w:tcBorders>
              <w:left w:val="single" w:sz="4" w:space="0" w:color="000000"/>
              <w:right w:val="single" w:sz="4" w:space="0" w:color="000000"/>
            </w:tcBorders>
          </w:tcPr>
          <w:p>
            <w:pPr/>
          </w:p>
        </w:tc>
        <w:tc>
          <w:tcPr>
            <w:tcW w:w="5487"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817" w:type="dxa"/>
            <w:vMerge/>
            <w:tcBorders>
              <w:left w:val="single" w:sz="4" w:space="0" w:color="000000"/>
              <w:right w:val="single" w:sz="4" w:space="0" w:color="000000"/>
            </w:tcBorders>
          </w:tcPr>
          <w:p>
            <w:pPr/>
          </w:p>
        </w:tc>
      </w:tr>
      <w:tr>
        <w:trPr>
          <w:trHeight w:val="2004" w:hRule="exact"/>
        </w:trPr>
        <w:tc>
          <w:tcPr>
            <w:tcW w:w="716" w:type="dxa"/>
            <w:vMerge/>
            <w:tcBorders>
              <w:left w:val="single" w:sz="4" w:space="0" w:color="000000"/>
              <w:bottom w:val="single" w:sz="4" w:space="0" w:color="000000"/>
              <w:right w:val="single" w:sz="4" w:space="0" w:color="000000"/>
            </w:tcBorders>
          </w:tcPr>
          <w:p>
            <w:pPr/>
          </w:p>
        </w:tc>
        <w:tc>
          <w:tcPr>
            <w:tcW w:w="5487" w:type="dxa"/>
            <w:vMerge/>
            <w:tcBorders>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17" w:type="dxa"/>
            <w:vMerge/>
            <w:tcBorders>
              <w:left w:val="single" w:sz="4" w:space="0" w:color="000000"/>
              <w:bottom w:val="single" w:sz="4" w:space="0" w:color="000000"/>
              <w:right w:val="single" w:sz="4" w:space="0" w:color="000000"/>
            </w:tcBorders>
          </w:tcPr>
          <w:p>
            <w:pPr/>
          </w:p>
        </w:tc>
      </w:tr>
      <w:tr>
        <w:trPr>
          <w:trHeight w:val="403" w:hRule="exact"/>
        </w:trPr>
        <w:tc>
          <w:tcPr>
            <w:tcW w:w="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5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公司全资子公司光环上海收购上海中可</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w:t>
            </w:r>
            <w:r>
              <w:rPr>
                <w:rFonts w:ascii="宋体" w:hAnsi="宋体" w:cs="宋体" w:eastAsia="宋体" w:hint="default"/>
                <w:spacing w:val="-77"/>
                <w:sz w:val="18"/>
                <w:szCs w:val="18"/>
              </w:rPr>
              <w:t>，</w:t>
            </w:r>
            <w:r>
              <w:rPr>
                <w:rFonts w:ascii="宋体" w:hAnsi="宋体" w:cs="宋体" w:eastAsia="宋体" w:hint="default"/>
                <w:sz w:val="18"/>
                <w:szCs w:val="18"/>
              </w:rPr>
              <w:t>收购完成后上海中</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70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716"/>
        <w:gridCol w:w="5487"/>
        <w:gridCol w:w="1973"/>
        <w:gridCol w:w="1817"/>
      </w:tblGrid>
      <w:tr>
        <w:trPr>
          <w:trHeight w:val="675" w:hRule="exact"/>
        </w:trPr>
        <w:tc>
          <w:tcPr>
            <w:tcW w:w="716" w:type="dxa"/>
            <w:tcBorders>
              <w:top w:val="nil" w:sz="6" w:space="0" w:color="auto"/>
              <w:left w:val="single" w:sz="4" w:space="0" w:color="000000"/>
              <w:bottom w:val="single" w:sz="4" w:space="0" w:color="000000"/>
              <w:right w:val="single" w:sz="4" w:space="0" w:color="000000"/>
            </w:tcBorders>
          </w:tcPr>
          <w:p>
            <w:pPr/>
          </w:p>
        </w:tc>
        <w:tc>
          <w:tcPr>
            <w:tcW w:w="54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1"/>
              <w:jc w:val="left"/>
              <w:rPr>
                <w:rFonts w:ascii="宋体" w:hAnsi="宋体" w:cs="宋体" w:eastAsia="宋体" w:hint="default"/>
                <w:sz w:val="18"/>
                <w:szCs w:val="18"/>
              </w:rPr>
            </w:pPr>
            <w:r>
              <w:rPr>
                <w:rFonts w:ascii="宋体" w:hAnsi="宋体" w:cs="宋体" w:eastAsia="宋体" w:hint="default"/>
                <w:sz w:val="18"/>
                <w:szCs w:val="18"/>
              </w:rPr>
              <w:t>可负责实施建设光环新网上海嘉定绿色云计算基地二期项目，该项目 规划建设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个机柜，投资规模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1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5487"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公司通过股权转让取得昆山公司</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42.86%</w:t>
            </w:r>
            <w:r>
              <w:rPr>
                <w:rFonts w:ascii="宋体" w:hAnsi="宋体" w:cs="宋体" w:eastAsia="宋体" w:hint="default"/>
                <w:sz w:val="18"/>
                <w:szCs w:val="18"/>
              </w:rPr>
              <w:t>股权，再与一致行动人金福沈 共同对昆山公司进行增资，最终公司和金福沈将合计持有昆山公司 </w:t>
            </w:r>
            <w:r>
              <w:rPr>
                <w:rFonts w:ascii="Times New Roman" w:hAnsi="Times New Roman" w:cs="Times New Roman" w:eastAsia="Times New Roman" w:hint="default"/>
                <w:spacing w:val="-2"/>
                <w:sz w:val="18"/>
                <w:szCs w:val="18"/>
              </w:rPr>
              <w:t>63%</w:t>
            </w:r>
            <w:r>
              <w:rPr>
                <w:rFonts w:ascii="宋体" w:hAnsi="宋体" w:cs="宋体" w:eastAsia="宋体" w:hint="default"/>
                <w:spacing w:val="-2"/>
                <w:sz w:val="18"/>
                <w:szCs w:val="18"/>
              </w:rPr>
              <w:t>的股权（其中公司持有</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的股权，金福沈持有</w:t>
            </w:r>
            <w:r>
              <w:rPr>
                <w:rFonts w:ascii="宋体" w:hAnsi="宋体" w:cs="宋体" w:eastAsia="宋体" w:hint="default"/>
                <w:spacing w:val="-41"/>
                <w:sz w:val="18"/>
                <w:szCs w:val="18"/>
              </w:rPr>
              <w:t> </w:t>
            </w:r>
            <w:r>
              <w:rPr>
                <w:rFonts w:ascii="Times New Roman" w:hAnsi="Times New Roman" w:cs="Times New Roman" w:eastAsia="Times New Roman" w:hint="default"/>
                <w:spacing w:val="-13"/>
                <w:sz w:val="18"/>
                <w:szCs w:val="18"/>
              </w:rPr>
              <w:t>23%</w:t>
            </w:r>
            <w:r>
              <w:rPr>
                <w:rFonts w:ascii="宋体" w:hAnsi="宋体" w:cs="宋体" w:eastAsia="宋体" w:hint="default"/>
                <w:spacing w:val="-13"/>
                <w:sz w:val="18"/>
                <w:szCs w:val="18"/>
              </w:rPr>
              <w:t>的股权），上</w:t>
            </w:r>
            <w:r>
              <w:rPr>
                <w:rFonts w:ascii="宋体" w:hAnsi="宋体" w:cs="宋体" w:eastAsia="宋体" w:hint="default"/>
                <w:sz w:val="18"/>
                <w:szCs w:val="18"/>
              </w:rPr>
              <w:t> 述股权转让及增资扩股完成后，昆山公司将负责实施建设昆山美鸿业 绿色云计算基地项目，该项目规划建设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个机柜，投资规模</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248,075.00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560" w:hRule="exact"/>
        </w:trPr>
        <w:tc>
          <w:tcPr>
            <w:tcW w:w="716" w:type="dxa"/>
            <w:vMerge/>
            <w:tcBorders>
              <w:left w:val="single" w:sz="4" w:space="0" w:color="000000"/>
              <w:bottom w:val="single" w:sz="4" w:space="0" w:color="000000"/>
              <w:right w:val="single" w:sz="4" w:space="0" w:color="000000"/>
            </w:tcBorders>
          </w:tcPr>
          <w:p>
            <w:pPr/>
          </w:p>
        </w:tc>
        <w:tc>
          <w:tcPr>
            <w:tcW w:w="5487" w:type="dxa"/>
            <w:vMerge/>
            <w:tcBorders>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817" w:type="dxa"/>
            <w:vMerge/>
            <w:tcBorders>
              <w:left w:val="single" w:sz="4" w:space="0" w:color="000000"/>
              <w:bottom w:val="single" w:sz="4" w:space="0" w:color="000000"/>
              <w:right w:val="single" w:sz="4" w:space="0" w:color="000000"/>
            </w:tcBorders>
          </w:tcPr>
          <w:p>
            <w:pPr/>
          </w:p>
        </w:tc>
      </w:tr>
      <w:tr>
        <w:trPr>
          <w:trHeight w:val="71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5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公司拟在湖南长沙地区投资建设长沙绿色云计算基地一期项目，该项 目可提供</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个机柜，总投资额为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346,380.00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33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4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36"/>
              <w:jc w:val="both"/>
              <w:rPr>
                <w:rFonts w:ascii="宋体" w:hAnsi="宋体" w:cs="宋体" w:eastAsia="宋体" w:hint="default"/>
                <w:sz w:val="18"/>
                <w:szCs w:val="18"/>
              </w:rPr>
            </w:pPr>
            <w:r>
              <w:rPr>
                <w:rFonts w:ascii="宋体" w:hAnsi="宋体" w:cs="宋体" w:eastAsia="宋体" w:hint="default"/>
                <w:sz w:val="18"/>
                <w:szCs w:val="18"/>
              </w:rPr>
              <w:t>公司拟非公开发行股票募集配套资金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万元，用于建设房山 绿色云计算数据中心二期项目、上海嘉定绿色云计算基地二期项目、 向智达云创增资取得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股权并投资建设燕郊绿色云计算基地三四期 项目、长沙绿色云计算基地一期项目及补充流动资金。</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BodyText"/>
        <w:spacing w:line="240" w:lineRule="auto" w:before="49"/>
        <w:ind w:left="432" w:right="5224"/>
        <w:jc w:val="left"/>
      </w:pPr>
      <w:r>
        <w:rPr/>
        <w:t>截至本报告出具日，上述事项进展情况：</w:t>
      </w:r>
    </w:p>
    <w:p>
      <w:pPr>
        <w:pStyle w:val="BodyText"/>
        <w:spacing w:line="300" w:lineRule="auto" w:before="117"/>
        <w:ind w:left="432" w:right="1182" w:firstLine="482"/>
        <w:jc w:val="left"/>
      </w:pPr>
      <w:r>
        <w:rPr>
          <w:rFonts w:ascii="Times New Roman" w:hAnsi="Times New Roman" w:cs="Times New Roman" w:eastAsia="Times New Roman" w:hint="default"/>
        </w:rPr>
        <w:t>1</w:t>
      </w:r>
      <w:r>
        <w:rPr/>
        <w:t>、燕郊绿色云计算基地三四期项目已取得建设工程规划许可证、施工许可证，办理完成项目环评、能评等手续。项 目土建工程已全面开工，预计</w:t>
      </w:r>
      <w:r>
        <w:rPr>
          <w:rFonts w:ascii="Times New Roman" w:hAnsi="Times New Roman" w:cs="Times New Roman" w:eastAsia="Times New Roman" w:hint="default"/>
        </w:rPr>
        <w:t>2020</w:t>
      </w:r>
      <w:r>
        <w:rPr/>
        <w:t>年内全部封顶，首批定制化机房设计工作已完成。</w:t>
      </w:r>
    </w:p>
    <w:p>
      <w:pPr>
        <w:pStyle w:val="BodyText"/>
        <w:spacing w:line="300" w:lineRule="auto" w:before="13"/>
        <w:ind w:left="432" w:right="1182" w:firstLine="482"/>
        <w:jc w:val="left"/>
      </w:pPr>
      <w:r>
        <w:rPr>
          <w:rFonts w:ascii="Times New Roman" w:hAnsi="Times New Roman" w:cs="Times New Roman" w:eastAsia="Times New Roman" w:hint="default"/>
        </w:rPr>
        <w:t>2</w:t>
      </w:r>
      <w:r>
        <w:rPr/>
        <w:t>、上海嘉定绿色云计算基地二期项目已完成立项、规划审批及环评备案工作，正在办理工程报建等相关手续，完成 了原有建筑物的拆除和场地平整工作，根据客户定制化需求开展机房机电配套设计工作。</w:t>
      </w:r>
    </w:p>
    <w:p>
      <w:pPr>
        <w:pStyle w:val="BodyText"/>
        <w:spacing w:line="300" w:lineRule="auto" w:before="31"/>
        <w:ind w:left="432" w:right="1182" w:firstLine="482"/>
        <w:jc w:val="left"/>
      </w:pPr>
      <w:r>
        <w:rPr>
          <w:rFonts w:ascii="Times New Roman" w:hAnsi="Times New Roman" w:cs="Times New Roman" w:eastAsia="Times New Roman" w:hint="default"/>
        </w:rPr>
        <w:t>3</w:t>
      </w:r>
      <w:r>
        <w:rPr/>
        <w:t>、昆山美鸿业绿色云计算基地项目已完成园区整体方案设计、项目立项及用地规划审批，已办理环评备案，并启动 项目能评及规划审批等工作。</w:t>
      </w:r>
    </w:p>
    <w:p>
      <w:pPr>
        <w:pStyle w:val="BodyText"/>
        <w:spacing w:line="300" w:lineRule="auto" w:before="31"/>
        <w:ind w:left="432" w:right="1131" w:firstLine="482"/>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日公司通过司法公开竞买方式以</w:t>
      </w:r>
      <w:r>
        <w:rPr>
          <w:rFonts w:ascii="Times New Roman" w:hAnsi="Times New Roman" w:cs="Times New Roman" w:eastAsia="Times New Roman" w:hint="default"/>
          <w:spacing w:val="-1"/>
        </w:rPr>
        <w:t>7,077.39</w:t>
      </w:r>
      <w:r>
        <w:rPr>
          <w:spacing w:val="-1"/>
        </w:rPr>
        <w:t>万元取得中光通信科技（湖南）有限公司名下位于高新区麓谷</w:t>
      </w:r>
      <w:r>
        <w:rPr/>
        <w:t> 产业基地的权证号为长国用（</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103610</w:t>
      </w:r>
      <w:r>
        <w:rPr/>
        <w:t>号项下的</w:t>
      </w:r>
      <w:r>
        <w:rPr>
          <w:rFonts w:ascii="Times New Roman" w:hAnsi="Times New Roman" w:cs="Times New Roman" w:eastAsia="Times New Roman" w:hint="default"/>
        </w:rPr>
        <w:t>129,927.72</w:t>
      </w:r>
      <w:r>
        <w:rPr/>
        <w:t>平方米国有土地，拟使用上述土地用于建设实施长沙绿色 </w:t>
      </w:r>
      <w:r>
        <w:rPr>
          <w:spacing w:val="-1"/>
        </w:rPr>
        <w:t>云计算基地一期项目，填补公司在华中地区的</w:t>
      </w:r>
      <w:r>
        <w:rPr>
          <w:rFonts w:ascii="Times New Roman" w:hAnsi="Times New Roman" w:cs="Times New Roman" w:eastAsia="Times New Roman" w:hint="default"/>
          <w:spacing w:val="-1"/>
        </w:rPr>
        <w:t>IDC</w:t>
      </w:r>
      <w:r>
        <w:rPr>
          <w:spacing w:val="-1"/>
        </w:rPr>
        <w:t>资源空白。</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日该项目期项目已取得长沙市高新区行政审批服务</w:t>
      </w:r>
      <w:r>
        <w:rPr>
          <w:spacing w:val="-68"/>
        </w:rPr>
        <w:t> </w:t>
      </w:r>
      <w:r>
        <w:rPr>
          <w:spacing w:val="-68"/>
        </w:rPr>
      </w:r>
      <w:r>
        <w:rPr/>
        <w:t>局出具的企业投资项目备案告知承诺信息表，并于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日取得了建设项目环境影响登记表。</w:t>
      </w:r>
    </w:p>
    <w:p>
      <w:pPr>
        <w:pStyle w:val="BodyText"/>
        <w:spacing w:line="307" w:lineRule="auto" w:before="13"/>
        <w:ind w:left="432" w:right="1034" w:firstLine="482"/>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日，公司召开第四届董事会</w:t>
      </w:r>
      <w:r>
        <w:rPr>
          <w:rFonts w:ascii="Times New Roman" w:hAnsi="Times New Roman" w:cs="Times New Roman" w:eastAsia="Times New Roman" w:hint="default"/>
        </w:rPr>
        <w:t>2020</w:t>
      </w:r>
      <w:r>
        <w:rPr/>
        <w:t>年第一次会议及第四届监事会</w:t>
      </w:r>
      <w:r>
        <w:rPr>
          <w:rFonts w:ascii="Times New Roman" w:hAnsi="Times New Roman" w:cs="Times New Roman" w:eastAsia="Times New Roman" w:hint="default"/>
        </w:rPr>
        <w:t>2020</w:t>
      </w:r>
      <w:r>
        <w:rPr/>
        <w:t>年第一次会议审议通过了向特定对 象非公开发行股票的相关事项，拟向不超过</w:t>
      </w:r>
      <w:r>
        <w:rPr>
          <w:rFonts w:ascii="Times New Roman" w:hAnsi="Times New Roman" w:cs="Times New Roman" w:eastAsia="Times New Roman" w:hint="default"/>
        </w:rPr>
        <w:t>35</w:t>
      </w:r>
      <w:r>
        <w:rPr/>
        <w:t>名发行对象非公开发行股票，募集资金总额不超过</w:t>
      </w:r>
      <w:r>
        <w:rPr>
          <w:rFonts w:ascii="Times New Roman" w:hAnsi="Times New Roman" w:cs="Times New Roman" w:eastAsia="Times New Roman" w:hint="default"/>
        </w:rPr>
        <w:t>500,000</w:t>
      </w:r>
      <w:r>
        <w:rPr/>
        <w:t>万元，募集资金将 用于投资建设北京房山绿色云计算数据中心二期项目、上海嘉定绿色云计算基地二期项目、向智达云创增资取得</w:t>
      </w:r>
      <w:r>
        <w:rPr>
          <w:rFonts w:ascii="Times New Roman" w:hAnsi="Times New Roman" w:cs="Times New Roman" w:eastAsia="Times New Roman" w:hint="default"/>
        </w:rPr>
        <w:t>65%</w:t>
      </w:r>
      <w:r>
        <w:rPr/>
        <w:t>股权并 投资建设燕郊绿色云计算基地三四期项目、长沙绿色云计算基地一期项目及补充流动资金。本次非公开发行股票募集资金，</w:t>
      </w:r>
      <w:r>
        <w:rPr>
          <w:spacing w:val="-85"/>
        </w:rPr>
        <w:t> </w:t>
      </w:r>
      <w:r>
        <w:rPr>
          <w:spacing w:val="-85"/>
        </w:rPr>
      </w:r>
      <w:r>
        <w:rPr>
          <w:spacing w:val="-2"/>
        </w:rPr>
        <w:t>将解决项目部分资金来源，有助于各项目推进，增强公司资金实力及持续盈利能力。本次非公开发行股票方案尚需获得公司</w:t>
      </w:r>
      <w:r>
        <w:rPr>
          <w:spacing w:val="-62"/>
        </w:rPr>
        <w:t> </w:t>
      </w:r>
      <w:r>
        <w:rPr>
          <w:spacing w:val="-62"/>
        </w:rPr>
      </w:r>
      <w:r>
        <w:rPr/>
        <w:t>股东大会审议批准，并报送中国证监会核准后方可实施。</w:t>
      </w:r>
    </w:p>
    <w:p>
      <w:pPr>
        <w:spacing w:line="240" w:lineRule="auto" w:before="5"/>
        <w:rPr>
          <w:rFonts w:ascii="宋体" w:hAnsi="宋体" w:cs="宋体" w:eastAsia="宋体" w:hint="default"/>
          <w:sz w:val="21"/>
          <w:szCs w:val="21"/>
        </w:rPr>
      </w:pPr>
    </w:p>
    <w:p>
      <w:pPr>
        <w:pStyle w:val="Heading2"/>
        <w:spacing w:line="240" w:lineRule="auto"/>
        <w:ind w:left="432" w:right="5224"/>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32" w:right="52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7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827"/>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3827"/>
        <w:jc w:val="left"/>
        <w:rPr>
          <w:b w:val="0"/>
          <w:bCs w:val="0"/>
        </w:rPr>
      </w:pPr>
      <w:bookmarkStart w:name="一、股份变动情况" w:id="105"/>
      <w:bookmarkEnd w:id="105"/>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149,593,8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9.72%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-94,818,9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54,774,90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3.55%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149,593,8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9.72%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-94,818,9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-94,818,9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54,774,90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3.55%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5.32%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-71,763,9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-71,763,9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10,112,12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0.66%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67,717,78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4.40%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-23,055,0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-23,055,0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44,662,78</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2.89%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left="20" w:right="0"/>
              <w:jc w:val="left"/>
              <w:rPr>
                <w:rFonts w:ascii="Times New Roman" w:hAnsi="Times New Roman" w:cs="Times New Roman" w:eastAsia="Times New Roman" w:hint="default"/>
                <w:sz w:val="18"/>
                <w:szCs w:val="18"/>
              </w:rPr>
            </w:pPr>
            <w:r>
              <w:rPr>
                <w:rFonts w:ascii="Times New Roman"/>
                <w:sz w:val="18"/>
              </w:rPr>
              <w:t>1,390,081,</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991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90.28%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97,768,28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97,768,28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1,487,850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,273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96.45%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1,390,081,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991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90.28%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97,768,28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97,768,28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1,487,850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,273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96.45%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1,539,675,</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821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2,949,358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2,949,358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1,542,625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,179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3827"/>
        <w:jc w:val="left"/>
      </w:pPr>
      <w:r>
        <w:rPr/>
        <w:t>股份变动的原因</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986"/>
        <w:jc w:val="left"/>
      </w:pPr>
      <w:r>
        <w:rPr>
          <w:rFonts w:ascii="Times New Roman" w:hAnsi="Times New Roman" w:cs="Times New Roman" w:eastAsia="Times New Roman" w:hint="default"/>
          <w:spacing w:val="1"/>
        </w:rPr>
        <w:t>1</w:t>
      </w:r>
      <w:r>
        <w:rPr>
          <w:spacing w:val="-92"/>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年初至</w:t>
      </w:r>
      <w:r>
        <w:rPr>
          <w:spacing w:val="-50"/>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日因公司首期股票期权激励计划激励对象共自主行权</w:t>
      </w:r>
      <w:r>
        <w:rPr>
          <w:spacing w:val="-91"/>
        </w:rPr>
        <w:t>，</w:t>
      </w:r>
      <w:r>
        <w:rPr/>
        <w:t>导致</w:t>
      </w:r>
      <w:r>
        <w:rPr>
          <w:spacing w:val="2"/>
        </w:rPr>
        <w:t>公</w:t>
      </w:r>
      <w:r>
        <w:rPr/>
        <w:t>司股本增加</w:t>
      </w:r>
      <w:r>
        <w:rPr>
          <w:spacing w:val="-4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49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股。</w:t>
      </w:r>
    </w:p>
    <w:p>
      <w:pPr>
        <w:pStyle w:val="BodyText"/>
        <w:spacing w:line="240" w:lineRule="auto" w:before="101"/>
        <w:ind w:left="513" w:right="1112"/>
        <w:jc w:val="left"/>
      </w:pPr>
      <w:r>
        <w:rPr>
          <w:rFonts w:ascii="Times New Roman" w:hAnsi="Times New Roman" w:cs="Times New Roman" w:eastAsia="Times New Roman" w:hint="default"/>
        </w:rPr>
        <w:t>2</w:t>
      </w:r>
      <w:r>
        <w:rPr/>
        <w:t>、公司原副总裁齐顺杰先生于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12 </w:t>
      </w:r>
      <w:r>
        <w:rPr/>
        <w:t>日离职，任期至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21 </w:t>
      </w:r>
      <w:r>
        <w:rPr/>
        <w:t>日届满，根据有关规定及承诺，对其所</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2"/>
        <w:jc w:val="left"/>
      </w:pPr>
      <w:r>
        <w:rPr/>
        <w:t>持有的本公司股份进行全部锁定，</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个月后锁定期满股份解锁。报告期内减少限售股份</w:t>
      </w:r>
      <w:r>
        <w:rPr>
          <w:spacing w:val="-47"/>
        </w:rPr>
        <w:t> </w:t>
      </w:r>
      <w:r>
        <w:rPr>
          <w:rFonts w:ascii="Times New Roman" w:hAnsi="Times New Roman" w:cs="Times New Roman" w:eastAsia="Times New Roman" w:hint="default"/>
        </w:rPr>
        <w:t>1,846,800 </w:t>
      </w:r>
      <w:r>
        <w:rPr/>
        <w:t>股。</w:t>
      </w:r>
    </w:p>
    <w:p>
      <w:pPr>
        <w:pStyle w:val="BodyText"/>
        <w:spacing w:line="240" w:lineRule="auto" w:before="104"/>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spacing w:val="-6"/>
        </w:rPr>
        <w:t>3</w:t>
      </w:r>
      <w:r>
        <w:rPr>
          <w:spacing w:val="-6"/>
        </w:rPr>
        <w:t>、郑善伟先生于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4"/>
        </w:rPr>
        <w:t>日届满离任，根据有关规定，其所持有的本公司股份在离任后</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4"/>
        </w:rPr>
        <w:t>个月内全部锁定，</w:t>
      </w:r>
      <w:r>
        <w:rPr>
          <w:rFonts w:ascii="Times New Roman" w:hAnsi="Times New Roman" w:cs="Times New Roman" w:eastAsia="Times New Roman" w:hint="default"/>
          <w:spacing w:val="-4"/>
        </w:rPr>
        <w:t>2019</w:t>
      </w:r>
    </w:p>
    <w:p>
      <w:pPr>
        <w:pStyle w:val="BodyText"/>
        <w:spacing w:line="240" w:lineRule="auto" w:before="63"/>
        <w:ind w:right="3827"/>
        <w:jc w:val="left"/>
      </w:pPr>
      <w:r>
        <w:rPr/>
        <w:t>年</w:t>
      </w:r>
      <w:r>
        <w:rPr>
          <w:spacing w:val="-45"/>
        </w:rPr>
        <w:t> </w:t>
      </w:r>
      <w:r>
        <w:rPr>
          <w:rFonts w:ascii="Times New Roman" w:hAnsi="Times New Roman" w:cs="Times New Roman" w:eastAsia="Times New Roman" w:hint="default"/>
        </w:rPr>
        <w:t>7 </w:t>
      </w:r>
      <w:r>
        <w:rPr/>
        <w:t>月</w:t>
      </w:r>
      <w:r>
        <w:rPr>
          <w:spacing w:val="-48"/>
        </w:rPr>
        <w:t> </w:t>
      </w:r>
      <w:r>
        <w:rPr>
          <w:rFonts w:ascii="Times New Roman" w:hAnsi="Times New Roman" w:cs="Times New Roman" w:eastAsia="Times New Roman" w:hint="default"/>
        </w:rPr>
        <w:t>21 </w:t>
      </w:r>
      <w:r>
        <w:rPr/>
        <w:t>日锁定期满股份解锁。报告期内减少限售股份</w:t>
      </w:r>
      <w:r>
        <w:rPr>
          <w:spacing w:val="-45"/>
        </w:rPr>
        <w:t> </w:t>
      </w:r>
      <w:r>
        <w:rPr>
          <w:rFonts w:ascii="Times New Roman" w:hAnsi="Times New Roman" w:cs="Times New Roman" w:eastAsia="Times New Roman" w:hint="default"/>
        </w:rPr>
        <w:t>364,547</w:t>
      </w:r>
      <w:r>
        <w:rPr>
          <w:rFonts w:ascii="Times New Roman" w:hAnsi="Times New Roman" w:cs="Times New Roman" w:eastAsia="Times New Roman" w:hint="default"/>
          <w:spacing w:val="1"/>
        </w:rPr>
        <w:t> </w:t>
      </w:r>
      <w:r>
        <w:rPr/>
        <w:t>股。</w:t>
      </w:r>
    </w:p>
    <w:p>
      <w:pPr>
        <w:pStyle w:val="BodyText"/>
        <w:spacing w:line="240" w:lineRule="auto" w:before="101"/>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、庞宝光女士于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日届满离任，根据有关规定，其所持有的本公司股份在离任后</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个月内全部锁定，</w:t>
      </w:r>
      <w:r>
        <w:rPr>
          <w:rFonts w:ascii="Times New Roman" w:hAnsi="Times New Roman" w:cs="Times New Roman" w:eastAsia="Times New Roman" w:hint="default"/>
        </w:rPr>
        <w:t>2019</w:t>
      </w:r>
    </w:p>
    <w:p>
      <w:pPr>
        <w:pStyle w:val="BodyText"/>
        <w:spacing w:line="240" w:lineRule="auto" w:before="63"/>
        <w:ind w:right="3827"/>
        <w:jc w:val="left"/>
      </w:pP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8 </w:t>
      </w:r>
      <w:r>
        <w:rPr/>
        <w:t>日锁定期满股份解锁。报告期内减少限售股份</w:t>
      </w:r>
      <w:r>
        <w:rPr>
          <w:spacing w:val="-45"/>
        </w:rPr>
        <w:t> </w:t>
      </w:r>
      <w:r>
        <w:rPr>
          <w:rFonts w:ascii="Times New Roman" w:hAnsi="Times New Roman" w:cs="Times New Roman" w:eastAsia="Times New Roman" w:hint="default"/>
        </w:rPr>
        <w:t>171,000</w:t>
      </w:r>
      <w:r>
        <w:rPr>
          <w:rFonts w:ascii="Times New Roman" w:hAnsi="Times New Roman" w:cs="Times New Roman" w:eastAsia="Times New Roman" w:hint="default"/>
          <w:spacing w:val="1"/>
        </w:rPr>
        <w:t> </w:t>
      </w:r>
      <w:r>
        <w:rPr/>
        <w:t>股。</w:t>
      </w:r>
    </w:p>
    <w:p>
      <w:pPr>
        <w:pStyle w:val="BodyText"/>
        <w:spacing w:line="300" w:lineRule="auto" w:before="103"/>
        <w:ind w:right="1117" w:firstLine="360"/>
        <w:jc w:val="left"/>
      </w:pPr>
      <w:r>
        <w:rPr>
          <w:rFonts w:ascii="Times New Roman" w:hAnsi="Times New Roman" w:cs="Times New Roman" w:eastAsia="Times New Roman" w:hint="default"/>
        </w:rPr>
        <w:t>5</w:t>
      </w:r>
      <w:r>
        <w:rPr/>
        <w:t>、根据持有公司</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年因收购中金云网</w:t>
      </w:r>
      <w:r>
        <w:rPr>
          <w:spacing w:val="-47"/>
        </w:rPr>
        <w:t> </w:t>
      </w:r>
      <w:r>
        <w:rPr>
          <w:rFonts w:ascii="Times New Roman" w:hAnsi="Times New Roman" w:cs="Times New Roman" w:eastAsia="Times New Roman" w:hint="default"/>
        </w:rPr>
        <w:t>100%</w:t>
      </w:r>
      <w:r>
        <w:rPr/>
        <w:t>股权向交易对方非公开发行股份的股东作出的相关股份锁定承诺，上述 股东持有的</w:t>
      </w:r>
      <w:r>
        <w:rPr>
          <w:spacing w:val="-46"/>
        </w:rPr>
        <w:t> </w:t>
      </w:r>
      <w:r>
        <w:rPr>
          <w:rFonts w:ascii="Times New Roman" w:hAnsi="Times New Roman" w:cs="Times New Roman" w:eastAsia="Times New Roman" w:hint="default"/>
        </w:rPr>
        <w:t>31,201,114 </w:t>
      </w:r>
      <w:r>
        <w:rPr/>
        <w:t>股股份于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日解除限售。</w:t>
      </w:r>
    </w:p>
    <w:p>
      <w:pPr>
        <w:pStyle w:val="BodyText"/>
        <w:spacing w:line="300" w:lineRule="auto" w:before="53"/>
        <w:ind w:right="1205" w:firstLine="360"/>
        <w:jc w:val="left"/>
      </w:pPr>
      <w:r>
        <w:rPr>
          <w:rFonts w:ascii="Times New Roman" w:hAnsi="Times New Roman" w:cs="Times New Roman" w:eastAsia="Times New Roman" w:hint="default"/>
        </w:rPr>
        <w:t>6</w:t>
      </w:r>
      <w:r>
        <w:rPr/>
        <w:t>、根据持有公司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年因收购科信盛彩</w:t>
      </w:r>
      <w:r>
        <w:rPr>
          <w:spacing w:val="-47"/>
        </w:rPr>
        <w:t> </w:t>
      </w:r>
      <w:r>
        <w:rPr>
          <w:rFonts w:ascii="Times New Roman" w:hAnsi="Times New Roman" w:cs="Times New Roman" w:eastAsia="Times New Roman" w:hint="default"/>
        </w:rPr>
        <w:t>85%</w:t>
      </w:r>
      <w:r>
        <w:rPr/>
        <w:t>股权向交易对方非公开发行股份的股东作出的相关股份锁定承诺，上述 股东持有的</w:t>
      </w:r>
      <w:r>
        <w:rPr>
          <w:spacing w:val="-46"/>
        </w:rPr>
        <w:t> </w:t>
      </w:r>
      <w:r>
        <w:rPr>
          <w:rFonts w:ascii="Times New Roman" w:hAnsi="Times New Roman" w:cs="Times New Roman" w:eastAsia="Times New Roman" w:hint="default"/>
        </w:rPr>
        <w:t>16,146,179 </w:t>
      </w:r>
      <w:r>
        <w:rPr/>
        <w:t>股股份于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日解除限售。</w:t>
      </w:r>
    </w:p>
    <w:p>
      <w:pPr>
        <w:pStyle w:val="BodyText"/>
        <w:spacing w:line="300" w:lineRule="auto" w:before="51"/>
        <w:ind w:right="1205" w:firstLine="360"/>
        <w:jc w:val="left"/>
      </w:pPr>
      <w:r>
        <w:rPr>
          <w:rFonts w:ascii="Times New Roman" w:hAnsi="Times New Roman" w:cs="Times New Roman" w:eastAsia="Times New Roman" w:hint="default"/>
        </w:rPr>
        <w:t>7</w:t>
      </w:r>
      <w:r>
        <w:rPr/>
        <w:t>、根据持有公司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年因收购科信盛彩</w:t>
      </w:r>
      <w:r>
        <w:rPr>
          <w:spacing w:val="-47"/>
        </w:rPr>
        <w:t> </w:t>
      </w:r>
      <w:r>
        <w:rPr>
          <w:rFonts w:ascii="Times New Roman" w:hAnsi="Times New Roman" w:cs="Times New Roman" w:eastAsia="Times New Roman" w:hint="default"/>
        </w:rPr>
        <w:t>85%</w:t>
      </w:r>
      <w:r>
        <w:rPr/>
        <w:t>股权募集配套资金向认购方非公开发行股份的股东作出的相关股份锁定 承诺，上述股东持有的</w:t>
      </w:r>
      <w:r>
        <w:rPr>
          <w:spacing w:val="-45"/>
        </w:rPr>
        <w:t> </w:t>
      </w:r>
      <w:r>
        <w:rPr>
          <w:rFonts w:ascii="Times New Roman" w:hAnsi="Times New Roman" w:cs="Times New Roman" w:eastAsia="Times New Roman" w:hint="default"/>
        </w:rPr>
        <w:t>45,089,284</w:t>
      </w:r>
      <w:r>
        <w:rPr>
          <w:rFonts w:ascii="Times New Roman" w:hAnsi="Times New Roman" w:cs="Times New Roman" w:eastAsia="Times New Roman" w:hint="default"/>
          <w:spacing w:val="2"/>
        </w:rPr>
        <w:t> </w:t>
      </w:r>
      <w:r>
        <w:rPr/>
        <w:t>股股份于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日解除限售。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right="3827"/>
        <w:jc w:val="left"/>
      </w:pPr>
      <w:r>
        <w:rPr/>
        <w:t>股份变动的批准情况</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3827"/>
        <w:jc w:val="left"/>
      </w:pPr>
      <w:r>
        <w:rPr/>
        <w:t>股份变动的过户情况</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3827"/>
        <w:jc w:val="left"/>
      </w:pPr>
      <w:r>
        <w:rPr/>
        <w:t>股份回购的实施进展情况</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3827"/>
        <w:jc w:val="left"/>
      </w:pPr>
      <w:r>
        <w:rPr/>
        <w:t>采用集中竞价方式减持回购股份的实施进展情况</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1112"/>
        <w:jc w:val="left"/>
      </w:pPr>
      <w:r>
        <w:rPr/>
        <w:t>股份变动对最近一年和最近一期基本每股收益和稀释每股收益、归属于公司普通股股东的每股净资产等财务指标的影响</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15" w:firstLine="360"/>
        <w:jc w:val="left"/>
      </w:pPr>
      <w:r>
        <w:rPr>
          <w:rFonts w:ascii="Times New Roman" w:hAnsi="Times New Roman" w:cs="Times New Roman" w:eastAsia="Times New Roman" w:hint="default"/>
        </w:rPr>
        <w:t>1</w:t>
      </w:r>
      <w:r>
        <w:rPr/>
        <w:t>、基本每股收益：按期初股本计算，本期基本每股收益</w:t>
      </w:r>
      <w:r>
        <w:rPr>
          <w:spacing w:val="-59"/>
        </w:rPr>
        <w:t> </w:t>
      </w:r>
      <w:r>
        <w:rPr>
          <w:rFonts w:ascii="Times New Roman" w:hAnsi="Times New Roman" w:cs="Times New Roman" w:eastAsia="Times New Roman" w:hint="default"/>
        </w:rPr>
        <w:t>0.54</w:t>
      </w:r>
      <w:r>
        <w:rPr>
          <w:rFonts w:ascii="Times New Roman" w:hAnsi="Times New Roman" w:cs="Times New Roman" w:eastAsia="Times New Roman" w:hint="default"/>
          <w:spacing w:val="-15"/>
        </w:rPr>
        <w:t> </w:t>
      </w:r>
      <w:r>
        <w:rPr/>
        <w:t>元；本期股本变动后基本每股收益</w:t>
      </w:r>
      <w:r>
        <w:rPr>
          <w:spacing w:val="-59"/>
        </w:rPr>
        <w:t> </w:t>
      </w:r>
      <w:r>
        <w:rPr>
          <w:rFonts w:ascii="Times New Roman" w:hAnsi="Times New Roman" w:cs="Times New Roman" w:eastAsia="Times New Roman" w:hint="default"/>
        </w:rPr>
        <w:t>0.54</w:t>
      </w:r>
      <w:r>
        <w:rPr>
          <w:rFonts w:ascii="Times New Roman" w:hAnsi="Times New Roman" w:cs="Times New Roman" w:eastAsia="Times New Roman" w:hint="default"/>
          <w:spacing w:val="-14"/>
        </w:rPr>
        <w:t> </w:t>
      </w:r>
      <w:r>
        <w:rPr>
          <w:spacing w:val="-3"/>
        </w:rPr>
        <w:t>元；因本期股本增</w:t>
      </w:r>
      <w:r>
        <w:rPr/>
        <w:t> 加，对每股收益和稀释每股收益没有影响。</w:t>
      </w:r>
    </w:p>
    <w:p>
      <w:pPr>
        <w:pStyle w:val="BodyText"/>
        <w:spacing w:line="240" w:lineRule="auto" w:before="72"/>
        <w:ind w:left="513" w:right="986"/>
        <w:jc w:val="left"/>
      </w:pPr>
      <w:r>
        <w:rPr>
          <w:rFonts w:ascii="Times New Roman" w:hAnsi="Times New Roman" w:cs="Times New Roman" w:eastAsia="Times New Roman" w:hint="default"/>
        </w:rPr>
        <w:t>2</w:t>
      </w:r>
      <w:r>
        <w:rPr/>
        <w:t>、归属于公司普通股股东的每股净资产：按期初股本计算，期末归属于公司普通股股东的每股净资产</w:t>
      </w:r>
      <w:r>
        <w:rPr>
          <w:spacing w:val="-63"/>
        </w:rPr>
        <w:t> </w:t>
      </w:r>
      <w:r>
        <w:rPr>
          <w:rFonts w:ascii="Times New Roman" w:hAnsi="Times New Roman" w:cs="Times New Roman" w:eastAsia="Times New Roman" w:hint="default"/>
        </w:rPr>
        <w:t>5.42</w:t>
      </w:r>
      <w:r>
        <w:rPr>
          <w:rFonts w:ascii="Times New Roman" w:hAnsi="Times New Roman" w:cs="Times New Roman" w:eastAsia="Times New Roman" w:hint="default"/>
          <w:spacing w:val="-18"/>
        </w:rPr>
        <w:t> </w:t>
      </w:r>
      <w:r>
        <w:rPr/>
        <w:t>元；股本增</w:t>
      </w:r>
    </w:p>
    <w:p>
      <w:pPr>
        <w:pStyle w:val="BodyText"/>
        <w:spacing w:line="240" w:lineRule="auto" w:before="63"/>
        <w:ind w:right="1112"/>
        <w:jc w:val="left"/>
      </w:pPr>
      <w:r>
        <w:rPr/>
        <w:t>加后，期末归属于公司普通股股东的每股净资产</w:t>
      </w:r>
      <w:r>
        <w:rPr>
          <w:spacing w:val="-46"/>
        </w:rPr>
        <w:t> </w:t>
      </w:r>
      <w:r>
        <w:rPr>
          <w:rFonts w:ascii="Times New Roman" w:hAnsi="Times New Roman" w:cs="Times New Roman" w:eastAsia="Times New Roman" w:hint="default"/>
        </w:rPr>
        <w:t>5.41</w:t>
      </w:r>
      <w:r>
        <w:rPr>
          <w:rFonts w:ascii="Times New Roman" w:hAnsi="Times New Roman" w:cs="Times New Roman" w:eastAsia="Times New Roman" w:hint="default"/>
          <w:spacing w:val="-1"/>
        </w:rPr>
        <w:t> </w:t>
      </w:r>
      <w:r>
        <w:rPr/>
        <w:t>元；因本期股本增加，导致归属于公司普通股股东的每股净资产减少</w:t>
      </w:r>
    </w:p>
    <w:p>
      <w:pPr>
        <w:pStyle w:val="BodyText"/>
        <w:spacing w:line="240" w:lineRule="auto" w:before="63"/>
        <w:ind w:right="3827"/>
        <w:jc w:val="left"/>
      </w:pPr>
      <w:r>
        <w:rPr>
          <w:rFonts w:ascii="Times New Roman" w:hAnsi="Times New Roman" w:cs="Times New Roman" w:eastAsia="Times New Roman" w:hint="default"/>
        </w:rPr>
        <w:t>0.01</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3827"/>
        <w:jc w:val="left"/>
      </w:pPr>
      <w:r>
        <w:rPr/>
        <w:t>公司认为必要或证券监管机构要求披露的其他内容</w:t>
      </w:r>
    </w:p>
    <w:p>
      <w:pPr>
        <w:pStyle w:val="BodyText"/>
        <w:spacing w:line="240" w:lineRule="auto" w:before="117"/>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6"/>
        <w:gridCol w:w="1489"/>
        <w:gridCol w:w="1488"/>
        <w:gridCol w:w="1488"/>
        <w:gridCol w:w="1488"/>
        <w:gridCol w:w="1203"/>
        <w:gridCol w:w="1205"/>
      </w:tblGrid>
      <w:tr>
        <w:trPr>
          <w:trHeight w:val="714"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75.179993pt;margin-top:188.959976pt;width:58.6pt;height:36.25pt;mso-position-horizontal-relative:page;mso-position-vertical-relative:page;z-index:-1239400" coordorigin="9504,3779" coordsize="1172,725">
            <v:group style="position:absolute;left:9514;top:3790;width:2;height:704" coordorigin="9514,3790" coordsize="2,704">
              <v:shape style="position:absolute;left:9514;top:3790;width:2;height:704" coordorigin="9514,3790" coordsize="0,704" path="m9514,3790l9514,4493e" filled="false" stroked="true" strokeweight="1.08pt" strokecolor="#ffffff">
                <v:path arrowok="t"/>
              </v:shape>
            </v:group>
            <v:group style="position:absolute;left:9525;top:3790;width:1150;height:353" coordorigin="9525,3790" coordsize="1150,353">
              <v:shape style="position:absolute;left:9525;top:3790;width:1150;height:353" coordorigin="9525,3790" coordsize="1150,353" path="m9525,4143l10675,4143,10675,3790,9525,3790,9525,4143xe" filled="true" fillcolor="#ffffff" stroked="false">
                <v:path arrowok="t"/>
                <v:fill type="solid"/>
              </v:shape>
            </v:group>
            <v:group style="position:absolute;left:9525;top:4143;width:1150;height:351" coordorigin="9525,4143" coordsize="1150,351">
              <v:shape style="position:absolute;left:9525;top:4143;width:1150;height:351" coordorigin="9525,4143" coordsize="1150,351" path="m9525,4493l10675,4493,10675,4143,9525,4143,9525,4493xe" filled="true" fillcolor="#ffffff" stroked="false">
                <v:path arrowok="t"/>
                <v:fill type="solid"/>
              </v:shape>
            </v:group>
            <w10:wrap type="none"/>
          </v:group>
        </w:pict>
      </w:r>
      <w:r>
        <w:rPr/>
        <w:pict>
          <v:group style="position:absolute;margin-left:476.26001pt;margin-top:451.509979pt;width:57.5pt;height:17.55pt;mso-position-horizontal-relative:page;mso-position-vertical-relative:page;z-index:-1239376" coordorigin="9525,9030" coordsize="1150,351">
            <v:shape style="position:absolute;left:9525;top:9030;width:1150;height:351" coordorigin="9525,9030" coordsize="1150,351" path="m9525,9381l10675,9381,10675,9030,9525,9030,9525,938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539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93"/>
              <w:jc w:val="left"/>
              <w:rPr>
                <w:rFonts w:ascii="宋体" w:hAnsi="宋体" w:cs="宋体" w:eastAsia="宋体" w:hint="default"/>
                <w:sz w:val="18"/>
                <w:szCs w:val="18"/>
              </w:rPr>
            </w:pPr>
            <w:r>
              <w:rPr>
                <w:rFonts w:ascii="宋体" w:hAnsi="宋体" w:cs="宋体" w:eastAsia="宋体" w:hint="default"/>
                <w:sz w:val="18"/>
                <w:szCs w:val="18"/>
              </w:rPr>
              <w:t>中金盛世投资 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11,236,793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11,236,793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向其发行股份 及支付现金购 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p>
            <w:pPr>
              <w:pStyle w:val="TableParagraph"/>
              <w:spacing w:line="312"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的比例分</w:t>
            </w:r>
            <w:r>
              <w:rPr>
                <w:rFonts w:ascii="宋体" w:hAnsi="宋体" w:cs="宋体" w:eastAsia="宋体" w:hint="default"/>
                <w:w w:val="99"/>
                <w:sz w:val="18"/>
                <w:szCs w:val="18"/>
              </w:rPr>
              <w:t> </w:t>
            </w:r>
            <w:r>
              <w:rPr>
                <w:rFonts w:ascii="宋体" w:hAnsi="宋体" w:cs="宋体" w:eastAsia="宋体" w:hint="default"/>
                <w:sz w:val="18"/>
                <w:szCs w:val="18"/>
              </w:rPr>
              <w:t>三期解锁。截</w:t>
            </w:r>
            <w:r>
              <w:rPr>
                <w:rFonts w:ascii="宋体" w:hAnsi="宋体" w:cs="宋体" w:eastAsia="宋体" w:hint="default"/>
                <w:w w:val="99"/>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w:t>
            </w:r>
            <w:r>
              <w:rPr>
                <w:rFonts w:ascii="宋体" w:hAnsi="宋体" w:cs="宋体" w:eastAsia="宋体" w:hint="default"/>
                <w:w w:val="99"/>
                <w:sz w:val="18"/>
                <w:szCs w:val="18"/>
              </w:rPr>
              <w:t> </w:t>
            </w:r>
            <w:r>
              <w:rPr>
                <w:rFonts w:ascii="宋体" w:hAnsi="宋体" w:cs="宋体" w:eastAsia="宋体" w:hint="default"/>
                <w:sz w:val="18"/>
                <w:szCs w:val="18"/>
              </w:rPr>
              <w:t>金云网完成三</w:t>
            </w:r>
            <w:r>
              <w:rPr>
                <w:rFonts w:ascii="宋体" w:hAnsi="宋体" w:cs="宋体" w:eastAsia="宋体" w:hint="default"/>
                <w:w w:val="99"/>
                <w:sz w:val="18"/>
                <w:szCs w:val="18"/>
              </w:rPr>
              <w:t> </w:t>
            </w:r>
            <w:r>
              <w:rPr>
                <w:rFonts w:ascii="宋体" w:hAnsi="宋体" w:cs="宋体" w:eastAsia="宋体" w:hint="default"/>
                <w:sz w:val="18"/>
                <w:szCs w:val="18"/>
              </w:rPr>
              <w:t>年业绩承诺，</w:t>
            </w:r>
            <w:r>
              <w:rPr>
                <w:rFonts w:ascii="宋体" w:hAnsi="宋体" w:cs="宋体" w:eastAsia="宋体" w:hint="default"/>
                <w:w w:val="99"/>
                <w:sz w:val="18"/>
                <w:szCs w:val="18"/>
              </w:rPr>
              <w:t> </w:t>
            </w:r>
            <w:r>
              <w:rPr>
                <w:rFonts w:ascii="宋体" w:hAnsi="宋体" w:cs="宋体" w:eastAsia="宋体" w:hint="default"/>
                <w:sz w:val="18"/>
                <w:szCs w:val="18"/>
              </w:rPr>
              <w:t>股东第三期限</w:t>
            </w:r>
            <w:r>
              <w:rPr>
                <w:rFonts w:ascii="宋体" w:hAnsi="宋体" w:cs="宋体" w:eastAsia="宋体" w:hint="default"/>
                <w:w w:val="99"/>
                <w:sz w:val="18"/>
                <w:szCs w:val="18"/>
              </w:rPr>
              <w:t> </w:t>
            </w:r>
            <w:r>
              <w:rPr>
                <w:rFonts w:ascii="宋体" w:hAnsi="宋体" w:cs="宋体" w:eastAsia="宋体" w:hint="default"/>
                <w:sz w:val="18"/>
                <w:szCs w:val="18"/>
              </w:rPr>
              <w:t>售股份解锁条</w:t>
            </w:r>
            <w:r>
              <w:rPr>
                <w:rFonts w:ascii="宋体" w:hAnsi="宋体" w:cs="宋体" w:eastAsia="宋体" w:hint="default"/>
                <w:w w:val="99"/>
                <w:sz w:val="18"/>
                <w:szCs w:val="18"/>
              </w:rPr>
              <w:t> </w:t>
            </w:r>
            <w:r>
              <w:rPr>
                <w:rFonts w:ascii="宋体" w:hAnsi="宋体" w:cs="宋体" w:eastAsia="宋体" w:hint="default"/>
                <w:sz w:val="18"/>
                <w:szCs w:val="18"/>
              </w:rPr>
              <w:t>件满足。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1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14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508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4" w:right="93"/>
              <w:jc w:val="left"/>
              <w:rPr>
                <w:rFonts w:ascii="宋体" w:hAnsi="宋体" w:cs="宋体" w:eastAsia="宋体" w:hint="default"/>
                <w:sz w:val="18"/>
                <w:szCs w:val="18"/>
              </w:rPr>
            </w:pPr>
            <w:r>
              <w:rPr>
                <w:rFonts w:ascii="宋体" w:hAnsi="宋体" w:cs="宋体" w:eastAsia="宋体" w:hint="default"/>
                <w:sz w:val="18"/>
                <w:szCs w:val="18"/>
              </w:rPr>
              <w:t>北京利源顶盛 投资管理中心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559,250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559,250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76.26001pt;margin-top:181.699982pt;width:57.5pt;height:17.650pt;mso-position-horizontal-relative:page;mso-position-vertical-relative:page;z-index:-1239352" coordorigin="9525,3634" coordsize="1150,353">
            <v:shape style="position:absolute;left:9525;top:3634;width:1150;height:353" coordorigin="9525,3634" coordsize="1150,353" path="m9525,3987l10675,3987,10675,3634,9525,3634,9525,3987xe" filled="true" fillcolor="#ffffff" stroked="false">
              <v:path arrowok="t"/>
              <v:fill type="solid"/>
            </v:shape>
            <w10:wrap type="none"/>
          </v:group>
        </w:pict>
      </w:r>
      <w:r>
        <w:rPr/>
        <w:pict>
          <v:group style="position:absolute;margin-left:476.26001pt;margin-top:435.885986pt;width:57.5pt;height:17.55pt;mso-position-horizontal-relative:page;mso-position-vertical-relative:page;z-index:-1239328" coordorigin="9525,8718" coordsize="1150,351">
            <v:shape style="position:absolute;left:9525;top:8718;width:1150;height:351" coordorigin="9525,8718" coordsize="1150,351" path="m9525,9069l10675,9069,10675,8718,9525,8718,9525,90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508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北京宇扬锦达 投资管理中心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559,250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559,250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508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北京卓程达投 资管理中心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875,247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875,247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76.26001pt;margin-top:181.699982pt;width:57.5pt;height:17.650pt;mso-position-horizontal-relative:page;mso-position-vertical-relative:page;z-index:-1239304" coordorigin="9525,3634" coordsize="1150,353">
            <v:shape style="position:absolute;left:9525;top:3634;width:1150;height:353" coordorigin="9525,3634" coordsize="1150,353" path="m9525,3987l10675,3987,10675,3634,9525,3634,9525,3987xe" filled="true" fillcolor="#ffffff" stroked="false">
              <v:path arrowok="t"/>
              <v:fill type="solid"/>
            </v:shape>
            <w10:wrap type="none"/>
          </v:group>
        </w:pict>
      </w:r>
      <w:r>
        <w:rPr/>
        <w:pict>
          <v:group style="position:absolute;margin-left:476.26001pt;margin-top:435.885986pt;width:57.5pt;height:17.55pt;mso-position-horizontal-relative:page;mso-position-vertical-relative:page;z-index:-1239280" coordorigin="9525,8718" coordsize="1150,351">
            <v:shape style="position:absolute;left:9525;top:8718;width:1150;height:351" coordorigin="9525,8718" coordsize="1150,351" path="m9525,9069l10675,9069,10675,8718,9525,8718,9525,90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508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3,728,337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3,728,337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508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陈静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149,133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149,133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76.26001pt;margin-top:623.115967pt;width:57.5pt;height:17.55pt;mso-position-horizontal-relative:page;mso-position-vertical-relative:page;z-index:-1239256" coordorigin="9525,12462" coordsize="1150,351">
            <v:shape style="position:absolute;left:9525;top:12462;width:1150;height:351" coordorigin="9525,12462" coordsize="1150,351" path="m9525,12813l10675,12813,10675,12462,9525,12462,9525,128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8826"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497,110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公司原董事郑 善伟先生于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日届满离任， 根据有关规 定，其所持有 的本公司股份 在离任后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月内全部锁 定，锁定期满 后股份解锁。 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 所持股份锁定 期满后，根据 业绩完成情况 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的比</w:t>
            </w:r>
            <w:r>
              <w:rPr>
                <w:rFonts w:ascii="宋体" w:hAnsi="宋体" w:cs="宋体" w:eastAsia="宋体" w:hint="default"/>
                <w:spacing w:val="-88"/>
                <w:sz w:val="18"/>
                <w:szCs w:val="18"/>
              </w:rPr>
              <w:t> </w:t>
            </w:r>
            <w:r>
              <w:rPr>
                <w:rFonts w:ascii="宋体" w:hAnsi="宋体" w:cs="宋体" w:eastAsia="宋体" w:hint="default"/>
                <w:sz w:val="18"/>
                <w:szCs w:val="18"/>
              </w:rPr>
              <w:t>例分三期解 锁。截至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年末，中金云 网完成三年业 绩承诺，股东 第三期限售股 份解锁条件满 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508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唐征卫</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132,563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132,563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508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申海山</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132,563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132,563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52" w:lineRule="exact"/>
              <w:ind w:left="18"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7.5pt;height:17.650pt;mso-position-horizontal-relative:char;mso-position-vertical-relative:line" coordorigin="0,0" coordsize="1150,353">
                  <v:group style="position:absolute;left:0;top:0;width:1150;height:353" coordorigin="0,0" coordsize="1150,353">
                    <v:shape style="position:absolute;left:0;top:0;width:1150;height:353" coordorigin="0,0" coordsize="1150,353" path="m0,353l1150,353,1150,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tc>
      </w:tr>
      <w:tr>
        <w:trPr>
          <w:trHeight w:val="508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许小平</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132,563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132,563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股权，业 绩承诺期内所 持股份锁定期 满后，根据业 绩完成情况按 照</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的比例分 三期解锁。截 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年末中 金云网完成三 年业绩承诺， 股东第三期限 售股份解锁条 件满足。</w:t>
            </w:r>
          </w:p>
        </w:tc>
        <w:tc>
          <w:tcPr>
            <w:tcW w:w="120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0"/>
                <w:szCs w:val="10"/>
              </w:rPr>
            </w:pPr>
          </w:p>
          <w:p>
            <w:pPr>
              <w:pStyle w:val="TableParagraph"/>
              <w:spacing w:line="350" w:lineRule="exact"/>
              <w:ind w:left="18"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7.5pt;height:17.55pt;mso-position-horizontal-relative:char;mso-position-vertical-relative:line" coordorigin="0,0" coordsize="1150,351">
                  <v:group style="position:absolute;left:0;top:0;width:1150;height:351" coordorigin="0,0" coordsize="1150,351">
                    <v:shape style="position:absolute;left:0;top:0;width:1150;height:351" coordorigin="0,0" coordsize="1150,351" path="m0,351l1150,351,1150,0,0,0,0,351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tc>
      </w:tr>
      <w:tr>
        <w:trPr>
          <w:trHeight w:val="2588"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徐庆良</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10,770,750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10,770,750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股权，股 东承诺本次取 得的股份自上 市首日起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 月内不进行转 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258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93"/>
              <w:jc w:val="both"/>
              <w:rPr>
                <w:rFonts w:ascii="宋体" w:hAnsi="宋体" w:cs="宋体" w:eastAsia="宋体" w:hint="default"/>
                <w:sz w:val="18"/>
                <w:szCs w:val="18"/>
              </w:rPr>
            </w:pPr>
            <w:r>
              <w:rPr>
                <w:rFonts w:ascii="宋体" w:hAnsi="宋体" w:cs="宋体" w:eastAsia="宋体" w:hint="default"/>
                <w:sz w:val="18"/>
                <w:szCs w:val="18"/>
              </w:rPr>
              <w:t>深圳天图股权 投资基金管理 企业（有限合 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1,864,164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1,864,164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股权，股 东承诺本次取 得的股份自上 市首日起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 月内不进行转 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588"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北京利扬盛达 投资管理中心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927,938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927,938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向其发行股份 购买中金云网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股权，股 东承诺本次取 得的股份自上 市首日起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 月内不进行转 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14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赵斌</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0"/>
              <w:jc w:val="both"/>
              <w:rPr>
                <w:rFonts w:ascii="Times New Roman" w:hAnsi="Times New Roman" w:cs="Times New Roman" w:eastAsia="Times New Roman" w:hint="default"/>
                <w:sz w:val="18"/>
                <w:szCs w:val="18"/>
              </w:rPr>
            </w:pPr>
            <w:r>
              <w:rPr>
                <w:rFonts w:ascii="宋体" w:hAnsi="宋体" w:cs="宋体" w:eastAsia="宋体" w:hint="default"/>
                <w:sz w:val="18"/>
                <w:szCs w:val="18"/>
              </w:rPr>
              <w:t>其配偶齐顺杰 原任公司副总 裁，已于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日离 职，本届任期 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314" w:lineRule="auto" w:before="5"/>
              <w:ind w:left="23"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日届满，根 据有关规定及 承诺，对其所 持有的本公司 股份进行全部 锁定，锁定期 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21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庞宝光女士于</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314"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日届满离任， 根据有关规 定，其所持有 的本公司股份 在离任后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月内全部锁 定，锁定期满 后股份解锁。</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66.116997pt;margin-top:146.659988pt;width:125.1pt;height:54.6pt;mso-position-horizontal-relative:page;mso-position-vertical-relative:page;z-index:-1239184" type="#_x0000_t202" filled="false" stroked="false">
            <v:textbox inset="0,0,0,0">
              <w:txbxContent>
                <w:p>
                  <w:pPr>
                    <w:pStyle w:val="BodyText"/>
                    <w:spacing w:line="205" w:lineRule="exact"/>
                    <w:ind w:left="0" w:right="0"/>
                    <w:jc w:val="left"/>
                  </w:pPr>
                  <w:r>
                    <w:rPr/>
                    <w:t>（有限合伙）</w:t>
                  </w:r>
                </w:p>
              </w:txbxContent>
            </v:textbox>
            <w10:wrap type="none"/>
          </v:shape>
        </w:pict>
      </w:r>
      <w:r>
        <w:rPr/>
        <w:pict>
          <v:group style="position:absolute;margin-left:117.260002pt;margin-top:146.659988pt;width:73.95pt;height:54.6pt;mso-position-horizontal-relative:page;mso-position-vertical-relative:page;z-index:-1239160" coordorigin="2345,2933" coordsize="1479,1092">
            <v:shape style="position:absolute;left:2345;top:2933;width:1479;height:1092" coordorigin="2345,2933" coordsize="1479,1092" path="m2345,4025l3824,4025,3824,2933,2345,2933,2345,40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258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93"/>
              <w:jc w:val="both"/>
              <w:rPr>
                <w:rFonts w:ascii="宋体" w:hAnsi="宋体" w:cs="宋体" w:eastAsia="宋体" w:hint="default"/>
                <w:sz w:val="18"/>
                <w:szCs w:val="18"/>
              </w:rPr>
            </w:pPr>
            <w:r>
              <w:rPr>
                <w:rFonts w:ascii="宋体" w:hAnsi="宋体" w:cs="宋体" w:eastAsia="宋体" w:hint="default"/>
                <w:sz w:val="18"/>
                <w:szCs w:val="18"/>
              </w:rPr>
              <w:t>共青城国创投 资管理合伙企 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10,651,993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10,651,993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向其发行股份 购买科信盛彩 </w:t>
            </w:r>
            <w:r>
              <w:rPr>
                <w:rFonts w:ascii="Times New Roman" w:hAnsi="Times New Roman" w:cs="Times New Roman" w:eastAsia="Times New Roman" w:hint="default"/>
                <w:spacing w:val="-11"/>
                <w:sz w:val="18"/>
                <w:szCs w:val="18"/>
              </w:rPr>
              <w:t>85%</w:t>
            </w:r>
            <w:r>
              <w:rPr>
                <w:rFonts w:ascii="宋体" w:hAnsi="宋体" w:cs="宋体" w:eastAsia="宋体" w:hint="default"/>
                <w:spacing w:val="-11"/>
                <w:sz w:val="18"/>
                <w:szCs w:val="18"/>
              </w:rPr>
              <w:t>股权，股东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承诺本次取得 的股份自上市 首日起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 内不进行转 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664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27,470,930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5,494,186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21,976,744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向其发行股份 购买科信盛彩 </w:t>
            </w:r>
            <w:r>
              <w:rPr>
                <w:rFonts w:ascii="Times New Roman" w:hAnsi="Times New Roman" w:cs="Times New Roman" w:eastAsia="Times New Roman" w:hint="default"/>
                <w:spacing w:val="-11"/>
                <w:sz w:val="18"/>
                <w:szCs w:val="18"/>
              </w:rPr>
              <w:t>85%</w:t>
            </w:r>
            <w:r>
              <w:rPr>
                <w:rFonts w:ascii="宋体" w:hAnsi="宋体" w:cs="宋体" w:eastAsia="宋体" w:hint="default"/>
                <w:spacing w:val="-11"/>
                <w:sz w:val="18"/>
                <w:szCs w:val="18"/>
              </w:rPr>
              <w:t>股权，股东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承诺本次取得 的股份自上市 首日起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 内不进行转 让，且业绩承 诺期内所持股 份锁定期满 后，根据业绩 完成情况按照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312" w:lineRule="auto" w:before="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的比例分</w:t>
            </w:r>
            <w:r>
              <w:rPr>
                <w:rFonts w:ascii="宋体" w:hAnsi="宋体" w:cs="宋体" w:eastAsia="宋体" w:hint="default"/>
                <w:w w:val="99"/>
                <w:sz w:val="18"/>
                <w:szCs w:val="18"/>
              </w:rPr>
              <w:t> </w:t>
            </w:r>
            <w:r>
              <w:rPr>
                <w:rFonts w:ascii="宋体" w:hAnsi="宋体" w:cs="宋体" w:eastAsia="宋体" w:hint="default"/>
                <w:sz w:val="18"/>
                <w:szCs w:val="18"/>
              </w:rPr>
              <w:t>三期解锁。科</w:t>
            </w:r>
            <w:r>
              <w:rPr>
                <w:rFonts w:ascii="宋体" w:hAnsi="宋体" w:cs="宋体" w:eastAsia="宋体" w:hint="default"/>
                <w:w w:val="99"/>
                <w:sz w:val="18"/>
                <w:szCs w:val="18"/>
              </w:rPr>
              <w:t> </w:t>
            </w:r>
            <w:r>
              <w:rPr>
                <w:rFonts w:ascii="宋体" w:hAnsi="宋体" w:cs="宋体" w:eastAsia="宋体" w:hint="default"/>
                <w:sz w:val="18"/>
                <w:szCs w:val="18"/>
              </w:rPr>
              <w:t>信盛彩网已完</w:t>
            </w:r>
            <w:r>
              <w:rPr>
                <w:rFonts w:ascii="宋体" w:hAnsi="宋体" w:cs="宋体" w:eastAsia="宋体" w:hint="default"/>
                <w:w w:val="99"/>
                <w:sz w:val="18"/>
                <w:szCs w:val="18"/>
              </w:rPr>
              <w:t> </w:t>
            </w:r>
            <w:r>
              <w:rPr>
                <w:rFonts w:ascii="宋体" w:hAnsi="宋体" w:cs="宋体" w:eastAsia="宋体" w:hint="default"/>
                <w:sz w:val="18"/>
                <w:szCs w:val="18"/>
              </w:rPr>
              <w:t>成</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年度业</w:t>
            </w:r>
            <w:r>
              <w:rPr>
                <w:rFonts w:ascii="宋体" w:hAnsi="宋体" w:cs="宋体" w:eastAsia="宋体" w:hint="default"/>
                <w:w w:val="99"/>
                <w:sz w:val="18"/>
                <w:szCs w:val="18"/>
              </w:rPr>
              <w:t> </w:t>
            </w:r>
            <w:r>
              <w:rPr>
                <w:rFonts w:ascii="宋体" w:hAnsi="宋体" w:cs="宋体" w:eastAsia="宋体" w:hint="default"/>
                <w:sz w:val="18"/>
                <w:szCs w:val="18"/>
              </w:rPr>
              <w:t>绩承诺，股东</w:t>
            </w:r>
            <w:r>
              <w:rPr>
                <w:rFonts w:ascii="宋体" w:hAnsi="宋体" w:cs="宋体" w:eastAsia="宋体" w:hint="default"/>
                <w:w w:val="99"/>
                <w:sz w:val="18"/>
                <w:szCs w:val="18"/>
              </w:rPr>
              <w:t> </w:t>
            </w:r>
            <w:r>
              <w:rPr>
                <w:rFonts w:ascii="宋体" w:hAnsi="宋体" w:cs="宋体" w:eastAsia="宋体" w:hint="default"/>
                <w:sz w:val="18"/>
                <w:szCs w:val="18"/>
              </w:rPr>
              <w:t>第一期限售股</w:t>
            </w:r>
            <w:r>
              <w:rPr>
                <w:rFonts w:ascii="宋体" w:hAnsi="宋体" w:cs="宋体" w:eastAsia="宋体" w:hint="default"/>
                <w:w w:val="99"/>
                <w:sz w:val="18"/>
                <w:szCs w:val="18"/>
              </w:rPr>
              <w:t> </w:t>
            </w:r>
            <w:r>
              <w:rPr>
                <w:rFonts w:ascii="宋体" w:hAnsi="宋体" w:cs="宋体" w:eastAsia="宋体" w:hint="default"/>
                <w:sz w:val="18"/>
                <w:szCs w:val="18"/>
              </w:rPr>
              <w:t>份解锁条件满</w:t>
            </w:r>
            <w:r>
              <w:rPr>
                <w:rFonts w:ascii="宋体" w:hAnsi="宋体" w:cs="宋体" w:eastAsia="宋体" w:hint="default"/>
                <w:w w:val="99"/>
                <w:sz w:val="18"/>
                <w:szCs w:val="18"/>
              </w:rPr>
              <w:t> </w:t>
            </w:r>
            <w:r>
              <w:rPr>
                <w:rFonts w:ascii="宋体" w:hAnsi="宋体" w:cs="宋体" w:eastAsia="宋体" w:hint="default"/>
                <w:sz w:val="18"/>
                <w:szCs w:val="18"/>
              </w:rPr>
              <w:t>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21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泰康人寿保险 有限责任公司</w:t>
            </w:r>
          </w:p>
          <w:p>
            <w:pPr>
              <w:pStyle w:val="TableParagraph"/>
              <w:spacing w:line="319" w:lineRule="auto" w:before="19"/>
              <w:ind w:left="24" w:right="93"/>
              <w:jc w:val="left"/>
              <w:rPr>
                <w:rFonts w:ascii="宋体" w:hAnsi="宋体" w:cs="宋体" w:eastAsia="宋体" w:hint="default"/>
                <w:sz w:val="18"/>
                <w:szCs w:val="18"/>
              </w:rPr>
            </w:pPr>
            <w:r>
              <w:rPr>
                <w:rFonts w:ascii="宋体" w:hAnsi="宋体" w:cs="宋体" w:eastAsia="宋体" w:hint="default"/>
                <w:sz w:val="18"/>
                <w:szCs w:val="18"/>
              </w:rPr>
              <w:t>－传统－普通 保险产品</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-019L-CT001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深</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9,017,857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9,017,857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公司发行股份 购买科信盛彩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 集配套资金， 认购方所获股 份自本次非公 开发行新增股 份上市首日起 十二个月内不 进行转让。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320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93"/>
              <w:jc w:val="left"/>
              <w:rPr>
                <w:rFonts w:ascii="宋体" w:hAnsi="宋体" w:cs="宋体" w:eastAsia="宋体" w:hint="default"/>
                <w:sz w:val="18"/>
                <w:szCs w:val="18"/>
              </w:rPr>
            </w:pPr>
            <w:r>
              <w:rPr>
                <w:rFonts w:ascii="宋体" w:hAnsi="宋体" w:cs="宋体" w:eastAsia="宋体" w:hint="default"/>
                <w:sz w:val="18"/>
                <w:szCs w:val="18"/>
              </w:rPr>
              <w:t>泰康人寿保险 有限责任公司</w:t>
            </w:r>
          </w:p>
          <w:p>
            <w:pPr>
              <w:pStyle w:val="TableParagraph"/>
              <w:spacing w:line="316" w:lineRule="auto" w:before="19"/>
              <w:ind w:left="24" w:right="93"/>
              <w:jc w:val="left"/>
              <w:rPr>
                <w:rFonts w:ascii="宋体" w:hAnsi="宋体" w:cs="宋体" w:eastAsia="宋体" w:hint="default"/>
                <w:sz w:val="18"/>
                <w:szCs w:val="18"/>
              </w:rPr>
            </w:pPr>
            <w:r>
              <w:rPr>
                <w:rFonts w:ascii="宋体" w:hAnsi="宋体" w:cs="宋体" w:eastAsia="宋体" w:hint="default"/>
                <w:sz w:val="18"/>
                <w:szCs w:val="18"/>
              </w:rPr>
              <w:t>－投连－多策 略优选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9,017,857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9,017,857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公司发行股份 购买科信盛彩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 集配套资金， 认购方所获股 份自本次非公 开发行新增股 份上市首日起 十二个月内不 进行转让。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1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93"/>
              <w:jc w:val="both"/>
              <w:rPr>
                <w:rFonts w:ascii="宋体" w:hAnsi="宋体" w:cs="宋体" w:eastAsia="宋体" w:hint="default"/>
                <w:sz w:val="18"/>
                <w:szCs w:val="18"/>
              </w:rPr>
            </w:pPr>
            <w:r>
              <w:rPr>
                <w:rFonts w:ascii="宋体" w:hAnsi="宋体" w:cs="宋体" w:eastAsia="宋体" w:hint="default"/>
                <w:sz w:val="18"/>
                <w:szCs w:val="18"/>
              </w:rPr>
              <w:t>上海并购股权 投资基金合伙 企业（有限合 伙）</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15,527,950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15,527,950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公司发行股份 购买科信盛彩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 集配套资金， 认购方所获股 份自本次非公 开发行新增股 份上市首日起 十二个月内不 进行转让。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0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93"/>
              <w:jc w:val="both"/>
              <w:rPr>
                <w:rFonts w:ascii="宋体" w:hAnsi="宋体" w:cs="宋体" w:eastAsia="宋体" w:hint="default"/>
                <w:sz w:val="18"/>
                <w:szCs w:val="18"/>
              </w:rPr>
            </w:pPr>
            <w:r>
              <w:rPr>
                <w:rFonts w:ascii="宋体" w:hAnsi="宋体" w:cs="宋体" w:eastAsia="宋体" w:hint="default"/>
                <w:sz w:val="18"/>
                <w:szCs w:val="18"/>
              </w:rPr>
              <w:t>共青城胜恒投 资管理有限公 司－胜恒普惠 五期私募基金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11,524,068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11,524,068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公司发行股份 购买科信盛彩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 集配套资金， 认购方所获股 份自本次非公 开发行新增股 份上市首日起 十二个月内不 进行转让。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1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北信瑞丰基金</w:t>
            </w:r>
          </w:p>
          <w:p>
            <w:pPr>
              <w:pStyle w:val="TableParagraph"/>
              <w:spacing w:line="314" w:lineRule="auto" w:before="74"/>
              <w:ind w:left="24" w:right="93"/>
              <w:jc w:val="both"/>
              <w:rPr>
                <w:rFonts w:ascii="宋体" w:hAnsi="宋体" w:cs="宋体" w:eastAsia="宋体" w:hint="default"/>
                <w:sz w:val="18"/>
                <w:szCs w:val="18"/>
              </w:rPr>
            </w:pPr>
            <w:r>
              <w:rPr>
                <w:rFonts w:ascii="宋体" w:hAnsi="宋体" w:cs="宋体" w:eastAsia="宋体" w:hint="default"/>
                <w:sz w:val="18"/>
                <w:szCs w:val="18"/>
              </w:rPr>
              <w:t>－招商银行－ 北信瑞丰基金 弘唯基石华丰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号资产管理 计划</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公司发行股份 购买科信盛彩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股权并募 集配套资金， 认购方所获股 份自本次非公 开发行新增股 份上市首日起 十二个月内不 进行转让。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116,795,668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95,289,628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21,976,744</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3827"/>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日因公司首期股票期权激励计划激励对象自主行权导致公司股本增加</w:t>
      </w:r>
      <w:r>
        <w:rPr>
          <w:spacing w:val="-56"/>
        </w:rPr>
        <w:t> </w:t>
      </w:r>
      <w:r>
        <w:rPr>
          <w:rFonts w:ascii="Times New Roman" w:hAnsi="Times New Roman" w:cs="Times New Roman" w:eastAsia="Times New Roman" w:hint="default"/>
        </w:rPr>
        <w:t>2,949,358</w:t>
      </w:r>
      <w:r>
        <w:rPr>
          <w:rFonts w:ascii="Times New Roman" w:hAnsi="Times New Roman" w:cs="Times New Roman" w:eastAsia="Times New Roman" w:hint="default"/>
          <w:spacing w:val="-10"/>
        </w:rPr>
        <w:t> </w:t>
      </w:r>
      <w:r>
        <w:rPr/>
        <w:t>股，</w:t>
      </w:r>
    </w:p>
    <w:p>
      <w:pPr>
        <w:pStyle w:val="BodyText"/>
        <w:spacing w:line="240" w:lineRule="auto" w:before="63"/>
        <w:ind w:right="986"/>
        <w:jc w:val="left"/>
      </w:pPr>
      <w:r>
        <w:rPr/>
        <w:t>公司资产总额增加</w:t>
      </w:r>
      <w:r>
        <w:rPr>
          <w:spacing w:val="-54"/>
        </w:rPr>
        <w:t> </w:t>
      </w:r>
      <w:r>
        <w:rPr>
          <w:rFonts w:ascii="Times New Roman" w:hAnsi="Times New Roman" w:cs="Times New Roman" w:eastAsia="Times New Roman" w:hint="default"/>
          <w:spacing w:val="1"/>
        </w:rPr>
        <w:t>53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元</w:t>
      </w:r>
      <w:r>
        <w:rPr>
          <w:spacing w:val="-92"/>
        </w:rPr>
        <w:t>。</w:t>
      </w:r>
      <w:r>
        <w:rPr/>
        <w:t>公司首期股票期权激励计划第三个行权期期限为</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日至</w:t>
      </w:r>
      <w:r>
        <w:rPr>
          <w:spacing w:val="-54"/>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w:t>
      </w:r>
    </w:p>
    <w:p>
      <w:pPr>
        <w:pStyle w:val="BodyText"/>
        <w:spacing w:line="240" w:lineRule="auto" w:before="63"/>
        <w:ind w:right="1112"/>
        <w:jc w:val="left"/>
      </w:pPr>
      <w:r>
        <w:rPr/>
        <w:t>在第三个行权期内激励对象共行权</w:t>
      </w:r>
      <w:r>
        <w:rPr>
          <w:spacing w:val="-47"/>
        </w:rPr>
        <w:t> </w:t>
      </w:r>
      <w:r>
        <w:rPr>
          <w:rFonts w:ascii="Times New Roman" w:hAnsi="Times New Roman" w:cs="Times New Roman" w:eastAsia="Times New Roman" w:hint="default"/>
        </w:rPr>
        <w:t>1,944,000</w:t>
      </w:r>
      <w:r>
        <w:rPr>
          <w:rFonts w:ascii="Times New Roman" w:hAnsi="Times New Roman" w:cs="Times New Roman" w:eastAsia="Times New Roman" w:hint="default"/>
          <w:spacing w:val="-1"/>
        </w:rPr>
        <w:t> </w:t>
      </w:r>
      <w:r>
        <w:rPr/>
        <w:t>份。截至本报告出具日，公司总股本增加至</w:t>
      </w:r>
      <w:r>
        <w:rPr>
          <w:spacing w:val="-48"/>
        </w:rPr>
        <w:t> </w:t>
      </w:r>
      <w:r>
        <w:rPr>
          <w:rFonts w:ascii="Times New Roman" w:hAnsi="Times New Roman" w:cs="Times New Roman" w:eastAsia="Times New Roman" w:hint="default"/>
        </w:rPr>
        <w:t>1,543,139,921 </w:t>
      </w:r>
      <w:r>
        <w:rPr/>
        <w:t>股。</w:t>
      </w:r>
    </w:p>
    <w:p>
      <w:pPr>
        <w:spacing w:line="240" w:lineRule="auto" w:before="3"/>
        <w:rPr>
          <w:rFonts w:ascii="宋体" w:hAnsi="宋体" w:cs="宋体" w:eastAsia="宋体" w:hint="default"/>
          <w:sz w:val="26"/>
          <w:szCs w:val="26"/>
        </w:rPr>
      </w:pPr>
    </w:p>
    <w:p>
      <w:pPr>
        <w:pStyle w:val="Heading3"/>
        <w:spacing w:line="240" w:lineRule="auto"/>
        <w:ind w:right="3827"/>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7"/>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329.709991pt;margin-top:68.491722pt;width:52.6pt;height:31.2pt;mso-position-horizontal-relative:page;mso-position-vertical-relative:paragraph;z-index:-1239136" coordorigin="6594,1370" coordsize="1052,624">
            <v:shape style="position:absolute;left:6594;top:1370;width:1052;height:624" coordorigin="6594,1370" coordsize="1052,624" path="m6594,1994l7645,1994,7645,1370,6594,1370,6594,1994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71,826</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113,403</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39"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舟山百汇达股 权投资管理合 伙企业（有限 合伙）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32.21%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496,818,100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-15,411,900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496,818,10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43,430,000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香港中央结算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123,500,501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113,845,030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123,500,50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安本标准投资 管理（亚洲） 有限公司－安 本标准－中国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股股票基金</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35,766,444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35,766,444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35,766,444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89.75pt;mso-position-horizontal-relative:page;mso-position-vertical-relative:page;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1198"/>
                    <w:gridCol w:w="929"/>
                    <w:gridCol w:w="1063"/>
                    <w:gridCol w:w="1064"/>
                    <w:gridCol w:w="1063"/>
                    <w:gridCol w:w="927"/>
                    <w:gridCol w:w="1068"/>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22,073,837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-5,397,093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21,976,744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上海并购股权 投资基金合伙 企业（有限合 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8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15,007,950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15,007,950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耿桂芳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14,798,100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-4,545,800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14,507,925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290,175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9" w:lineRule="auto" w:before="20"/>
                          <w:ind w:left="24" w:right="84"/>
                          <w:jc w:val="both"/>
                          <w:rPr>
                            <w:rFonts w:ascii="宋体" w:hAnsi="宋体" w:cs="宋体" w:eastAsia="宋体" w:hint="default"/>
                            <w:sz w:val="18"/>
                            <w:szCs w:val="18"/>
                          </w:rPr>
                        </w:pPr>
                        <w:r>
                          <w:rPr>
                            <w:rFonts w:ascii="宋体" w:hAnsi="宋体" w:cs="宋体" w:eastAsia="宋体" w:hint="default"/>
                            <w:sz w:val="18"/>
                            <w:szCs w:val="18"/>
                          </w:rPr>
                          <w:t>－易方达创业 板交易型开放 式指数证券投 资基金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11,450,192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-7,646,726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11,450,192</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中国农业银行 股份有限公司</w:t>
                        </w:r>
                      </w:p>
                      <w:p>
                        <w:pPr>
                          <w:pStyle w:val="TableParagraph"/>
                          <w:spacing w:line="312" w:lineRule="auto" w:before="19"/>
                          <w:ind w:left="24" w:right="83"/>
                          <w:jc w:val="both"/>
                          <w:rPr>
                            <w:rFonts w:ascii="宋体" w:hAnsi="宋体" w:cs="宋体" w:eastAsia="宋体" w:hint="default"/>
                            <w:sz w:val="18"/>
                            <w:szCs w:val="18"/>
                          </w:rPr>
                        </w:pPr>
                        <w:r>
                          <w:rPr>
                            <w:rFonts w:ascii="宋体" w:hAnsi="宋体" w:cs="宋体" w:eastAsia="宋体" w:hint="default"/>
                            <w:sz w:val="18"/>
                            <w:szCs w:val="18"/>
                          </w:rPr>
                          <w:t>－中证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交 易型开放式指 数证券投资基 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10,612,996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815,196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10,612,996</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共青城云创投 资管理合伙企 </w:t>
                        </w:r>
                        <w:r>
                          <w:rPr>
                            <w:rFonts w:ascii="宋体" w:hAnsi="宋体" w:cs="宋体" w:eastAsia="宋体" w:hint="default"/>
                            <w:spacing w:val="-4"/>
                            <w:sz w:val="18"/>
                            <w:szCs w:val="18"/>
                          </w:rPr>
                          <w:t>业（有限合伙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133"/>
                          <w:ind w:left="26" w:right="80"/>
                          <w:jc w:val="left"/>
                          <w:rPr>
                            <w:rFonts w:ascii="宋体" w:hAnsi="宋体" w:cs="宋体" w:eastAsia="宋体" w:hint="default"/>
                            <w:sz w:val="18"/>
                            <w:szCs w:val="18"/>
                          </w:rPr>
                        </w:pPr>
                        <w:r>
                          <w:rPr>
                            <w:rFonts w:ascii="宋体" w:hAnsi="宋体" w:cs="宋体" w:eastAsia="宋体" w:hint="default"/>
                            <w:sz w:val="18"/>
                            <w:szCs w:val="18"/>
                          </w:rPr>
                          <w:t>境内非国有法 人</w:t>
                        </w:r>
                      </w:p>
                      <w:p>
                        <w:pPr>
                          <w:pStyle w:val="TableParagraph"/>
                          <w:spacing w:line="15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10,112,126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10,112,126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17"/>
                          <w:ind w:left="24" w:right="84"/>
                          <w:jc w:val="both"/>
                          <w:rPr>
                            <w:rFonts w:ascii="宋体" w:hAnsi="宋体" w:cs="宋体" w:eastAsia="宋体" w:hint="default"/>
                            <w:sz w:val="18"/>
                            <w:szCs w:val="18"/>
                          </w:rPr>
                        </w:pPr>
                        <w:r>
                          <w:rPr>
                            <w:rFonts w:ascii="宋体" w:hAnsi="宋体" w:cs="宋体" w:eastAsia="宋体" w:hint="default"/>
                            <w:sz w:val="18"/>
                            <w:szCs w:val="18"/>
                          </w:rPr>
                          <w:t>－景顺长城创 新成长混合型 证券投资基金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10,080,379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10,080,379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10,080,379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239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gridSpan w:val="7"/>
                        <w:vMerge w:val="restart"/>
                        <w:tcBorders>
                          <w:top w:val="single" w:sz="4" w:space="0" w:color="000000"/>
                          <w:left w:val="single" w:sz="9" w:space="0" w:color="D2D2D2"/>
                          <w:right w:val="single" w:sz="4" w:space="0" w:color="000000"/>
                        </w:tcBorders>
                      </w:tcPr>
                      <w:p>
                        <w:pPr>
                          <w:pStyle w:val="TableParagraph"/>
                          <w:spacing w:line="297" w:lineRule="auto" w:before="51"/>
                          <w:ind w:left="17" w:right="17"/>
                          <w:jc w:val="left"/>
                          <w:rPr>
                            <w:rFonts w:ascii="宋体" w:hAnsi="宋体" w:cs="宋体" w:eastAsia="宋体" w:hint="default"/>
                            <w:sz w:val="18"/>
                            <w:szCs w:val="18"/>
                          </w:rPr>
                        </w:pPr>
                        <w:r>
                          <w:rPr>
                            <w:rFonts w:ascii="宋体" w:hAnsi="宋体" w:cs="宋体" w:eastAsia="宋体" w:hint="default"/>
                            <w:sz w:val="18"/>
                            <w:szCs w:val="18"/>
                          </w:rPr>
                          <w:t>公司因发行股份购买资产并募集配套资金收购北京科信盛彩云计算有限公司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股权，向 交易对方金福沈非公开发行</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27,470,930</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股股份购买相关资产，向认购方上海并购股权投资基</w:t>
                        </w:r>
                      </w:p>
                      <w:p>
                        <w:pPr>
                          <w:pStyle w:val="TableParagraph"/>
                          <w:spacing w:line="240" w:lineRule="auto" w:before="15"/>
                          <w:ind w:left="17" w:right="0"/>
                          <w:jc w:val="left"/>
                          <w:rPr>
                            <w:rFonts w:ascii="宋体" w:hAnsi="宋体" w:cs="宋体" w:eastAsia="宋体" w:hint="default"/>
                            <w:sz w:val="18"/>
                            <w:szCs w:val="18"/>
                          </w:rPr>
                        </w:pPr>
                        <w:r>
                          <w:rPr>
                            <w:rFonts w:ascii="宋体" w:hAnsi="宋体" w:cs="宋体" w:eastAsia="宋体" w:hint="default"/>
                            <w:spacing w:val="-4"/>
                            <w:sz w:val="18"/>
                            <w:szCs w:val="18"/>
                          </w:rPr>
                          <w:t>金合伙企业（有限合伙）非公开发行股份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15,527,950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股份募集配套资金。金福沈所持股份于</w:t>
                        </w:r>
                      </w:p>
                      <w:p>
                        <w:pPr>
                          <w:pStyle w:val="TableParagraph"/>
                          <w:spacing w:line="300" w:lineRule="auto" w:before="63"/>
                          <w:ind w:left="17"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日上市，上述股份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个月锁定期满后将根据业绩承诺完成情况分批解锁， 即实现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年承诺净利润或完成利润补偿后可获得通过本次发行获得的股份总数的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实现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年两年累计承诺净利润或完成利润补偿后可获得通过本次发行获得的股份 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，实现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年累计净利润不低于三年累计承诺净利润且根据科信盛彩</w:t>
                        </w:r>
                      </w:p>
                      <w:p>
                        <w:pPr>
                          <w:pStyle w:val="TableParagraph"/>
                          <w:spacing w:line="316" w:lineRule="auto" w:before="13"/>
                          <w:ind w:left="17" w:right="21"/>
                          <w:jc w:val="left"/>
                          <w:rPr>
                            <w:rFonts w:ascii="宋体" w:hAnsi="宋体" w:cs="宋体" w:eastAsia="宋体" w:hint="default"/>
                            <w:sz w:val="18"/>
                            <w:szCs w:val="18"/>
                          </w:rPr>
                        </w:pPr>
                        <w:r>
                          <w:rPr>
                            <w:rFonts w:ascii="宋体" w:hAnsi="宋体" w:cs="宋体" w:eastAsia="宋体" w:hint="default"/>
                            <w:spacing w:val="-3"/>
                            <w:sz w:val="18"/>
                            <w:szCs w:val="18"/>
                          </w:rPr>
                          <w:t>《减值测试报告》确认没有减值或完成利润及减值补偿后可获得通过本次发行获得的股份总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日已根据上述承诺解除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5,494,186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股限售股份。上海并购股权投</w:t>
                        </w:r>
                      </w:p>
                      <w:p>
                        <w:pPr>
                          <w:pStyle w:val="TableParagraph"/>
                          <w:spacing w:line="248" w:lineRule="exact"/>
                          <w:ind w:left="1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资基金合伙企业（有限合伙）所持股份于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日上市，锁定期限为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个月，</w:t>
                        </w:r>
                        <w:r>
                          <w:rPr>
                            <w:rFonts w:ascii="Times New Roman" w:hAnsi="Times New Roman" w:cs="Times New Roman" w:eastAsia="Times New Roman" w:hint="default"/>
                            <w:spacing w:val="-7"/>
                            <w:sz w:val="18"/>
                            <w:szCs w:val="18"/>
                          </w:rPr>
                          <w:t>2019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日其所持股份已解除限售上市流通。</w:t>
                        </w:r>
                      </w:p>
                    </w:tc>
                  </w:tr>
                  <w:tr>
                    <w:trPr>
                      <w:trHeight w:val="1015" w:hRule="exact"/>
                    </w:trPr>
                    <w:tc>
                      <w:tcPr>
                        <w:tcW w:w="239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2" w:type="dxa"/>
                        <w:gridSpan w:val="7"/>
                        <w:vMerge/>
                        <w:tcBorders>
                          <w:left w:val="single" w:sz="9" w:space="0" w:color="D2D2D2"/>
                          <w:right w:val="single" w:sz="4" w:space="0" w:color="000000"/>
                        </w:tcBorders>
                      </w:tcPr>
                      <w:p>
                        <w:pPr/>
                      </w:p>
                    </w:tc>
                  </w:tr>
                  <w:tr>
                    <w:trPr>
                      <w:trHeight w:val="1253" w:hRule="exact"/>
                    </w:trPr>
                    <w:tc>
                      <w:tcPr>
                        <w:tcW w:w="239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2" w:type="dxa"/>
                        <w:gridSpan w:val="7"/>
                        <w:vMerge/>
                        <w:tcBorders>
                          <w:left w:val="single" w:sz="9" w:space="0" w:color="D2D2D2"/>
                          <w:bottom w:val="single" w:sz="4" w:space="0" w:color="000000"/>
                          <w:right w:val="single" w:sz="4" w:space="0" w:color="000000"/>
                        </w:tcBorders>
                      </w:tcPr>
                      <w:p>
                        <w:pPr/>
                      </w:p>
                    </w:tc>
                  </w:tr>
                  <w:tr>
                    <w:trPr>
                      <w:trHeight w:val="714" w:hRule="exact"/>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2" w:type="dxa"/>
                        <w:gridSpan w:val="7"/>
                        <w:tcBorders>
                          <w:top w:val="single" w:sz="4" w:space="0" w:color="000000"/>
                          <w:left w:val="single" w:sz="12" w:space="0" w:color="D2D2D2"/>
                          <w:bottom w:val="single" w:sz="4" w:space="0" w:color="000000"/>
                          <w:right w:val="single" w:sz="4" w:space="0" w:color="000000"/>
                        </w:tcBorders>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公司实际控制人耿殿根先生为公司控股股东舟山百汇达股权投资管理合伙企业（有限合伙 的执行事务合伙人，耿桂芳女士系耿殿根先生的姐姐，百汇达与耿桂芳为一致行动人。</w:t>
                        </w:r>
                      </w:p>
                    </w:tc>
                  </w:tr>
                  <w:tr>
                    <w:trPr>
                      <w:trHeight w:val="397"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8" w:hRule="exact"/>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144"/>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5046"/>
        <w:gridCol w:w="1069"/>
        <w:gridCol w:w="1058"/>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舟山百汇达股权投资管理合伙 企业（有限合伙）</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496,818,100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496,818,100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123,500,501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123,500,501</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安本标准投资管理（亚洲）有 限公司－安本标准－中国</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 股票基金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35,766,444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35,766,444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上海并购股权投资基金合伙企 业（有限合伙）</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15,007,950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15,007,950</w:t>
            </w:r>
          </w:p>
        </w:tc>
      </w:tr>
      <w:tr>
        <w:trPr>
          <w:trHeight w:val="10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易方达创业板交易型开放式指 数证券投资基金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11,450,192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11,450,192</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中国农业银行股份有限公司－ 中证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交易型开放式指数证 券投资基金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10,612,996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10,612,996</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景顺长城创新成长混合型证券 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10,080,379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10,080,379</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阿布达比投资局</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9,030,782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9,030,782</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徐庆良</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徐厚华</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7,424,000</w:t>
            </w:r>
          </w:p>
        </w:tc>
      </w:tr>
      <w:tr>
        <w:trPr>
          <w:trHeight w:val="133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pacing w:val="-3"/>
                <w:sz w:val="18"/>
                <w:szCs w:val="18"/>
              </w:rPr>
              <w:t>除百汇达与耿桂芳为一致行动人外，公司前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名无限售流通股股东之间，以及前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名股东之间不存在关联关系或一致行动关系。</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公司控股股东百汇达除通过普通证券账户持有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402,518,100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股外，还通过光大证券客户信用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496,818,100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11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1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p>
      <w:pPr>
        <w:spacing w:after="0" w:line="36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4" w:right="183"/>
              <w:jc w:val="left"/>
              <w:rPr>
                <w:rFonts w:ascii="宋体" w:hAnsi="宋体" w:cs="宋体" w:eastAsia="宋体" w:hint="default"/>
                <w:sz w:val="18"/>
                <w:szCs w:val="18"/>
              </w:rPr>
            </w:pPr>
            <w:r>
              <w:rPr>
                <w:rFonts w:ascii="宋体" w:hAnsi="宋体" w:cs="宋体" w:eastAsia="宋体" w:hint="default"/>
                <w:sz w:val="18"/>
                <w:szCs w:val="18"/>
              </w:rPr>
              <w:t>舟山百汇达股权投资管理 合伙企业（有限合伙）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Times New Roman"/>
                <w:sz w:val="18"/>
              </w:rPr>
              <w:t>91110101742331060J</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股权投资、实业投资；投资 管理（未经金融等监管部门 批准，不得从事吸收存款、 融资担保、代客理财、向社 会公众集（融）资等金融业 </w:t>
            </w:r>
            <w:r>
              <w:rPr>
                <w:rFonts w:ascii="宋体" w:hAnsi="宋体" w:cs="宋体" w:eastAsia="宋体" w:hint="default"/>
                <w:spacing w:val="-14"/>
                <w:sz w:val="18"/>
                <w:szCs w:val="18"/>
              </w:rPr>
              <w:t>务）；企业管理及咨询；商务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3"/>
                <w:sz w:val="18"/>
                <w:szCs w:val="18"/>
              </w:rPr>
              <w:t>信息咨询。（依法须经批准的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项目，经相关部门批准后方 可开展经营活动）</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3827"/>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3827"/>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现任公司董事长，任期至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3827"/>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9"/>
          <w:szCs w:val="29"/>
        </w:rPr>
      </w:pPr>
    </w:p>
    <w:p>
      <w:pPr>
        <w:pStyle w:val="Heading4"/>
        <w:tabs>
          <w:tab w:pos="4187" w:val="left" w:leader="none"/>
        </w:tabs>
        <w:spacing w:line="547" w:lineRule="exact"/>
        <w:ind w:left="2307" w:right="0"/>
        <w:jc w:val="left"/>
      </w:pPr>
      <w:r>
        <w:rPr>
          <w:position w:val="-10"/>
        </w:rPr>
        <w:pict>
          <v:shape style="width:46.55pt;height:26.35pt;mso-position-horizontal-relative:char;mso-position-vertical-relative:line" type="#_x0000_t202" filled="false" stroked="true" strokeweight=".75pt" strokecolor="#000000">
            <w10:anchorlock/>
            <v:textbox inset="0,0,0,0">
              <w:txbxContent>
                <w:p>
                  <w:pPr>
                    <w:pStyle w:val="BodyText"/>
                    <w:spacing w:line="240" w:lineRule="auto" w:before="123"/>
                    <w:ind w:left="188" w:right="0"/>
                    <w:jc w:val="left"/>
                  </w:pPr>
                  <w:r>
                    <w:rPr/>
                    <w:t>耿殿根</w:t>
                  </w:r>
                </w:p>
              </w:txbxContent>
            </v:textbox>
          </v:shape>
        </w:pict>
      </w:r>
      <w:r>
        <w:rPr>
          <w:position w:val="-10"/>
        </w:rPr>
      </w:r>
      <w:r>
        <w:rPr>
          <w:position w:val="-10"/>
        </w:rPr>
        <w:tab/>
      </w:r>
      <w:r>
        <w:rPr>
          <w:position w:val="-9"/>
        </w:rPr>
        <w:pict>
          <v:shape style="width:44.65pt;height:26.75pt;mso-position-horizontal-relative:char;mso-position-vertical-relative:line" type="#_x0000_t202" filled="false" stroked="true" strokeweight=".75pt" strokecolor="#000000">
            <w10:anchorlock/>
            <v:textbox inset="0,0,0,0">
              <w:txbxContent>
                <w:p>
                  <w:pPr>
                    <w:pStyle w:val="BodyText"/>
                    <w:spacing w:line="240" w:lineRule="auto" w:before="124"/>
                    <w:ind w:left="168" w:right="0"/>
                    <w:jc w:val="left"/>
                  </w:pPr>
                  <w:r>
                    <w:rPr/>
                    <w:t>耿桂芳</w:t>
                  </w:r>
                </w:p>
              </w:txbxContent>
            </v:textbox>
          </v:shape>
        </w:pict>
      </w:r>
      <w:r>
        <w:rPr>
          <w:position w:val="-9"/>
        </w:rPr>
      </w:r>
    </w:p>
    <w:p>
      <w:pPr>
        <w:spacing w:line="240" w:lineRule="auto" w:before="6"/>
        <w:rPr>
          <w:rFonts w:ascii="宋体" w:hAnsi="宋体" w:cs="宋体" w:eastAsia="宋体" w:hint="default"/>
          <w:sz w:val="15"/>
          <w:szCs w:val="15"/>
        </w:rPr>
      </w:pPr>
    </w:p>
    <w:p>
      <w:pPr>
        <w:pStyle w:val="BodyText"/>
        <w:tabs>
          <w:tab w:pos="4756" w:val="left" w:leader="none"/>
        </w:tabs>
        <w:spacing w:line="240" w:lineRule="auto"/>
        <w:ind w:left="3033" w:right="3827"/>
        <w:jc w:val="left"/>
        <w:rPr>
          <w:rFonts w:ascii="Times New Roman" w:hAnsi="Times New Roman" w:cs="Times New Roman" w:eastAsia="Times New Roman" w:hint="default"/>
        </w:rPr>
      </w:pPr>
      <w:r>
        <w:rPr/>
        <w:pict>
          <v:group style="position:absolute;margin-left:186.050003pt;margin-top:-10.627663pt;width:6pt;height:24pt;mso-position-horizontal-relative:page;mso-position-vertical-relative:paragraph;z-index:-1238992" coordorigin="3721,-213" coordsize="120,480">
            <v:shape style="position:absolute;left:3721;top:-213;width:120;height:480" coordorigin="3721,-213" coordsize="120,480" path="m3771,147l3721,147,3781,267,3826,177,3775,177,3771,173,3771,147xe" filled="true" fillcolor="#000000" stroked="false">
              <v:path arrowok="t"/>
              <v:fill type="solid"/>
            </v:shape>
            <v:shape style="position:absolute;left:3721;top:-213;width:120;height:480" coordorigin="3721,-213" coordsize="120,480" path="m3787,-213l3775,-213,3771,-208,3771,173,3775,177,3787,177,3791,173,3791,-208,3787,-213xe" filled="true" fillcolor="#000000" stroked="false">
              <v:path arrowok="t"/>
              <v:fill type="solid"/>
            </v:shape>
            <v:shape style="position:absolute;left:3721;top:-213;width:120;height:480" coordorigin="3721,-213" coordsize="120,480" path="m3841,147l3791,147,3791,173,3787,177,3826,177,3841,147xe" filled="true" fillcolor="#000000" stroked="false">
              <v:path arrowok="t"/>
              <v:fill type="solid"/>
            </v:shape>
            <w10:wrap type="none"/>
          </v:group>
        </w:pict>
      </w:r>
      <w:r>
        <w:rPr/>
        <w:pict>
          <v:group style="position:absolute;margin-left:279.700012pt;margin-top:-11.227663pt;width:6pt;height:24pt;mso-position-horizontal-relative:page;mso-position-vertical-relative:paragraph;z-index:-1238968" coordorigin="5594,-225" coordsize="120,480">
            <v:shape style="position:absolute;left:5594;top:-225;width:120;height:480" coordorigin="5594,-225" coordsize="120,480" path="m5644,135l5594,135,5654,255,5699,165,5648,165,5644,161,5644,135xe" filled="true" fillcolor="#000000" stroked="false">
              <v:path arrowok="t"/>
              <v:fill type="solid"/>
            </v:shape>
            <v:shape style="position:absolute;left:5594;top:-225;width:120;height:480" coordorigin="5594,-225" coordsize="120,480" path="m5660,-225l5648,-225,5644,-220,5644,161,5648,165,5660,165,5664,161,5664,-220,5660,-225xe" filled="true" fillcolor="#000000" stroked="false">
              <v:path arrowok="t"/>
              <v:fill type="solid"/>
            </v:shape>
            <v:shape style="position:absolute;left:5594;top:-225;width:120;height:480" coordorigin="5594,-225" coordsize="120,480" path="m5714,135l5664,135,5664,161,5660,165,5699,165,5714,135xe" filled="true" fillcolor="#000000" stroked="false">
              <v:path arrowok="t"/>
              <v:fill type="solid"/>
            </v:shape>
            <w10:wrap type="none"/>
          </v:group>
        </w:pict>
      </w:r>
      <w:r>
        <w:rPr>
          <w:rFonts w:ascii="Times New Roman"/>
        </w:rPr>
        <w:t>99.99%</w:t>
        <w:tab/>
        <w:t>0.01%</w:t>
      </w:r>
    </w:p>
    <w:p>
      <w:pPr>
        <w:spacing w:line="240" w:lineRule="auto" w:before="10"/>
        <w:rPr>
          <w:rFonts w:ascii="Times New Roman" w:hAnsi="Times New Roman" w:cs="Times New Roman" w:eastAsia="Times New Roman" w:hint="default"/>
          <w:sz w:val="9"/>
          <w:szCs w:val="9"/>
        </w:rPr>
      </w:pPr>
    </w:p>
    <w:p>
      <w:pPr>
        <w:spacing w:line="493" w:lineRule="exact"/>
        <w:ind w:left="14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239.15pt;height:24.65pt;mso-position-horizontal-relative:char;mso-position-vertical-relative:line" type="#_x0000_t202" filled="false" stroked="true" strokeweight=".75pt" strokecolor="#000000">
            <w10:anchorlock/>
            <v:textbox inset="0,0,0,0">
              <w:txbxContent>
                <w:p>
                  <w:pPr>
                    <w:pStyle w:val="BodyText"/>
                    <w:spacing w:line="240" w:lineRule="auto" w:before="124"/>
                    <w:ind w:left="494" w:right="0"/>
                    <w:jc w:val="left"/>
                  </w:pPr>
                  <w:r>
                    <w:rPr/>
                    <w:t>舟山百汇达股权投资管理合伙企业（有限合伙）</w:t>
                  </w:r>
                </w:p>
              </w:txbxContent>
            </v:textbox>
          </v:shape>
        </w:pict>
      </w:r>
      <w:r>
        <w:rPr>
          <w:rFonts w:ascii="Times New Roman" w:hAnsi="Times New Roman" w:cs="Times New Roman" w:eastAsia="Times New Roman" w:hint="default"/>
          <w:position w:val="-9"/>
          <w:sz w:val="20"/>
          <w:szCs w:val="20"/>
        </w:rPr>
      </w:r>
    </w:p>
    <w:p>
      <w:pPr>
        <w:spacing w:line="240" w:lineRule="auto" w:before="1"/>
        <w:rPr>
          <w:rFonts w:ascii="Times New Roman" w:hAnsi="Times New Roman" w:cs="Times New Roman" w:eastAsia="Times New Roman" w:hint="default"/>
          <w:sz w:val="21"/>
          <w:szCs w:val="21"/>
        </w:rPr>
      </w:pPr>
    </w:p>
    <w:p>
      <w:pPr>
        <w:pStyle w:val="BodyText"/>
        <w:spacing w:line="240" w:lineRule="auto"/>
        <w:ind w:left="0" w:right="2138"/>
        <w:jc w:val="center"/>
        <w:rPr>
          <w:rFonts w:ascii="Times New Roman" w:hAnsi="Times New Roman" w:cs="Times New Roman" w:eastAsia="Times New Roman" w:hint="default"/>
        </w:rPr>
      </w:pPr>
      <w:r>
        <w:rPr/>
        <w:pict>
          <v:group style="position:absolute;margin-left:232.949997pt;margin-top:-12.077659pt;width:6pt;height:24pt;mso-position-horizontal-relative:page;mso-position-vertical-relative:paragraph;z-index:2872" coordorigin="4659,-242" coordsize="120,480">
            <v:shape style="position:absolute;left:4659;top:-242;width:120;height:480" coordorigin="4659,-242" coordsize="120,480" path="m4709,118l4659,118,4719,238,4764,148,4713,148,4709,144,4709,118xe" filled="true" fillcolor="#000000" stroked="false">
              <v:path arrowok="t"/>
              <v:fill type="solid"/>
            </v:shape>
            <v:shape style="position:absolute;left:4659;top:-242;width:120;height:480" coordorigin="4659,-242" coordsize="120,480" path="m4725,-242l4713,-242,4709,-237,4709,144,4713,148,4725,148,4729,144,4729,-237,4725,-242xe" filled="true" fillcolor="#000000" stroked="false">
              <v:path arrowok="t"/>
              <v:fill type="solid"/>
            </v:shape>
            <v:shape style="position:absolute;left:4659;top:-242;width:120;height:480" coordorigin="4659,-242" coordsize="120,480" path="m4779,118l4729,118,4729,144,4725,148,4764,148,4779,118xe" filled="true" fillcolor="#000000" stroked="false">
              <v:path arrowok="t"/>
              <v:fill type="solid"/>
            </v:shape>
            <w10:wrap type="none"/>
          </v:group>
        </w:pict>
      </w:r>
      <w:r>
        <w:rPr>
          <w:rFonts w:ascii="Times New Roman"/>
        </w:rPr>
        <w:t>30.34%</w:t>
      </w:r>
    </w:p>
    <w:p>
      <w:pPr>
        <w:spacing w:line="240" w:lineRule="auto" w:before="2"/>
        <w:rPr>
          <w:rFonts w:ascii="Times New Roman" w:hAnsi="Times New Roman" w:cs="Times New Roman" w:eastAsia="Times New Roman" w:hint="default"/>
          <w:sz w:val="7"/>
          <w:szCs w:val="7"/>
        </w:rPr>
      </w:pPr>
    </w:p>
    <w:p>
      <w:pPr>
        <w:spacing w:line="467" w:lineRule="exact"/>
        <w:ind w:left="20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78.25pt;height:23.35pt;mso-position-horizontal-relative:char;mso-position-vertical-relative:line" type="#_x0000_t202" filled="false" stroked="true" strokeweight=".75pt" strokecolor="#000000">
            <w10:anchorlock/>
            <v:textbox inset="0,0,0,0">
              <w:txbxContent>
                <w:p>
                  <w:pPr>
                    <w:pStyle w:val="BodyText"/>
                    <w:spacing w:line="240" w:lineRule="auto" w:before="124"/>
                    <w:ind w:left="513" w:right="0"/>
                    <w:jc w:val="left"/>
                  </w:pPr>
                  <w:r>
                    <w:rPr/>
                    <w:t>北京光环新网科技股份有限公司</w:t>
                  </w:r>
                </w:p>
              </w:txbxContent>
            </v:textbox>
          </v:shape>
        </w:pict>
      </w:r>
      <w:r>
        <w:rPr>
          <w:rFonts w:ascii="Times New Roman" w:hAnsi="Times New Roman" w:cs="Times New Roman" w:eastAsia="Times New Roman" w:hint="default"/>
          <w:position w:val="-8"/>
          <w:sz w:val="20"/>
          <w:szCs w:val="20"/>
        </w:rPr>
      </w:r>
    </w:p>
    <w:p>
      <w:pPr>
        <w:spacing w:after="0" w:line="467" w:lineRule="exact"/>
        <w:rPr>
          <w:rFonts w:ascii="Times New Roman" w:hAnsi="Times New Roman" w:cs="Times New Roman" w:eastAsia="Times New Roman" w:hint="default"/>
          <w:sz w:val="20"/>
          <w:szCs w:val="20"/>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right="3827"/>
        <w:jc w:val="left"/>
      </w:pPr>
      <w:r>
        <w:rPr/>
        <w:t>实际控制人通过信托或其他资产管理方式控制公司</w:t>
      </w:r>
    </w:p>
    <w:p>
      <w:pPr>
        <w:pStyle w:val="BodyText"/>
        <w:spacing w:line="240" w:lineRule="auto" w:before="117"/>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3827"/>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12"/>
        <w:jc w:val="left"/>
        <w:rPr>
          <w:b w:val="0"/>
          <w:bCs w:val="0"/>
        </w:rPr>
      </w:pPr>
      <w:bookmarkStart w:name="第八节 可转换公司债券相关情况" w:id="120"/>
      <w:bookmarkEnd w:id="120"/>
      <w:r>
        <w:rPr>
          <w:b w:val="0"/>
          <w:bCs w:val="0"/>
        </w:rPr>
      </w:r>
      <w:bookmarkStart w:name="_bookmark7" w:id="121"/>
      <w:bookmarkEnd w:id="121"/>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12"/>
        <w:jc w:val="left"/>
        <w:rPr>
          <w:b w:val="0"/>
          <w:bCs w:val="0"/>
        </w:rPr>
      </w:pPr>
      <w:bookmarkStart w:name="第九节 董事、监事、高级管理人员和员工情况" w:id="122"/>
      <w:bookmarkEnd w:id="122"/>
      <w:r>
        <w:rPr>
          <w:b w:val="0"/>
          <w:bCs w:val="0"/>
        </w:rPr>
      </w:r>
      <w:bookmarkStart w:name="_bookmark8" w:id="123"/>
      <w:bookmarkEnd w:id="123"/>
      <w:r>
        <w:rPr>
          <w:b w:val="0"/>
          <w:bCs w:val="0"/>
        </w:rPr>
      </w:r>
      <w:r>
        <w:rPr/>
        <w:t>第九节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3827"/>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1,068,750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801,562</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662,814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孔良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942,046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235,512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706,534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郭晓玉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董事会秘 书兼副总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954,618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238,655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715,963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1,239,782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929,836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1,623,955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405,989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1,217,966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9,319,965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2,165,290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7,154,675</w:t>
            </w:r>
          </w:p>
        </w:tc>
      </w:tr>
    </w:tbl>
    <w:p>
      <w:pPr>
        <w:spacing w:line="240" w:lineRule="auto" w:before="1"/>
        <w:rPr>
          <w:rFonts w:ascii="宋体" w:hAnsi="宋体" w:cs="宋体" w:eastAsia="宋体" w:hint="default"/>
          <w:b/>
          <w:bCs/>
          <w:sz w:val="18"/>
          <w:szCs w:val="18"/>
        </w:rPr>
      </w:pPr>
    </w:p>
    <w:p>
      <w:pPr>
        <w:pStyle w:val="Heading2"/>
        <w:spacing w:line="240" w:lineRule="auto" w:before="26"/>
        <w:ind w:right="3827"/>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541"/>
        <w:gridCol w:w="4037"/>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郭晓玉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32"/>
        <w:gridCol w:w="1330"/>
        <w:gridCol w:w="1330"/>
        <w:gridCol w:w="1541"/>
        <w:gridCol w:w="4037"/>
      </w:tblGrid>
      <w:tr>
        <w:trPr>
          <w:trHeight w:val="40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1"/>
        <w:rPr>
          <w:rFonts w:ascii="宋体" w:hAnsi="宋体" w:cs="宋体" w:eastAsia="宋体" w:hint="default"/>
          <w:sz w:val="18"/>
          <w:szCs w:val="18"/>
        </w:rPr>
      </w:pPr>
    </w:p>
    <w:p>
      <w:pPr>
        <w:pStyle w:val="Heading2"/>
        <w:spacing w:line="240" w:lineRule="auto" w:before="26"/>
        <w:ind w:right="3827"/>
        <w:jc w:val="left"/>
        <w:rPr>
          <w:b w:val="0"/>
          <w:bCs w:val="0"/>
        </w:rPr>
      </w:pPr>
      <w:bookmarkStart w:name="三、任职情况" w:id="126"/>
      <w:bookmarkEnd w:id="126"/>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2"/>
        <w:jc w:val="left"/>
      </w:pPr>
      <w:r>
        <w:rPr/>
        <w:t>公司现任董事、监事、高级管理人员专业背景、主要工作经历以及目前在公司的主要职责</w:t>
      </w:r>
    </w:p>
    <w:p>
      <w:pPr>
        <w:pStyle w:val="BodyText"/>
        <w:spacing w:line="240" w:lineRule="auto" w:before="117"/>
        <w:ind w:left="513" w:right="3827"/>
        <w:jc w:val="left"/>
      </w:pPr>
      <w:r>
        <w:rPr>
          <w:rFonts w:ascii="Times New Roman" w:hAnsi="Times New Roman" w:cs="Times New Roman" w:eastAsia="Times New Roman" w:hint="default"/>
        </w:rPr>
        <w:t>1</w:t>
      </w:r>
      <w:r>
        <w:rPr/>
        <w:t>、公司现任董事任职情况</w:t>
      </w:r>
    </w:p>
    <w:p>
      <w:pPr>
        <w:pStyle w:val="BodyText"/>
        <w:spacing w:line="300" w:lineRule="auto" w:before="103"/>
        <w:ind w:right="1126" w:firstLine="360"/>
        <w:jc w:val="both"/>
      </w:pPr>
      <w:r>
        <w:rPr>
          <w:spacing w:val="-3"/>
        </w:rPr>
        <w:t>耿殿根先生，中国国籍，无永久境外居留权，</w:t>
      </w:r>
      <w:r>
        <w:rPr>
          <w:rFonts w:ascii="Times New Roman" w:hAnsi="Times New Roman" w:cs="Times New Roman" w:eastAsia="Times New Roman" w:hint="default"/>
          <w:spacing w:val="-3"/>
        </w:rPr>
        <w:t>1956</w:t>
      </w:r>
      <w:r>
        <w:rPr>
          <w:rFonts w:ascii="Times New Roman" w:hAnsi="Times New Roman" w:cs="Times New Roman" w:eastAsia="Times New Roman" w:hint="default"/>
          <w:spacing w:val="32"/>
        </w:rPr>
        <w:t> </w:t>
      </w:r>
      <w:r>
        <w:rPr>
          <w:spacing w:val="-3"/>
        </w:rPr>
        <w:t>年出生，汉族，毕业于美国德克萨斯阿灵顿商学院，硕士学历。</w:t>
      </w:r>
      <w:r>
        <w:rPr>
          <w:rFonts w:ascii="Times New Roman" w:hAnsi="Times New Roman" w:cs="Times New Roman" w:eastAsia="Times New Roman" w:hint="default"/>
          <w:spacing w:val="-3"/>
        </w:rPr>
        <w:t>1980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月至</w:t>
      </w:r>
      <w:r>
        <w:rPr>
          <w:spacing w:val="-48"/>
        </w:rPr>
        <w:t> </w:t>
      </w:r>
      <w:r>
        <w:rPr>
          <w:rFonts w:ascii="Times New Roman" w:hAnsi="Times New Roman" w:cs="Times New Roman" w:eastAsia="Times New Roman" w:hint="default"/>
        </w:rPr>
        <w:t>1987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月在北京工艺品进出口公司担任业务员；</w:t>
      </w:r>
      <w:r>
        <w:rPr>
          <w:rFonts w:ascii="Times New Roman" w:hAnsi="Times New Roman" w:cs="Times New Roman" w:eastAsia="Times New Roman" w:hint="default"/>
        </w:rPr>
        <w:t>1987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月至</w:t>
      </w:r>
      <w:r>
        <w:rPr>
          <w:spacing w:val="-46"/>
        </w:rPr>
        <w:t> </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月任北京京美电子技术有限公司业</w:t>
      </w:r>
    </w:p>
    <w:p>
      <w:pPr>
        <w:pStyle w:val="BodyText"/>
        <w:spacing w:line="240" w:lineRule="auto" w:before="13"/>
        <w:ind w:right="1112"/>
        <w:jc w:val="left"/>
        <w:rPr>
          <w:rFonts w:ascii="Times New Roman" w:hAnsi="Times New Roman" w:cs="Times New Roman" w:eastAsia="Times New Roman" w:hint="default"/>
        </w:rPr>
      </w:pPr>
      <w:r>
        <w:rPr/>
        <w:t>务经理；</w:t>
      </w:r>
      <w:r>
        <w:rPr>
          <w:rFonts w:ascii="Times New Roman" w:hAnsi="Times New Roman" w:cs="Times New Roman" w:eastAsia="Times New Roman" w:hint="default"/>
        </w:rPr>
        <w:t>1991 </w:t>
      </w:r>
      <w:r>
        <w:rPr/>
        <w:t>年至</w:t>
      </w:r>
      <w:r>
        <w:rPr>
          <w:spacing w:val="-48"/>
        </w:rPr>
        <w:t> </w:t>
      </w:r>
      <w:r>
        <w:rPr>
          <w:rFonts w:ascii="Times New Roman" w:hAnsi="Times New Roman" w:cs="Times New Roman" w:eastAsia="Times New Roman" w:hint="default"/>
        </w:rPr>
        <w:t>1995 </w:t>
      </w:r>
      <w:r>
        <w:rPr/>
        <w:t>年在北京华电通信公司担任经理；</w:t>
      </w:r>
      <w:r>
        <w:rPr>
          <w:rFonts w:ascii="Times New Roman" w:hAnsi="Times New Roman" w:cs="Times New Roman" w:eastAsia="Times New Roman" w:hint="default"/>
        </w:rPr>
        <w:t>1995 </w:t>
      </w:r>
      <w:r>
        <w:rPr/>
        <w:t>年至</w:t>
      </w:r>
      <w:r>
        <w:rPr>
          <w:spacing w:val="-45"/>
        </w:rPr>
        <w:t> </w:t>
      </w:r>
      <w:r>
        <w:rPr>
          <w:rFonts w:ascii="Times New Roman" w:hAnsi="Times New Roman" w:cs="Times New Roman" w:eastAsia="Times New Roman" w:hint="default"/>
        </w:rPr>
        <w:t>1998 </w:t>
      </w:r>
      <w:r>
        <w:rPr/>
        <w:t>年任光环集团网络通信部经理；</w:t>
      </w:r>
      <w:r>
        <w:rPr>
          <w:rFonts w:ascii="Times New Roman" w:hAnsi="Times New Roman" w:cs="Times New Roman" w:eastAsia="Times New Roman" w:hint="default"/>
        </w:rPr>
        <w:t>2002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19</w:t>
      </w:r>
    </w:p>
    <w:p>
      <w:pPr>
        <w:pStyle w:val="BodyText"/>
        <w:spacing w:line="240" w:lineRule="auto" w:before="63"/>
        <w:ind w:right="986"/>
        <w:jc w:val="left"/>
        <w:rPr>
          <w:rFonts w:ascii="Times New Roman" w:hAnsi="Times New Roman" w:cs="Times New Roman" w:eastAsia="Times New Roman" w:hint="default"/>
        </w:rPr>
      </w:pPr>
      <w:r>
        <w:rPr/>
        <w:t>日至</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日担任</w:t>
      </w:r>
      <w:r>
        <w:rPr>
          <w:spacing w:val="-3"/>
        </w:rPr>
        <w:t>北</w:t>
      </w:r>
      <w:r>
        <w:rPr/>
        <w:t>京百汇达投资管理有限公司执行董事兼总经理</w:t>
      </w:r>
      <w:r>
        <w:rPr>
          <w:spacing w:val="-9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日辞去百汇达总经理职务</w:t>
      </w:r>
      <w:r>
        <w:rPr>
          <w:spacing w:val="-91"/>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p>
    <w:p>
      <w:pPr>
        <w:pStyle w:val="BodyText"/>
        <w:spacing w:line="240" w:lineRule="auto" w:before="63"/>
        <w:ind w:right="1112"/>
        <w:jc w:val="left"/>
        <w:rPr>
          <w:rFonts w:ascii="Times New Roman" w:hAnsi="Times New Roman" w:cs="Times New Roman" w:eastAsia="Times New Roman" w:hint="default"/>
        </w:rPr>
      </w:pPr>
      <w:r>
        <w:rPr/>
        <w:t>年</w:t>
      </w:r>
      <w:r>
        <w:rPr>
          <w:spacing w:val="-45"/>
        </w:rPr>
        <w:t> </w:t>
      </w:r>
      <w:r>
        <w:rPr>
          <w:rFonts w:ascii="Times New Roman" w:hAnsi="Times New Roman" w:cs="Times New Roman" w:eastAsia="Times New Roman" w:hint="default"/>
        </w:rPr>
        <w:t>7 </w:t>
      </w:r>
      <w:r>
        <w:rPr/>
        <w:t>月</w:t>
      </w:r>
      <w:r>
        <w:rPr>
          <w:spacing w:val="-48"/>
        </w:rPr>
        <w:t> </w:t>
      </w:r>
      <w:r>
        <w:rPr>
          <w:rFonts w:ascii="Times New Roman" w:hAnsi="Times New Roman" w:cs="Times New Roman" w:eastAsia="Times New Roman" w:hint="default"/>
        </w:rPr>
        <w:t>30 </w:t>
      </w:r>
      <w:r>
        <w:rPr/>
        <w:t>日起不再担任百汇达执行董事职务；</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16 </w:t>
      </w:r>
      <w:r>
        <w:rPr/>
        <w:t>日起担任控股股东百汇达执行事务合伙人；</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13</w:t>
      </w:r>
    </w:p>
    <w:p>
      <w:pPr>
        <w:pStyle w:val="BodyText"/>
        <w:spacing w:line="240" w:lineRule="auto" w:before="63"/>
        <w:ind w:right="1112"/>
        <w:jc w:val="left"/>
      </w:pPr>
      <w:r>
        <w:rPr/>
        <w:t>日起担任光环传媒股份有限公司董事长；</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6 </w:t>
      </w:r>
      <w:r>
        <w:rPr/>
        <w:t>日起担任联通科技有限公司董事；</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4 </w:t>
      </w:r>
      <w:r>
        <w:rPr/>
        <w:t>日起担任光环新网</w:t>
      </w:r>
    </w:p>
    <w:p>
      <w:pPr>
        <w:pStyle w:val="BodyText"/>
        <w:spacing w:line="240" w:lineRule="auto" w:before="63"/>
        <w:ind w:right="986"/>
        <w:jc w:val="left"/>
      </w:pPr>
      <w:r>
        <w:rPr/>
        <w:t>国际有限公司董事</w:t>
      </w:r>
      <w:r>
        <w:rPr>
          <w:spacing w:val="-86"/>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日起担任光环影业有限</w:t>
      </w:r>
      <w:r>
        <w:rPr>
          <w:spacing w:val="-3"/>
        </w:rPr>
        <w:t>公</w:t>
      </w:r>
      <w:r>
        <w:rPr/>
        <w:t>司执行董事</w:t>
      </w:r>
      <w:r>
        <w:rPr>
          <w:spacing w:val="-87"/>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日</w:t>
      </w:r>
      <w:r>
        <w:rPr/>
        <w:t>起担任光环投资有限公司董事；</w:t>
      </w:r>
    </w:p>
    <w:p>
      <w:pPr>
        <w:pStyle w:val="BodyText"/>
        <w:spacing w:line="240" w:lineRule="auto" w:before="63"/>
        <w:ind w:right="111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5 </w:t>
      </w:r>
      <w:r>
        <w:rPr/>
        <w:t>日起担任光环时代影视文化有限公司执行董事；</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w:t>
      </w:r>
      <w:r>
        <w:rPr>
          <w:spacing w:val="-48"/>
        </w:rPr>
        <w:t> </w:t>
      </w:r>
      <w:r>
        <w:rPr>
          <w:rFonts w:ascii="Times New Roman" w:hAnsi="Times New Roman" w:cs="Times New Roman" w:eastAsia="Times New Roman" w:hint="default"/>
        </w:rPr>
        <w:t>4 </w:t>
      </w:r>
      <w:r>
        <w:rPr/>
        <w:t>日起担任西藏杉源企业管理有限公司执行董事</w:t>
      </w:r>
    </w:p>
    <w:p>
      <w:pPr>
        <w:pStyle w:val="BodyText"/>
        <w:spacing w:line="300" w:lineRule="auto" w:before="63"/>
        <w:ind w:right="1177"/>
        <w:jc w:val="left"/>
      </w:pPr>
      <w:r>
        <w:rPr/>
        <w:t>兼总经理；自</w:t>
      </w:r>
      <w:r>
        <w:rPr>
          <w:spacing w:val="-46"/>
        </w:rPr>
        <w:t> </w:t>
      </w:r>
      <w:r>
        <w:rPr>
          <w:rFonts w:ascii="Times New Roman" w:hAnsi="Times New Roman" w:cs="Times New Roman" w:eastAsia="Times New Roman" w:hint="default"/>
        </w:rPr>
        <w:t>1999 </w:t>
      </w:r>
      <w:r>
        <w:rPr/>
        <w:t>年创立光环新网并担任董事长兼总经理，</w:t>
      </w: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日辞去总经理职务，现任公司董事长，负责公 司战略规划方面工作。</w:t>
      </w:r>
    </w:p>
    <w:p>
      <w:pPr>
        <w:pStyle w:val="BodyText"/>
        <w:spacing w:line="300" w:lineRule="auto" w:before="70"/>
        <w:ind w:right="1128" w:firstLine="360"/>
        <w:jc w:val="both"/>
      </w:pPr>
      <w:r>
        <w:rPr/>
        <w:t>杨宇航先生，中国国籍，无永久境外居留权，</w:t>
      </w:r>
      <w:r>
        <w:rPr>
          <w:rFonts w:ascii="Times New Roman" w:hAnsi="Times New Roman" w:cs="Times New Roman" w:eastAsia="Times New Roman" w:hint="default"/>
        </w:rPr>
        <w:t>1962</w:t>
      </w:r>
      <w:r>
        <w:rPr>
          <w:rFonts w:ascii="Times New Roman" w:hAnsi="Times New Roman" w:cs="Times New Roman" w:eastAsia="Times New Roman" w:hint="default"/>
          <w:spacing w:val="-8"/>
        </w:rPr>
        <w:t> </w:t>
      </w:r>
      <w:r>
        <w:rPr/>
        <w:t>年出生，汉族，毕业于英国</w:t>
      </w:r>
      <w:r>
        <w:rPr>
          <w:spacing w:val="-55"/>
        </w:rPr>
        <w:t> </w:t>
      </w:r>
      <w:r>
        <w:rPr>
          <w:rFonts w:ascii="Times New Roman" w:hAnsi="Times New Roman" w:cs="Times New Roman" w:eastAsia="Times New Roman" w:hint="default"/>
        </w:rPr>
        <w:t>ASTON</w:t>
      </w:r>
      <w:r>
        <w:rPr>
          <w:rFonts w:ascii="Times New Roman" w:hAnsi="Times New Roman" w:cs="Times New Roman" w:eastAsia="Times New Roman" w:hint="default"/>
          <w:spacing w:val="-11"/>
        </w:rPr>
        <w:t> </w:t>
      </w:r>
      <w:r>
        <w:rPr/>
        <w:t>大学，硕士学历。</w:t>
      </w:r>
      <w:r>
        <w:rPr>
          <w:rFonts w:ascii="Times New Roman" w:hAnsi="Times New Roman" w:cs="Times New Roman" w:eastAsia="Times New Roman" w:hint="default"/>
        </w:rPr>
        <w:t>1991</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 至</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月在上海交通大学任教授、博士生导师，期间曾担任校长助理、网络中心主任；</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月至</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月任</w:t>
      </w:r>
    </w:p>
    <w:p>
      <w:pPr>
        <w:pStyle w:val="BodyText"/>
        <w:spacing w:line="240" w:lineRule="auto" w:before="13"/>
        <w:ind w:right="1112"/>
        <w:jc w:val="left"/>
      </w:pPr>
      <w:r>
        <w:rPr/>
        <w:t>长城宽带网络服务有限公司总经理；</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月至</w:t>
      </w:r>
      <w:r>
        <w:rPr>
          <w:spacing w:val="-4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月任中国网络通信有限公司副总裁；</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p>
    <w:p>
      <w:pPr>
        <w:pStyle w:val="BodyText"/>
        <w:spacing w:line="240" w:lineRule="auto" w:before="63"/>
        <w:ind w:right="986"/>
        <w:jc w:val="left"/>
        <w:rPr>
          <w:rFonts w:ascii="Times New Roman" w:hAnsi="Times New Roman" w:cs="Times New Roman" w:eastAsia="Times New Roman" w:hint="default"/>
        </w:rPr>
      </w:pPr>
      <w:r>
        <w:rPr/>
        <w:t>任中国网通集团南方通信公司副总裁</w:t>
      </w:r>
      <w:r>
        <w:rPr>
          <w:spacing w:val="-91"/>
        </w:rPr>
        <w:t>；</w:t>
      </w:r>
      <w:r>
        <w:rPr>
          <w:rFonts w:ascii="Times New Roman" w:hAnsi="Times New Roman" w:cs="Times New Roman" w:eastAsia="Times New Roman" w:hint="default"/>
          <w:spacing w:val="1"/>
        </w:rPr>
        <w:t>200</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月至</w:t>
      </w:r>
      <w:r>
        <w:rPr>
          <w:spacing w:val="-5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月任中录国际文化传播有限公司总裁</w:t>
      </w:r>
      <w:r>
        <w:rPr>
          <w:spacing w:val="-91"/>
        </w:rPr>
        <w:t>；</w:t>
      </w:r>
      <w:r>
        <w:rPr>
          <w:rFonts w:ascii="Times New Roman" w:hAnsi="Times New Roman" w:cs="Times New Roman" w:eastAsia="Times New Roman" w:hint="default"/>
          <w:spacing w:val="1"/>
        </w:rPr>
        <w:t>200</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月至</w:t>
      </w:r>
      <w:r>
        <w:rPr>
          <w:spacing w:val="-5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p>
    <w:p>
      <w:pPr>
        <w:pStyle w:val="BodyText"/>
        <w:spacing w:line="240" w:lineRule="auto" w:before="63"/>
        <w:ind w:right="1112"/>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月任航天数字传媒有限公司副总经理；</w:t>
      </w:r>
      <w:r>
        <w:rPr>
          <w:rFonts w:ascii="Times New Roman" w:hAnsi="Times New Roman" w:cs="Times New Roman" w:eastAsia="Times New Roman" w:hint="default"/>
        </w:rPr>
        <w:t>2006 </w:t>
      </w:r>
      <w:r>
        <w:rPr/>
        <w:t>年</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月至</w:t>
      </w:r>
      <w:r>
        <w:rPr>
          <w:spacing w:val="-47"/>
        </w:rPr>
        <w:t> </w:t>
      </w:r>
      <w:r>
        <w:rPr>
          <w:rFonts w:ascii="Times New Roman" w:hAnsi="Times New Roman" w:cs="Times New Roman" w:eastAsia="Times New Roman" w:hint="default"/>
        </w:rPr>
        <w:t>2013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月任中卫普信宽带通信有限公司董事兼总经理；</w:t>
      </w:r>
      <w:r>
        <w:rPr>
          <w:rFonts w:ascii="Times New Roman" w:hAnsi="Times New Roman" w:cs="Times New Roman" w:eastAsia="Times New Roman" w:hint="default"/>
        </w:rPr>
        <w:t>2015</w:t>
      </w:r>
    </w:p>
    <w:p>
      <w:pPr>
        <w:pStyle w:val="BodyText"/>
        <w:spacing w:line="240" w:lineRule="auto" w:before="63"/>
        <w:ind w:right="1112"/>
        <w:jc w:val="left"/>
      </w:pP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日担任北京华爱光环科技有限公司董事；</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日担任共青城云</w:t>
      </w:r>
    </w:p>
    <w:p>
      <w:pPr>
        <w:pStyle w:val="BodyText"/>
        <w:spacing w:line="240" w:lineRule="auto" w:before="63"/>
        <w:ind w:right="1112"/>
        <w:jc w:val="left"/>
      </w:pPr>
      <w:r>
        <w:rPr/>
        <w:t>创投资管理合伙企业（有限合伙）执行事务合伙人；</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12 </w:t>
      </w:r>
      <w:r>
        <w:rPr/>
        <w:t>日起担任光环新网（上海）信息服务有限公司执行董</w:t>
      </w:r>
    </w:p>
    <w:p>
      <w:pPr>
        <w:pStyle w:val="BodyText"/>
        <w:spacing w:line="240" w:lineRule="auto" w:before="63"/>
        <w:ind w:right="1112"/>
        <w:jc w:val="left"/>
      </w:pPr>
      <w:r>
        <w:rPr/>
        <w:t>事；</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日起担任北京蓝沧科技有限公司副董事长；</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日起担任北京德信致远科技有限公司执行董</w:t>
      </w:r>
    </w:p>
    <w:p>
      <w:pPr>
        <w:pStyle w:val="BodyText"/>
        <w:spacing w:line="240" w:lineRule="auto" w:before="63"/>
        <w:ind w:right="1112"/>
        <w:jc w:val="left"/>
      </w:pPr>
      <w:r>
        <w:rPr/>
        <w:t>事兼总经理；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日起担任北京科信盛彩云计算有限公司董事长；</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3 </w:t>
      </w:r>
      <w:r>
        <w:rPr/>
        <w:t>日起担任北京中金云网科技有</w:t>
      </w:r>
    </w:p>
    <w:p>
      <w:pPr>
        <w:pStyle w:val="BodyText"/>
        <w:spacing w:line="240" w:lineRule="auto" w:before="63"/>
        <w:ind w:right="1112"/>
        <w:jc w:val="left"/>
      </w:pPr>
      <w:r>
        <w:rPr>
          <w:spacing w:val="-3"/>
        </w:rPr>
        <w:t>限公司董事；</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日起担任北京无双科技有限公司董事长；</w:t>
      </w: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日起担任光环有云（北京）网络服务有</w:t>
      </w:r>
    </w:p>
    <w:p>
      <w:pPr>
        <w:pStyle w:val="BodyText"/>
        <w:spacing w:line="240" w:lineRule="auto" w:before="63"/>
        <w:ind w:right="1112"/>
        <w:jc w:val="left"/>
      </w:pPr>
      <w:r>
        <w:rPr/>
        <w:t>限公司董事长；</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日起担任光环新网（宁夏）云服务有限公司董事长兼总经理；</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2 </w:t>
      </w:r>
      <w:r>
        <w:rPr/>
        <w:t>日起担任光环传</w:t>
      </w:r>
    </w:p>
    <w:p>
      <w:pPr>
        <w:pStyle w:val="BodyText"/>
        <w:spacing w:line="240" w:lineRule="auto" w:before="63"/>
        <w:ind w:right="1112"/>
        <w:jc w:val="left"/>
      </w:pPr>
      <w:r>
        <w:rPr/>
        <w:t>媒股份有限公司董事；</w:t>
      </w:r>
      <w:r>
        <w:rPr>
          <w:rFonts w:ascii="Times New Roman" w:hAnsi="Times New Roman" w:cs="Times New Roman" w:eastAsia="Times New Roman" w:hint="default"/>
        </w:rPr>
        <w:t>2016 </w:t>
      </w:r>
      <w:r>
        <w:rPr/>
        <w:t>年</w:t>
      </w:r>
      <w:r>
        <w:rPr>
          <w:spacing w:val="-48"/>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20 </w:t>
      </w:r>
      <w:r>
        <w:rPr/>
        <w:t>日起担任北京亚逊新网科技有限公司执行董事兼总经理；</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5 </w:t>
      </w:r>
      <w:r>
        <w:rPr/>
        <w:t>月</w:t>
      </w:r>
      <w:r>
        <w:rPr>
          <w:spacing w:val="-48"/>
        </w:rPr>
        <w:t> </w:t>
      </w:r>
      <w:r>
        <w:rPr>
          <w:rFonts w:ascii="Times New Roman" w:hAnsi="Times New Roman" w:cs="Times New Roman" w:eastAsia="Times New Roman" w:hint="default"/>
        </w:rPr>
        <w:t>18 </w:t>
      </w:r>
      <w:r>
        <w:rPr/>
        <w:t>日起担任光</w:t>
      </w:r>
    </w:p>
    <w:p>
      <w:pPr>
        <w:pStyle w:val="BodyText"/>
        <w:spacing w:line="300" w:lineRule="auto" w:before="63"/>
        <w:ind w:right="1129"/>
        <w:jc w:val="left"/>
      </w:pPr>
      <w:r>
        <w:rPr>
          <w:spacing w:val="-3"/>
        </w:rPr>
        <w:t>环云数据有限公司董事长；</w:t>
      </w:r>
      <w:r>
        <w:rPr>
          <w:rFonts w:ascii="Times New Roman" w:hAnsi="Times New Roman" w:cs="Times New Roman" w:eastAsia="Times New Roman" w:hint="default"/>
          <w:spacing w:val="-3"/>
        </w:rPr>
        <w:t>2018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日起担任北京弘丰科华科技发展有限公司执行董事；</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日起担任北 京光环金网科技有限公司执行董事兼总经理；</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月起在公司任职，现任公司总裁兼董事。</w:t>
      </w:r>
    </w:p>
    <w:p>
      <w:pPr>
        <w:pStyle w:val="BodyText"/>
        <w:spacing w:line="300" w:lineRule="auto" w:before="53"/>
        <w:ind w:right="1180" w:firstLine="360"/>
        <w:jc w:val="both"/>
        <w:rPr>
          <w:rFonts w:ascii="Times New Roman" w:hAnsi="Times New Roman" w:cs="Times New Roman" w:eastAsia="Times New Roman" w:hint="default"/>
        </w:rPr>
      </w:pPr>
      <w:r>
        <w:rPr/>
        <w:t>袁丁女士，中国国籍，无永久境外居留权，</w:t>
      </w:r>
      <w:r>
        <w:rPr>
          <w:rFonts w:ascii="Times New Roman" w:hAnsi="Times New Roman" w:cs="Times New Roman" w:eastAsia="Times New Roman" w:hint="default"/>
        </w:rPr>
        <w:t>1975</w:t>
      </w:r>
      <w:r>
        <w:rPr>
          <w:rFonts w:ascii="Times New Roman" w:hAnsi="Times New Roman" w:cs="Times New Roman" w:eastAsia="Times New Roman" w:hint="default"/>
          <w:spacing w:val="-1"/>
        </w:rPr>
        <w:t> </w:t>
      </w:r>
      <w:r>
        <w:rPr/>
        <w:t>年出生，汉族，中共党员，毕业于北京航空航天大学，本科学历，经 济师，人力资源管理师。</w:t>
      </w: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48"/>
        </w:rPr>
        <w:t> </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 </w:t>
      </w:r>
      <w:r>
        <w:rPr/>
        <w:t>月，在哈尔滨飞机制造公司机动数控科担任技术员；</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月至</w:t>
      </w:r>
      <w:r>
        <w:rPr>
          <w:spacing w:val="-48"/>
        </w:rPr>
        <w:t> </w:t>
      </w:r>
      <w:r>
        <w:rPr>
          <w:rFonts w:ascii="Times New Roman" w:hAnsi="Times New Roman" w:cs="Times New Roman" w:eastAsia="Times New Roman" w:hint="default"/>
        </w:rPr>
        <w:t>2000</w:t>
      </w:r>
    </w:p>
    <w:p>
      <w:pPr>
        <w:pStyle w:val="BodyText"/>
        <w:spacing w:line="240" w:lineRule="auto" w:before="13"/>
        <w:ind w:right="1112"/>
        <w:jc w:val="left"/>
      </w:pPr>
      <w:r>
        <w:rPr/>
        <w:t>年</w:t>
      </w:r>
      <w:r>
        <w:rPr>
          <w:spacing w:val="-45"/>
        </w:rPr>
        <w:t> </w:t>
      </w:r>
      <w:r>
        <w:rPr>
          <w:rFonts w:ascii="Times New Roman" w:hAnsi="Times New Roman" w:cs="Times New Roman" w:eastAsia="Times New Roman" w:hint="default"/>
        </w:rPr>
        <w:t>12 </w:t>
      </w:r>
      <w:r>
        <w:rPr/>
        <w:t>月在北京易华特卡信息技术有限公司担任综合部经理；</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月至</w:t>
      </w:r>
      <w:r>
        <w:rPr>
          <w:spacing w:val="-46"/>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在北京长城光环宽带网络技术有限公</w:t>
      </w:r>
    </w:p>
    <w:p>
      <w:pPr>
        <w:pStyle w:val="BodyText"/>
        <w:spacing w:line="240" w:lineRule="auto" w:before="63"/>
        <w:ind w:right="1112"/>
        <w:jc w:val="left"/>
      </w:pPr>
      <w:r>
        <w:rPr/>
        <w:t>司任人事行政经理；</w:t>
      </w:r>
      <w:r>
        <w:rPr>
          <w:rFonts w:ascii="Times New Roman" w:hAnsi="Times New Roman" w:cs="Times New Roman" w:eastAsia="Times New Roman" w:hint="default"/>
        </w:rPr>
        <w:t>2008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7 </w:t>
      </w:r>
      <w:r>
        <w:rPr/>
        <w:t>日起在光环云谷科技有限公司担任监事；</w:t>
      </w:r>
      <w:r>
        <w:rPr>
          <w:rFonts w:ascii="Times New Roman" w:hAnsi="Times New Roman" w:cs="Times New Roman" w:eastAsia="Times New Roman" w:hint="default"/>
        </w:rPr>
        <w:t>2010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29 </w:t>
      </w:r>
      <w:r>
        <w:rPr/>
        <w:t>日起在北京瑞科新网科技有限</w:t>
      </w:r>
    </w:p>
    <w:p>
      <w:pPr>
        <w:pStyle w:val="BodyText"/>
        <w:spacing w:line="240" w:lineRule="auto" w:before="63"/>
        <w:ind w:right="986"/>
        <w:jc w:val="left"/>
      </w:pPr>
      <w:r>
        <w:rPr/>
        <w:t>公司担任监事；</w:t>
      </w:r>
      <w:r>
        <w:rPr>
          <w:rFonts w:ascii="Times New Roman" w:hAnsi="Times New Roman" w:cs="Times New Roman" w:eastAsia="Times New Roman" w:hint="default"/>
        </w:rPr>
        <w:t>2014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日起担任光环新网（上海）信息服务有限公司监事；</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 </w:t>
      </w:r>
      <w:r>
        <w:rPr/>
        <w:t>日担任北京德信致远科</w:t>
      </w:r>
    </w:p>
    <w:p>
      <w:pPr>
        <w:pStyle w:val="BodyText"/>
        <w:spacing w:line="240" w:lineRule="auto" w:before="63"/>
        <w:ind w:right="1112"/>
        <w:jc w:val="left"/>
      </w:pPr>
      <w:r>
        <w:rPr/>
        <w:t>技有限公司监事；</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日起在北京科信盛彩云计算有限公司担任董事；</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8 </w:t>
      </w:r>
      <w:r>
        <w:rPr/>
        <w:t>日起在光环新网（宁夏）</w:t>
      </w:r>
    </w:p>
    <w:p>
      <w:pPr>
        <w:pStyle w:val="BodyText"/>
        <w:spacing w:line="300" w:lineRule="auto" w:before="63"/>
        <w:ind w:right="1127"/>
        <w:jc w:val="left"/>
      </w:pPr>
      <w:r>
        <w:rPr>
          <w:spacing w:val="-6"/>
        </w:rPr>
        <w:t>云服务有限公司担任监事；</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10"/>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4"/>
        </w:rPr>
        <w:t>日起在亚逊新网科技有限公司担任监事；</w:t>
      </w:r>
      <w:r>
        <w:rPr>
          <w:rFonts w:ascii="Times New Roman" w:hAnsi="Times New Roman" w:cs="Times New Roman" w:eastAsia="Times New Roman" w:hint="default"/>
          <w:spacing w:val="-4"/>
        </w:rPr>
        <w:t>2002</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月至今在公司人事行政部工作， 任公司人事行政部总监，负责企业人事和行政管理工作，现任公司董事。</w:t>
      </w:r>
    </w:p>
    <w:p>
      <w:pPr>
        <w:pStyle w:val="BodyText"/>
        <w:spacing w:line="300" w:lineRule="auto" w:before="70"/>
        <w:ind w:right="1128" w:firstLine="360"/>
        <w:jc w:val="both"/>
      </w:pPr>
      <w:r>
        <w:rPr/>
        <w:t>刘红女士，中国国籍，有永久境外居留权，</w:t>
      </w:r>
      <w:r>
        <w:rPr>
          <w:rFonts w:ascii="Times New Roman" w:hAnsi="Times New Roman" w:cs="Times New Roman" w:eastAsia="Times New Roman" w:hint="default"/>
        </w:rPr>
        <w:t>1973</w:t>
      </w:r>
      <w:r>
        <w:rPr>
          <w:rFonts w:ascii="Times New Roman" w:hAnsi="Times New Roman" w:cs="Times New Roman" w:eastAsia="Times New Roman" w:hint="default"/>
          <w:spacing w:val="-4"/>
        </w:rPr>
        <w:t> </w:t>
      </w:r>
      <w:r>
        <w:rPr>
          <w:spacing w:val="-3"/>
        </w:rPr>
        <w:t>年出生，汉族，北京大学</w:t>
      </w:r>
      <w:r>
        <w:rPr>
          <w:spacing w:val="-51"/>
        </w:rPr>
        <w:t> </w:t>
      </w:r>
      <w:r>
        <w:rPr>
          <w:rFonts w:ascii="Times New Roman" w:hAnsi="Times New Roman" w:cs="Times New Roman" w:eastAsia="Times New Roman" w:hint="default"/>
        </w:rPr>
        <w:t>EMBA</w:t>
      </w:r>
      <w:r>
        <w:rPr>
          <w:rFonts w:ascii="Times New Roman" w:hAnsi="Times New Roman" w:cs="Times New Roman" w:eastAsia="Times New Roman" w:hint="default"/>
          <w:spacing w:val="-9"/>
        </w:rPr>
        <w:t> </w:t>
      </w:r>
      <w:r>
        <w:rPr/>
        <w:t>工商管理硕士。</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月至今在北 京金田恒业置业有限公司担任执行董事；</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月至今在北京首信圆方机电设备有限公司担任经理；</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月至今在 北京科信盛彩云计算有限公司担任副董事长；</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月至今在首信圆方（天津）机电设备有限公司担任执行董事。</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月经公司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年度股东大会审议通过，任公司董事。</w:t>
      </w:r>
    </w:p>
    <w:p>
      <w:pPr>
        <w:pStyle w:val="BodyText"/>
        <w:spacing w:line="240" w:lineRule="auto" w:before="53"/>
        <w:ind w:left="513" w:right="1112"/>
        <w:jc w:val="left"/>
      </w:pPr>
      <w:r>
        <w:rPr/>
        <w:t>孔良先生，加拿大国籍，</w:t>
      </w:r>
      <w:r>
        <w:rPr>
          <w:rFonts w:ascii="Times New Roman" w:hAnsi="Times New Roman" w:cs="Times New Roman" w:eastAsia="Times New Roman" w:hint="default"/>
        </w:rPr>
        <w:t>1965</w:t>
      </w:r>
      <w:r>
        <w:rPr>
          <w:rFonts w:ascii="Times New Roman" w:hAnsi="Times New Roman" w:cs="Times New Roman" w:eastAsia="Times New Roman" w:hint="default"/>
          <w:spacing w:val="-1"/>
        </w:rPr>
        <w:t> </w:t>
      </w:r>
      <w:r>
        <w:rPr/>
        <w:t>年出生，汉族，本科毕业于复旦大学，对外经贸大学经济学硕士，荷兰</w:t>
      </w:r>
      <w:r>
        <w:rPr>
          <w:spacing w:val="-45"/>
        </w:rPr>
        <w:t> </w:t>
      </w:r>
      <w:r>
        <w:rPr>
          <w:rFonts w:ascii="Times New Roman" w:hAnsi="Times New Roman" w:cs="Times New Roman" w:eastAsia="Times New Roman" w:hint="default"/>
        </w:rPr>
        <w:t>Nyenrode</w:t>
      </w:r>
      <w:r>
        <w:rPr>
          <w:rFonts w:ascii="Times New Roman" w:hAnsi="Times New Roman" w:cs="Times New Roman" w:eastAsia="Times New Roman" w:hint="default"/>
          <w:spacing w:val="-1"/>
        </w:rPr>
        <w:t> </w:t>
      </w:r>
      <w:r>
        <w:rPr/>
        <w:t>大学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jc w:val="left"/>
      </w:pPr>
      <w:r>
        <w:rPr>
          <w:rFonts w:ascii="Times New Roman" w:hAnsi="Times New Roman" w:cs="Times New Roman" w:eastAsia="Times New Roman" w:hint="default"/>
        </w:rPr>
        <w:t>MBA</w:t>
      </w:r>
      <w:r>
        <w:rPr/>
        <w:t>，北京大学管理学博士。</w:t>
      </w:r>
      <w:r>
        <w:rPr>
          <w:rFonts w:ascii="Times New Roman" w:hAnsi="Times New Roman" w:cs="Times New Roman" w:eastAsia="Times New Roman" w:hint="default"/>
        </w:rPr>
        <w:t>1991</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-1994</w:t>
      </w:r>
      <w:r>
        <w:rPr>
          <w:rFonts w:ascii="Times New Roman" w:hAnsi="Times New Roman" w:cs="Times New Roman" w:eastAsia="Times New Roman" w:hint="default"/>
          <w:spacing w:val="-12"/>
        </w:rPr>
        <w:t> </w:t>
      </w:r>
      <w:r>
        <w:rPr/>
        <w:t>年在中国华润总公司任科员、科长。</w:t>
      </w:r>
      <w:r>
        <w:rPr>
          <w:rFonts w:ascii="Times New Roman" w:hAnsi="Times New Roman" w:cs="Times New Roman" w:eastAsia="Times New Roman" w:hint="default"/>
        </w:rPr>
        <w:t>1996-1997</w:t>
      </w:r>
      <w:r>
        <w:rPr>
          <w:rFonts w:ascii="Times New Roman" w:hAnsi="Times New Roman" w:cs="Times New Roman" w:eastAsia="Times New Roman" w:hint="default"/>
          <w:spacing w:val="-12"/>
        </w:rPr>
        <w:t> </w:t>
      </w:r>
      <w:r>
        <w:rPr/>
        <w:t>年在荷兰</w:t>
      </w:r>
      <w:r>
        <w:rPr>
          <w:spacing w:val="-57"/>
        </w:rPr>
        <w:t> </w:t>
      </w:r>
      <w:r>
        <w:rPr>
          <w:rFonts w:ascii="Times New Roman" w:hAnsi="Times New Roman" w:cs="Times New Roman" w:eastAsia="Times New Roman" w:hint="default"/>
        </w:rPr>
        <w:t>van</w:t>
      </w:r>
      <w:r>
        <w:rPr>
          <w:rFonts w:ascii="Times New Roman" w:hAnsi="Times New Roman" w:cs="Times New Roman" w:eastAsia="Times New Roman" w:hint="default"/>
          <w:spacing w:val="-12"/>
        </w:rPr>
        <w:t> </w:t>
      </w:r>
      <w:r>
        <w:rPr>
          <w:rFonts w:ascii="Times New Roman" w:hAnsi="Times New Roman" w:cs="Times New Roman" w:eastAsia="Times New Roman" w:hint="default"/>
        </w:rPr>
        <w:t>Ommeren</w:t>
      </w:r>
      <w:r>
        <w:rPr>
          <w:rFonts w:ascii="Times New Roman" w:hAnsi="Times New Roman" w:cs="Times New Roman" w:eastAsia="Times New Roman" w:hint="default"/>
          <w:spacing w:val="-12"/>
        </w:rPr>
        <w:t> </w:t>
      </w:r>
      <w:r>
        <w:rPr/>
        <w:t>公司任管 培生，</w:t>
      </w:r>
      <w:r>
        <w:rPr>
          <w:rFonts w:ascii="Times New Roman" w:hAnsi="Times New Roman" w:cs="Times New Roman" w:eastAsia="Times New Roman" w:hint="default"/>
        </w:rPr>
        <w:t>1997-2000 </w:t>
      </w:r>
      <w:r>
        <w:rPr/>
        <w:t>在加拿大拉萨尔学院任国际合作主任，</w:t>
      </w:r>
      <w:r>
        <w:rPr>
          <w:rFonts w:ascii="Times New Roman" w:hAnsi="Times New Roman" w:cs="Times New Roman" w:eastAsia="Times New Roman" w:hint="default"/>
        </w:rPr>
        <w:t>2001 </w:t>
      </w:r>
      <w:r>
        <w:rPr/>
        <w:t>年在新华信管理咨询公司任咨询顾问，</w:t>
      </w:r>
      <w:r>
        <w:rPr>
          <w:rFonts w:ascii="Times New Roman" w:hAnsi="Times New Roman" w:cs="Times New Roman" w:eastAsia="Times New Roman" w:hint="default"/>
        </w:rPr>
        <w:t>2002 </w:t>
      </w:r>
      <w:r>
        <w:rPr/>
        <w:t>到现在担任北京 科技大学</w:t>
      </w:r>
      <w:r>
        <w:rPr>
          <w:rFonts w:ascii="Times New Roman" w:hAnsi="Times New Roman" w:cs="Times New Roman" w:eastAsia="Times New Roman" w:hint="default"/>
        </w:rPr>
        <w:t>-</w:t>
      </w:r>
      <w:r>
        <w:rPr/>
        <w:t>美国德克萨斯大学阿灵顿分校合作</w:t>
      </w:r>
      <w:r>
        <w:rPr>
          <w:spacing w:val="-42"/>
        </w:rPr>
        <w:t> </w:t>
      </w:r>
      <w:r>
        <w:rPr>
          <w:rFonts w:ascii="Times New Roman" w:hAnsi="Times New Roman" w:cs="Times New Roman" w:eastAsia="Times New Roman" w:hint="default"/>
        </w:rPr>
        <w:t>EMBA</w:t>
      </w:r>
      <w:r>
        <w:rPr>
          <w:rFonts w:ascii="Times New Roman" w:hAnsi="Times New Roman" w:cs="Times New Roman" w:eastAsia="Times New Roman" w:hint="default"/>
          <w:spacing w:val="-2"/>
        </w:rPr>
        <w:t> </w:t>
      </w:r>
      <w:r>
        <w:rPr>
          <w:spacing w:val="-3"/>
        </w:rPr>
        <w:t>主任。</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3"/>
        </w:rPr>
        <w:t>月至今，任中国三江精细化工有限公司（香港主板）独</w:t>
      </w:r>
      <w:r>
        <w:rPr/>
        <w:t> 立非执行董事、审计委员会及薪酬委员会成员。</w:t>
      </w: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5 </w:t>
      </w:r>
      <w:r>
        <w:rPr/>
        <w:t>月经公司</w:t>
      </w:r>
      <w:r>
        <w:rPr>
          <w:spacing w:val="-46"/>
        </w:rPr>
        <w:t> </w:t>
      </w:r>
      <w:r>
        <w:rPr>
          <w:rFonts w:ascii="Times New Roman" w:hAnsi="Times New Roman" w:cs="Times New Roman" w:eastAsia="Times New Roman" w:hint="default"/>
        </w:rPr>
        <w:t>2018 </w:t>
      </w:r>
      <w:r>
        <w:rPr/>
        <w:t>年度股东大会审议通过，任公司独立董事。</w:t>
      </w:r>
    </w:p>
    <w:p>
      <w:pPr>
        <w:pStyle w:val="BodyText"/>
        <w:spacing w:line="300" w:lineRule="auto" w:before="53"/>
        <w:ind w:right="1126" w:firstLine="360"/>
        <w:jc w:val="both"/>
      </w:pPr>
      <w:r>
        <w:rPr/>
        <w:t>侯成训先生，中国国籍，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20"/>
        </w:rPr>
        <w:t> </w:t>
      </w:r>
      <w:r>
        <w:rPr/>
        <w:t>年出生，汉族，毕业于中国政法大学，本科学历，副教授。</w:t>
      </w:r>
      <w:r>
        <w:rPr>
          <w:rFonts w:ascii="Times New Roman" w:hAnsi="Times New Roman" w:cs="Times New Roman" w:eastAsia="Times New Roman" w:hint="default"/>
        </w:rPr>
        <w:t>1986</w:t>
      </w:r>
      <w:r>
        <w:rPr>
          <w:rFonts w:ascii="Times New Roman" w:hAnsi="Times New Roman" w:cs="Times New Roman" w:eastAsia="Times New Roman" w:hint="default"/>
          <w:spacing w:val="-19"/>
        </w:rPr>
        <w:t> </w:t>
      </w:r>
      <w:r>
        <w:rPr/>
        <w:t>年至</w:t>
      </w:r>
      <w:r>
        <w:rPr>
          <w:spacing w:val="-6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9"/>
        </w:rPr>
        <w:t> </w:t>
      </w:r>
      <w:r>
        <w:rPr/>
        <w:t>年，在石油化 工管理干部学院从事教学和科研工作，</w:t>
      </w:r>
      <w:r>
        <w:rPr>
          <w:rFonts w:ascii="Times New Roman" w:hAnsi="Times New Roman" w:cs="Times New Roman" w:eastAsia="Times New Roman" w:hint="default"/>
        </w:rPr>
        <w:t>2000 </w:t>
      </w:r>
      <w:r>
        <w:rPr/>
        <w:t>年至今，先后在北京市观韬律师事务所、北京市乾坤律师事务所工作，现任北 京市中永律师事务所高级合伙人。</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月起担任公司独立董事。</w:t>
      </w:r>
    </w:p>
    <w:p>
      <w:pPr>
        <w:pStyle w:val="BodyText"/>
        <w:spacing w:line="312" w:lineRule="auto" w:before="51"/>
        <w:ind w:right="1034" w:firstLine="360"/>
        <w:jc w:val="left"/>
      </w:pPr>
      <w:r>
        <w:rPr/>
        <w:t>郭莉莉女士，中国国籍，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1"/>
        </w:rPr>
        <w:t> </w:t>
      </w:r>
      <w:r>
        <w:rPr/>
        <w:t>年出生，无境外永久居留权，大学学历，注册会计师。曾任沈飞工学院教师，岳华会计 </w:t>
      </w:r>
      <w:r>
        <w:rPr>
          <w:spacing w:val="-2"/>
        </w:rPr>
        <w:t>师事务所项目经理、部门经理、总经理助理、副主任会计、合伙人，福建榕基软件开发股份有限公司董事、财务总监，中磊</w:t>
      </w:r>
      <w:r>
        <w:rPr>
          <w:spacing w:val="-73"/>
        </w:rPr>
        <w:t> </w:t>
      </w:r>
      <w:r>
        <w:rPr>
          <w:spacing w:val="-73"/>
        </w:rPr>
      </w:r>
      <w:r>
        <w:rPr/>
        <w:t>会计师事务所有限公司副主任会计师。现任大信会计师事务所（特殊普通合伙）合伙人，科迈化工股份有限公司独立董事，</w:t>
      </w:r>
      <w:r>
        <w:rPr>
          <w:spacing w:val="-86"/>
        </w:rPr>
        <w:t> </w:t>
      </w:r>
      <w:r>
        <w:rPr>
          <w:spacing w:val="-86"/>
        </w:rPr>
      </w:r>
      <w:r>
        <w:rPr/>
        <w:t>保定乐凯新材料股份有限公司独立董事。</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月起担任公司独立董事。</w:t>
      </w:r>
    </w:p>
    <w:p>
      <w:pPr>
        <w:pStyle w:val="BodyText"/>
        <w:spacing w:line="240" w:lineRule="auto" w:before="44"/>
        <w:ind w:left="513" w:right="3827"/>
        <w:jc w:val="left"/>
      </w:pPr>
      <w:r>
        <w:rPr>
          <w:rFonts w:ascii="Times New Roman" w:hAnsi="Times New Roman" w:cs="Times New Roman" w:eastAsia="Times New Roman" w:hint="default"/>
        </w:rPr>
        <w:t>2</w:t>
      </w:r>
      <w:r>
        <w:rPr/>
        <w:t>、公司现任监事任职情况</w:t>
      </w:r>
    </w:p>
    <w:p>
      <w:pPr>
        <w:pStyle w:val="BodyText"/>
        <w:spacing w:line="240" w:lineRule="auto" w:before="104"/>
        <w:ind w:left="513" w:right="986"/>
        <w:jc w:val="left"/>
      </w:pPr>
      <w:r>
        <w:rPr/>
        <w:t>王军辉先生，中国国籍，</w:t>
      </w:r>
      <w:r>
        <w:rPr>
          <w:rFonts w:ascii="Times New Roman" w:hAnsi="Times New Roman" w:cs="Times New Roman" w:eastAsia="Times New Roman" w:hint="default"/>
        </w:rPr>
        <w:t>1984</w:t>
      </w:r>
      <w:r>
        <w:rPr>
          <w:rFonts w:ascii="Times New Roman" w:hAnsi="Times New Roman" w:cs="Times New Roman" w:eastAsia="Times New Roman" w:hint="default"/>
          <w:spacing w:val="-1"/>
        </w:rPr>
        <w:t> </w:t>
      </w:r>
      <w:r>
        <w:rPr/>
        <w:t>年出生，汉族，毕业于北京师范大学，硕士学位。</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10 </w:t>
      </w:r>
      <w:r>
        <w:rPr/>
        <w:t>月至</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月在北京法</w:t>
      </w:r>
    </w:p>
    <w:p>
      <w:pPr>
        <w:pStyle w:val="BodyText"/>
        <w:spacing w:line="240" w:lineRule="auto" w:before="63"/>
        <w:ind w:right="986"/>
        <w:jc w:val="left"/>
      </w:pPr>
      <w:r>
        <w:rPr>
          <w:spacing w:val="-3"/>
        </w:rPr>
        <w:t>意科技有限公司担任法律编辑；</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月至</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月在北京市勤道律师事务所担任律师助理；</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月至今在光环</w:t>
      </w:r>
    </w:p>
    <w:p>
      <w:pPr>
        <w:pStyle w:val="BodyText"/>
        <w:spacing w:line="240" w:lineRule="auto" w:before="63"/>
        <w:ind w:right="986"/>
        <w:jc w:val="left"/>
      </w:pPr>
      <w:r>
        <w:rPr>
          <w:spacing w:val="-3"/>
        </w:rPr>
        <w:t>有云（北京）网络服务有限公司担任董事；</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月至今在光环传媒股份有限公司担任监事；</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日至今担任</w:t>
      </w:r>
    </w:p>
    <w:p>
      <w:pPr>
        <w:pStyle w:val="BodyText"/>
        <w:spacing w:line="300" w:lineRule="auto" w:before="63"/>
        <w:ind w:right="1129"/>
        <w:jc w:val="left"/>
      </w:pPr>
      <w:r>
        <w:rPr>
          <w:spacing w:val="-3"/>
        </w:rPr>
        <w:t>光环云数据有限公司董事；</w:t>
      </w:r>
      <w:r>
        <w:rPr>
          <w:rFonts w:ascii="Times New Roman" w:hAnsi="Times New Roman" w:cs="Times New Roman" w:eastAsia="Times New Roman" w:hint="default"/>
          <w:spacing w:val="-3"/>
        </w:rPr>
        <w:t>2018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日至今北京弘丰科华科技发展有限公司担任监事；</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日起担任北京 光环金网科技有限公司监事；</w:t>
      </w:r>
      <w:r>
        <w:rPr>
          <w:rFonts w:ascii="Times New Roman" w:hAnsi="Times New Roman" w:cs="Times New Roman" w:eastAsia="Times New Roman" w:hint="default"/>
        </w:rPr>
        <w:t>2012 </w:t>
      </w:r>
      <w:r>
        <w:rPr/>
        <w:t>年</w:t>
      </w:r>
      <w:r>
        <w:rPr>
          <w:spacing w:val="-48"/>
        </w:rPr>
        <w:t> </w:t>
      </w:r>
      <w:r>
        <w:rPr>
          <w:rFonts w:ascii="Times New Roman" w:hAnsi="Times New Roman" w:cs="Times New Roman" w:eastAsia="Times New Roman" w:hint="default"/>
        </w:rPr>
        <w:t>7 </w:t>
      </w:r>
      <w:r>
        <w:rPr/>
        <w:t>月至今在公司工作，现任总裁助理、公司监事会主席。</w:t>
      </w:r>
    </w:p>
    <w:p>
      <w:pPr>
        <w:pStyle w:val="BodyText"/>
        <w:spacing w:line="240" w:lineRule="auto" w:before="51"/>
        <w:ind w:left="513" w:right="1112"/>
        <w:jc w:val="left"/>
        <w:rPr>
          <w:rFonts w:ascii="Times New Roman" w:hAnsi="Times New Roman" w:cs="Times New Roman" w:eastAsia="Times New Roman" w:hint="default"/>
        </w:rPr>
      </w:pPr>
      <w:r>
        <w:rPr/>
        <w:t>李超女士，中国国籍，</w:t>
      </w:r>
      <w:r>
        <w:rPr>
          <w:rFonts w:ascii="Times New Roman" w:hAnsi="Times New Roman" w:cs="Times New Roman" w:eastAsia="Times New Roman" w:hint="default"/>
        </w:rPr>
        <w:t>1977</w:t>
      </w:r>
      <w:r>
        <w:rPr>
          <w:rFonts w:ascii="Times New Roman" w:hAnsi="Times New Roman" w:cs="Times New Roman" w:eastAsia="Times New Roman" w:hint="default"/>
          <w:spacing w:val="1"/>
        </w:rPr>
        <w:t> </w:t>
      </w:r>
      <w:r>
        <w:rPr/>
        <w:t>年出生，汉族，毕业于中国民用航空大学，本科学历，助理工程师。</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月至</w:t>
      </w:r>
      <w:r>
        <w:rPr>
          <w:spacing w:val="-48"/>
        </w:rPr>
        <w:t> </w:t>
      </w:r>
      <w:r>
        <w:rPr>
          <w:rFonts w:ascii="Times New Roman" w:hAnsi="Times New Roman" w:cs="Times New Roman" w:eastAsia="Times New Roman" w:hint="default"/>
        </w:rPr>
        <w:t>2000</w:t>
      </w:r>
    </w:p>
    <w:p>
      <w:pPr>
        <w:pStyle w:val="BodyText"/>
        <w:spacing w:line="340" w:lineRule="auto" w:before="63"/>
        <w:ind w:left="513" w:right="1121" w:hanging="361"/>
        <w:jc w:val="left"/>
      </w:pPr>
      <w:r>
        <w:rPr/>
        <w:t>年</w:t>
      </w:r>
      <w:r>
        <w:rPr>
          <w:spacing w:val="-45"/>
        </w:rPr>
        <w:t> </w:t>
      </w:r>
      <w:r>
        <w:rPr>
          <w:rFonts w:ascii="Times New Roman" w:hAnsi="Times New Roman" w:cs="Times New Roman" w:eastAsia="Times New Roman" w:hint="default"/>
        </w:rPr>
        <w:t>10 </w:t>
      </w:r>
      <w:r>
        <w:rPr/>
        <w:t>月在北京市政公司第二分公司任测量员；</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月至今在公司工作，现任公司运营管理中心总监、公司监事。 </w:t>
      </w:r>
      <w:r>
        <w:rPr>
          <w:spacing w:val="-3"/>
        </w:rPr>
        <w:t>郭晓玉，中国国籍，汉族，</w:t>
      </w:r>
      <w:r>
        <w:rPr>
          <w:rFonts w:ascii="Times New Roman" w:hAnsi="Times New Roman" w:cs="Times New Roman" w:eastAsia="Times New Roman" w:hint="default"/>
          <w:spacing w:val="-3"/>
        </w:rPr>
        <w:t>1976 </w:t>
      </w:r>
      <w:r>
        <w:rPr>
          <w:spacing w:val="-3"/>
        </w:rPr>
        <w:t>年出生，大专学历，中级会计师。</w:t>
      </w:r>
      <w:r>
        <w:rPr>
          <w:rFonts w:ascii="Times New Roman" w:hAnsi="Times New Roman" w:cs="Times New Roman" w:eastAsia="Times New Roman" w:hint="default"/>
          <w:spacing w:val="-3"/>
        </w:rPr>
        <w:t>1998 </w:t>
      </w:r>
      <w:r>
        <w:rPr/>
        <w:t>年至 </w:t>
      </w:r>
      <w:r>
        <w:rPr>
          <w:rFonts w:ascii="Times New Roman" w:hAnsi="Times New Roman" w:cs="Times New Roman" w:eastAsia="Times New Roman" w:hint="default"/>
        </w:rPr>
        <w:t>2003</w:t>
      </w:r>
      <w:r>
        <w:rPr>
          <w:rFonts w:ascii="Times New Roman" w:hAnsi="Times New Roman" w:cs="Times New Roman" w:eastAsia="Times New Roman" w:hint="default"/>
          <w:spacing w:val="-22"/>
        </w:rPr>
        <w:t> </w:t>
      </w:r>
      <w:r>
        <w:rPr/>
        <w:t>年就职于北京美洲大厦房地产开发有</w:t>
      </w:r>
    </w:p>
    <w:p>
      <w:pPr>
        <w:pStyle w:val="BodyText"/>
        <w:spacing w:line="228" w:lineRule="exact"/>
        <w:ind w:right="3827"/>
        <w:jc w:val="left"/>
      </w:pPr>
      <w:r>
        <w:rPr/>
        <w:t>限公司，</w:t>
      </w:r>
      <w:r>
        <w:rPr>
          <w:rFonts w:ascii="Times New Roman" w:hAnsi="Times New Roman" w:cs="Times New Roman" w:eastAsia="Times New Roman" w:hint="default"/>
        </w:rPr>
        <w:t>2003 </w:t>
      </w:r>
      <w:r>
        <w:rPr/>
        <w:t>年</w:t>
      </w:r>
      <w:r>
        <w:rPr>
          <w:spacing w:val="-48"/>
        </w:rPr>
        <w:t> </w:t>
      </w:r>
      <w:r>
        <w:rPr>
          <w:rFonts w:ascii="Times New Roman" w:hAnsi="Times New Roman" w:cs="Times New Roman" w:eastAsia="Times New Roman" w:hint="default"/>
        </w:rPr>
        <w:t>3 </w:t>
      </w:r>
      <w:r>
        <w:rPr/>
        <w:t>月至今在公司财务管理部工作，现任公司监事。</w:t>
      </w:r>
    </w:p>
    <w:p>
      <w:pPr>
        <w:pStyle w:val="BodyText"/>
        <w:spacing w:line="338" w:lineRule="auto" w:before="103"/>
        <w:ind w:left="513" w:right="5013"/>
        <w:jc w:val="left"/>
      </w:pPr>
      <w:r>
        <w:rPr>
          <w:rFonts w:ascii="Times New Roman" w:hAnsi="Times New Roman" w:cs="Times New Roman" w:eastAsia="Times New Roman" w:hint="default"/>
        </w:rPr>
        <w:t>3</w:t>
      </w:r>
      <w:r>
        <w:rPr/>
        <w:t>、公司现任高级管理人员任职情况 杨宇航先生，现任公司总裁，请参见本节</w:t>
      </w:r>
      <w:r>
        <w:rPr>
          <w:rFonts w:ascii="Times New Roman" w:hAnsi="Times New Roman" w:cs="Times New Roman" w:eastAsia="Times New Roman" w:hint="default"/>
        </w:rPr>
        <w:t>“</w:t>
      </w:r>
      <w:r>
        <w:rPr/>
        <w:t>现任公司董事任职情况</w:t>
      </w:r>
      <w:r>
        <w:rPr>
          <w:rFonts w:ascii="Times New Roman" w:hAnsi="Times New Roman" w:cs="Times New Roman" w:eastAsia="Times New Roman" w:hint="default"/>
        </w:rPr>
        <w:t>”</w:t>
      </w:r>
      <w:r>
        <w:rPr/>
        <w:t>。</w:t>
      </w:r>
    </w:p>
    <w:p>
      <w:pPr>
        <w:pStyle w:val="BodyText"/>
        <w:spacing w:line="240" w:lineRule="auto" w:before="22"/>
        <w:ind w:left="513" w:right="986"/>
        <w:jc w:val="left"/>
      </w:pPr>
      <w:r>
        <w:rPr/>
        <w:t>侯焰女士，中国国籍，无永久境外居留权，</w:t>
      </w:r>
      <w:r>
        <w:rPr>
          <w:rFonts w:ascii="Times New Roman" w:hAnsi="Times New Roman" w:cs="Times New Roman" w:eastAsia="Times New Roman" w:hint="default"/>
        </w:rPr>
        <w:t>1966</w:t>
      </w:r>
      <w:r>
        <w:rPr>
          <w:rFonts w:ascii="Times New Roman" w:hAnsi="Times New Roman" w:cs="Times New Roman" w:eastAsia="Times New Roman" w:hint="default"/>
          <w:spacing w:val="1"/>
        </w:rPr>
        <w:t> </w:t>
      </w:r>
      <w:r>
        <w:rPr/>
        <w:t>年出生，汉族，硕士学历。</w:t>
      </w:r>
      <w:r>
        <w:rPr>
          <w:rFonts w:ascii="Times New Roman" w:hAnsi="Times New Roman" w:cs="Times New Roman" w:eastAsia="Times New Roman" w:hint="default"/>
        </w:rPr>
        <w:t>1992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月至</w:t>
      </w:r>
      <w:r>
        <w:rPr>
          <w:spacing w:val="-48"/>
        </w:rPr>
        <w:t> </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月在中国科技情</w:t>
      </w:r>
    </w:p>
    <w:p>
      <w:pPr>
        <w:pStyle w:val="BodyText"/>
        <w:spacing w:line="300" w:lineRule="auto" w:before="63"/>
        <w:ind w:right="1132"/>
        <w:jc w:val="both"/>
      </w:pPr>
      <w:r>
        <w:rPr/>
        <w:t>报研究所国家科委成果管理办公室工作；</w:t>
      </w:r>
      <w:r>
        <w:rPr>
          <w:rFonts w:ascii="Times New Roman" w:hAnsi="Times New Roman" w:cs="Times New Roman" w:eastAsia="Times New Roman" w:hint="default"/>
        </w:rPr>
        <w:t>1996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月至</w:t>
      </w:r>
      <w:r>
        <w:rPr>
          <w:spacing w:val="-48"/>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月在中国新兴进出口总公司工作；</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月至</w:t>
      </w:r>
      <w:r>
        <w:rPr>
          <w:spacing w:val="-46"/>
        </w:rPr>
        <w:t> </w:t>
      </w:r>
      <w:r>
        <w:rPr>
          <w:rFonts w:ascii="Times New Roman" w:hAnsi="Times New Roman" w:cs="Times New Roman" w:eastAsia="Times New Roman" w:hint="default"/>
        </w:rPr>
        <w:t>2000 </w:t>
      </w:r>
      <w:r>
        <w:rPr/>
        <w:t>年</w:t>
      </w:r>
      <w:r>
        <w:rPr>
          <w:spacing w:val="-45"/>
        </w:rPr>
        <w:t> </w:t>
      </w:r>
      <w:r>
        <w:rPr>
          <w:rFonts w:ascii="Times New Roman" w:hAnsi="Times New Roman" w:cs="Times New Roman" w:eastAsia="Times New Roman" w:hint="default"/>
        </w:rPr>
        <w:t>10 </w:t>
      </w:r>
      <w:r>
        <w:rPr/>
        <w:t>月在北京九瑞科技有限公司任渠道和市场部经理；</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月至今在光环云谷科技有限公司担任副总经理；</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月到</w:t>
      </w:r>
      <w:r>
        <w:rPr>
          <w:spacing w:val="-53"/>
        </w:rPr>
        <w:t> </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3"/>
        </w:rPr>
        <w:t>月在公司任总经理助理，</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月至今任公司副总裁，负责企业采购管理、人事行政管理和合同管理等 工作。</w:t>
      </w:r>
    </w:p>
    <w:p>
      <w:pPr>
        <w:pStyle w:val="BodyText"/>
        <w:spacing w:line="300" w:lineRule="auto" w:before="72"/>
        <w:ind w:right="1131" w:firstLine="360"/>
        <w:jc w:val="both"/>
      </w:pPr>
      <w:r>
        <w:rPr/>
        <w:t>陈浩先生，中国国籍，无永久境外居留权，</w:t>
      </w:r>
      <w:r>
        <w:rPr>
          <w:rFonts w:ascii="Times New Roman" w:hAnsi="Times New Roman" w:cs="Times New Roman" w:eastAsia="Times New Roman" w:hint="default"/>
        </w:rPr>
        <w:t>1970</w:t>
      </w:r>
      <w:r>
        <w:rPr>
          <w:rFonts w:ascii="Times New Roman" w:hAnsi="Times New Roman" w:cs="Times New Roman" w:eastAsia="Times New Roman" w:hint="default"/>
          <w:spacing w:val="1"/>
        </w:rPr>
        <w:t> </w:t>
      </w:r>
      <w:r>
        <w:rPr/>
        <w:t>年出生，汉族，本科学历，高级工程师。</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月至</w:t>
      </w:r>
      <w:r>
        <w:rPr>
          <w:spacing w:val="-4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 在中信机电公司任总体室工程师；</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月至今在光环云谷科技有限公司担任副总经理；</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t>月至今在西安博凯创 达数字科技有限公司担任监事；</w:t>
      </w:r>
      <w:r>
        <w:rPr>
          <w:rFonts w:ascii="Times New Roman" w:hAnsi="Times New Roman" w:cs="Times New Roman" w:eastAsia="Times New Roman" w:hint="default"/>
        </w:rPr>
        <w:t>1999</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月至今在公司技术部门工作，现任公司副总裁，负责工程建设等相关技术管理工 作。</w:t>
      </w:r>
    </w:p>
    <w:p>
      <w:pPr>
        <w:pStyle w:val="BodyText"/>
        <w:spacing w:line="300" w:lineRule="auto" w:before="70"/>
        <w:ind w:right="1127" w:firstLine="360"/>
        <w:jc w:val="both"/>
      </w:pPr>
      <w:r>
        <w:rPr/>
        <w:t>耿岩先生，</w:t>
      </w:r>
      <w:r>
        <w:rPr>
          <w:rFonts w:ascii="Times New Roman" w:hAnsi="Times New Roman" w:cs="Times New Roman" w:eastAsia="Times New Roman" w:hint="default"/>
        </w:rPr>
        <w:t>1980 </w:t>
      </w:r>
      <w:r>
        <w:rPr/>
        <w:t>年出生，中国国籍，无永久境外居留权，汉族，毕业于中国人民大学商学院，高级管理人员工商管理 硕士（</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月担任北京光环恒通数字技术有限公司董事长兼总经理；</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月至今担任光 环云谷科技有限公司执行董事；</w:t>
      </w:r>
      <w:r>
        <w:rPr>
          <w:rFonts w:ascii="Times New Roman" w:hAnsi="Times New Roman" w:cs="Times New Roman" w:eastAsia="Times New Roman" w:hint="default"/>
        </w:rPr>
        <w:t>2008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月至今担任西安博凯创达数字科技有限公司执行董事兼总经理；</w:t>
      </w:r>
      <w:r>
        <w:rPr>
          <w:rFonts w:ascii="Times New Roman" w:hAnsi="Times New Roman" w:cs="Times New Roman" w:eastAsia="Times New Roman" w:hint="default"/>
        </w:rPr>
        <w:t>2010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 今担任北京瑞科新网科技有限公司执行董事兼总经理；</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4"/>
        </w:rPr>
        <w:t>月至今担任光环有云（北京）网络服务有限公司董事；</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1 </w:t>
      </w:r>
      <w:r>
        <w:rPr/>
        <w:t>月至今担任光环新网（宁夏）云服务有限公司董事；</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月至今在公司市场部工作，现任公司副总裁，全面负责 公司各项业务的销售和管理工作。</w:t>
      </w:r>
    </w:p>
    <w:p>
      <w:pPr>
        <w:pStyle w:val="BodyText"/>
        <w:spacing w:line="240" w:lineRule="auto" w:before="72"/>
        <w:ind w:left="513" w:right="986"/>
        <w:jc w:val="left"/>
      </w:pPr>
      <w:r>
        <w:rPr/>
        <w:t>高宏女士，中国国籍，无永久境外居留权，</w:t>
      </w:r>
      <w:r>
        <w:rPr>
          <w:rFonts w:ascii="Times New Roman" w:hAnsi="Times New Roman" w:cs="Times New Roman" w:eastAsia="Times New Roman" w:hint="default"/>
        </w:rPr>
        <w:t>1970</w:t>
      </w:r>
      <w:r>
        <w:rPr>
          <w:rFonts w:ascii="Times New Roman" w:hAnsi="Times New Roman" w:cs="Times New Roman" w:eastAsia="Times New Roman" w:hint="default"/>
          <w:spacing w:val="-8"/>
        </w:rPr>
        <w:t> </w:t>
      </w:r>
      <w:r>
        <w:rPr/>
        <w:t>年出生，汉族，高级管理人员工商管理硕士（</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月至</w:t>
      </w:r>
    </w:p>
    <w:p>
      <w:pPr>
        <w:pStyle w:val="BodyText"/>
        <w:spacing w:line="240" w:lineRule="auto" w:before="63"/>
        <w:ind w:right="986"/>
        <w:jc w:val="left"/>
        <w:rPr>
          <w:rFonts w:ascii="Times New Roman" w:hAnsi="Times New Roman" w:cs="Times New Roman" w:eastAsia="Times New Roman" w:hint="default"/>
        </w:rPr>
      </w:pP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6"/>
        </w:rPr>
        <w:t>月，在北京天伦王朝饭店任高级销售经理；</w:t>
      </w:r>
      <w:r>
        <w:rPr>
          <w:rFonts w:ascii="Times New Roman" w:hAnsi="Times New Roman" w:cs="Times New Roman" w:eastAsia="Times New Roman" w:hint="default"/>
          <w:spacing w:val="-6"/>
        </w:rPr>
        <w:t>1998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w:t>
      </w:r>
      <w:r>
        <w:rPr>
          <w:spacing w:val="-4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6"/>
        </w:rPr>
        <w:t>月，在盛世长城国际广告任业务拓展经理；</w:t>
      </w:r>
      <w:r>
        <w:rPr>
          <w:rFonts w:ascii="Times New Roman" w:hAnsi="Times New Roman" w:cs="Times New Roman" w:eastAsia="Times New Roman" w:hint="default"/>
          <w:spacing w:val="-6"/>
        </w:rPr>
        <w:t>2005</w:t>
      </w:r>
    </w:p>
    <w:p>
      <w:pPr>
        <w:pStyle w:val="BodyText"/>
        <w:spacing w:line="240" w:lineRule="auto" w:before="63"/>
        <w:ind w:right="986"/>
        <w:jc w:val="left"/>
      </w:pP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月至</w:t>
      </w:r>
      <w:r>
        <w:rPr>
          <w:spacing w:val="-59"/>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月在北京</w:t>
      </w:r>
      <w:r>
        <w:rPr>
          <w:spacing w:val="-3"/>
        </w:rPr>
        <w:t>光</w:t>
      </w:r>
      <w:r>
        <w:rPr/>
        <w:t>环恒通数字技术有限公司担任董事</w:t>
      </w:r>
      <w:r>
        <w:rPr>
          <w:spacing w:val="-9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月至今在光环</w:t>
      </w:r>
      <w:r>
        <w:rPr>
          <w:spacing w:val="-3"/>
        </w:rPr>
        <w:t>云</w:t>
      </w:r>
      <w:r>
        <w:rPr/>
        <w:t>谷科技有限公司担任副总经理；</w:t>
      </w:r>
    </w:p>
    <w:p>
      <w:pPr>
        <w:pStyle w:val="BodyText"/>
        <w:spacing w:line="300" w:lineRule="auto" w:before="62"/>
        <w:ind w:right="1122"/>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月至今在北京中金云网科技有限公司担任董事；</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月至今在北京无双科技有限公司担任董事；</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 至今在公司工作，现任公司副总裁兼任公司董事会秘书。</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2" w:firstLine="360"/>
        <w:jc w:val="left"/>
      </w:pPr>
      <w:r>
        <w:rPr/>
        <w:t>张利军先生，中国国籍，无永久境外居留权，</w:t>
      </w:r>
      <w:r>
        <w:rPr>
          <w:rFonts w:ascii="Times New Roman" w:hAnsi="Times New Roman" w:cs="Times New Roman" w:eastAsia="Times New Roman" w:hint="default"/>
        </w:rPr>
        <w:t>1979</w:t>
      </w:r>
      <w:r>
        <w:rPr>
          <w:rFonts w:ascii="Times New Roman" w:hAnsi="Times New Roman" w:cs="Times New Roman" w:eastAsia="Times New Roman" w:hint="default"/>
          <w:spacing w:val="-3"/>
        </w:rPr>
        <w:t> </w:t>
      </w:r>
      <w:r>
        <w:rPr/>
        <w:t>年出生，汉族，高级管理人员工商管理硕士（</w:t>
      </w:r>
      <w:r>
        <w:rPr>
          <w:rFonts w:ascii="Times New Roman" w:hAnsi="Times New Roman" w:cs="Times New Roman" w:eastAsia="Times New Roman" w:hint="default"/>
        </w:rPr>
        <w:t>EMBA)</w:t>
      </w:r>
      <w:r>
        <w:rPr/>
        <w:t>，中国注册会 计师、中国注册税务师、中国注册评估师、高级会计师、高级国际财务管理师。</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4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月在河北省肥乡</w:t>
      </w:r>
    </w:p>
    <w:p>
      <w:pPr>
        <w:pStyle w:val="BodyText"/>
        <w:spacing w:line="240" w:lineRule="auto" w:before="13"/>
        <w:ind w:right="1112"/>
        <w:jc w:val="left"/>
      </w:pPr>
      <w:r>
        <w:rPr/>
        <w:t>县屯庄营乡政府工作，历任团委书记、农经站长、统计站长等职务；</w:t>
      </w:r>
      <w:r>
        <w:rPr>
          <w:rFonts w:ascii="Times New Roman" w:hAnsi="Times New Roman" w:cs="Times New Roman" w:eastAsia="Times New Roman" w:hint="default"/>
        </w:rPr>
        <w:t>2004 </w:t>
      </w:r>
      <w:r>
        <w:rPr/>
        <w:t>年</w:t>
      </w:r>
      <w:r>
        <w:rPr>
          <w:spacing w:val="-48"/>
        </w:rPr>
        <w:t> </w:t>
      </w:r>
      <w:r>
        <w:rPr>
          <w:rFonts w:ascii="Times New Roman" w:hAnsi="Times New Roman" w:cs="Times New Roman" w:eastAsia="Times New Roman" w:hint="default"/>
        </w:rPr>
        <w:t>12 </w:t>
      </w:r>
      <w:r>
        <w:rPr/>
        <w:t>月至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 </w:t>
      </w:r>
      <w:r>
        <w:rPr/>
        <w:t>月就职于中磊会计师事务所</w:t>
      </w:r>
    </w:p>
    <w:p>
      <w:pPr>
        <w:pStyle w:val="BodyText"/>
        <w:spacing w:line="240" w:lineRule="auto" w:before="63"/>
        <w:ind w:right="1112"/>
        <w:jc w:val="left"/>
        <w:rPr>
          <w:rFonts w:ascii="Times New Roman" w:hAnsi="Times New Roman" w:cs="Times New Roman" w:eastAsia="Times New Roman" w:hint="default"/>
        </w:rPr>
      </w:pPr>
      <w:r>
        <w:rPr/>
        <w:t>北京分所，任项目经理；</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 </w:t>
      </w:r>
      <w:r>
        <w:rPr/>
        <w:t>月就职于亚太（集团）会计师事务所有限公司，任项目经理。</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p>
    <w:p>
      <w:pPr>
        <w:pStyle w:val="BodyText"/>
        <w:spacing w:line="300" w:lineRule="auto" w:before="63"/>
        <w:ind w:right="1123"/>
        <w:jc w:val="left"/>
      </w:pPr>
      <w:r>
        <w:rPr/>
        <w:t>月至今在北京中金云网科技有限公司担任董事；</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月至今在北京无双科技有限公司担任董事；</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日起担 任光环云数据有限公司董事；</w:t>
      </w: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6 </w:t>
      </w:r>
      <w:r>
        <w:rPr/>
        <w:t>月至今任公司财务总监。</w:t>
      </w:r>
    </w:p>
    <w:p>
      <w:pPr>
        <w:pStyle w:val="BodyText"/>
        <w:spacing w:line="300" w:lineRule="auto" w:before="53"/>
        <w:ind w:right="1112" w:firstLine="360"/>
        <w:jc w:val="left"/>
      </w:pPr>
      <w:r>
        <w:rPr/>
        <w:t>张冰先生，中国国籍，无永久境外居留权，</w:t>
      </w:r>
      <w:r>
        <w:rPr>
          <w:rFonts w:ascii="Times New Roman" w:hAnsi="Times New Roman" w:cs="Times New Roman" w:eastAsia="Times New Roman" w:hint="default"/>
        </w:rPr>
        <w:t>1972 </w:t>
      </w:r>
      <w:r>
        <w:rPr/>
        <w:t>年出生，男，汉族，高级工程师，毕业于西安建筑科技大学，本科学 </w:t>
      </w:r>
      <w:r>
        <w:rPr>
          <w:spacing w:val="-7"/>
        </w:rPr>
        <w:t>历。</w:t>
      </w:r>
      <w:r>
        <w:rPr>
          <w:rFonts w:ascii="Times New Roman" w:hAnsi="Times New Roman" w:cs="Times New Roman" w:eastAsia="Times New Roman" w:hint="default"/>
          <w:spacing w:val="-7"/>
        </w:rPr>
        <w:t>1996</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w:t>
      </w:r>
      <w:r>
        <w:rPr>
          <w:spacing w:val="-5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月在中国电子工业部第十设计院担任设计师；</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50"/>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月任中国网络通信有限</w:t>
      </w:r>
    </w:p>
    <w:p>
      <w:pPr>
        <w:pStyle w:val="BodyText"/>
        <w:spacing w:line="240" w:lineRule="auto" w:before="13"/>
        <w:ind w:right="986"/>
        <w:jc w:val="left"/>
        <w:rPr>
          <w:rFonts w:ascii="Times New Roman" w:hAnsi="Times New Roman" w:cs="Times New Roman" w:eastAsia="Times New Roman" w:hint="default"/>
        </w:rPr>
      </w:pPr>
      <w:r>
        <w:rPr/>
        <w:t>公司基础设施建设部经理</w:t>
      </w:r>
      <w:r>
        <w:rPr>
          <w:spacing w:val="-9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w:t>
      </w:r>
      <w:r>
        <w:rPr>
          <w:spacing w:val="-3"/>
        </w:rPr>
        <w:t>中</w:t>
      </w:r>
      <w:r>
        <w:rPr/>
        <w:t>国网络通信集团公司计划建设部项目经理</w:t>
      </w:r>
      <w:r>
        <w:rPr>
          <w:spacing w:val="-9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p>
    <w:p>
      <w:pPr>
        <w:pStyle w:val="BodyText"/>
        <w:spacing w:line="240" w:lineRule="auto" w:before="63"/>
        <w:ind w:right="986"/>
        <w:jc w:val="left"/>
      </w:pP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月任中国联通集团公司计划管理部项目经理；</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月任中国联通集团公司重点基地（数据中心）项</w:t>
      </w:r>
    </w:p>
    <w:p>
      <w:pPr>
        <w:pStyle w:val="BodyText"/>
        <w:spacing w:line="300" w:lineRule="auto" w:before="63"/>
        <w:ind w:right="1130"/>
        <w:jc w:val="left"/>
      </w:pPr>
      <w:r>
        <w:rPr>
          <w:spacing w:val="-3"/>
        </w:rPr>
        <w:t>目建设管理办公室项目经理；</w:t>
      </w:r>
      <w:r>
        <w:rPr>
          <w:rFonts w:ascii="Times New Roman" w:hAnsi="Times New Roman" w:cs="Times New Roman" w:eastAsia="Times New Roman" w:hint="default"/>
          <w:spacing w:val="-3"/>
        </w:rPr>
        <w:t>2015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月任中国联通云数据有限公司建设管理部总经理。</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月起任公 司副总裁，负责规划、运维等技术管理工作。</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right="3827"/>
        <w:jc w:val="left"/>
      </w:pPr>
      <w:r>
        <w:rPr/>
        <w:t>在股东单位任职情况</w:t>
      </w:r>
    </w:p>
    <w:p>
      <w:pPr>
        <w:pStyle w:val="BodyText"/>
        <w:spacing w:line="240" w:lineRule="auto" w:before="117"/>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2"/>
              <w:jc w:val="left"/>
              <w:rPr>
                <w:rFonts w:ascii="宋体" w:hAnsi="宋体" w:cs="宋体" w:eastAsia="宋体" w:hint="default"/>
                <w:sz w:val="18"/>
                <w:szCs w:val="18"/>
              </w:rPr>
            </w:pPr>
            <w:r>
              <w:rPr>
                <w:rFonts w:ascii="宋体" w:hAnsi="宋体" w:cs="宋体" w:eastAsia="宋体" w:hint="default"/>
                <w:sz w:val="18"/>
                <w:szCs w:val="18"/>
              </w:rPr>
              <w:t>舟山百汇达股权投资管理合伙企业（有 限合伙）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3827"/>
        <w:jc w:val="left"/>
      </w:pPr>
      <w:r>
        <w:rPr/>
        <w:t>在其他单位任职情况</w:t>
      </w:r>
    </w:p>
    <w:p>
      <w:pPr>
        <w:pStyle w:val="BodyText"/>
        <w:spacing w:line="240" w:lineRule="auto" w:before="117"/>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北京光环新网科技股份有限公司东城分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光环影业有限公司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光环时代影视文化有限公司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光环新网国际有限公司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光环上海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北京弘丰科华科技发展有限公司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光环上海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德信致远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北京光环新网科技股份有限公司山东分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北京弘丰科华科技发展有限公司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29.709991pt;margin-top:286.72998pt;width:59.3pt;height:7.8pt;mso-position-horizontal-relative:page;mso-position-vertical-relative:page;z-index:-1238920" coordorigin="6594,5735" coordsize="1186,156">
            <v:shape style="position:absolute;left:6594;top:5735;width:1186;height:156" coordorigin="6594,5735" coordsize="1186,156" path="m6594,5891l7780,5891,7780,5735,6594,5735,6594,589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首信圆方（天津）机电设备有限公司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北京首信圆方机电设备有限公司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北京金田恒业置业有限公司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北京市中永律师事务所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高级合伙人 副主任会计 师</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49"/>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科迈化工股份有限公司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保定乐凯新材料股份有限公司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34"/>
              <w:jc w:val="left"/>
              <w:rPr>
                <w:rFonts w:ascii="宋体" w:hAnsi="宋体" w:cs="宋体" w:eastAsia="宋体" w:hint="default"/>
                <w:sz w:val="18"/>
                <w:szCs w:val="18"/>
              </w:rPr>
            </w:pPr>
            <w:r>
              <w:rPr>
                <w:rFonts w:ascii="宋体" w:hAnsi="宋体" w:cs="宋体" w:eastAsia="宋体" w:hint="default"/>
                <w:sz w:val="18"/>
                <w:szCs w:val="18"/>
              </w:rPr>
              <w:t>北京科技大学</w:t>
            </w:r>
            <w:r>
              <w:rPr>
                <w:rFonts w:ascii="Times New Roman" w:hAnsi="Times New Roman" w:cs="Times New Roman" w:eastAsia="Times New Roman" w:hint="default"/>
                <w:sz w:val="18"/>
                <w:szCs w:val="18"/>
              </w:rPr>
              <w:t>-</w:t>
            </w:r>
            <w:r>
              <w:rPr>
                <w:rFonts w:ascii="宋体" w:hAnsi="宋体" w:cs="宋体" w:eastAsia="宋体" w:hint="default"/>
                <w:sz w:val="18"/>
                <w:szCs w:val="18"/>
              </w:rPr>
              <w:t>美国德克萨斯大学阿灵顿 分校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EMBA</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中国三江精细化工有限公司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3827"/>
        <w:jc w:val="left"/>
      </w:pPr>
      <w:r>
        <w:rPr/>
        <w:t>公司现任及报告期内离任董事、监事和高级管理人员近三年证券监管机构处罚的情况</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827"/>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160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经第三届董事会薪酬和考核委员会提议，</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日第三届董事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年第二次会议审议通过《关于公司董事、监事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年度薪酬 激励制度的议案》和《关于公司高级管理人员</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年度薪酬激励制 度的议案》，</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年度股东大会审议通过《关于 公司董事、监事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年度薪酬激励制度的议案》。</w:t>
            </w:r>
          </w:p>
        </w:tc>
      </w:tr>
      <w:tr>
        <w:trPr>
          <w:trHeight w:val="1283"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3"/>
              <w:ind w:left="4" w:right="68"/>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董事、监事和高级管理人员的报酬按照公司相关规章制度，结合公 司实际情况和行业薪酬水平制定，根据公司薪酬体系和岗位职责、 绩效考核体系实施。其中独董领用津贴，不享受公司其他薪金保险 等待遇。外部董事不在本公司领用薪酬。</w:t>
            </w:r>
          </w:p>
        </w:tc>
      </w:tr>
      <w:tr>
        <w:trPr>
          <w:trHeight w:val="654"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
              <w:ind w:left="4" w:right="66"/>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报告期公司在任董事、监事、高级管理人员共计</w:t>
            </w:r>
            <w:r>
              <w:rPr>
                <w:rFonts w:ascii="Times New Roman" w:hAnsi="Times New Roman" w:cs="Times New Roman" w:eastAsia="Times New Roman" w:hint="default"/>
                <w:sz w:val="18"/>
                <w:szCs w:val="18"/>
              </w:rPr>
              <w:t>19</w:t>
            </w:r>
            <w:r>
              <w:rPr>
                <w:rFonts w:ascii="宋体" w:hAnsi="宋体" w:cs="宋体" w:eastAsia="宋体" w:hint="default"/>
                <w:sz w:val="18"/>
                <w:szCs w:val="18"/>
              </w:rPr>
              <w:t>人，本报告期公 司董事、监事、高级管理人员的薪酬已按年度薪酬计划支付，</w:t>
            </w:r>
            <w:r>
              <w:rPr>
                <w:rFonts w:ascii="Times New Roman" w:hAnsi="Times New Roman" w:cs="Times New Roman" w:eastAsia="Times New Roman" w:hint="default"/>
                <w:sz w:val="18"/>
                <w:szCs w:val="18"/>
              </w:rPr>
              <w:t>2019</w:t>
            </w:r>
          </w:p>
        </w:tc>
      </w:tr>
    </w:tbl>
    <w:p>
      <w:pPr>
        <w:spacing w:after="0" w:line="30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2"/>
        <w:rPr>
          <w:rFonts w:ascii="宋体" w:hAnsi="宋体" w:cs="宋体" w:eastAsia="宋体" w:hint="default"/>
          <w:sz w:val="27"/>
          <w:szCs w:val="27"/>
        </w:rPr>
      </w:pPr>
    </w:p>
    <w:p>
      <w:pPr>
        <w:spacing w:line="377" w:lineRule="exact"/>
        <w:ind w:left="14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18.9pt;mso-position-horizontal-relative:char;mso-position-vertical-relative:line" coordorigin="0,0" coordsize="9586,378">
            <v:group style="position:absolute;left:14;top:22;width:4249;height:332" coordorigin="14,22" coordsize="4249,332">
              <v:shape style="position:absolute;left:14;top:22;width:4249;height:332" coordorigin="14,22" coordsize="4249,332" path="m14,353l4263,353,4263,22,14,22,14,353xe" filled="true" fillcolor="#d2d2d2" stroked="false">
                <v:path arrowok="t"/>
                <v:fill type="solid"/>
              </v:shape>
            </v:group>
            <v:group style="position:absolute;left:14;top:14;width:4247;height:2" coordorigin="14,14" coordsize="4247,2">
              <v:shape style="position:absolute;left:14;top:14;width:4247;height:2" coordorigin="14,14" coordsize="4247,0" path="m14,14l4261,14e" filled="false" stroked="true" strokeweight=".72pt" strokecolor="#000000">
                <v:path arrowok="t"/>
              </v:shape>
            </v:group>
            <v:group style="position:absolute;left:14;top:26;width:4247;height:2" coordorigin="14,26" coordsize="4247,2">
              <v:shape style="position:absolute;left:14;top:26;width:4247;height:2" coordorigin="14,26" coordsize="4247,0" path="m14,26l4261,26e" filled="false" stroked="true" strokeweight=".48pt" strokecolor="#d2d2d2">
                <v:path arrowok="t"/>
              </v:shape>
            </v:group>
            <v:group style="position:absolute;left:4275;top:14;width:5296;height:2" coordorigin="4275,14" coordsize="5296,2">
              <v:shape style="position:absolute;left:4275;top:14;width:5296;height:2" coordorigin="4275,14" coordsize="5296,0" path="m4275,14l9571,14e" filled="false" stroked="true" strokeweight=".72pt" strokecolor="#000000">
                <v:path arrowok="t"/>
              </v:shape>
            </v:group>
            <v:group style="position:absolute;left:7;top:351;width:4261;height:2" coordorigin="7,351" coordsize="4261,2">
              <v:shape style="position:absolute;left:7;top:351;width:4261;height:2" coordorigin="7,351" coordsize="4261,0" path="m7,351l4268,351e" filled="false" stroked="true" strokeweight=".504010pt" strokecolor="#d2d2d2">
                <v:path arrowok="t"/>
              </v:shape>
            </v:group>
            <v:group style="position:absolute;left:7;top:7;width:2;height:363" coordorigin="7,7" coordsize="2,363">
              <v:shape style="position:absolute;left:7;top:7;width:2;height:363" coordorigin="7,7" coordsize="0,363" path="m7,7l7,370e" filled="false" stroked="true" strokeweight=".72pt" strokecolor="#000000">
                <v:path arrowok="t"/>
              </v:shape>
            </v:group>
            <v:group style="position:absolute;left:14;top:363;width:4247;height:2" coordorigin="14,363" coordsize="4247,2">
              <v:shape style="position:absolute;left:14;top:363;width:4247;height:2" coordorigin="14,363" coordsize="4247,0" path="m14,363l4261,363e" filled="false" stroked="true" strokeweight=".71999pt" strokecolor="#000000">
                <v:path arrowok="t"/>
              </v:shape>
            </v:group>
            <v:group style="position:absolute;left:4268;top:7;width:2;height:363" coordorigin="4268,7" coordsize="2,363">
              <v:shape style="position:absolute;left:4268;top:7;width:2;height:363" coordorigin="4268,7" coordsize="0,363" path="m4268,7l4268,370e" filled="false" stroked="true" strokeweight=".72pt" strokecolor="#000000">
                <v:path arrowok="t"/>
              </v:shape>
            </v:group>
            <v:group style="position:absolute;left:4275;top:363;width:5296;height:2" coordorigin="4275,363" coordsize="5296,2">
              <v:shape style="position:absolute;left:4275;top:363;width:5296;height:2" coordorigin="4275,363" coordsize="5296,0" path="m4275,363l9571,363e" filled="false" stroked="true" strokeweight=".71999pt" strokecolor="#000000">
                <v:path arrowok="t"/>
              </v:shape>
            </v:group>
            <v:group style="position:absolute;left:9578;top:7;width:2;height:363" coordorigin="9578,7" coordsize="2,363">
              <v:shape style="position:absolute;left:9578;top:7;width:2;height:363" coordorigin="9578,7" coordsize="0,363" path="m9578,7l9578,370e" filled="false" stroked="true" strokeweight=".72003pt" strokecolor="#000000">
                <v:path arrowok="t"/>
              </v:shape>
              <v:shape style="position:absolute;left:4268;top:14;width:5310;height:349" type="#_x0000_t202" filled="false" stroked="false">
                <v:textbox inset="0,0,0,0">
                  <w:txbxContent>
                    <w:p>
                      <w:pPr>
                        <w:spacing w:before="25"/>
                        <w:ind w:left="12" w:right="0" w:firstLine="0"/>
                        <w:jc w:val="left"/>
                        <w:rPr>
                          <w:rFonts w:ascii="宋体" w:hAnsi="宋体" w:cs="宋体" w:eastAsia="宋体" w:hint="default"/>
                          <w:sz w:val="18"/>
                          <w:szCs w:val="18"/>
                        </w:rPr>
                      </w:pPr>
                      <w:r>
                        <w:rPr>
                          <w:rFonts w:ascii="宋体" w:hAnsi="宋体" w:cs="宋体" w:eastAsia="宋体" w:hint="default"/>
                          <w:sz w:val="18"/>
                          <w:szCs w:val="18"/>
                        </w:rPr>
                        <w:t>年度公司实际支付的薪酬总计</w:t>
                      </w:r>
                      <w:r>
                        <w:rPr>
                          <w:rFonts w:ascii="Times New Roman" w:hAnsi="Times New Roman" w:cs="Times New Roman" w:eastAsia="Times New Roman" w:hint="default"/>
                          <w:sz w:val="18"/>
                          <w:szCs w:val="18"/>
                        </w:rPr>
                        <w:t>847.98</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23"/>
          <w:szCs w:val="23"/>
        </w:rPr>
      </w:pPr>
    </w:p>
    <w:p>
      <w:pPr>
        <w:pStyle w:val="BodyText"/>
        <w:spacing w:line="240" w:lineRule="auto" w:before="44"/>
        <w:ind w:right="3827"/>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郭晓玉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董事会秘书兼副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847.98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70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69"/>
        <w:gridCol w:w="871"/>
        <w:gridCol w:w="869"/>
        <w:gridCol w:w="871"/>
        <w:gridCol w:w="869"/>
        <w:gridCol w:w="872"/>
        <w:gridCol w:w="869"/>
        <w:gridCol w:w="871"/>
      </w:tblGrid>
      <w:tr>
        <w:trPr>
          <w:trHeight w:val="1339"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杨宇航</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总裁</w:t>
            </w:r>
            <w:r>
              <w:rPr>
                <w:rFonts w:ascii="宋体" w:hAnsi="宋体" w:cs="宋体" w:eastAsia="宋体" w:hint="default"/>
                <w:spacing w:val="-87"/>
                <w:sz w:val="18"/>
                <w:szCs w:val="18"/>
              </w:rPr>
              <w:t>、</w:t>
            </w: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张利军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20.07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20.07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董事、人事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行政总监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3827"/>
        <w:jc w:val="left"/>
        <w:rPr>
          <w:b w:val="0"/>
          <w:bCs w:val="0"/>
        </w:rPr>
      </w:pPr>
      <w:bookmarkStart w:name="五、公司员工情况" w:id="128"/>
      <w:bookmarkEnd w:id="128"/>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1,124</w:t>
            </w:r>
          </w:p>
        </w:tc>
      </w:tr>
    </w:tbl>
    <w:p>
      <w:pPr>
        <w:spacing w:line="240" w:lineRule="auto" w:before="3"/>
        <w:rPr>
          <w:rFonts w:ascii="宋体" w:hAnsi="宋体" w:cs="宋体" w:eastAsia="宋体" w:hint="default"/>
          <w:b/>
          <w:bCs/>
          <w:sz w:val="19"/>
          <w:szCs w:val="19"/>
        </w:rPr>
      </w:pPr>
    </w:p>
    <w:p>
      <w:pPr>
        <w:pStyle w:val="Heading3"/>
        <w:spacing w:line="240" w:lineRule="auto" w:before="36"/>
        <w:ind w:right="3827"/>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3827"/>
        <w:jc w:val="left"/>
      </w:pPr>
      <w:r>
        <w:rPr/>
        <w:t>（</w:t>
      </w:r>
      <w:r>
        <w:rPr>
          <w:rFonts w:ascii="Times New Roman" w:hAnsi="Times New Roman" w:cs="Times New Roman" w:eastAsia="Times New Roman" w:hint="default"/>
        </w:rPr>
        <w:t>1</w:t>
      </w:r>
      <w:r>
        <w:rPr/>
        <w:t>）薪酬管理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4" w:firstLine="360"/>
        <w:jc w:val="both"/>
      </w:pPr>
      <w:r>
        <w:rPr>
          <w:spacing w:val="-2"/>
        </w:rPr>
        <w:t>公司薪酬管理制度包括董事、监事、高级管理人员薪酬激励制度、各部门薪酬管理办法等，这些制度将员工的岗责、绩</w:t>
      </w:r>
      <w:r>
        <w:rPr/>
        <w:t> </w:t>
      </w:r>
      <w:r>
        <w:rPr>
          <w:spacing w:val="-2"/>
        </w:rPr>
        <w:t>效考核和薪酬紧密结合，促进员工工作的积极性、主动性、创造性，增强公司凝聚力，对实现企业不同阶段经营发展目标具</w:t>
      </w:r>
      <w:r>
        <w:rPr>
          <w:spacing w:val="-67"/>
        </w:rPr>
        <w:t> </w:t>
      </w:r>
      <w:r>
        <w:rPr>
          <w:spacing w:val="-67"/>
        </w:rPr>
      </w:r>
      <w:r>
        <w:rPr/>
        <w:t>有推动作用。</w:t>
      </w:r>
    </w:p>
    <w:p>
      <w:pPr>
        <w:pStyle w:val="BodyText"/>
        <w:spacing w:line="316" w:lineRule="auto" w:before="58"/>
        <w:ind w:right="1133" w:firstLine="360"/>
        <w:jc w:val="both"/>
      </w:pPr>
      <w:r>
        <w:rPr>
          <w:spacing w:val="-2"/>
        </w:rPr>
        <w:t>公司薪酬管理的基本原则是公开、公正、公平、透明；员工的责、权、利相结合，员工薪酬与公司的经济效益及个人岗</w:t>
      </w:r>
      <w:r>
        <w:rPr/>
        <w:t> 位责任目标完成情况相结合。</w:t>
      </w:r>
    </w:p>
    <w:p>
      <w:pPr>
        <w:pStyle w:val="BodyText"/>
        <w:spacing w:line="340" w:lineRule="auto" w:before="57"/>
        <w:ind w:left="513" w:right="1112"/>
        <w:jc w:val="left"/>
      </w:pPr>
      <w:r>
        <w:rPr/>
        <w:t>（</w:t>
      </w:r>
      <w:r>
        <w:rPr>
          <w:rFonts w:ascii="Times New Roman" w:hAnsi="Times New Roman" w:cs="Times New Roman" w:eastAsia="Times New Roman" w:hint="default"/>
        </w:rPr>
        <w:t>2</w:t>
      </w:r>
      <w:r>
        <w:rPr/>
        <w:t>）基本薪酬的构成、核算及发放 </w:t>
      </w:r>
      <w:r>
        <w:rPr>
          <w:spacing w:val="-2"/>
        </w:rPr>
        <w:t>员工基本薪酬核算均执行各部门当年度的相应薪酬管理办法。员工基本薪酬由年度薪酬和年度奖励构成，年度薪酬根据</w:t>
      </w:r>
    </w:p>
    <w:p>
      <w:pPr>
        <w:pStyle w:val="BodyText"/>
        <w:spacing w:line="316" w:lineRule="auto" w:before="1"/>
        <w:ind w:right="1112"/>
        <w:jc w:val="left"/>
      </w:pPr>
      <w:r>
        <w:rPr>
          <w:spacing w:val="-2"/>
        </w:rPr>
        <w:t>员工从事的岗位、级别及绩效考核情况按月发放。年度奖励主要适用于公司管理人员以及按全年业绩考核发放奖励的业务部</w:t>
      </w:r>
      <w:r>
        <w:rPr>
          <w:spacing w:val="-64"/>
        </w:rPr>
        <w:t> </w:t>
      </w:r>
      <w:r>
        <w:rPr>
          <w:spacing w:val="-64"/>
        </w:rPr>
      </w:r>
      <w:r>
        <w:rPr/>
        <w:t>门。</w:t>
      </w:r>
    </w:p>
    <w:p>
      <w:pPr>
        <w:pStyle w:val="BodyText"/>
        <w:spacing w:line="338" w:lineRule="auto" w:before="59"/>
        <w:ind w:left="513" w:right="1112"/>
        <w:jc w:val="left"/>
      </w:pPr>
      <w:r>
        <w:rPr/>
        <w:t>（</w:t>
      </w:r>
      <w:r>
        <w:rPr>
          <w:rFonts w:ascii="Times New Roman" w:hAnsi="Times New Roman" w:cs="Times New Roman" w:eastAsia="Times New Roman" w:hint="default"/>
        </w:rPr>
        <w:t>3</w:t>
      </w:r>
      <w:r>
        <w:rPr/>
        <w:t>）员工福利 </w:t>
      </w:r>
      <w:r>
        <w:rPr>
          <w:spacing w:val="-2"/>
        </w:rPr>
        <w:t>公司为员工按国家相关规定办理社会统筹保险和公积金，同时公司为员工提供工作餐、公务交通补贴、通讯补贴、全勤</w:t>
      </w:r>
    </w:p>
    <w:p>
      <w:pPr>
        <w:pStyle w:val="BodyText"/>
        <w:spacing w:line="240" w:lineRule="auto" w:before="2"/>
        <w:ind w:right="3827"/>
        <w:jc w:val="left"/>
      </w:pPr>
      <w:r>
        <w:rPr/>
        <w:t>奖励等福利。公司每年不定期组织员工进行团队建设、健康体检等活动。</w:t>
      </w:r>
    </w:p>
    <w:p>
      <w:pPr>
        <w:pStyle w:val="BodyText"/>
        <w:spacing w:line="340" w:lineRule="auto" w:before="118"/>
        <w:ind w:left="513" w:right="3553"/>
        <w:jc w:val="left"/>
      </w:pPr>
      <w:r>
        <w:rPr/>
        <w:t>（</w:t>
      </w:r>
      <w:r>
        <w:rPr>
          <w:rFonts w:ascii="Times New Roman" w:hAnsi="Times New Roman" w:cs="Times New Roman" w:eastAsia="Times New Roman" w:hint="default"/>
        </w:rPr>
        <w:t>4</w:t>
      </w:r>
      <w:r>
        <w:rPr/>
        <w:t>）长期激励 公司为管理层及核心技术人员提供不同形式的长期激励，包括但不限于股权、期权等。</w:t>
      </w:r>
    </w:p>
    <w:p>
      <w:pPr>
        <w:spacing w:line="240" w:lineRule="auto" w:before="3"/>
        <w:rPr>
          <w:rFonts w:ascii="宋体" w:hAnsi="宋体" w:cs="宋体" w:eastAsia="宋体" w:hint="default"/>
          <w:sz w:val="21"/>
          <w:szCs w:val="21"/>
        </w:rPr>
      </w:pPr>
    </w:p>
    <w:p>
      <w:pPr>
        <w:pStyle w:val="Heading3"/>
        <w:spacing w:line="240" w:lineRule="auto"/>
        <w:ind w:right="3827"/>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9" w:firstLine="360"/>
        <w:jc w:val="both"/>
      </w:pPr>
      <w:r>
        <w:rPr>
          <w:spacing w:val="-2"/>
        </w:rPr>
        <w:t>围绕公司经营发展目标，本着</w:t>
      </w:r>
      <w:r>
        <w:rPr>
          <w:rFonts w:ascii="Times New Roman" w:hAnsi="Times New Roman" w:cs="Times New Roman" w:eastAsia="Times New Roman" w:hint="default"/>
          <w:spacing w:val="-2"/>
        </w:rPr>
        <w:t>“</w:t>
      </w:r>
      <w:r>
        <w:rPr>
          <w:spacing w:val="-2"/>
        </w:rPr>
        <w:t>按需施教，务实求效</w:t>
      </w:r>
      <w:r>
        <w:rPr>
          <w:rFonts w:ascii="Times New Roman" w:hAnsi="Times New Roman" w:cs="Times New Roman" w:eastAsia="Times New Roman" w:hint="default"/>
          <w:spacing w:val="-2"/>
        </w:rPr>
        <w:t>”</w:t>
      </w:r>
      <w:r>
        <w:rPr>
          <w:spacing w:val="-2"/>
        </w:rPr>
        <w:t>的培训宗旨，公司建立了健全的企业培训体系，定期组织员工进行</w:t>
      </w:r>
      <w:r>
        <w:rPr/>
        <w:t> </w:t>
      </w:r>
      <w:r>
        <w:rPr>
          <w:spacing w:val="-2"/>
        </w:rPr>
        <w:t>职业技能培训，打造内部讲师团队，兼顾各个层级员工业务学习和职业发展，丰富公司课程资源体系，推动培训工作持续有</w:t>
      </w:r>
      <w:r>
        <w:rPr>
          <w:spacing w:val="-65"/>
        </w:rPr>
        <w:t> </w:t>
      </w:r>
      <w:r>
        <w:rPr>
          <w:spacing w:val="-65"/>
        </w:rPr>
      </w:r>
      <w:r>
        <w:rPr>
          <w:spacing w:val="-2"/>
        </w:rPr>
        <w:t>效发展。同时加强与外部合作伙伴的业务学习与交流，不仅对外树立良好的企业形象，增进彼此友谊，也能吸纳很多宝贵的</w:t>
      </w:r>
      <w:r>
        <w:rPr>
          <w:spacing w:val="-65"/>
        </w:rPr>
        <w:t> </w:t>
      </w:r>
      <w:r>
        <w:rPr>
          <w:spacing w:val="-65"/>
        </w:rPr>
      </w:r>
      <w:r>
        <w:rPr/>
        <w:t>工作指导经验和管理启发，为公司构建学习型组织奠定坚实基础。</w:t>
      </w:r>
    </w:p>
    <w:p>
      <w:pPr>
        <w:pStyle w:val="BodyText"/>
        <w:spacing w:line="309" w:lineRule="auto" w:before="63"/>
        <w:ind w:right="1131" w:firstLine="360"/>
        <w:jc w:val="both"/>
      </w:pPr>
      <w:r>
        <w:rPr/>
        <w:t>报告期内，公司开展</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余场培训活动，其中包含</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场新员工培训，</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场专业类培训以及</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场中层管理培训，涉及公司 </w:t>
      </w:r>
      <w:r>
        <w:rPr>
          <w:spacing w:val="-2"/>
        </w:rPr>
        <w:t>制度学习、内审项目培训、行业新产品推广、职业技能提升等方面内容。公司希望所有员工都能够积极参与到培训中来，不</w:t>
      </w:r>
      <w:r>
        <w:rPr>
          <w:spacing w:val="-67"/>
        </w:rPr>
        <w:t> </w:t>
      </w:r>
      <w:r>
        <w:rPr>
          <w:spacing w:val="-67"/>
        </w:rPr>
      </w:r>
      <w:r>
        <w:rPr/>
        <w:t>断提升自身业务能力和职业素养，以更好的状态投入到日常工作中。</w:t>
      </w:r>
    </w:p>
    <w:p>
      <w:pPr>
        <w:spacing w:line="240" w:lineRule="auto" w:before="3"/>
        <w:rPr>
          <w:rFonts w:ascii="宋体" w:hAnsi="宋体" w:cs="宋体" w:eastAsia="宋体" w:hint="default"/>
          <w:sz w:val="23"/>
          <w:szCs w:val="23"/>
        </w:rPr>
      </w:pPr>
    </w:p>
    <w:p>
      <w:pPr>
        <w:pStyle w:val="Heading3"/>
        <w:spacing w:line="240" w:lineRule="auto"/>
        <w:ind w:right="3827"/>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0" w:right="976"/>
        <w:jc w:val="center"/>
        <w:rPr>
          <w:b w:val="0"/>
          <w:bCs w:val="0"/>
        </w:rPr>
      </w:pPr>
      <w:bookmarkStart w:name="第十节 公司治理" w:id="133"/>
      <w:bookmarkEnd w:id="133"/>
      <w:r>
        <w:rPr>
          <w:b w:val="0"/>
          <w:bCs w:val="0"/>
        </w:rPr>
      </w:r>
      <w:bookmarkStart w:name="_bookmark9" w:id="134"/>
      <w:bookmarkEnd w:id="134"/>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3827"/>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12"/>
        <w:jc w:val="left"/>
      </w:pPr>
      <w:r>
        <w:rPr>
          <w:spacing w:val="-6"/>
        </w:rPr>
        <w:t>报告期内，公司严格按照《公司法》、《证券法》、《上市公司治理准则》、《深圳证券交易所创业板股票上市规则》、</w:t>
      </w:r>
    </w:p>
    <w:p>
      <w:pPr>
        <w:pStyle w:val="BodyText"/>
        <w:spacing w:line="314" w:lineRule="auto" w:before="76"/>
        <w:ind w:right="1130"/>
        <w:jc w:val="both"/>
      </w:pPr>
      <w:r>
        <w:rPr>
          <w:spacing w:val="-2"/>
        </w:rPr>
        <w:t>《深圳证券交易所创业板上市公司规范运作指引》和其他有关法律法规、规范性文件的要求，确保公司规范运作，充分发挥</w:t>
      </w:r>
      <w:r>
        <w:rPr>
          <w:spacing w:val="-63"/>
        </w:rPr>
        <w:t> </w:t>
      </w:r>
      <w:r>
        <w:rPr>
          <w:spacing w:val="-63"/>
        </w:rPr>
      </w:r>
      <w:r>
        <w:rPr>
          <w:spacing w:val="-2"/>
        </w:rPr>
        <w:t>董事会及各专门委员会的职能和作用，完善了董事会的专业化程度，保障了董事会决策的科学性和程序性，进一步规范了公</w:t>
      </w:r>
      <w:r>
        <w:rPr>
          <w:spacing w:val="-63"/>
        </w:rPr>
        <w:t> </w:t>
      </w:r>
      <w:r>
        <w:rPr>
          <w:spacing w:val="-63"/>
        </w:rPr>
      </w:r>
      <w:r>
        <w:rPr>
          <w:spacing w:val="-2"/>
        </w:rPr>
        <w:t>司治理结构。截至报告期末，公司治理的实际状况符合《上市公司治理准则》和《深圳证券交易所创业板上市公司规范运作</w:t>
      </w:r>
      <w:r>
        <w:rPr>
          <w:spacing w:val="-67"/>
        </w:rPr>
        <w:t> </w:t>
      </w:r>
      <w:r>
        <w:rPr>
          <w:spacing w:val="-67"/>
        </w:rPr>
      </w:r>
      <w:r>
        <w:rPr/>
        <w:t>指引》的要求。</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日，公司第四届董事会</w:t>
      </w:r>
      <w:r>
        <w:rPr>
          <w:rFonts w:ascii="Times New Roman" w:hAnsi="Times New Roman" w:cs="Times New Roman" w:eastAsia="Times New Roman" w:hint="default"/>
        </w:rPr>
        <w:t>2020</w:t>
      </w:r>
      <w:r>
        <w:rPr/>
        <w:t>年第一次会议审议通过了《反舞弊管理制度》，进一步补充公司内 部控制评价依据，完善公司治理制度，提高规范运作水平。</w:t>
      </w:r>
    </w:p>
    <w:p>
      <w:pPr>
        <w:pStyle w:val="BodyText"/>
        <w:spacing w:line="300" w:lineRule="auto" w:before="21"/>
        <w:ind w:left="513" w:right="1112"/>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公司严格按照《公司法》、《上市公司股东大会规则》以及公司《章程》、《股东大会议事规则》和深圳证券交易所创</w:t>
      </w:r>
    </w:p>
    <w:p>
      <w:pPr>
        <w:pStyle w:val="BodyText"/>
        <w:spacing w:line="316" w:lineRule="auto" w:before="31"/>
        <w:ind w:right="1034"/>
        <w:jc w:val="left"/>
      </w:pPr>
      <w:r>
        <w:rPr/>
        <w:t>业板的相关规定和要求，规范股东大会的召集、召开和表决程序。报告期内，公司召开的股东大会由公司董事会召集召开，</w:t>
      </w:r>
      <w:r>
        <w:rPr>
          <w:spacing w:val="-86"/>
        </w:rPr>
        <w:t> </w:t>
      </w:r>
      <w:r>
        <w:rPr>
          <w:spacing w:val="-86"/>
        </w:rPr>
      </w:r>
      <w:r>
        <w:rPr>
          <w:spacing w:val="-2"/>
        </w:rPr>
        <w:t>董事长主持，在股东大会上能够保证各位股东有充分的发言权，确保全体股东特别是中小股东享有平等地位，充分行使自己</w:t>
      </w:r>
      <w:r>
        <w:rPr>
          <w:spacing w:val="-63"/>
        </w:rPr>
        <w:t> </w:t>
      </w:r>
      <w:r>
        <w:rPr>
          <w:spacing w:val="-63"/>
        </w:rPr>
      </w:r>
      <w:r>
        <w:rPr/>
        <w:t>的权利。</w:t>
      </w:r>
      <w:r>
        <w:rPr>
          <w:spacing w:val="-18"/>
        </w:rPr>
        <w:t> </w:t>
      </w:r>
      <w:r>
        <w:rPr/>
        <w:t>报告期内，本公司召开的股东大会不存在违反《上市公司股东大会规则》的情形，公司未发生单独或合并持有本</w:t>
      </w:r>
      <w:r>
        <w:rPr/>
        <w:t> 公司有表决权股份总数</w:t>
      </w:r>
      <w:r>
        <w:rPr>
          <w:rFonts w:ascii="Times New Roman" w:hAnsi="Times New Roman" w:cs="Times New Roman" w:eastAsia="Times New Roman" w:hint="default"/>
        </w:rPr>
        <w:t>10%</w:t>
      </w:r>
      <w:r>
        <w:rPr/>
        <w:t>以上的股东请求召开临时股东大会的情形，无应监事会提议召开的股东大会。按照《公司法》、</w:t>
      </w:r>
    </w:p>
    <w:p>
      <w:pPr>
        <w:pStyle w:val="BodyText"/>
        <w:spacing w:line="309" w:lineRule="auto"/>
        <w:ind w:left="513" w:right="1123" w:hanging="361"/>
        <w:jc w:val="left"/>
      </w:pPr>
      <w:r>
        <w:rPr/>
        <w:t>《公司章程》的规定应由股东大会审议的重大事项，本公司均通过股东大会审议，不存在先实施后审议的情况。 </w:t>
      </w:r>
      <w:r>
        <w:rPr>
          <w:rFonts w:ascii="Times New Roman" w:hAnsi="Times New Roman" w:cs="Times New Roman" w:eastAsia="Times New Roman" w:hint="default"/>
        </w:rPr>
        <w:t>2</w:t>
      </w:r>
      <w:r>
        <w:rPr/>
        <w:t>、关于董事与董事会 </w:t>
      </w:r>
      <w:r>
        <w:rPr>
          <w:spacing w:val="-5"/>
        </w:rPr>
        <w:t>公司董事会设董事</w:t>
      </w:r>
      <w:r>
        <w:rPr>
          <w:rFonts w:ascii="Times New Roman" w:hAnsi="Times New Roman" w:cs="Times New Roman" w:eastAsia="Times New Roman" w:hint="default"/>
          <w:spacing w:val="-5"/>
        </w:rPr>
        <w:t>7</w:t>
      </w:r>
      <w:r>
        <w:rPr>
          <w:spacing w:val="-5"/>
        </w:rPr>
        <w:t>名，其中独立董事</w:t>
      </w:r>
      <w:r>
        <w:rPr>
          <w:rFonts w:ascii="Times New Roman" w:hAnsi="Times New Roman" w:cs="Times New Roman" w:eastAsia="Times New Roman" w:hint="default"/>
          <w:spacing w:val="-5"/>
        </w:rPr>
        <w:t>3</w:t>
      </w:r>
      <w:r>
        <w:rPr>
          <w:spacing w:val="-5"/>
        </w:rPr>
        <w:t>名，董事会的人数及人员构成符合法律、法规和《公司章程》的要求。报告期内，</w:t>
      </w:r>
    </w:p>
    <w:p>
      <w:pPr>
        <w:pStyle w:val="BodyText"/>
        <w:spacing w:line="316" w:lineRule="auto" w:before="5"/>
        <w:ind w:right="1130"/>
        <w:jc w:val="both"/>
      </w:pPr>
      <w:r>
        <w:rPr>
          <w:spacing w:val="-2"/>
        </w:rPr>
        <w:t>公司完成了新一届董事会换届选举工作，第三届董事会和第四届董事会各位董事均能够依据《董事会议事规则》、《独立董</w:t>
      </w:r>
      <w:r>
        <w:rPr>
          <w:spacing w:val="-65"/>
        </w:rPr>
        <w:t> </w:t>
      </w:r>
      <w:r>
        <w:rPr>
          <w:spacing w:val="-65"/>
        </w:rPr>
      </w:r>
      <w:r>
        <w:rPr>
          <w:spacing w:val="-5"/>
        </w:rPr>
        <w:t>事工作制度》、《深圳证券交易所创业板上市公司规范运作指引》等开展工作，出席董事会、董事会专门委员会和股东大会，</w:t>
      </w:r>
      <w:r>
        <w:rPr>
          <w:spacing w:val="-83"/>
        </w:rPr>
        <w:t> </w:t>
      </w:r>
      <w:r>
        <w:rPr>
          <w:spacing w:val="-83"/>
        </w:rPr>
      </w:r>
      <w:r>
        <w:rPr/>
        <w:t>勤勉尽责地履行职责和义务，同时积极参加相关培训，熟悉相关法律法规。</w:t>
      </w:r>
      <w:r>
        <w:rPr>
          <w:spacing w:val="-18"/>
        </w:rPr>
        <w:t> </w:t>
      </w:r>
      <w:r>
        <w:rPr/>
        <w:t>按照《深圳证券交易所创业板上市公司规范运</w:t>
      </w:r>
      <w:r>
        <w:rPr/>
        <w:t> </w:t>
      </w:r>
      <w:r>
        <w:rPr>
          <w:spacing w:val="-2"/>
        </w:rPr>
        <w:t>作指引》的要求，董事会下设战略委员会、薪酬和考核委员会、审计委员会和提名委员会四个专门委员会。专门委员会成员</w:t>
      </w:r>
      <w:r>
        <w:rPr>
          <w:spacing w:val="-67"/>
        </w:rPr>
        <w:t> </w:t>
      </w:r>
      <w:r>
        <w:rPr>
          <w:spacing w:val="-67"/>
        </w:rPr>
      </w:r>
      <w:r>
        <w:rPr>
          <w:spacing w:val="-2"/>
        </w:rPr>
        <w:t>全部由董事组成，除战略委员会由董事长担任主任委员以外，其他专门委员会均由独立董事担任主任委员，且独立董事人数</w:t>
      </w:r>
      <w:r>
        <w:rPr>
          <w:spacing w:val="-63"/>
        </w:rPr>
        <w:t> </w:t>
      </w:r>
      <w:r>
        <w:rPr>
          <w:spacing w:val="-63"/>
        </w:rPr>
      </w:r>
      <w:r>
        <w:rPr>
          <w:spacing w:val="-5"/>
        </w:rPr>
        <w:t>占其他专门委员会委员的比例均达到三分之二，为董事会的决策提供了科学和专业的意见和参考。各委员会依据《公司章程》</w:t>
      </w:r>
      <w:r>
        <w:rPr>
          <w:spacing w:val="-79"/>
        </w:rPr>
        <w:t> </w:t>
      </w:r>
      <w:r>
        <w:rPr>
          <w:spacing w:val="-79"/>
        </w:rPr>
      </w:r>
      <w:r>
        <w:rPr/>
        <w:t>和各委员会议事规则的规定履行职权，不受公司任何其他部门和个人的干预。</w:t>
      </w:r>
    </w:p>
    <w:p>
      <w:pPr>
        <w:pStyle w:val="BodyText"/>
        <w:spacing w:line="300" w:lineRule="auto" w:before="19"/>
        <w:ind w:left="513" w:right="1112"/>
        <w:jc w:val="left"/>
      </w:pPr>
      <w:r>
        <w:rPr>
          <w:rFonts w:ascii="Times New Roman" w:hAnsi="Times New Roman" w:cs="Times New Roman" w:eastAsia="Times New Roman" w:hint="default"/>
        </w:rPr>
        <w:t>3</w:t>
      </w:r>
      <w:r>
        <w:rPr/>
        <w:t>、关于监事与监事会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名，监事会的人数和构成符合法律、法规的要求。报告期内，公司完成了新一届</w:t>
      </w:r>
    </w:p>
    <w:p>
      <w:pPr>
        <w:pStyle w:val="BodyText"/>
        <w:spacing w:line="316" w:lineRule="auto" w:before="13"/>
        <w:ind w:right="1133"/>
        <w:jc w:val="both"/>
      </w:pPr>
      <w:r>
        <w:rPr>
          <w:spacing w:val="-5"/>
        </w:rPr>
        <w:t>监事会换届选举工作，第三届监事会和第四届监事会各位监事均能够按照《公司章程》、《监事会议事规则》等规定的要求，</w:t>
      </w:r>
      <w:r>
        <w:rPr>
          <w:spacing w:val="-81"/>
        </w:rPr>
        <w:t> </w:t>
      </w:r>
      <w:r>
        <w:rPr>
          <w:spacing w:val="-81"/>
        </w:rPr>
      </w:r>
      <w:r>
        <w:rPr>
          <w:spacing w:val="-2"/>
        </w:rPr>
        <w:t>认真履行自己的职责，对公司重大事项、财务状况以及董事、高管人员履行职责的合法合规性进行监督。报告期内，公司监</w:t>
      </w:r>
      <w:r>
        <w:rPr>
          <w:spacing w:val="-67"/>
        </w:rPr>
        <w:t> </w:t>
      </w:r>
      <w:r>
        <w:rPr>
          <w:spacing w:val="-67"/>
        </w:rPr>
      </w:r>
      <w:r>
        <w:rPr/>
        <w:t>事参加了相关培训，通过进一步学习、熟悉有关法律法规，切实提高了履行监事职责的能力。</w:t>
      </w:r>
    </w:p>
    <w:p>
      <w:pPr>
        <w:pStyle w:val="BodyText"/>
        <w:spacing w:line="300" w:lineRule="auto" w:before="19"/>
        <w:ind w:left="513" w:right="1118"/>
        <w:jc w:val="left"/>
      </w:pPr>
      <w:r>
        <w:rPr>
          <w:rFonts w:ascii="Times New Roman" w:hAnsi="Times New Roman" w:cs="Times New Roman" w:eastAsia="Times New Roman" w:hint="default"/>
        </w:rPr>
        <w:t>4</w:t>
      </w:r>
      <w:r>
        <w:rPr/>
        <w:t>、关于绩效评价与激励约束机制 </w:t>
      </w:r>
      <w:r>
        <w:rPr>
          <w:spacing w:val="-5"/>
        </w:rPr>
        <w:t>公司已建立较公正、透明的高级管理人员的绩效考核标准和激励约束机制。高级管理人员的聘任公开、透明，符合法律、</w:t>
      </w:r>
    </w:p>
    <w:p>
      <w:pPr>
        <w:pStyle w:val="BodyText"/>
        <w:spacing w:line="240" w:lineRule="auto" w:before="32"/>
        <w:ind w:right="3827"/>
        <w:jc w:val="left"/>
      </w:pPr>
      <w:r>
        <w:rPr/>
        <w:t>法规的规定。</w:t>
      </w:r>
    </w:p>
    <w:p>
      <w:pPr>
        <w:pStyle w:val="BodyText"/>
        <w:spacing w:line="300" w:lineRule="auto" w:before="76"/>
        <w:ind w:left="513" w:right="1033"/>
        <w:jc w:val="left"/>
      </w:pPr>
      <w:r>
        <w:rPr>
          <w:rFonts w:ascii="Times New Roman" w:hAnsi="Times New Roman" w:cs="Times New Roman" w:eastAsia="Times New Roman" w:hint="default"/>
        </w:rPr>
        <w:t>5</w:t>
      </w:r>
      <w:r>
        <w:rPr/>
        <w:t>、关于信息披露与透明度 公司严格按照有关法律法规以及《信息披露事务管理制度》、《投资者关系管理制度》等的要求，真实、准确、及时、</w:t>
      </w:r>
    </w:p>
    <w:p>
      <w:pPr>
        <w:pStyle w:val="BodyText"/>
        <w:spacing w:line="307" w:lineRule="auto" w:before="31"/>
        <w:ind w:right="1112"/>
        <w:jc w:val="left"/>
      </w:pPr>
      <w:r>
        <w:rPr>
          <w:spacing w:val="-2"/>
        </w:rPr>
        <w:t>公平、完整地披露有关信息；公司高度重视投资者关系管理工作，由公司董事会秘书负责信息披露工作，协调公司与投资者</w:t>
      </w:r>
      <w:r>
        <w:rPr>
          <w:spacing w:val="-64"/>
        </w:rPr>
        <w:t> </w:t>
      </w:r>
      <w:r>
        <w:rPr>
          <w:spacing w:val="-64"/>
        </w:rPr>
      </w:r>
      <w:r>
        <w:rPr/>
        <w:t>的关系，接待投资者来访，回答投资者咨询，向投资者提供公司已披露的资料；并指定巨潮资讯网（</w:t>
      </w:r>
      <w:hyperlink r:id="rId11">
        <w:r>
          <w:rPr>
            <w:rFonts w:ascii="Times New Roman" w:hAnsi="Times New Roman" w:cs="Times New Roman" w:eastAsia="Times New Roman" w:hint="default"/>
          </w:rPr>
          <w:t>www.cninfo.com.cn</w:t>
        </w:r>
      </w:hyperlink>
      <w:r>
        <w:rPr/>
        <w:t>） </w:t>
      </w:r>
      <w:r>
        <w:rPr>
          <w:spacing w:val="-2"/>
        </w:rPr>
        <w:t>为公司信息披露的指定网站，《证券时报》为公司</w:t>
      </w:r>
      <w:r>
        <w:rPr>
          <w:rFonts w:ascii="Times New Roman" w:hAnsi="Times New Roman" w:cs="Times New Roman" w:eastAsia="Times New Roman" w:hint="default"/>
          <w:spacing w:val="-2"/>
        </w:rPr>
        <w:t>2019</w:t>
      </w:r>
      <w:r>
        <w:rPr>
          <w:spacing w:val="-2"/>
        </w:rPr>
        <w:t>年度定期报告披露的指定报刊，确保公司所有股东能够平等的机会获</w:t>
      </w:r>
      <w:r>
        <w:rPr>
          <w:spacing w:val="-59"/>
        </w:rPr>
        <w:t> </w:t>
      </w:r>
      <w:r>
        <w:rPr>
          <w:spacing w:val="-59"/>
        </w:rPr>
      </w:r>
      <w:r>
        <w:rPr/>
        <w:t>得信息。</w:t>
      </w:r>
    </w:p>
    <w:p>
      <w:pPr>
        <w:pStyle w:val="BodyText"/>
        <w:spacing w:line="300" w:lineRule="auto" w:before="26"/>
        <w:ind w:left="513" w:right="1112"/>
        <w:jc w:val="left"/>
      </w:pPr>
      <w:r>
        <w:rPr>
          <w:rFonts w:ascii="Times New Roman" w:hAnsi="Times New Roman" w:cs="Times New Roman" w:eastAsia="Times New Roman" w:hint="default"/>
        </w:rPr>
        <w:t>6</w:t>
      </w:r>
      <w:r>
        <w:rPr/>
        <w:t>、关于相关利益者 </w:t>
      </w:r>
      <w:r>
        <w:rPr>
          <w:spacing w:val="-2"/>
        </w:rPr>
        <w:t>公司充分尊重和维护相关利益者的合法权益，实现股东、员工、社会等各方利益的协调平衡，共同推动公司持续、健康</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3554"/>
        <w:jc w:val="left"/>
      </w:pPr>
      <w:r>
        <w:rPr/>
        <w:t>的发展。 公司治理的实际状况与中国证监会发布的有关上市公司治理的规范性文件是否存在重大差异</w:t>
      </w:r>
    </w:p>
    <w:p>
      <w:pPr>
        <w:pStyle w:val="BodyText"/>
        <w:spacing w:line="340" w:lineRule="auto" w:before="2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firstLine="360"/>
        <w:jc w:val="left"/>
      </w:pPr>
      <w:r>
        <w:rPr/>
        <w:t>公司严格按照《公司法》和《公司章程》规范运作，逐步建立健全公司的法人治理结构，在资产、人员、财务、机构、 业务等各方面与公司股东严格分开，具有完整的业务体系及直接面向市场独立经营的能力。有关情况具体如下：</w:t>
      </w:r>
    </w:p>
    <w:p>
      <w:pPr>
        <w:pStyle w:val="BodyText"/>
        <w:spacing w:line="316" w:lineRule="auto" w:before="19"/>
        <w:ind w:left="513" w:right="1118"/>
        <w:jc w:val="left"/>
      </w:pPr>
      <w:r>
        <w:rPr/>
        <w:t>（一）资产独立情况 </w:t>
      </w:r>
      <w:r>
        <w:rPr>
          <w:spacing w:val="-5"/>
        </w:rPr>
        <w:t>公司拥有独立生产经营有关的土地、办公场所及机器设备等各项资产，对公司资产拥有完全的所有权、控制权和支配权。</w:t>
      </w:r>
    </w:p>
    <w:p>
      <w:pPr>
        <w:pStyle w:val="BodyText"/>
        <w:spacing w:line="319" w:lineRule="auto" w:before="19"/>
        <w:ind w:right="1112"/>
        <w:jc w:val="left"/>
      </w:pPr>
      <w:r>
        <w:rPr>
          <w:spacing w:val="-2"/>
        </w:rPr>
        <w:t>公司与控股股东之间资产产权关系清晰，公司的资产独立于控股股东及其控制的其他企业。公司不存在为股东和其他个人提</w:t>
      </w:r>
      <w:r>
        <w:rPr>
          <w:spacing w:val="-64"/>
        </w:rPr>
        <w:t> </w:t>
      </w:r>
      <w:r>
        <w:rPr>
          <w:spacing w:val="-64"/>
        </w:rPr>
      </w:r>
      <w:r>
        <w:rPr/>
        <w:t>供担保的情形，也不存在资金或者资产被控股股东、实际控制人及其他关联方占用的情形。</w:t>
      </w:r>
    </w:p>
    <w:p>
      <w:pPr>
        <w:pStyle w:val="BodyText"/>
        <w:spacing w:line="316" w:lineRule="auto" w:before="17"/>
        <w:ind w:left="513" w:right="1033"/>
        <w:jc w:val="left"/>
      </w:pPr>
      <w:r>
        <w:rPr/>
        <w:t>（二）人员独立情况 公司依法制定了严格的劳动、人事及薪酬管理制度，公司的董事、监事及高级管理人员均依《公司法》、《公司章程》</w:t>
      </w:r>
    </w:p>
    <w:p>
      <w:pPr>
        <w:pStyle w:val="BodyText"/>
        <w:spacing w:line="316" w:lineRule="auto" w:before="19"/>
        <w:ind w:right="1131"/>
        <w:jc w:val="both"/>
      </w:pPr>
      <w:r>
        <w:rPr>
          <w:spacing w:val="-2"/>
        </w:rPr>
        <w:t>等规定的程序合法选举或聘任。公司总裁、副总裁、财务总监和董事会秘书等高级管理人员均未在控股股东、实际控制人及</w:t>
      </w:r>
      <w:r>
        <w:rPr>
          <w:spacing w:val="-66"/>
        </w:rPr>
        <w:t> </w:t>
      </w:r>
      <w:r>
        <w:rPr>
          <w:spacing w:val="-66"/>
        </w:rPr>
      </w:r>
      <w:r>
        <w:rPr>
          <w:spacing w:val="-2"/>
        </w:rPr>
        <w:t>其控制的其他企业中担任除董事、监事以外的其他职务，亦未在控股股东、实际控制人及其控制的其他企业领薪；公司的财</w:t>
      </w:r>
      <w:r>
        <w:rPr>
          <w:spacing w:val="-64"/>
        </w:rPr>
        <w:t> </w:t>
      </w:r>
      <w:r>
        <w:rPr>
          <w:spacing w:val="-64"/>
        </w:rPr>
      </w:r>
      <w:r>
        <w:rPr/>
        <w:t>务人员均未在控股股东、实际控制人及其控制的其他企业中兼职。</w:t>
      </w:r>
    </w:p>
    <w:p>
      <w:pPr>
        <w:pStyle w:val="BodyText"/>
        <w:spacing w:line="316" w:lineRule="auto" w:before="19"/>
        <w:ind w:left="513" w:right="1033"/>
        <w:jc w:val="left"/>
      </w:pPr>
      <w:r>
        <w:rPr/>
        <w:t>（三）财务独立情况 公司设立了独立的财务部门，建立了独立的会计核算体系，并制定了规范的财务管理制度。公司拥有独立的银行账号，</w:t>
      </w:r>
    </w:p>
    <w:p>
      <w:pPr>
        <w:pStyle w:val="BodyText"/>
        <w:spacing w:line="240" w:lineRule="auto" w:before="19"/>
        <w:ind w:right="0"/>
        <w:jc w:val="both"/>
      </w:pPr>
      <w:r>
        <w:rPr/>
        <w:t>开立了单独的银行基本账户，不存在与控股股东、实际控制人及其控制的其他企业共用银行账户的情形。</w:t>
      </w:r>
    </w:p>
    <w:p>
      <w:pPr>
        <w:pStyle w:val="BodyText"/>
        <w:spacing w:line="316" w:lineRule="auto" w:before="76"/>
        <w:ind w:left="513" w:right="1112"/>
        <w:jc w:val="left"/>
      </w:pPr>
      <w:r>
        <w:rPr/>
        <w:t>（四）机构独立情况 </w:t>
      </w:r>
      <w:r>
        <w:rPr>
          <w:spacing w:val="-2"/>
        </w:rPr>
        <w:t>公司依据《公司章程》等规定设立了股东大会、董事会、监事会等机构，各机构均独立运作，依法行使各自职权，与控</w:t>
      </w:r>
    </w:p>
    <w:p>
      <w:pPr>
        <w:pStyle w:val="BodyText"/>
        <w:spacing w:line="240" w:lineRule="auto" w:before="19"/>
        <w:ind w:right="0"/>
        <w:jc w:val="both"/>
      </w:pPr>
      <w:r>
        <w:rPr/>
        <w:t>股股东、实际控制人及其控制的其他企业间不存在机构混同的情形。</w:t>
      </w:r>
    </w:p>
    <w:p>
      <w:pPr>
        <w:pStyle w:val="BodyText"/>
        <w:spacing w:line="316" w:lineRule="auto" w:before="76"/>
        <w:ind w:left="513" w:right="986"/>
        <w:jc w:val="left"/>
      </w:pPr>
      <w:r>
        <w:rPr/>
        <w:t>（五）业务独立情况 公司主营业务突出，主要从事云计算业务以及</w:t>
      </w:r>
      <w:r>
        <w:rPr>
          <w:rFonts w:ascii="Times New Roman" w:hAnsi="Times New Roman" w:cs="Times New Roman" w:eastAsia="Times New Roman" w:hint="default"/>
        </w:rPr>
        <w:t>IDC</w:t>
      </w:r>
      <w:r>
        <w:rPr/>
        <w:t>及其增值服务，拥有独立的经营场所及开展业务必需的人员、资金、</w:t>
      </w:r>
    </w:p>
    <w:p>
      <w:pPr>
        <w:pStyle w:val="BodyText"/>
        <w:spacing w:line="316" w:lineRule="auto"/>
        <w:ind w:right="1112"/>
        <w:jc w:val="left"/>
      </w:pPr>
      <w:r>
        <w:rPr>
          <w:spacing w:val="-2"/>
        </w:rPr>
        <w:t>设备和配套设施，以及在此基础上建立的独立完整的业务体系，具有面向市场独立经营的能力，不存在依赖控股股东、实际</w:t>
      </w:r>
      <w:r>
        <w:rPr>
          <w:spacing w:val="-63"/>
        </w:rPr>
        <w:t> </w:t>
      </w:r>
      <w:r>
        <w:rPr>
          <w:spacing w:val="-63"/>
        </w:rPr>
      </w:r>
      <w:r>
        <w:rPr/>
        <w:t>控制人及其控制的其他企业的情形。</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4"/>
              <w:ind w:left="24" w:right="9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hyperlink r:id="rId1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2019-039</w:t>
            </w:r>
          </w:p>
        </w:tc>
      </w:tr>
    </w:tbl>
    <w:p>
      <w:pPr>
        <w:spacing w:after="0" w:line="321"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3827"/>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827"/>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3827"/>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3827"/>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3827"/>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43"/>
        <w:ind w:right="1129" w:firstLine="360"/>
        <w:jc w:val="both"/>
      </w:pPr>
      <w:r>
        <w:rPr>
          <w:spacing w:val="-9"/>
        </w:rPr>
        <w:t>报告期内，公司独立董事严格按照《公司章程》、《独立董事工作细则》、《上市公司治理准则》及《深圳证券交易所创业</w:t>
      </w:r>
      <w:r>
        <w:rPr/>
        <w:t> </w:t>
      </w:r>
      <w:r>
        <w:rPr>
          <w:spacing w:val="-5"/>
        </w:rPr>
        <w:t>板上市公司规范运作指引》及相关法律、法规等有关规定和要求，本着对公司及中小股东负责的态度，独立公正地履行职责，</w:t>
      </w:r>
      <w:r>
        <w:rPr>
          <w:spacing w:val="-75"/>
        </w:rPr>
        <w:t> </w:t>
      </w:r>
      <w:r>
        <w:rPr>
          <w:spacing w:val="-75"/>
        </w:rPr>
      </w:r>
      <w:r>
        <w:rPr>
          <w:spacing w:val="-2"/>
        </w:rPr>
        <w:t>积极出席董事会、股东大会，深入公司现场调查，了解生产经营状况和内部控制建设及董事会决议的执行情况，关注外部环</w:t>
      </w:r>
      <w:r>
        <w:rPr>
          <w:spacing w:val="-63"/>
        </w:rPr>
        <w:t> </w:t>
      </w:r>
      <w:r>
        <w:rPr>
          <w:spacing w:val="-63"/>
        </w:rPr>
      </w:r>
      <w:r>
        <w:rPr>
          <w:spacing w:val="-2"/>
        </w:rPr>
        <w:t>境变化对公司造成的影响。独立董事利用自己的专业知识和经验对公司的战略发展、内部控制、重大经营决策等提供了专业</w:t>
      </w:r>
      <w:r>
        <w:rPr>
          <w:spacing w:val="-62"/>
        </w:rPr>
        <w:t> </w:t>
      </w:r>
      <w:r>
        <w:rPr>
          <w:spacing w:val="-62"/>
        </w:rPr>
      </w:r>
      <w:r>
        <w:rPr/>
        <w:t>性意见，对公司财务及生产经营活动、信息披露工作进行有效监督，为公司未来发展和规范运作及提</w:t>
      </w:r>
      <w:r>
        <w:rPr>
          <w:spacing w:val="3"/>
        </w:rPr>
        <w:t> </w:t>
      </w:r>
      <w:r>
        <w:rPr/>
        <w:t>升管理水平起到了积</w:t>
      </w:r>
      <w:r>
        <w:rPr/>
        <w:t> 极作用。</w:t>
      </w:r>
    </w:p>
    <w:p>
      <w:pPr>
        <w:pStyle w:val="BodyText"/>
        <w:spacing w:line="316" w:lineRule="auto" w:before="58"/>
        <w:ind w:right="1134" w:firstLine="360"/>
        <w:jc w:val="both"/>
      </w:pPr>
      <w:r>
        <w:rPr>
          <w:spacing w:val="-2"/>
        </w:rPr>
        <w:t>报告期内，独立董事对公司定期报告、董事会换届选举事项、选聘高级管理人员、募集资金存放与使用情况、年度内部</w:t>
      </w:r>
      <w:r>
        <w:rPr/>
        <w:t> </w:t>
      </w:r>
      <w:r>
        <w:rPr>
          <w:spacing w:val="-2"/>
        </w:rPr>
        <w:t>控制自我评价报告、聘请外部审计机构、利润分配方案、股权激励、会计政策变更等事项发表了独立、客观的独立意见，为</w:t>
      </w:r>
      <w:r>
        <w:rPr>
          <w:spacing w:val="-70"/>
        </w:rPr>
        <w:t> </w:t>
      </w:r>
      <w:r>
        <w:rPr>
          <w:spacing w:val="-70"/>
        </w:rPr>
      </w:r>
      <w:r>
        <w:rPr/>
        <w:t>完善公司监督机制</w:t>
      </w:r>
      <w:r>
        <w:rPr>
          <w:spacing w:val="1"/>
        </w:rPr>
        <w:t> </w:t>
      </w:r>
      <w:r>
        <w:rPr/>
        <w:t>，维护公司和全体股东的合法权益发挥了重要作用。</w:t>
      </w:r>
    </w:p>
    <w:p>
      <w:pPr>
        <w:spacing w:line="240" w:lineRule="auto" w:before="9"/>
        <w:rPr>
          <w:rFonts w:ascii="宋体" w:hAnsi="宋体" w:cs="宋体" w:eastAsia="宋体" w:hint="default"/>
          <w:sz w:val="20"/>
          <w:szCs w:val="20"/>
        </w:rPr>
      </w:pPr>
    </w:p>
    <w:p>
      <w:pPr>
        <w:pStyle w:val="Heading2"/>
        <w:spacing w:line="240" w:lineRule="auto"/>
        <w:ind w:right="3827"/>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8006"/>
        <w:jc w:val="center"/>
      </w:pPr>
      <w:r>
        <w:rPr>
          <w:rFonts w:ascii="Times New Roman" w:hAnsi="Times New Roman" w:cs="Times New Roman" w:eastAsia="Times New Roman" w:hint="default"/>
        </w:rPr>
        <w:t>1</w:t>
      </w:r>
      <w:r>
        <w:rPr/>
        <w:t>、审计委员会履职情况</w:t>
      </w:r>
    </w:p>
    <w:p>
      <w:pPr>
        <w:spacing w:after="0" w:line="240" w:lineRule="auto"/>
        <w:jc w:val="cente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131" w:firstLine="360"/>
        <w:jc w:val="both"/>
      </w:pPr>
      <w:r>
        <w:rPr>
          <w:spacing w:val="-12"/>
        </w:rPr>
        <w:t>报告期内，审计委员会根据《公司法》、《证券法》、《上市公司治理准则》、《内部审计制度》及《董事会审计委员会工作</w:t>
      </w:r>
      <w:r>
        <w:rPr/>
        <w:t> </w:t>
      </w:r>
      <w:r>
        <w:rPr>
          <w:spacing w:val="-2"/>
        </w:rPr>
        <w:t>制度》等有关规定，积极履行职责。报告期内，审计委员会共召开了</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2"/>
        </w:rPr>
        <w:t>次会议，对报告期内公司定期报告、募集资金存放与</w:t>
      </w:r>
      <w:r>
        <w:rPr>
          <w:spacing w:val="-88"/>
        </w:rPr>
        <w:t> </w:t>
      </w:r>
      <w:r>
        <w:rPr>
          <w:spacing w:val="-88"/>
        </w:rPr>
      </w:r>
      <w:r>
        <w:rPr>
          <w:spacing w:val="-2"/>
        </w:rPr>
        <w:t>使用情况、年度内部控制自我评价报告、聘请外部审计机构、公司审计部工作情况等事项进行了审议，就公司内部审计部门</w:t>
      </w:r>
      <w:r>
        <w:rPr>
          <w:spacing w:val="-65"/>
        </w:rPr>
        <w:t> </w:t>
      </w:r>
      <w:r>
        <w:rPr>
          <w:spacing w:val="-65"/>
        </w:rPr>
      </w:r>
      <w:r>
        <w:rPr>
          <w:spacing w:val="-2"/>
        </w:rPr>
        <w:t>工作和审计质量进行沟通和指导，审查公司内控制度建设及完善情况，并提出合理化建议，切实履行了独立董事的职责，发</w:t>
      </w:r>
      <w:r>
        <w:rPr>
          <w:spacing w:val="-64"/>
        </w:rPr>
        <w:t> </w:t>
      </w:r>
      <w:r>
        <w:rPr>
          <w:spacing w:val="-64"/>
        </w:rPr>
      </w:r>
      <w:r>
        <w:rPr/>
        <w:t>挥了审计委员会委员的作用。</w:t>
      </w:r>
    </w:p>
    <w:p>
      <w:pPr>
        <w:pStyle w:val="BodyText"/>
        <w:spacing w:line="240" w:lineRule="auto" w:before="61"/>
        <w:ind w:left="513" w:right="3827"/>
        <w:jc w:val="left"/>
      </w:pPr>
      <w:r>
        <w:rPr>
          <w:rFonts w:ascii="Times New Roman" w:hAnsi="Times New Roman" w:cs="Times New Roman" w:eastAsia="Times New Roman" w:hint="default"/>
        </w:rPr>
        <w:t>2</w:t>
      </w:r>
      <w:r>
        <w:rPr/>
        <w:t>、战略委员会履职情况</w:t>
      </w:r>
    </w:p>
    <w:p>
      <w:pPr>
        <w:pStyle w:val="BodyText"/>
        <w:spacing w:line="304" w:lineRule="auto" w:before="101"/>
        <w:ind w:right="1113" w:firstLine="360"/>
        <w:jc w:val="left"/>
      </w:pPr>
      <w:r>
        <w:rPr/>
        <w:t>报告期内，公司积极布局</w:t>
      </w:r>
      <w:r>
        <w:rPr>
          <w:spacing w:val="-45"/>
        </w:rPr>
        <w:t> </w:t>
      </w:r>
      <w:r>
        <w:rPr>
          <w:rFonts w:ascii="Times New Roman" w:hAnsi="Times New Roman" w:cs="Times New Roman" w:eastAsia="Times New Roman" w:hint="default"/>
        </w:rPr>
        <w:t>IDC </w:t>
      </w:r>
      <w:r>
        <w:rPr/>
        <w:t>市场，战略委员会积极了解公司的经营情况及行业发展状况，结合公司战略规划及实际 情况，向公司董事会就研发方向、市场开拓重点、未来发展规划等战略决策提出专业意见。</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年战略委员会共召开</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 会议，针对公司对与三河市岩峰高新技术产业园有限公司签署增资合作协议事宜、收购上海中可企业发展有限公司</w:t>
      </w:r>
      <w:r>
        <w:rPr>
          <w:spacing w:val="-49"/>
        </w:rPr>
        <w:t> </w:t>
      </w:r>
      <w:r>
        <w:rPr>
          <w:rFonts w:ascii="Times New Roman" w:hAnsi="Times New Roman" w:cs="Times New Roman" w:eastAsia="Times New Roman" w:hint="default"/>
        </w:rPr>
        <w:t>100%</w:t>
      </w:r>
      <w:r>
        <w:rPr/>
        <w:t>股 权暨建设上海嘉定绿色云计算基地二期项目及收购及增资取得昆山美鸿业金属制品有限公司</w:t>
      </w:r>
      <w:r>
        <w:rPr>
          <w:spacing w:val="-44"/>
        </w:rPr>
        <w:t> </w:t>
      </w:r>
      <w:r>
        <w:rPr>
          <w:rFonts w:ascii="Times New Roman" w:hAnsi="Times New Roman" w:cs="Times New Roman" w:eastAsia="Times New Roman" w:hint="default"/>
        </w:rPr>
        <w:t>63%</w:t>
      </w:r>
      <w:r>
        <w:rPr/>
        <w:t>股权的相关事项，进行了 </w:t>
      </w:r>
      <w:r>
        <w:rPr>
          <w:spacing w:val="-2"/>
        </w:rPr>
        <w:t>充分的调查和了解，剖析标的资产状况以及对公司发展的影响，与公司管理层进行充分的沟通，认真履行了战略委员会委员</w:t>
      </w:r>
      <w:r>
        <w:rPr>
          <w:spacing w:val="-63"/>
        </w:rPr>
        <w:t> </w:t>
      </w:r>
      <w:r>
        <w:rPr>
          <w:spacing w:val="-63"/>
        </w:rPr>
      </w:r>
      <w:r>
        <w:rPr/>
        <w:t>的职责，最终对相关事项发布同意意见并形成决议。</w:t>
      </w:r>
    </w:p>
    <w:p>
      <w:pPr>
        <w:pStyle w:val="BodyText"/>
        <w:spacing w:line="314" w:lineRule="auto" w:before="69"/>
        <w:ind w:right="1133" w:firstLine="360"/>
        <w:jc w:val="both"/>
      </w:pPr>
      <w:r>
        <w:rPr>
          <w:rFonts w:ascii="Times New Roman" w:hAnsi="Times New Roman" w:cs="Times New Roman" w:eastAsia="Times New Roman" w:hint="default"/>
        </w:rPr>
        <w:t>3</w:t>
      </w:r>
      <w:r>
        <w:rPr/>
        <w:t>、薪酬与考核委员会：报告期内，薪酬与考核委员会召开了</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8"/>
        </w:rPr>
        <w:t>次会议，按照《公司章程》、《董事会薪酬与考核委员会</w:t>
      </w:r>
      <w:r>
        <w:rPr/>
        <w:t> </w:t>
      </w:r>
      <w:r>
        <w:rPr>
          <w:spacing w:val="-5"/>
        </w:rPr>
        <w:t>工作制度》等相关规定，薪酬与考核委员会审议通过了董事、监事及高级管理人员的考核标准及薪酬方案，审核公司董事（非</w:t>
      </w:r>
      <w:r>
        <w:rPr>
          <w:spacing w:val="-80"/>
        </w:rPr>
        <w:t> </w:t>
      </w:r>
      <w:r>
        <w:rPr>
          <w:spacing w:val="-80"/>
        </w:rPr>
      </w:r>
      <w:r>
        <w:rPr>
          <w:spacing w:val="-2"/>
        </w:rPr>
        <w:t>独立董事）、监事及高级管理人的履职情况并对其进行年度绩效考评，监督公司薪酬制度和激励制度的执行情况。对公司首</w:t>
      </w:r>
      <w:r>
        <w:rPr>
          <w:spacing w:val="-72"/>
        </w:rPr>
        <w:t> </w:t>
      </w:r>
      <w:r>
        <w:rPr>
          <w:spacing w:val="-72"/>
        </w:rPr>
      </w:r>
      <w:r>
        <w:rPr>
          <w:spacing w:val="-2"/>
        </w:rPr>
        <w:t>期股票期权激励计划第三个行权期可行权事项、调整激励对象名单、股票期权数量、行权价格及注销部分股票期权发表了意</w:t>
      </w:r>
      <w:r>
        <w:rPr>
          <w:spacing w:val="-66"/>
        </w:rPr>
        <w:t> </w:t>
      </w:r>
      <w:r>
        <w:rPr>
          <w:spacing w:val="-66"/>
        </w:rPr>
      </w:r>
      <w:r>
        <w:rPr/>
        <w:t>见并形成决议。</w:t>
      </w:r>
    </w:p>
    <w:p>
      <w:pPr>
        <w:pStyle w:val="BodyText"/>
        <w:spacing w:line="309" w:lineRule="auto" w:before="61"/>
        <w:ind w:right="1131" w:firstLine="360"/>
        <w:jc w:val="both"/>
      </w:pPr>
      <w:r>
        <w:rPr>
          <w:rFonts w:ascii="Times New Roman" w:hAnsi="Times New Roman" w:cs="Times New Roman" w:eastAsia="Times New Roman" w:hint="default"/>
        </w:rPr>
        <w:t>4</w:t>
      </w:r>
      <w:r>
        <w:rPr/>
        <w:t>、提名委员会：报告期内，提名委员会委员共召开</w:t>
      </w:r>
      <w:r>
        <w:rPr>
          <w:spacing w:val="-45"/>
        </w:rPr>
        <w:t> </w:t>
      </w:r>
      <w:r>
        <w:rPr>
          <w:rFonts w:ascii="Times New Roman" w:hAnsi="Times New Roman" w:cs="Times New Roman" w:eastAsia="Times New Roman" w:hint="default"/>
        </w:rPr>
        <w:t>2 </w:t>
      </w:r>
      <w:r>
        <w:rPr/>
        <w:t>次会议，对第四届董事会独立董事、非独立董事候选人，公司新 </w:t>
      </w:r>
      <w:r>
        <w:rPr>
          <w:spacing w:val="-2"/>
        </w:rPr>
        <w:t>一届高级管理人员候选人任职资格及履职能力进行了审查，认为各位董事候选人及高级管理人员候选人均符合担任上市公司</w:t>
      </w:r>
      <w:r>
        <w:rPr>
          <w:spacing w:val="-63"/>
        </w:rPr>
        <w:t> </w:t>
      </w:r>
      <w:r>
        <w:rPr>
          <w:spacing w:val="-63"/>
        </w:rPr>
      </w:r>
      <w:r>
        <w:rPr/>
        <w:t>董事及高级管理人员的要求，能够胜任相关职务，对相关事项发表了同意意见，并形成决议。</w:t>
      </w:r>
    </w:p>
    <w:p>
      <w:pPr>
        <w:spacing w:line="240" w:lineRule="auto" w:before="1"/>
        <w:rPr>
          <w:rFonts w:ascii="宋体" w:hAnsi="宋体" w:cs="宋体" w:eastAsia="宋体" w:hint="default"/>
          <w:sz w:val="21"/>
          <w:szCs w:val="21"/>
        </w:rPr>
      </w:pPr>
    </w:p>
    <w:p>
      <w:pPr>
        <w:pStyle w:val="Heading2"/>
        <w:spacing w:line="240" w:lineRule="auto"/>
        <w:ind w:right="3827"/>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827"/>
        <w:jc w:val="left"/>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3827"/>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12" w:firstLine="360"/>
        <w:jc w:val="left"/>
      </w:pPr>
      <w:r>
        <w:rPr>
          <w:spacing w:val="-2"/>
        </w:rPr>
        <w:t>公司高级管理人员的薪酬分配与考核以企业经济效益为出发点，根据公司年度经营计划和高级管理人员分管工作的工作</w:t>
      </w:r>
      <w:r>
        <w:rPr/>
        <w:t> 目标，进行综合考核，根据考核结果确定高级管理人员的薪酬分配。</w:t>
      </w:r>
    </w:p>
    <w:p>
      <w:pPr>
        <w:pStyle w:val="BodyText"/>
        <w:spacing w:line="240" w:lineRule="auto" w:before="19"/>
        <w:ind w:left="513" w:right="3827"/>
        <w:jc w:val="left"/>
      </w:pPr>
      <w:r>
        <w:rPr/>
        <w:t>（一）公司高级管理人员薪酬的确定应遵循以下原则：</w:t>
      </w:r>
    </w:p>
    <w:p>
      <w:pPr>
        <w:pStyle w:val="BodyText"/>
        <w:spacing w:line="240" w:lineRule="auto" w:before="76"/>
        <w:ind w:left="513" w:right="3827"/>
        <w:jc w:val="left"/>
      </w:pPr>
      <w:r>
        <w:rPr>
          <w:rFonts w:ascii="Times New Roman" w:hAnsi="Times New Roman" w:cs="Times New Roman" w:eastAsia="Times New Roman" w:hint="default"/>
        </w:rPr>
        <w:t>1</w:t>
      </w:r>
      <w:r>
        <w:rPr/>
        <w:t>、公开、公正、公平、透明的基本原则；</w:t>
      </w:r>
    </w:p>
    <w:p>
      <w:pPr>
        <w:pStyle w:val="BodyText"/>
        <w:spacing w:line="240" w:lineRule="auto" w:before="63"/>
        <w:ind w:left="513" w:right="1112"/>
        <w:jc w:val="left"/>
      </w:pPr>
      <w:r>
        <w:rPr>
          <w:rFonts w:ascii="Times New Roman" w:hAnsi="Times New Roman" w:cs="Times New Roman" w:eastAsia="Times New Roman" w:hint="default"/>
        </w:rPr>
        <w:t>2</w:t>
      </w:r>
      <w:r>
        <w:rPr/>
        <w:t>、责、权、利相结合，与公司的经济效益及个人岗位责任目标相结合为主要原则，辅以行为规范；</w:t>
      </w:r>
    </w:p>
    <w:p>
      <w:pPr>
        <w:pStyle w:val="BodyText"/>
        <w:spacing w:line="240" w:lineRule="auto" w:before="63"/>
        <w:ind w:left="513" w:right="1112"/>
        <w:jc w:val="left"/>
      </w:pPr>
      <w:r>
        <w:rPr>
          <w:rFonts w:ascii="Times New Roman" w:hAnsi="Times New Roman" w:cs="Times New Roman" w:eastAsia="Times New Roman" w:hint="default"/>
        </w:rPr>
        <w:t>3</w:t>
      </w:r>
      <w:r>
        <w:rPr/>
        <w:t>、与公司普通员工薪酬增长相适应；与外部市场同等职位薪酬相适应，保持公司薪酬的吸引力及市场竞争力；</w:t>
      </w:r>
    </w:p>
    <w:p>
      <w:pPr>
        <w:pStyle w:val="BodyText"/>
        <w:spacing w:line="240" w:lineRule="auto" w:before="63"/>
        <w:ind w:left="513" w:right="3827"/>
        <w:jc w:val="left"/>
      </w:pPr>
      <w:r>
        <w:rPr>
          <w:rFonts w:ascii="Times New Roman" w:hAnsi="Times New Roman" w:cs="Times New Roman" w:eastAsia="Times New Roman" w:hint="default"/>
        </w:rPr>
        <w:t>4</w:t>
      </w:r>
      <w:r>
        <w:rPr/>
        <w:t>、短期与长期激励相结合的原则；</w:t>
      </w:r>
    </w:p>
    <w:p>
      <w:pPr>
        <w:pStyle w:val="BodyText"/>
        <w:spacing w:line="240" w:lineRule="auto" w:before="63"/>
        <w:ind w:left="513" w:right="3827"/>
        <w:jc w:val="left"/>
      </w:pPr>
      <w:r>
        <w:rPr>
          <w:rFonts w:ascii="Times New Roman" w:hAnsi="Times New Roman" w:cs="Times New Roman" w:eastAsia="Times New Roman" w:hint="default"/>
        </w:rPr>
        <w:t>5</w:t>
      </w:r>
      <w:r>
        <w:rPr/>
        <w:t>、薪酬与公司长远利益相结合的原则。</w:t>
      </w:r>
    </w:p>
    <w:p>
      <w:pPr>
        <w:pStyle w:val="BodyText"/>
        <w:spacing w:line="240" w:lineRule="auto" w:before="63"/>
        <w:ind w:left="513" w:right="3827"/>
        <w:jc w:val="left"/>
      </w:pPr>
      <w:r>
        <w:rPr/>
        <w:t>（二）高级管理人员的薪酬考核标准如下：</w:t>
      </w:r>
    </w:p>
    <w:p>
      <w:pPr>
        <w:pStyle w:val="BodyText"/>
        <w:spacing w:line="240" w:lineRule="auto" w:before="76"/>
        <w:ind w:left="513" w:right="1112"/>
        <w:jc w:val="left"/>
      </w:pPr>
      <w:r>
        <w:rPr>
          <w:rFonts w:ascii="Times New Roman" w:hAnsi="Times New Roman" w:cs="Times New Roman" w:eastAsia="Times New Roman" w:hint="default"/>
        </w:rPr>
        <w:t>1</w:t>
      </w:r>
      <w:r>
        <w:rPr/>
        <w:t>、高级管理人员的薪酬由年度薪酬和年度奖励两部分构成，其中年度薪酬包括年度固定薪酬和年度绩效薪酬。</w:t>
      </w:r>
    </w:p>
    <w:p>
      <w:pPr>
        <w:pStyle w:val="BodyText"/>
        <w:spacing w:line="240" w:lineRule="auto" w:before="63"/>
        <w:ind w:left="513" w:right="1112"/>
        <w:jc w:val="left"/>
      </w:pPr>
      <w:r>
        <w:rPr>
          <w:rFonts w:ascii="Times New Roman" w:hAnsi="Times New Roman" w:cs="Times New Roman" w:eastAsia="Times New Roman" w:hint="default"/>
        </w:rPr>
        <w:t>2</w:t>
      </w:r>
      <w:r>
        <w:rPr/>
        <w:t>、年度固定薪酬部分主要根据职位、责任、能力、市场薪资行情等因素确定，不进行考核，按月发放；</w:t>
      </w:r>
    </w:p>
    <w:p>
      <w:pPr>
        <w:pStyle w:val="BodyText"/>
        <w:spacing w:line="300" w:lineRule="auto" w:before="63"/>
        <w:ind w:right="1112" w:firstLine="360"/>
        <w:jc w:val="left"/>
      </w:pPr>
      <w:r>
        <w:rPr>
          <w:rFonts w:ascii="Times New Roman" w:hAnsi="Times New Roman" w:cs="Times New Roman" w:eastAsia="Times New Roman" w:hint="default"/>
          <w:spacing w:val="-4"/>
        </w:rPr>
        <w:t>3</w:t>
      </w:r>
      <w:r>
        <w:rPr>
          <w:spacing w:val="-4"/>
        </w:rPr>
        <w:t>、年度绩效薪酬主要考核公司目标完成情况、个人目标完成情况及个人行为规范等。年度绩效薪酬的考核周期为季度，</w:t>
      </w:r>
      <w:r>
        <w:rPr/>
        <w:t> 本季度按上一季度的绩效目标达成情况评定公司绩效考核系数及个人评价考核系数，从而核算薪酬并按月发放。</w:t>
      </w:r>
    </w:p>
    <w:p>
      <w:pPr>
        <w:pStyle w:val="BodyText"/>
        <w:spacing w:line="300" w:lineRule="auto" w:before="31"/>
        <w:ind w:right="1124" w:firstLine="360"/>
        <w:jc w:val="left"/>
      </w:pPr>
      <w:r>
        <w:rPr>
          <w:rFonts w:ascii="Times New Roman" w:hAnsi="Times New Roman" w:cs="Times New Roman" w:eastAsia="Times New Roman" w:hint="default"/>
        </w:rPr>
        <w:t>4</w:t>
      </w:r>
      <w:r>
        <w:rPr/>
        <w:t>、年度奖励主要考核全年度公司收入及利润目标的完成情况，高级管理人员依岗责分管业务目标及重点项目、重大措 施的完成情况及其它管理要求指标的完成情况、特别贡献等情况。</w:t>
      </w:r>
    </w:p>
    <w:p>
      <w:pPr>
        <w:spacing w:after="0" w:line="30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3827"/>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327"/>
        <w:gridCol w:w="3053"/>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40"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重大缺陷认定标准：①董事、监事、高级 管理人员舞弊。②对已经公告的财务报告 出现重大差错而进行的差错更正。③当期 财务报告存在重大差错，而内部控制运行 过程中未发现该差错。④公司审计委员会 和审计部门对财务报告内部控制监督无 效。</w:t>
            </w:r>
          </w:p>
          <w:p>
            <w:pPr>
              <w:pStyle w:val="TableParagraph"/>
              <w:spacing w:line="316" w:lineRule="auto" w:before="59"/>
              <w:ind w:left="23" w:right="47"/>
              <w:jc w:val="both"/>
              <w:rPr>
                <w:rFonts w:ascii="宋体" w:hAnsi="宋体" w:cs="宋体" w:eastAsia="宋体" w:hint="default"/>
                <w:sz w:val="18"/>
                <w:szCs w:val="18"/>
              </w:rPr>
            </w:pPr>
            <w:r>
              <w:rPr>
                <w:rFonts w:ascii="宋体" w:hAnsi="宋体" w:cs="宋体" w:eastAsia="宋体" w:hint="default"/>
                <w:sz w:val="18"/>
                <w:szCs w:val="18"/>
              </w:rPr>
              <w:t>重要缺陷认定标准：①未建立反舞弊程序 和控制措施。②对于非常规或特殊交易的 账务处理没有建立相应控制机制。③对于 财务报告编制过程中存在一项或多项缺陷 不能保证编制的财务报表达到真实、准确 的目标。</w:t>
            </w:r>
          </w:p>
          <w:p>
            <w:pPr>
              <w:pStyle w:val="TableParagraph"/>
              <w:spacing w:line="316" w:lineRule="auto" w:before="59"/>
              <w:ind w:left="23" w:right="46"/>
              <w:jc w:val="both"/>
              <w:rPr>
                <w:rFonts w:ascii="宋体" w:hAnsi="宋体" w:cs="宋体" w:eastAsia="宋体" w:hint="default"/>
                <w:sz w:val="18"/>
                <w:szCs w:val="18"/>
              </w:rPr>
            </w:pPr>
            <w:r>
              <w:rPr>
                <w:rFonts w:ascii="宋体" w:hAnsi="宋体" w:cs="宋体" w:eastAsia="宋体" w:hint="default"/>
                <w:sz w:val="18"/>
                <w:szCs w:val="18"/>
              </w:rPr>
              <w:t>一般缺陷认定标准：①当期财务报告存在 小额差错，而内部控制运行过程中未发现 该差错。②公司审计委员会和审计部门对 内部控制的监督存在一般缺陷。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6" w:right="-43"/>
              <w:jc w:val="left"/>
              <w:rPr>
                <w:rFonts w:ascii="宋体" w:hAnsi="宋体" w:cs="宋体" w:eastAsia="宋体" w:hint="default"/>
                <w:sz w:val="18"/>
                <w:szCs w:val="18"/>
              </w:rPr>
            </w:pPr>
            <w:r>
              <w:rPr>
                <w:rFonts w:ascii="宋体" w:hAnsi="宋体" w:cs="宋体" w:eastAsia="宋体" w:hint="default"/>
                <w:spacing w:val="-4"/>
                <w:sz w:val="18"/>
                <w:szCs w:val="18"/>
              </w:rPr>
              <w:t>重大缺陷认定标准：①公司经营活动违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反国家法律、法规。②媒体负面新闻频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频曝光，对公司声誉造成重大影响。③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高级管理人员和核心技术人员严重流 失。④内部控制重大缺陷未得到整改。</w:t>
            </w:r>
          </w:p>
          <w:p>
            <w:pPr>
              <w:pStyle w:val="TableParagraph"/>
              <w:spacing w:line="316" w:lineRule="auto" w:before="59"/>
              <w:ind w:left="26" w:right="19"/>
              <w:jc w:val="both"/>
              <w:rPr>
                <w:rFonts w:ascii="宋体" w:hAnsi="宋体" w:cs="宋体" w:eastAsia="宋体" w:hint="default"/>
                <w:sz w:val="18"/>
                <w:szCs w:val="18"/>
              </w:rPr>
            </w:pPr>
            <w:r>
              <w:rPr>
                <w:rFonts w:ascii="宋体" w:hAnsi="宋体" w:cs="宋体" w:eastAsia="宋体" w:hint="default"/>
                <w:spacing w:val="-4"/>
                <w:sz w:val="18"/>
                <w:szCs w:val="18"/>
              </w:rPr>
              <w:t>重要缺陷认定标准：①公司违反国家法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律、法规活动受到轻微处罚。②媒体出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现负面新闻，对公司声誉造成影响。③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关键岗位人员严重流失。④内部控制重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要缺陷未得到整改。</w:t>
            </w:r>
          </w:p>
          <w:p>
            <w:pPr>
              <w:pStyle w:val="TableParagraph"/>
              <w:spacing w:line="316" w:lineRule="auto" w:before="59"/>
              <w:ind w:left="26" w:right="19"/>
              <w:jc w:val="left"/>
              <w:rPr>
                <w:rFonts w:ascii="宋体" w:hAnsi="宋体" w:cs="宋体" w:eastAsia="宋体" w:hint="default"/>
                <w:sz w:val="18"/>
                <w:szCs w:val="18"/>
              </w:rPr>
            </w:pPr>
            <w:r>
              <w:rPr>
                <w:rFonts w:ascii="宋体" w:hAnsi="宋体" w:cs="宋体" w:eastAsia="宋体" w:hint="default"/>
                <w:spacing w:val="-4"/>
                <w:sz w:val="18"/>
                <w:szCs w:val="18"/>
              </w:rPr>
              <w:t>一般缺陷认定标准：①媒体出现负面新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闻，但影响不大。②一般岗位人员流失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严重。③内部控制一般缺陷未得到整 改。</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539"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826"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5"/>
                <w:sz w:val="18"/>
                <w:szCs w:val="18"/>
              </w:rPr>
              <w:t>重要缺陷：税前利润的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错报＜税前 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8"/>
              <w:ind w:left="23" w:right="0"/>
              <w:jc w:val="left"/>
              <w:rPr>
                <w:rFonts w:ascii="宋体" w:hAnsi="宋体" w:cs="宋体" w:eastAsia="宋体" w:hint="default"/>
                <w:sz w:val="18"/>
                <w:szCs w:val="18"/>
              </w:rPr>
            </w:pPr>
            <w:r>
              <w:rPr>
                <w:rFonts w:ascii="宋体" w:hAnsi="宋体" w:cs="宋体" w:eastAsia="宋体" w:hint="default"/>
                <w:sz w:val="18"/>
                <w:szCs w:val="18"/>
              </w:rPr>
              <w:t>一般缺陷：错报＜税前利润的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19" w:lineRule="auto" w:before="103"/>
              <w:ind w:left="26" w:right="19"/>
              <w:jc w:val="left"/>
              <w:rPr>
                <w:rFonts w:ascii="宋体" w:hAnsi="宋体" w:cs="宋体" w:eastAsia="宋体" w:hint="default"/>
                <w:sz w:val="18"/>
                <w:szCs w:val="18"/>
              </w:rPr>
            </w:pPr>
            <w:r>
              <w:rPr>
                <w:rFonts w:ascii="宋体" w:hAnsi="宋体" w:cs="宋体" w:eastAsia="宋体" w:hint="default"/>
                <w:spacing w:val="-4"/>
                <w:sz w:val="18"/>
                <w:szCs w:val="18"/>
              </w:rPr>
              <w:t>重要缺陷：资产总额的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0.05%</w:t>
            </w:r>
            <w:r>
              <w:rPr>
                <w:rFonts w:ascii="宋体" w:hAnsi="宋体" w:cs="宋体" w:eastAsia="宋体" w:hint="default"/>
                <w:sz w:val="18"/>
                <w:szCs w:val="18"/>
              </w:rPr>
              <w:t>＜直接损 失金额＜资产总的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一般缺陷：直接损失金额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6"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823"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980" w:header="745"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3827"/>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827"/>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我们认为，北京光环新网科技股份有限公司于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日在所有重大方面保持了与财务报表相关的有效的内部控 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3827"/>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footerReference w:type="default" r:id="rId19"/>
          <w:pgSz w:w="11910" w:h="16840"/>
          <w:pgMar w:footer="980" w:header="745"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827"/>
        <w:jc w:val="left"/>
        <w:rPr>
          <w:b w:val="0"/>
          <w:bCs w:val="0"/>
        </w:rPr>
      </w:pPr>
      <w:bookmarkStart w:name="第十一节 公司债券相关情况" w:id="152"/>
      <w:bookmarkEnd w:id="152"/>
      <w:r>
        <w:rPr>
          <w:b w:val="0"/>
          <w:bCs w:val="0"/>
        </w:rPr>
      </w:r>
      <w:bookmarkStart w:name="_bookmark10" w:id="153"/>
      <w:bookmarkEnd w:id="153"/>
      <w:r>
        <w:rPr>
          <w:b w:val="0"/>
          <w:bCs w:val="0"/>
        </w:rPr>
      </w:r>
      <w:r>
        <w:rPr/>
        <w:t>第十一节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3827"/>
        <w:jc w:val="left"/>
        <w:rPr>
          <w:b w:val="0"/>
          <w:bCs w:val="0"/>
        </w:rPr>
      </w:pPr>
      <w:bookmarkStart w:name="第十二节 财务报告" w:id="154"/>
      <w:bookmarkEnd w:id="154"/>
      <w:r>
        <w:rPr>
          <w:b w:val="0"/>
          <w:bCs w:val="0"/>
        </w:rPr>
      </w:r>
      <w:bookmarkStart w:name="_bookmark11" w:id="155"/>
      <w:bookmarkEnd w:id="155"/>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3827"/>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010967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白秀荣、韩靖</w:t>
            </w:r>
          </w:p>
        </w:tc>
      </w:tr>
    </w:tbl>
    <w:p>
      <w:pPr>
        <w:spacing w:line="240" w:lineRule="auto" w:before="5"/>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3"/>
          <w:szCs w:val="13"/>
        </w:rPr>
      </w:pPr>
    </w:p>
    <w:p>
      <w:pPr>
        <w:pStyle w:val="BodyText"/>
        <w:spacing w:line="316" w:lineRule="auto"/>
        <w:ind w:left="513" w:right="-20" w:hanging="361"/>
        <w:jc w:val="left"/>
      </w:pPr>
      <w:r>
        <w:rPr/>
        <w:t>北京光环新网科技股份有限公司全体股东： 一、审计意见</w:t>
      </w:r>
    </w:p>
    <w:p>
      <w:pPr>
        <w:pStyle w:val="Heading4"/>
        <w:spacing w:line="240" w:lineRule="auto" w:before="37"/>
        <w:ind w:right="0"/>
        <w:jc w:val="left"/>
      </w:pPr>
      <w:r>
        <w:rPr/>
        <w:br w:type="column"/>
      </w:r>
      <w:r>
        <w:rPr/>
        <w:t>审计报告正文</w:t>
      </w:r>
    </w:p>
    <w:p>
      <w:pPr>
        <w:spacing w:after="0" w:line="240" w:lineRule="auto"/>
        <w:jc w:val="left"/>
        <w:sectPr>
          <w:type w:val="continuous"/>
          <w:pgSz w:w="11910" w:h="16840"/>
          <w:pgMar w:top="1060" w:bottom="700" w:left="980" w:right="0"/>
          <w:cols w:num="2" w:equalWidth="0">
            <w:col w:w="3573" w:space="647"/>
            <w:col w:w="6710"/>
          </w:cols>
        </w:sectPr>
      </w:pPr>
    </w:p>
    <w:p>
      <w:pPr>
        <w:pStyle w:val="BodyText"/>
        <w:spacing w:line="300" w:lineRule="auto" w:before="19"/>
        <w:ind w:right="1128" w:firstLine="360"/>
        <w:jc w:val="both"/>
      </w:pPr>
      <w:r>
        <w:rPr>
          <w:spacing w:val="-2"/>
        </w:rPr>
        <w:t>我们审计了北京光环新网科技股份有限公司（以下简称“光环新网公司”）财务报表，包括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r>
        <w:rPr/>
        <w:t> </w:t>
      </w:r>
      <w:r>
        <w:rPr>
          <w:spacing w:val="-2"/>
        </w:rPr>
        <w:t>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年度的合并及母公司利润表、合并及母公司现金流量表、合并及母公司股东权益变动表以及相关财务</w:t>
      </w:r>
      <w:r>
        <w:rPr>
          <w:spacing w:val="-60"/>
        </w:rPr>
        <w:t> </w:t>
      </w:r>
      <w:r>
        <w:rPr>
          <w:spacing w:val="-60"/>
        </w:rPr>
      </w:r>
      <w:r>
        <w:rPr/>
        <w:t>报表附注。</w:t>
      </w:r>
    </w:p>
    <w:p>
      <w:pPr>
        <w:pStyle w:val="BodyText"/>
        <w:spacing w:line="300" w:lineRule="auto" w:before="31"/>
        <w:ind w:right="1128" w:firstLine="360"/>
        <w:jc w:val="both"/>
      </w:pPr>
      <w:r>
        <w:rPr>
          <w:spacing w:val="-2"/>
        </w:rPr>
        <w:t>我们认为，后附的财务报表在所有重大方面按照企业会计准则的规定编制，公允反映了光环新网公司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r>
        <w:rPr/>
        <w:t> 并及母公司的财务状况以及</w:t>
      </w:r>
      <w:r>
        <w:rPr>
          <w:rFonts w:ascii="Times New Roman" w:hAnsi="Times New Roman" w:cs="Times New Roman" w:eastAsia="Times New Roman" w:hint="default"/>
        </w:rPr>
        <w:t>2019</w:t>
      </w:r>
      <w:r>
        <w:rPr/>
        <w:t>年度合并及母公司的经营成果和现金流量。</w:t>
      </w:r>
    </w:p>
    <w:p>
      <w:pPr>
        <w:pStyle w:val="BodyText"/>
        <w:spacing w:line="319" w:lineRule="auto" w:before="13"/>
        <w:ind w:left="513" w:right="1112"/>
        <w:jc w:val="left"/>
      </w:pPr>
      <w:r>
        <w:rPr/>
        <w:t>二、形成审计意见的基础 </w:t>
      </w:r>
      <w:r>
        <w:rPr>
          <w:spacing w:val="-2"/>
        </w:rPr>
        <w:t>我们按照中国注册会计师审计准则的规定执行了审计工作。审计报告的“注册会计师对财务报表审计的责任”部分进一</w:t>
      </w:r>
    </w:p>
    <w:p>
      <w:pPr>
        <w:pStyle w:val="BodyText"/>
        <w:spacing w:line="316" w:lineRule="auto" w:before="17"/>
        <w:ind w:right="1112"/>
        <w:jc w:val="left"/>
      </w:pPr>
      <w:r>
        <w:rPr>
          <w:spacing w:val="-2"/>
        </w:rPr>
        <w:t>步阐述了我们在这些准则下的责任。按照中国注册会计师职业道德守则，我们独立于光环新网公司，并履行了职业道德方面</w:t>
      </w:r>
      <w:r>
        <w:rPr>
          <w:spacing w:val="-63"/>
        </w:rPr>
        <w:t> </w:t>
      </w:r>
      <w:r>
        <w:rPr>
          <w:spacing w:val="-63"/>
        </w:rPr>
      </w:r>
      <w:r>
        <w:rPr/>
        <w:t>的其他责任。我们相信，我们获取的审计证据是充分、适当的，为发表审计意见提供了基础。</w:t>
      </w:r>
    </w:p>
    <w:p>
      <w:pPr>
        <w:pStyle w:val="BodyText"/>
        <w:spacing w:line="316" w:lineRule="auto" w:before="19"/>
        <w:ind w:left="513" w:right="1112"/>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right="1112"/>
        <w:jc w:val="left"/>
      </w:pPr>
      <w:r>
        <w:rPr/>
        <w:t>审计并形成意见为背景，我们不对这些事项单独发表意见。我们确定下列事项是需要在审计报告中沟通的关键审计事项。</w:t>
      </w:r>
    </w:p>
    <w:p>
      <w:pPr>
        <w:pStyle w:val="BodyText"/>
        <w:spacing w:line="240" w:lineRule="auto" w:before="76"/>
        <w:ind w:left="513" w:right="3827"/>
        <w:jc w:val="left"/>
      </w:pPr>
      <w:r>
        <w:rPr/>
        <w:t>（一）收入的确认</w:t>
      </w:r>
    </w:p>
    <w:p>
      <w:pPr>
        <w:pStyle w:val="BodyText"/>
        <w:spacing w:line="300" w:lineRule="auto" w:before="76"/>
        <w:ind w:left="513" w:right="2653"/>
        <w:jc w:val="left"/>
      </w:pPr>
      <w:r>
        <w:rPr>
          <w:rFonts w:ascii="Times New Roman" w:hAnsi="Times New Roman" w:cs="Times New Roman" w:eastAsia="Times New Roman" w:hint="default"/>
        </w:rPr>
        <w:t>1</w:t>
      </w:r>
      <w:r>
        <w:rPr/>
        <w:t>、事项描述 本年度光环新网公司收入确认会计政策及账面金额信息请参阅财务报表附注四、</w:t>
      </w:r>
      <w:r>
        <w:rPr>
          <w:rFonts w:ascii="Times New Roman" w:hAnsi="Times New Roman" w:cs="Times New Roman" w:eastAsia="Times New Roman" w:hint="default"/>
        </w:rPr>
        <w:t>24</w:t>
      </w:r>
      <w:r>
        <w:rPr/>
        <w:t>及附注六、</w:t>
      </w:r>
      <w:r>
        <w:rPr>
          <w:rFonts w:ascii="Times New Roman" w:hAnsi="Times New Roman" w:cs="Times New Roman" w:eastAsia="Times New Roman" w:hint="default"/>
        </w:rPr>
        <w:t>31</w:t>
      </w:r>
      <w:r>
        <w:rPr/>
        <w:t>。</w:t>
      </w:r>
    </w:p>
    <w:p>
      <w:pPr>
        <w:pStyle w:val="BodyText"/>
        <w:spacing w:line="300" w:lineRule="auto" w:before="13"/>
        <w:ind w:right="1128" w:firstLine="360"/>
        <w:jc w:val="both"/>
      </w:pPr>
      <w:r>
        <w:rPr>
          <w:rFonts w:ascii="Times New Roman" w:hAnsi="Times New Roman" w:cs="Times New Roman" w:eastAsia="Times New Roman" w:hint="default"/>
          <w:spacing w:val="-1"/>
        </w:rPr>
        <w:t>2019</w:t>
      </w:r>
      <w:r>
        <w:rPr>
          <w:spacing w:val="-1"/>
        </w:rPr>
        <w:t>年度，光环新网公司实现营业收入</w:t>
      </w:r>
      <w:r>
        <w:rPr>
          <w:rFonts w:ascii="Times New Roman" w:hAnsi="Times New Roman" w:cs="Times New Roman" w:eastAsia="Times New Roman" w:hint="default"/>
          <w:spacing w:val="-1"/>
        </w:rPr>
        <w:t>709,717.26</w:t>
      </w:r>
      <w:r>
        <w:rPr>
          <w:spacing w:val="-1"/>
        </w:rPr>
        <w:t>万元，其中，云计算及其相关服务收入</w:t>
      </w:r>
      <w:r>
        <w:rPr>
          <w:rFonts w:ascii="Times New Roman" w:hAnsi="Times New Roman" w:cs="Times New Roman" w:eastAsia="Times New Roman" w:hint="default"/>
          <w:spacing w:val="-1"/>
        </w:rPr>
        <w:t>521,192.22</w:t>
      </w:r>
      <w:r>
        <w:rPr>
          <w:spacing w:val="-1"/>
        </w:rPr>
        <w:t>万元、</w:t>
      </w:r>
      <w:r>
        <w:rPr>
          <w:rFonts w:ascii="Times New Roman" w:hAnsi="Times New Roman" w:cs="Times New Roman" w:eastAsia="Times New Roman" w:hint="default"/>
          <w:spacing w:val="-1"/>
        </w:rPr>
        <w:t>IDC</w:t>
      </w:r>
      <w:r>
        <w:rPr>
          <w:spacing w:val="-1"/>
        </w:rPr>
        <w:t>及其增值</w:t>
      </w:r>
      <w:r>
        <w:rPr/>
        <w:t> 服务收入</w:t>
      </w:r>
      <w:r>
        <w:rPr>
          <w:rFonts w:ascii="Times New Roman" w:hAnsi="Times New Roman" w:cs="Times New Roman" w:eastAsia="Times New Roman" w:hint="default"/>
        </w:rPr>
        <w:t>156,076.75</w:t>
      </w:r>
      <w:r>
        <w:rPr/>
        <w:t>万元，分别占营业收入比重</w:t>
      </w:r>
      <w:r>
        <w:rPr>
          <w:rFonts w:ascii="Times New Roman" w:hAnsi="Times New Roman" w:cs="Times New Roman" w:eastAsia="Times New Roman" w:hint="default"/>
        </w:rPr>
        <w:t>73.44%</w:t>
      </w:r>
      <w:r>
        <w:rPr/>
        <w:t>和</w:t>
      </w:r>
      <w:r>
        <w:rPr>
          <w:rFonts w:ascii="Times New Roman" w:hAnsi="Times New Roman" w:cs="Times New Roman" w:eastAsia="Times New Roman" w:hint="default"/>
        </w:rPr>
        <w:t>21.99%</w:t>
      </w:r>
      <w:r>
        <w:rPr/>
        <w:t>。</w:t>
      </w:r>
    </w:p>
    <w:p>
      <w:pPr>
        <w:pStyle w:val="BodyText"/>
        <w:spacing w:line="300" w:lineRule="auto" w:before="13"/>
        <w:ind w:right="1188" w:firstLine="360"/>
        <w:jc w:val="both"/>
      </w:pPr>
      <w:r>
        <w:rPr/>
        <w:t>光环新网公司及其子公司主要从事云计算、</w:t>
      </w:r>
      <w:r>
        <w:rPr>
          <w:rFonts w:ascii="Times New Roman" w:hAnsi="Times New Roman" w:cs="Times New Roman" w:eastAsia="Times New Roman" w:hint="default"/>
        </w:rPr>
        <w:t>IDC</w:t>
      </w:r>
      <w:r>
        <w:rPr/>
        <w:t>及其增值服务等。</w:t>
      </w:r>
      <w:r>
        <w:rPr>
          <w:rFonts w:ascii="Times New Roman" w:hAnsi="Times New Roman" w:cs="Times New Roman" w:eastAsia="Times New Roman" w:hint="default"/>
        </w:rPr>
        <w:t>2019</w:t>
      </w:r>
      <w:r>
        <w:rPr/>
        <w:t>年度光环新网公司营业收入为人民币</w:t>
      </w:r>
      <w:r>
        <w:rPr>
          <w:rFonts w:ascii="Times New Roman" w:hAnsi="Times New Roman" w:cs="Times New Roman" w:eastAsia="Times New Roman" w:hint="default"/>
        </w:rPr>
        <w:t>709,717.26 </w:t>
      </w:r>
      <w:r>
        <w:rPr/>
        <w:t>万元比</w:t>
      </w:r>
      <w:r>
        <w:rPr>
          <w:rFonts w:ascii="Times New Roman" w:hAnsi="Times New Roman" w:cs="Times New Roman" w:eastAsia="Times New Roman" w:hint="default"/>
        </w:rPr>
        <w:t>2018</w:t>
      </w:r>
      <w:r>
        <w:rPr/>
        <w:t>年度</w:t>
      </w:r>
      <w:r>
        <w:rPr>
          <w:spacing w:val="-8"/>
        </w:rPr>
        <w:t> </w:t>
      </w:r>
      <w:r>
        <w:rPr>
          <w:rFonts w:ascii="Times New Roman" w:hAnsi="Times New Roman" w:cs="Times New Roman" w:eastAsia="Times New Roman" w:hint="default"/>
        </w:rPr>
        <w:t>602,316.45</w:t>
      </w:r>
      <w:r>
        <w:rPr/>
        <w:t>万元增长</w:t>
      </w:r>
      <w:r>
        <w:rPr>
          <w:rFonts w:ascii="Times New Roman" w:hAnsi="Times New Roman" w:cs="Times New Roman" w:eastAsia="Times New Roman" w:hint="default"/>
        </w:rPr>
        <w:t>17.83%</w:t>
      </w:r>
      <w:r>
        <w:rPr/>
        <w:t>，公司收入主要来源于国内。</w:t>
      </w:r>
    </w:p>
    <w:p>
      <w:pPr>
        <w:pStyle w:val="BodyText"/>
        <w:spacing w:line="316" w:lineRule="auto" w:before="13"/>
        <w:ind w:right="1132" w:firstLine="360"/>
        <w:jc w:val="both"/>
      </w:pPr>
      <w:r>
        <w:rPr>
          <w:spacing w:val="-2"/>
        </w:rPr>
        <w:t>营业收入是公司利润表的重要科目，是公司的主要利润来源，影响公司的关键业绩指标，收入确认的准确和完整对公司</w:t>
      </w:r>
      <w:r>
        <w:rPr/>
        <w:t> 利润的影响较大。因此，我们将公司收入确认作为关键审计事项。</w:t>
      </w:r>
    </w:p>
    <w:p>
      <w:pPr>
        <w:pStyle w:val="BodyText"/>
        <w:spacing w:line="300" w:lineRule="auto" w:before="19"/>
        <w:ind w:left="513" w:right="6073"/>
        <w:jc w:val="left"/>
      </w:pPr>
      <w:r>
        <w:rPr>
          <w:rFonts w:ascii="Times New Roman" w:hAnsi="Times New Roman" w:cs="Times New Roman" w:eastAsia="Times New Roman" w:hint="default"/>
        </w:rPr>
        <w:t>2</w:t>
      </w:r>
      <w:r>
        <w:rPr/>
        <w:t>、审计应对 我们针对上述关键审计事项执行的主要审计程序包括：</w:t>
      </w:r>
    </w:p>
    <w:p>
      <w:pPr>
        <w:pStyle w:val="BodyText"/>
        <w:spacing w:line="300" w:lineRule="auto" w:before="31"/>
        <w:ind w:right="1139" w:firstLine="360"/>
        <w:jc w:val="both"/>
      </w:pPr>
      <w:r>
        <w:rPr/>
        <w:t>（</w:t>
      </w:r>
      <w:r>
        <w:rPr>
          <w:rFonts w:ascii="Times New Roman" w:hAnsi="Times New Roman" w:cs="Times New Roman" w:eastAsia="Times New Roman" w:hint="default"/>
        </w:rPr>
        <w:t>1</w:t>
      </w:r>
      <w:r>
        <w:rPr/>
        <w:t>）了解和测试管理层与收入确认相关的内部控制，识别收入确认的关键控制点，抽样测试相关内部控制设计的合理 性及运行的有效性；</w:t>
      </w:r>
    </w:p>
    <w:p>
      <w:pPr>
        <w:pStyle w:val="BodyText"/>
        <w:spacing w:line="300" w:lineRule="auto" w:before="31"/>
        <w:ind w:right="1139" w:firstLine="360"/>
        <w:jc w:val="both"/>
      </w:pPr>
      <w:r>
        <w:rPr/>
        <w:t>（</w:t>
      </w:r>
      <w:r>
        <w:rPr>
          <w:rFonts w:ascii="Times New Roman" w:hAnsi="Times New Roman" w:cs="Times New Roman" w:eastAsia="Times New Roman" w:hint="default"/>
        </w:rPr>
        <w:t>2</w:t>
      </w:r>
      <w:r>
        <w:rPr/>
        <w:t>）与管理层访谈并选取样本检查销售合同，识别与商品所有权上的风险和报酬转移相关的合同条款与条件，评价收 入确认时点是否符合企业会计准则的要求；</w:t>
      </w:r>
    </w:p>
    <w:p>
      <w:pPr>
        <w:spacing w:after="0" w:line="300" w:lineRule="auto"/>
        <w:jc w:val="both"/>
        <w:sectPr>
          <w:type w:val="continuous"/>
          <w:pgSz w:w="11910" w:h="16840"/>
          <w:pgMar w:top="1060" w:bottom="70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3827"/>
        <w:jc w:val="left"/>
      </w:pPr>
      <w:r>
        <w:rPr/>
        <w:t>（</w:t>
      </w:r>
      <w:r>
        <w:rPr>
          <w:rFonts w:ascii="Times New Roman" w:hAnsi="Times New Roman" w:cs="Times New Roman" w:eastAsia="Times New Roman" w:hint="default"/>
        </w:rPr>
        <w:t>3</w:t>
      </w:r>
      <w:r>
        <w:rPr/>
        <w:t>）复核收入确认的会计政策及具体方法是否正确且一贯地运用；</w:t>
      </w:r>
    </w:p>
    <w:p>
      <w:pPr>
        <w:pStyle w:val="BodyText"/>
        <w:spacing w:line="240" w:lineRule="auto" w:before="63"/>
        <w:ind w:left="513" w:right="1112"/>
        <w:jc w:val="left"/>
      </w:pPr>
      <w:r>
        <w:rPr/>
        <w:t>（</w:t>
      </w:r>
      <w:r>
        <w:rPr>
          <w:rFonts w:ascii="Times New Roman" w:hAnsi="Times New Roman" w:cs="Times New Roman" w:eastAsia="Times New Roman" w:hint="default"/>
        </w:rPr>
        <w:t>4</w:t>
      </w:r>
      <w:r>
        <w:rPr/>
        <w:t>）结合收入类型对营业收入以及毛利情况实施分析程序，判断本期收入金额是否出现异常波动的情况；</w:t>
      </w:r>
    </w:p>
    <w:p>
      <w:pPr>
        <w:pStyle w:val="BodyText"/>
        <w:spacing w:line="300" w:lineRule="auto" w:before="63"/>
        <w:ind w:right="1124" w:firstLine="360"/>
        <w:jc w:val="left"/>
      </w:pPr>
      <w:r>
        <w:rPr/>
        <w:t>（</w:t>
      </w:r>
      <w:r>
        <w:rPr>
          <w:rFonts w:ascii="Times New Roman" w:hAnsi="Times New Roman" w:cs="Times New Roman" w:eastAsia="Times New Roman" w:hint="default"/>
        </w:rPr>
        <w:t>5</w:t>
      </w:r>
      <w:r>
        <w:rPr/>
        <w:t>）获取收入台账、合同、其他应收单、客户费用确认邮件及云计算账单等，结合应收账款、预收账款，对收款额、 服务期间、每月摊销金额进行复核，核查收入确认期间及金额是否准确；</w:t>
      </w:r>
    </w:p>
    <w:p>
      <w:pPr>
        <w:pStyle w:val="BodyText"/>
        <w:spacing w:line="300" w:lineRule="auto" w:before="31"/>
        <w:ind w:right="1124" w:firstLine="360"/>
        <w:jc w:val="left"/>
      </w:pPr>
      <w:r>
        <w:rPr/>
        <w:t>（</w:t>
      </w:r>
      <w:r>
        <w:rPr>
          <w:rFonts w:ascii="Times New Roman" w:hAnsi="Times New Roman" w:cs="Times New Roman" w:eastAsia="Times New Roman" w:hint="default"/>
        </w:rPr>
        <w:t>6</w:t>
      </w:r>
      <w:r>
        <w:rPr/>
        <w:t>）针对新增及当期收入发生额较大的客户，选取样本执行函证程序，以确认本期销售金额及期末应收账款余额。同 时</w:t>
      </w:r>
      <w:r>
        <w:rPr>
          <w:rFonts w:ascii="Times New Roman" w:hAnsi="Times New Roman" w:cs="Times New Roman" w:eastAsia="Times New Roman" w:hint="default"/>
        </w:rPr>
        <w:t>,</w:t>
      </w:r>
      <w:r>
        <w:rPr/>
        <w:t>查询了部分客户工商信息</w:t>
      </w:r>
      <w:r>
        <w:rPr>
          <w:rFonts w:ascii="Times New Roman" w:hAnsi="Times New Roman" w:cs="Times New Roman" w:eastAsia="Times New Roman" w:hint="default"/>
        </w:rPr>
        <w:t>,</w:t>
      </w:r>
      <w:r>
        <w:rPr/>
        <w:t>进一步确认与客户交易的真实性；</w:t>
      </w:r>
    </w:p>
    <w:p>
      <w:pPr>
        <w:pStyle w:val="BodyText"/>
        <w:spacing w:line="300" w:lineRule="auto" w:before="13"/>
        <w:ind w:right="1124" w:firstLine="360"/>
        <w:jc w:val="left"/>
      </w:pPr>
      <w:r>
        <w:rPr/>
        <w:t>（</w:t>
      </w:r>
      <w:r>
        <w:rPr>
          <w:rFonts w:ascii="Times New Roman" w:hAnsi="Times New Roman" w:cs="Times New Roman" w:eastAsia="Times New Roman" w:hint="default"/>
        </w:rPr>
        <w:t>7</w:t>
      </w:r>
      <w:r>
        <w:rPr/>
        <w:t>）对资产负债表日前后确认的销售收入，选取样本，核对合同、费用确认单、付款通知书等支持性文件，以评价收 入是否被记录于恰当的会计期间；</w:t>
      </w:r>
    </w:p>
    <w:p>
      <w:pPr>
        <w:pStyle w:val="BodyText"/>
        <w:spacing w:line="240" w:lineRule="auto" w:before="31"/>
        <w:ind w:left="513" w:right="3827"/>
        <w:jc w:val="left"/>
      </w:pPr>
      <w:r>
        <w:rPr/>
        <w:t>（</w:t>
      </w:r>
      <w:r>
        <w:rPr>
          <w:rFonts w:ascii="Times New Roman" w:hAnsi="Times New Roman" w:cs="Times New Roman" w:eastAsia="Times New Roman" w:hint="default"/>
        </w:rPr>
        <w:t>8</w:t>
      </w:r>
      <w:r>
        <w:rPr/>
        <w:t>）从营业收入记录中选取样本执行抽样测试，检查支持性文件是否齐全；</w:t>
      </w:r>
    </w:p>
    <w:p>
      <w:pPr>
        <w:pStyle w:val="BodyText"/>
        <w:spacing w:line="240" w:lineRule="auto" w:before="63"/>
        <w:ind w:left="513" w:right="3827"/>
        <w:jc w:val="left"/>
      </w:pPr>
      <w:r>
        <w:rPr/>
        <w:t>（</w:t>
      </w:r>
      <w:r>
        <w:rPr>
          <w:rFonts w:ascii="Times New Roman" w:hAnsi="Times New Roman" w:cs="Times New Roman" w:eastAsia="Times New Roman" w:hint="default"/>
        </w:rPr>
        <w:t>9</w:t>
      </w:r>
      <w:r>
        <w:rPr/>
        <w:t>）进行截止性测试，关注是否存在重大跨期的情形；</w:t>
      </w:r>
    </w:p>
    <w:p>
      <w:pPr>
        <w:pStyle w:val="BodyText"/>
        <w:spacing w:line="240" w:lineRule="auto" w:before="63"/>
        <w:ind w:left="513" w:right="3827"/>
        <w:jc w:val="left"/>
      </w:pPr>
      <w:r>
        <w:rPr/>
        <w:t>（</w:t>
      </w:r>
      <w:r>
        <w:rPr>
          <w:rFonts w:ascii="Times New Roman" w:hAnsi="Times New Roman" w:cs="Times New Roman" w:eastAsia="Times New Roman" w:hint="default"/>
        </w:rPr>
        <w:t>10</w:t>
      </w:r>
      <w:r>
        <w:rPr/>
        <w:t>）采取抽样方式检查本年度销售回款的银行单据。</w:t>
      </w:r>
    </w:p>
    <w:p>
      <w:pPr>
        <w:pStyle w:val="BodyText"/>
        <w:spacing w:line="240" w:lineRule="auto" w:before="63"/>
        <w:ind w:left="513" w:right="3827"/>
        <w:jc w:val="left"/>
      </w:pPr>
      <w:r>
        <w:rPr/>
        <w:t>（二）商誉的减值</w:t>
      </w:r>
    </w:p>
    <w:p>
      <w:pPr>
        <w:pStyle w:val="BodyText"/>
        <w:spacing w:line="300" w:lineRule="auto" w:before="77"/>
        <w:ind w:left="513" w:right="1573"/>
        <w:jc w:val="left"/>
      </w:pPr>
      <w:r>
        <w:rPr>
          <w:rFonts w:ascii="Times New Roman" w:hAnsi="Times New Roman" w:cs="Times New Roman" w:eastAsia="Times New Roman" w:hint="default"/>
        </w:rPr>
        <w:t>1</w:t>
      </w:r>
      <w:r>
        <w:rPr/>
        <w:t>、事项描述 如财务报表附注六、</w:t>
      </w:r>
      <w:r>
        <w:rPr>
          <w:rFonts w:ascii="Times New Roman" w:hAnsi="Times New Roman" w:cs="Times New Roman" w:eastAsia="Times New Roman" w:hint="default"/>
        </w:rPr>
        <w:t>14</w:t>
      </w:r>
      <w:r>
        <w:rPr/>
        <w:t>所示，光环新网公司于以前年度收购产生的商誉，于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日的账面价值为人民币</w:t>
      </w:r>
    </w:p>
    <w:p>
      <w:pPr>
        <w:pStyle w:val="BodyText"/>
        <w:spacing w:line="300" w:lineRule="auto" w:before="13"/>
        <w:ind w:left="513" w:right="1112" w:hanging="361"/>
        <w:jc w:val="left"/>
      </w:pPr>
      <w:r>
        <w:rPr>
          <w:rFonts w:ascii="Times New Roman" w:hAnsi="Times New Roman" w:cs="Times New Roman" w:eastAsia="Times New Roman" w:hint="default"/>
        </w:rPr>
        <w:t>239,790.43</w:t>
      </w:r>
      <w:r>
        <w:rPr/>
        <w:t>万元，商誉减值准备为</w:t>
      </w:r>
      <w:r>
        <w:rPr>
          <w:rFonts w:ascii="Times New Roman" w:hAnsi="Times New Roman" w:cs="Times New Roman" w:eastAsia="Times New Roman" w:hint="default"/>
        </w:rPr>
        <w:t>0.00</w:t>
      </w:r>
      <w:r>
        <w:rPr/>
        <w:t>元。 </w:t>
      </w:r>
      <w:r>
        <w:rPr>
          <w:spacing w:val="-2"/>
        </w:rPr>
        <w:t>根据财务报表附注四、</w:t>
      </w:r>
      <w:r>
        <w:rPr>
          <w:rFonts w:ascii="Times New Roman" w:hAnsi="Times New Roman" w:cs="Times New Roman" w:eastAsia="Times New Roman" w:hint="default"/>
          <w:spacing w:val="-2"/>
        </w:rPr>
        <w:t>19</w:t>
      </w:r>
      <w:r>
        <w:rPr>
          <w:spacing w:val="-2"/>
        </w:rPr>
        <w:t>所述的会计政策，光环新网公司管理层需要每年对商誉进行减值测试，以确定可能出现减值的</w:t>
      </w:r>
    </w:p>
    <w:p>
      <w:pPr>
        <w:pStyle w:val="BodyText"/>
        <w:spacing w:line="316" w:lineRule="auto" w:before="13"/>
        <w:ind w:right="1112"/>
        <w:jc w:val="left"/>
      </w:pPr>
      <w:r>
        <w:rPr>
          <w:spacing w:val="-2"/>
        </w:rPr>
        <w:t>情况。管理层采用预计未来现金流量的现值来确定包含商誉的资产组及资产组组合的可收回金额。在未来现金流量现值的计</w:t>
      </w:r>
      <w:r>
        <w:rPr>
          <w:spacing w:val="-64"/>
        </w:rPr>
        <w:t> </w:t>
      </w:r>
      <w:r>
        <w:rPr>
          <w:spacing w:val="-64"/>
        </w:rPr>
      </w:r>
      <w:r>
        <w:rPr/>
        <w:t>算中，管理层采用的关键假设包括：收入增长率</w:t>
      </w:r>
      <w:r>
        <w:rPr>
          <w:rFonts w:ascii="Times New Roman" w:hAnsi="Times New Roman" w:cs="Times New Roman" w:eastAsia="Times New Roman" w:hint="default"/>
        </w:rPr>
        <w:t>(</w:t>
      </w:r>
      <w:r>
        <w:rPr/>
        <w:t>包含预测期增长率及稳定期增长率</w:t>
      </w:r>
      <w:r>
        <w:rPr>
          <w:rFonts w:ascii="Times New Roman" w:hAnsi="Times New Roman" w:cs="Times New Roman" w:eastAsia="Times New Roman" w:hint="default"/>
        </w:rPr>
        <w:t>)</w:t>
      </w:r>
      <w:r>
        <w:rPr/>
        <w:t>、毛利率、折现率。</w:t>
      </w:r>
    </w:p>
    <w:p>
      <w:pPr>
        <w:pStyle w:val="BodyText"/>
        <w:spacing w:line="316" w:lineRule="auto"/>
        <w:ind w:right="1112" w:firstLine="360"/>
        <w:jc w:val="left"/>
      </w:pPr>
      <w:r>
        <w:rPr>
          <w:spacing w:val="-2"/>
        </w:rPr>
        <w:t>由于商誉金额重大，如果商誉有发生减值的情况，对光环新网公司财务报表可能产生重大影响，且管理层需要作出重大</w:t>
      </w:r>
      <w:r>
        <w:rPr/>
        <w:t> 判断，由此我们将商誉的减值确定为关键审计事项。</w:t>
      </w:r>
    </w:p>
    <w:p>
      <w:pPr>
        <w:pStyle w:val="BodyText"/>
        <w:spacing w:line="300" w:lineRule="auto" w:before="19"/>
        <w:ind w:left="513" w:right="6793"/>
        <w:jc w:val="left"/>
      </w:pPr>
      <w:r>
        <w:rPr>
          <w:rFonts w:ascii="Times New Roman" w:hAnsi="Times New Roman" w:cs="Times New Roman" w:eastAsia="Times New Roman" w:hint="default"/>
        </w:rPr>
        <w:t>2</w:t>
      </w:r>
      <w:r>
        <w:rPr/>
        <w:t>、审计应对 我们针对商誉减值执行的主要审计程序如下：</w:t>
      </w:r>
    </w:p>
    <w:p>
      <w:pPr>
        <w:pStyle w:val="BodyText"/>
        <w:spacing w:line="240" w:lineRule="auto" w:before="31"/>
        <w:ind w:left="513" w:right="1112"/>
        <w:jc w:val="left"/>
      </w:pPr>
      <w:r>
        <w:rPr/>
        <w:t>（</w:t>
      </w:r>
      <w:r>
        <w:rPr>
          <w:rFonts w:ascii="Times New Roman" w:hAnsi="Times New Roman" w:cs="Times New Roman" w:eastAsia="Times New Roman" w:hint="default"/>
        </w:rPr>
        <w:t>1</w:t>
      </w:r>
      <w:r>
        <w:rPr/>
        <w:t>）了解和评价管理层与商誉减值相关的关键内部控制，复核光环新网对商誉减值迹象的判断；</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）根据相关规定，参考行业惯例，分析公司管理层对公司商誉所属资产组的认定和进行商誉减值测试时采用的关键 假设和方法，检查相关的假设和方法的合理性；</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）与公司管理层讨论并利用评估专家工作，评价外部评估机构的独立性、客观性及专业胜任能力。获取管理层聘请 的外部评估机构的评估报告，了解及评价商誉减值测试过程中所采用方法的恰当性、关键假设和重要参数的合理性；</w:t>
      </w:r>
    </w:p>
    <w:p>
      <w:pPr>
        <w:pStyle w:val="BodyText"/>
        <w:spacing w:line="300" w:lineRule="auto" w:before="31"/>
        <w:ind w:right="1124" w:firstLine="360"/>
        <w:jc w:val="left"/>
      </w:pPr>
      <w:r>
        <w:rPr/>
        <w:t>（</w:t>
      </w:r>
      <w:r>
        <w:rPr>
          <w:rFonts w:ascii="Times New Roman" w:hAnsi="Times New Roman" w:cs="Times New Roman" w:eastAsia="Times New Roman" w:hint="default"/>
        </w:rPr>
        <w:t>4</w:t>
      </w:r>
      <w:r>
        <w:rPr/>
        <w:t>）复核评价管理层预测时所使用的关键参数：将预测期收入增长率与历史的收入增长率及同行业收入增长率进行对 比分析；将预测的毛利率与历史毛利率进行比较，且考虑了市场趋势；分析了管理层所采用的折现率；</w:t>
      </w:r>
    </w:p>
    <w:p>
      <w:pPr>
        <w:pStyle w:val="BodyText"/>
        <w:spacing w:line="300" w:lineRule="auto" w:before="31"/>
        <w:ind w:right="1124" w:firstLine="360"/>
        <w:jc w:val="left"/>
      </w:pPr>
      <w:r>
        <w:rPr/>
        <w:t>（</w:t>
      </w:r>
      <w:r>
        <w:rPr>
          <w:rFonts w:ascii="Times New Roman" w:hAnsi="Times New Roman" w:cs="Times New Roman" w:eastAsia="Times New Roman" w:hint="default"/>
        </w:rPr>
        <w:t>5</w:t>
      </w:r>
      <w:r>
        <w:rPr/>
        <w:t>）将管理层在上年计算预计未来现金流量现值时采用的估计与本年实际情况进行比较，以考虑管理层预测结果的历 史准确性；</w:t>
      </w:r>
    </w:p>
    <w:p>
      <w:pPr>
        <w:pStyle w:val="BodyText"/>
        <w:spacing w:line="240" w:lineRule="auto" w:before="31"/>
        <w:ind w:left="513" w:right="986"/>
        <w:jc w:val="left"/>
      </w:pPr>
      <w:r>
        <w:rPr/>
        <w:t>（</w:t>
      </w:r>
      <w:r>
        <w:rPr>
          <w:rFonts w:ascii="Times New Roman" w:hAnsi="Times New Roman" w:cs="Times New Roman" w:eastAsia="Times New Roman" w:hint="default"/>
        </w:rPr>
        <w:t>6</w:t>
      </w:r>
      <w:r>
        <w:rPr/>
        <w:t>）将相关资产组本年度实际数据与以前年度预测数据进行对比，以评价管理层对现金流量预测的可靠性及其偏向；</w:t>
      </w:r>
    </w:p>
    <w:p>
      <w:pPr>
        <w:pStyle w:val="BodyText"/>
        <w:spacing w:line="240" w:lineRule="auto" w:before="63"/>
        <w:ind w:left="513" w:right="3827"/>
        <w:jc w:val="left"/>
      </w:pPr>
      <w:r>
        <w:rPr/>
        <w:t>（</w:t>
      </w:r>
      <w:r>
        <w:rPr>
          <w:rFonts w:ascii="Times New Roman" w:hAnsi="Times New Roman" w:cs="Times New Roman" w:eastAsia="Times New Roman" w:hint="default"/>
        </w:rPr>
        <w:t>7</w:t>
      </w:r>
      <w:r>
        <w:rPr/>
        <w:t>）测算未来现金流量净现值以及商誉减值金额的计算是否正确；</w:t>
      </w:r>
    </w:p>
    <w:p>
      <w:pPr>
        <w:pStyle w:val="BodyText"/>
        <w:spacing w:line="240" w:lineRule="auto" w:before="63"/>
        <w:ind w:left="513" w:right="3827"/>
        <w:jc w:val="left"/>
      </w:pPr>
      <w:r>
        <w:rPr/>
        <w:t>（</w:t>
      </w:r>
      <w:r>
        <w:rPr>
          <w:rFonts w:ascii="Times New Roman" w:hAnsi="Times New Roman" w:cs="Times New Roman" w:eastAsia="Times New Roman" w:hint="default"/>
        </w:rPr>
        <w:t>8</w:t>
      </w:r>
      <w:r>
        <w:rPr/>
        <w:t>）根据商誉减值测试结果，检查和评价商誉的列报和披露是否准确和恰当；</w:t>
      </w:r>
    </w:p>
    <w:p>
      <w:pPr>
        <w:pStyle w:val="BodyText"/>
        <w:spacing w:line="300" w:lineRule="auto" w:before="63"/>
        <w:ind w:right="1124" w:firstLine="360"/>
        <w:jc w:val="left"/>
      </w:pPr>
      <w:r>
        <w:rPr/>
        <w:t>（</w:t>
      </w:r>
      <w:r>
        <w:rPr>
          <w:rFonts w:ascii="Times New Roman" w:hAnsi="Times New Roman" w:cs="Times New Roman" w:eastAsia="Times New Roman" w:hint="default"/>
        </w:rPr>
        <w:t>9</w:t>
      </w:r>
      <w:r>
        <w:rPr/>
        <w:t>）获取并复核管理层编制的商誉所属资产组可收回金额的计算表，比较并购过程中标的资产交易价格与商誉所述资 产组的股权价值（资产组可收回金额并考虑非经营性资产、负债形成的影响）的差异，确认是否存在商誉减值情况。</w:t>
      </w:r>
    </w:p>
    <w:p>
      <w:pPr>
        <w:pStyle w:val="BodyText"/>
        <w:spacing w:line="316" w:lineRule="auto" w:before="31"/>
        <w:ind w:left="513" w:right="1112"/>
        <w:jc w:val="left"/>
      </w:pPr>
      <w:r>
        <w:rPr/>
        <w:t>四、其他信息 </w:t>
      </w:r>
      <w:r>
        <w:rPr>
          <w:spacing w:val="-2"/>
        </w:rPr>
        <w:t>光环新网公司管理层（以下简称管理层）对其他信息负责。其他信息包括光环新网公司</w:t>
      </w:r>
      <w:r>
        <w:rPr>
          <w:rFonts w:ascii="Times New Roman" w:hAnsi="Times New Roman" w:cs="Times New Roman" w:eastAsia="Times New Roman" w:hint="default"/>
          <w:spacing w:val="-2"/>
        </w:rPr>
        <w:t>2019</w:t>
      </w:r>
      <w:r>
        <w:rPr>
          <w:spacing w:val="-2"/>
        </w:rPr>
        <w:t>年度报告中涵盖的信息，但</w:t>
      </w:r>
    </w:p>
    <w:p>
      <w:pPr>
        <w:pStyle w:val="BodyText"/>
        <w:spacing w:line="316" w:lineRule="auto"/>
        <w:ind w:left="513" w:right="1112" w:hanging="361"/>
        <w:jc w:val="left"/>
      </w:pPr>
      <w:r>
        <w:rPr/>
        <w:t>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112"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8"/>
        <w:ind w:right="3827"/>
        <w:jc w:val="left"/>
      </w:pPr>
      <w:r>
        <w:rPr/>
        <w:t>报告。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12"/>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7"/>
        <w:ind w:left="513" w:right="1118" w:hanging="361"/>
        <w:jc w:val="left"/>
      </w:pPr>
      <w:r>
        <w:rPr/>
        <w:t>务报表不存在由于舞弊或错误导致的重大错报。 </w:t>
      </w:r>
      <w:r>
        <w:rPr>
          <w:spacing w:val="-5"/>
        </w:rPr>
        <w:t>在编制财务报表时，管理层负责评估光环新网公司的持续经营能力，披露与持续经营相关的事项，并运用持续经营假设，</w:t>
      </w:r>
    </w:p>
    <w:p>
      <w:pPr>
        <w:pStyle w:val="BodyText"/>
        <w:spacing w:line="316" w:lineRule="auto" w:before="19"/>
        <w:ind w:left="513" w:right="5174" w:hanging="361"/>
        <w:jc w:val="left"/>
      </w:pPr>
      <w:r>
        <w:rPr/>
        <w:t>除非管理层计划清算光环新网公司、终止运营或别无其他现实的选择。 治理层负责监督光环新网公司的财务报告过程。 六、注册会计师对财务报表审计的责任</w:t>
      </w:r>
    </w:p>
    <w:p>
      <w:pPr>
        <w:pStyle w:val="BodyText"/>
        <w:spacing w:line="316" w:lineRule="auto" w:before="1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告。合理保证是高水平的保证，但并不能保证按照审计准则执行的审计在某一重大错报存在时总能发现。错报可能由舞弊或</w:t>
      </w:r>
      <w:r>
        <w:rPr>
          <w:spacing w:val="-63"/>
        </w:rPr>
        <w:t> </w:t>
      </w:r>
      <w:r>
        <w:rPr>
          <w:spacing w:val="-63"/>
        </w:rPr>
      </w:r>
      <w:r>
        <w:rPr>
          <w:spacing w:val="-2"/>
        </w:rPr>
        <w:t>错误导致，如果合理预期错报单独或汇总起来可能影响财务报表使用者依据财务报表作出的经济决策，则通常认为错报是重</w:t>
      </w:r>
      <w:r>
        <w:rPr>
          <w:spacing w:val="-64"/>
        </w:rPr>
        <w:t> </w:t>
      </w:r>
      <w:r>
        <w:rPr>
          <w:spacing w:val="-64"/>
        </w:rPr>
      </w:r>
      <w:r>
        <w:rPr/>
        <w:t>大的。</w:t>
      </w:r>
    </w:p>
    <w:p>
      <w:pPr>
        <w:pStyle w:val="BodyText"/>
        <w:spacing w:line="240" w:lineRule="auto" w:before="19"/>
        <w:ind w:left="513" w:right="1112"/>
        <w:jc w:val="left"/>
      </w:pPr>
      <w:r>
        <w:rPr/>
        <w:t>在按照审计准则执行审计的过程中，我们运用了职业判断，保持了职业怀疑。同时，我们也执行以下工作：</w:t>
      </w:r>
    </w:p>
    <w:p>
      <w:pPr>
        <w:pStyle w:val="BodyText"/>
        <w:spacing w:line="309" w:lineRule="auto" w:before="77"/>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6"/>
        </w:rPr>
        <w:t> </w:t>
      </w:r>
      <w:r>
        <w:rPr>
          <w:spacing w:val="-86"/>
        </w:rPr>
      </w:r>
      <w:r>
        <w:rPr/>
        <w:t>未能发现由于舞弊导致的重大错报的风险高于未能发现由于错误导致的重大错报的风险。</w:t>
      </w:r>
    </w:p>
    <w:p>
      <w:pPr>
        <w:pStyle w:val="BodyText"/>
        <w:spacing w:line="240" w:lineRule="auto" w:before="24"/>
        <w:ind w:left="513" w:right="1112"/>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3827"/>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3"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）对管理层使用持续经营假设的恰当性得出结论。同时，根据获取的审计证据，就可能导致对光环新网公司持续经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论基于截至审计报告日可获得的信息。然而，未来的事项或情况可能导致光环新网公司不能持续经营。</w:t>
      </w:r>
    </w:p>
    <w:p>
      <w:pPr>
        <w:pStyle w:val="BodyText"/>
        <w:spacing w:line="240" w:lineRule="auto" w:before="22"/>
        <w:ind w:left="513" w:right="1112"/>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9" w:firstLine="360"/>
        <w:jc w:val="both"/>
      </w:pPr>
      <w:r>
        <w:rPr/>
        <w:t>（</w:t>
      </w:r>
      <w:r>
        <w:rPr>
          <w:rFonts w:ascii="Times New Roman" w:hAnsi="Times New Roman" w:cs="Times New Roman" w:eastAsia="Times New Roman" w:hint="default"/>
        </w:rPr>
        <w:t>6</w:t>
      </w:r>
      <w:r>
        <w:rPr/>
        <w:t>）就光环新网公司中实体或业务活动的财务信息获取充分、适当的审计证据，以对财务报表发表意见。我们负责指 导、监督和执行集团审计。我们对审计意见承担全部责任。</w:t>
      </w:r>
    </w:p>
    <w:p>
      <w:pPr>
        <w:pStyle w:val="BodyText"/>
        <w:spacing w:line="316" w:lineRule="auto" w:before="32"/>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tabs>
          <w:tab w:pos="4003" w:val="left" w:leader="none"/>
        </w:tabs>
        <w:spacing w:line="240" w:lineRule="auto"/>
        <w:ind w:left="381" w:right="3827"/>
        <w:jc w:val="left"/>
      </w:pPr>
      <w:r>
        <w:rPr/>
        <w:t>中兴华会计师事务所（特殊普通合伙）</w:t>
        <w:tab/>
        <w:t>中国注册会计师：白秀荣</w:t>
      </w:r>
    </w:p>
    <w:p>
      <w:pPr>
        <w:pStyle w:val="BodyText"/>
        <w:spacing w:line="636" w:lineRule="auto" w:before="76"/>
        <w:ind w:left="3981" w:right="5125"/>
        <w:jc w:val="left"/>
      </w:pPr>
      <w:r>
        <w:rPr/>
        <w:t>（项目合伙人） 中国注册会计师：韩靖</w:t>
      </w:r>
    </w:p>
    <w:p>
      <w:pPr>
        <w:pStyle w:val="BodyText"/>
        <w:tabs>
          <w:tab w:pos="2568" w:val="left" w:leader="none"/>
        </w:tabs>
        <w:spacing w:line="240" w:lineRule="auto" w:before="91"/>
        <w:ind w:left="0" w:right="3729"/>
        <w:jc w:val="center"/>
      </w:pPr>
      <w:r>
        <w:rPr>
          <w:spacing w:val="-1"/>
        </w:rPr>
        <w:t>中国</w:t>
      </w:r>
      <w:r>
        <w:rPr>
          <w:rFonts w:ascii="Times New Roman" w:hAnsi="Times New Roman" w:cs="Times New Roman" w:eastAsia="Times New Roman" w:hint="default"/>
          <w:spacing w:val="-1"/>
        </w:rPr>
        <w:t>·</w:t>
      </w:r>
      <w:r>
        <w:rPr>
          <w:spacing w:val="-1"/>
        </w:rPr>
        <w:t>北京</w:t>
        <w:tab/>
      </w:r>
      <w:r>
        <w:rPr/>
        <w:t>二零二零年四月十六日</w:t>
      </w:r>
    </w:p>
    <w:p>
      <w:pPr>
        <w:spacing w:after="0" w:line="240" w:lineRule="auto"/>
        <w:jc w:val="cente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3827"/>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3827"/>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3827"/>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t>编制单位：北京光环新网科技股份有限公司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677,411,424.95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730,991,207.45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139,188,679.25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1,928,255,691.20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1,617,922,954.88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311,811,958.94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302,353,705.73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392,894,670.59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221,360,019.00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1,224,993.54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8,722,346.50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9,331,579.22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145,790,815.67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366,331,943.29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3,604,075,587.10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3,252,891,409.57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56,592,267.47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4,485,976,205.01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4,040,067,130.95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844,514,622.15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938,491,735.17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489,616,762.59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396,593,287.11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2,397,904,262.39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2,397,904,262.39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271,141,029.20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212,939,874.22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33,740,037.90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18,398,221.05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70,948,062.72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73,015,270.28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8,629,130,981.96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8,134,002,048.64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12,233,206,569.06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11,386,893,458.21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424,797,664.69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1,106,425,148.33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1,165,086,955.74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117,658,405.98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152,605,204.89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22,800,639.56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19,643,402.02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93,606,774.69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88,070,828.92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203,709,504.14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188,072,971.84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2,206,836.79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2,432,039.28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1,968,998,137.39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1,753,479,363.41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1,380,848,063.24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1,488,332,103.61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491,726,199.15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617,043,821.52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18,485,214.00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27,649,295.59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22,380,612.91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1,918,708,771.98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2,128,236,538.04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3,887,706,909.37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3,881,715,901.45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1,542,627,179.00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1,539,675,821.00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4,479,870,089.55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4,429,356,256.15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93,391,154.36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78,275,273.37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2,232,515,495.01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1,453,336,132.25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8,348,403,917.92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7,500,643,482.77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-2,904,258.23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4,534,073.99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8,345,499,659.69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7,505,177,556.76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12,233,206,569.06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11,386,893,458.21</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法定代表人：耿殿根</w:t>
        <w:tab/>
      </w:r>
      <w:r>
        <w:rPr>
          <w:spacing w:val="-1"/>
        </w:rPr>
        <w:t>主管会计工作负责人：张利军</w:t>
        <w:tab/>
      </w:r>
      <w:r>
        <w:rPr/>
        <w:t>会计机构负责人：张利军</w:t>
      </w:r>
    </w:p>
    <w:p>
      <w:pPr>
        <w:spacing w:line="240" w:lineRule="auto" w:before="0"/>
        <w:rPr>
          <w:rFonts w:ascii="宋体" w:hAnsi="宋体" w:cs="宋体" w:eastAsia="宋体" w:hint="default"/>
          <w:sz w:val="18"/>
          <w:szCs w:val="18"/>
        </w:rPr>
      </w:pPr>
    </w:p>
    <w:p>
      <w:pPr>
        <w:pStyle w:val="Heading3"/>
        <w:spacing w:line="240" w:lineRule="auto" w:before="120"/>
        <w:ind w:right="3827"/>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161,883,451.45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153,053,921.53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139,188,679.25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649,939,430.75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622,424,927.16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93,853,045.95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138,255,429.47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2,016,456,413.18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557,035,684.68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1,344,054.79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1,224,993.54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4,661,988.29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5,206,117.01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43,349,686.17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297,019,384.89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3,109,332,695.04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1,777,595,464.74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5,031,884,223.41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5,917,992,008.92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35,290,000.00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729,418,431.94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898,814,767.44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5,481,805.72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24,806,467.30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2,608,501.17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2,308,125.54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120,691,180.37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92,944,259.18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2,778,708.69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1,779,147.04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70,948,062.72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73,015,270.28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5,999,100,914.02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7,066,950,045.70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9,108,433,609.06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8,844,545,510.44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184,797,664.69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828,110,248.85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831,207,388.91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72,914,086.35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105,257,604.98</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80"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11,071,895.81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9,176,587.38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693,331.20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4,290,143.44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112,446,515.38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39,594,207.35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112,563.62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213,383.36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1,410,033,742.28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1,089,525,932.06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383,700,271.26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613,966,754.43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383,988,271.26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614,446,754.43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1,794,022,013.54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1,703,972,686.49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1,542,627,179.00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1,539,675,821.00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5,200,576,528.65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5,150,024,006.58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93,391,154.36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78,275,273.37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477,816,733.51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372,597,723.00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7,314,411,595.52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7,140,572,823.95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9,108,433,609.06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8,844,545,510.44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3827"/>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7,097,172,610.23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6,023,164,541.28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7,097,172,610.23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6,023,164,541.28</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6,183,014,227.60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5,255,045,683.74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5,568,455,829.67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4,741,478,470.61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26,594,390.42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27,849,790.03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66,065,987.50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44,985,076.36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172,313,546.37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137,617,708.92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236,898,909.83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183,327,747.27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112,685,563.81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119,786,890.55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117,129,925.21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124,360,855.14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5,404,595.88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4,748,000.90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17,180,150.09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1,090,423.29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12,832,366.53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25,609,336.07</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-402,773.86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07.719986pt;width:158.9pt;height:20.65pt;mso-position-horizontal-relative:page;mso-position-vertical-relative:page;z-index:-1238848"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1238824"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188,679.25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-26,789,375.95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-9,211,269.97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-643,463.39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-120,675.85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916,926,739.16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785,486,671.08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3,289,284.12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3,844,396.41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1,416,930.46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1,195,019.65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918,799,092.82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788,136,047.84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122,547,609.43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104,165,108.61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796,251,483.39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683,970,939.23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796,251,483.39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683,970,939.23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824,590,767.43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667,452,385.34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7" w:right="0"/>
              <w:jc w:val="left"/>
              <w:rPr>
                <w:rFonts w:ascii="Times New Roman" w:hAnsi="Times New Roman" w:cs="Times New Roman" w:eastAsia="Times New Roman" w:hint="default"/>
                <w:sz w:val="18"/>
                <w:szCs w:val="18"/>
              </w:rPr>
            </w:pPr>
            <w:r>
              <w:rPr>
                <w:rFonts w:ascii="Times New Roman"/>
                <w:sz w:val="18"/>
              </w:rPr>
              <w:t>-28,339,284.04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16,518,553.89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796,251,483.39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683,970,939.23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824,590,767.43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667,452,385.34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-28,339,284.04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16,518,553.89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0.46</w:t>
            </w:r>
          </w:p>
        </w:tc>
      </w:tr>
    </w:tbl>
    <w:p>
      <w:pPr>
        <w:pStyle w:val="BodyText"/>
        <w:tabs>
          <w:tab w:pos="3578" w:val="left" w:leader="none"/>
          <w:tab w:pos="772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法定代表人：耿殿根</w:t>
        <w:tab/>
      </w:r>
      <w:r>
        <w:rPr>
          <w:spacing w:val="-1"/>
        </w:rPr>
        <w:t>主管会计工作负责人：张利军</w:t>
        <w:tab/>
      </w:r>
      <w:r>
        <w:rPr/>
        <w:t>会计机构负责人：张利军</w:t>
      </w:r>
      <w:r>
        <w:rPr/>
        <w:t> </w:t>
      </w:r>
      <w:bookmarkStart w:name="4、母公司利润表" w:id="161"/>
      <w:bookmarkEnd w:id="16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2,902,447,737.18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2,760,277,759.79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2,477,720,833.33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2,330,372,529.65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450,739.64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876,738.93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46,116,651.50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60,916,615.89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78,842,338.78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68,249,482.07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109,855,290.89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88,045,098.55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34,662,176.70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46,434,402.46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38,882,370.45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49,973,907.99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5,076,093.66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3,618,785.62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856,713.46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12,832,366.53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24,811,569.21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-402,773.86</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188,679.25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-6,663,744.37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-4,215,067.89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-120,675.85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160,736,925.98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186,715,431.17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3,180,661.98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3,844,393.29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829,288.00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210,575.21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163,088,299.96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190,349,249.25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11,929,490.04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19,150,725.12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151,158,809.92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171,198,524.13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151,158,809.92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171,198,524.13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151,158,809.92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171,198,524.13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3827"/>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7,206,230,704.87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5,821,052,788.80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35,323,519.41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103,360,593.98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229,964,966.83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323,345,914.14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7,471,519,191.11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6,247,759,296.92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6,019,335,563.51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4,806,157,792.25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235,318,462.98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200,032,852.84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194,517,393.82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192,871,546.58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419,380,833.40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461,765,838.13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6,868,552,253.71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5,660,828,029.80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602,966,937.40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586,931,267.12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13,286,977.59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29,364,605.00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189,751.60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190,935.92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1,344,476,729.19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2,696,055,540.92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690,051,063.62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946,133,419.06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1,280,499,419.00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2,533,052,267.47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125,819,941.03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979,484.95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2,096,370,423.65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3,480,165,171.48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-751,893,694.46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-784,109,630.56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69,496,241.16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588,449,977.92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1,890,656,112.60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1,124,960,832.09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1,960,152,353.76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1,713,410,810.01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1,680,667,493.50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1,124,549,524.06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124,737,693.29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111,638,204.31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59,400,192.41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43,300,198.91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1,864,805,379.20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1,279,487,927.28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95,346,974.56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433,922,882.73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-53,579,782.50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236,744,519.29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730,991,207.45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494,246,688.16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677,411,424.95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730,991,207.45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3827"/>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3,029,103,178.69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2,761,527,818.53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23,083,296.07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2,463,919.65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683,533,828.49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670,465,281.56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3,735,720,303.25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3,434,457,019.74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2,656,620,399.09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2,531,095,062.86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90,401,792.86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79,739,448.79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22,975,069.43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23,754,993.44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715,637,017.69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880,895,182.30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3,485,634,279.07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3,515,484,687.39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250,086,024.18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-81,027,667.65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2,485,000,000.00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13,286,977.59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27,918,259.80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62,135.92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1,344,377,477.59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2,524,480,395.72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66,285,404.72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82,954,421.52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2,943,212,500.00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979,484.95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1,666,975,404.72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3,027,146,406.47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-322,597,927.13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-502,666,010.75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48,496,241.16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570,949,977.92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684,797,664.69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547,003,333.33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733,293,905.85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1,117,953,311.25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43,952,472.98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35,254,481.81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31,519,566.91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651,952,472.98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566,774,048.72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81,341,432.87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551,179,262.53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8,829,529.92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-32,514,415.87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153,053,921.53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185,568,337.40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161,883,451.45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153,053,921.53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3827"/>
        <w:jc w:val="left"/>
      </w:pPr>
      <w:r>
        <w:rPr/>
        <w:t>本期金额</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821.0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4,429,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356,25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6.15</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1,453,</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336,13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2.25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643,48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2.77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4,534,</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073.99</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7,505,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177,55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6.76</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4,429,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356,25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1,453,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336,13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643,48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2.77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4,534,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073.99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7,505,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177,55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6.76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2,951</w:t>
            </w:r>
          </w:p>
          <w:p>
            <w:pPr>
              <w:pStyle w:val="TableParagraph"/>
              <w:spacing w:line="240" w:lineRule="auto" w:before="102"/>
              <w:ind w:left="78" w:right="0"/>
              <w:jc w:val="center"/>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50,513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15,115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779,17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9,362.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847,76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0,435.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-7,438,</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332.22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840,32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2,102.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824,59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0,767.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824,59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0,767.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9,284.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796,25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1,483.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39</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2,951</w:t>
            </w:r>
          </w:p>
          <w:p>
            <w:pPr>
              <w:pStyle w:val="TableParagraph"/>
              <w:spacing w:line="240" w:lineRule="auto" w:before="103"/>
              <w:ind w:left="78" w:right="0"/>
              <w:jc w:val="center"/>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50,513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53,465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74,013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2,951</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290,00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290,00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290,00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6.91</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-38,68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8.67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-38,68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8.67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-451,3</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11.33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-490,0</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15,115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9,799.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-30,82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3,918.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-30,82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3,918.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15,115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-15,11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5,880.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97"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-30,82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3,918.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-30,82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3,918.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18"/>
                <w:szCs w:val="18"/>
              </w:rPr>
            </w:pPr>
            <w:r>
              <w:rPr>
                <w:rFonts w:ascii="Times New Roman"/>
                <w:sz w:val="18"/>
              </w:rPr>
              <w:t>-30,82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3,918.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4.74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352,26</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3.15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880,65</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7.89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4.74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352,26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3.15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880,65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7.89</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,627,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4,479,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870,08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9.55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2,232,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515,49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8,348,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403,91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7.92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-2,904,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258.23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8,345,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499,65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9.69</w:t>
            </w:r>
          </w:p>
        </w:tc>
      </w:tr>
    </w:tbl>
    <w:p>
      <w:pPr>
        <w:pStyle w:val="BodyText"/>
        <w:spacing w:line="240" w:lineRule="auto" w:before="49"/>
        <w:ind w:right="3827"/>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2"/>
              <w:ind w:left="92" w:right="0"/>
              <w:jc w:val="left"/>
              <w:rPr>
                <w:rFonts w:ascii="Times New Roman" w:hAnsi="Times New Roman" w:cs="Times New Roman" w:eastAsia="Times New Roman" w:hint="default"/>
                <w:sz w:val="18"/>
                <w:szCs w:val="18"/>
              </w:rPr>
            </w:pPr>
            <w:r>
              <w:rPr>
                <w:rFonts w:ascii="Times New Roman"/>
                <w:sz w:val="18"/>
              </w:rPr>
              <w:t>,351,</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388.0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4,091,</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614,70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1.68</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831,92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9,868.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6,431,</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051,37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9.57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396,350</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,438.03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01,817.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,351,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4,091,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614,70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1.68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831,92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9,868.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6,431,</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051,37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9.57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396,350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,438.03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01,817.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93,32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4,433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337,74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1,554.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17,119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621,40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6,263.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1,069,</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592,10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-391,81</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1"/>
                <w:sz w:val="18"/>
              </w:rPr>
              <w:t>6,364.0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677,775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,739.16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667,45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2,385.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667,45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2,385.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16,518,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553.89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683,970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,939.23</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93,32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4,433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337,74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1,554.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431,06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5,987.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-408,33</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1"/>
                <w:sz w:val="18"/>
              </w:rPr>
              <w:t>4,917.9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22,731,</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069.54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93,32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4,433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917,09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6.56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241,52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9.56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4,489,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529.94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4,489,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529.94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4,489,5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29.94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65,072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65,072</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-425,83</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pacing w:val="-1"/>
                <w:sz w:val="18"/>
              </w:rPr>
              <w:t>4,917.9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-1,147,</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499,989</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17,119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-46,04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6,122.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6,269.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-28,926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,269.61</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17,119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-17,11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9,852.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6,269.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6,269.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-28,926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,269.61</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4,429,</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356,25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6.15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1,453,</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336,13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2.25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643,48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2.77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4,534,0</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73.99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77,556.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3827"/>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5"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75,821.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5,150,02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4,006.58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78,275,2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73.37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7,723.0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7,140,572,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823.95</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75,821.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5,150,02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4,006.58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78,275,2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73.37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7,723.0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7,140,572,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823.95</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2,951,3</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58.00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50,552,5</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22.07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15,115,8</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80.99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9,010.5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173,838,7</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71.57</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8,809.9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151,158,8</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09.92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2,951,3</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58.00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50,552,5</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22.07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53,503,88</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0.07</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2,951,3</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58.00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50,262,5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15.16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53,213,87</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3.16</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15,115,8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80.99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,799.41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-30,823,91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8.42</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15,115,8</w:t>
            </w:r>
          </w:p>
          <w:p>
            <w:pPr>
              <w:pStyle w:val="TableParagraph"/>
              <w:spacing w:line="240" w:lineRule="auto" w:before="103"/>
              <w:ind w:left="287" w:right="0"/>
              <w:jc w:val="left"/>
              <w:rPr>
                <w:rFonts w:ascii="Times New Roman" w:hAnsi="Times New Roman" w:cs="Times New Roman" w:eastAsia="Times New Roman" w:hint="default"/>
                <w:sz w:val="18"/>
                <w:szCs w:val="18"/>
              </w:rPr>
            </w:pPr>
            <w:r>
              <w:rPr>
                <w:rFonts w:ascii="Times New Roman"/>
                <w:sz w:val="18"/>
              </w:rPr>
              <w:t>80.99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-15,115</w:t>
            </w:r>
          </w:p>
          <w:p>
            <w:pPr>
              <w:pStyle w:val="TableParagraph"/>
              <w:spacing w:line="240" w:lineRule="auto" w:before="103"/>
              <w:ind w:left="43" w:right="0"/>
              <w:jc w:val="left"/>
              <w:rPr>
                <w:rFonts w:ascii="Times New Roman" w:hAnsi="Times New Roman" w:cs="Times New Roman" w:eastAsia="Times New Roman" w:hint="default"/>
                <w:sz w:val="18"/>
                <w:szCs w:val="18"/>
              </w:rPr>
            </w:pPr>
            <w:r>
              <w:rPr>
                <w:rFonts w:ascii="Times New Roman"/>
                <w:sz w:val="18"/>
              </w:rPr>
              <w:t>,880.99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-30,823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,918.42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-30,823,91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8.42</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5,200,57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6,528.65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93,391,1</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54.36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6,733.5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7,314,411,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595.52</w:t>
            </w:r>
          </w:p>
        </w:tc>
      </w:tr>
    </w:tbl>
    <w:p>
      <w:pPr>
        <w:pStyle w:val="BodyText"/>
        <w:spacing w:line="240" w:lineRule="auto" w:before="49"/>
        <w:ind w:right="3827"/>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6"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351,38</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8.00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17,380.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61,155,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420.96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247,445,3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20.89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5,845,569,5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09.93</w:t>
            </w:r>
          </w:p>
        </w:tc>
      </w:tr>
      <w:tr>
        <w:trPr>
          <w:trHeight w:val="706"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351,38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17,380.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61,155,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420.96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247,445,3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5,845,569,5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09.93</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93,324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852.41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125,152,4</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02.11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1,295,003,3</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14.02</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171,198,5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171,198,52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4.13</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93,324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1,152,731,0</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59.50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17,096.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1,148,241,5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29.56</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4,489,5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29.94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4,489,529.9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852.41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-46,046,1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-28,926,269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17,119,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852.41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-17,119,8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52.41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-28,926,2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69.61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-28,926,269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675,82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24,006.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78,275,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273.37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372,597,7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7,140,572,8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23.95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3827"/>
        <w:jc w:val="left"/>
        <w:rPr>
          <w:b w:val="0"/>
          <w:bCs w:val="0"/>
        </w:rPr>
      </w:pPr>
      <w:bookmarkStart w:name="三、公司基本情况" w:id="166"/>
      <w:bookmarkEnd w:id="16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4727"/>
        <w:jc w:val="left"/>
      </w:pPr>
      <w:r>
        <w:rPr>
          <w:rFonts w:ascii="Times New Roman" w:hAnsi="Times New Roman" w:cs="Times New Roman" w:eastAsia="Times New Roman" w:hint="default"/>
        </w:rPr>
        <w:t>1</w:t>
      </w:r>
      <w:r>
        <w:rPr/>
        <w:t>、公司注册登记情况： 名称：北京光环新网科技股份有限公司（以下简称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 住所：北京市门头沟区石龙经济开发区永安路</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号</w:t>
      </w:r>
      <w:r>
        <w:rPr>
          <w:spacing w:val="-46"/>
        </w:rPr>
        <w:t> </w:t>
      </w:r>
      <w:r>
        <w:rPr>
          <w:rFonts w:ascii="Times New Roman" w:hAnsi="Times New Roman" w:cs="Times New Roman" w:eastAsia="Times New Roman" w:hint="default"/>
        </w:rPr>
        <w:t>3 </w:t>
      </w:r>
      <w:r>
        <w:rPr/>
        <w:t>号楼二层</w:t>
      </w:r>
      <w:r>
        <w:rPr>
          <w:spacing w:val="-46"/>
        </w:rPr>
        <w:t> </w:t>
      </w:r>
      <w:r>
        <w:rPr>
          <w:rFonts w:ascii="Times New Roman" w:hAnsi="Times New Roman" w:cs="Times New Roman" w:eastAsia="Times New Roman" w:hint="default"/>
        </w:rPr>
        <w:t>202 </w:t>
      </w:r>
      <w:r>
        <w:rPr/>
        <w:t>室。 法定代表人姓名：耿殿根</w:t>
      </w:r>
    </w:p>
    <w:p>
      <w:pPr>
        <w:pStyle w:val="BodyText"/>
        <w:spacing w:line="340" w:lineRule="auto" w:before="41"/>
        <w:ind w:left="513" w:right="1112"/>
        <w:jc w:val="left"/>
      </w:pPr>
      <w:r>
        <w:rPr/>
        <w:t>注册资本：</w:t>
      </w:r>
      <w:r>
        <w:rPr>
          <w:rFonts w:ascii="Times New Roman" w:hAnsi="Times New Roman" w:cs="Times New Roman" w:eastAsia="Times New Roman" w:hint="default"/>
        </w:rPr>
        <w:t>154119.5921</w:t>
      </w:r>
      <w:r>
        <w:rPr>
          <w:rFonts w:ascii="Times New Roman" w:hAnsi="Times New Roman" w:cs="Times New Roman" w:eastAsia="Times New Roman" w:hint="default"/>
          <w:spacing w:val="1"/>
        </w:rPr>
        <w:t> </w:t>
      </w:r>
      <w:r>
        <w:rPr/>
        <w:t>万元 </w:t>
      </w:r>
      <w:r>
        <w:rPr>
          <w:spacing w:val="-2"/>
        </w:rPr>
        <w:t>获准经营的业务种类、服务项目和业务覆盖范围如下：一、固定网国内数据传送业务，业务覆盖范围：全国。二、互联</w:t>
      </w:r>
    </w:p>
    <w:p>
      <w:pPr>
        <w:pStyle w:val="BodyText"/>
        <w:spacing w:line="316" w:lineRule="auto" w:before="1"/>
        <w:ind w:right="1034"/>
        <w:jc w:val="left"/>
      </w:pPr>
      <w:r>
        <w:rPr>
          <w:spacing w:val="-2"/>
        </w:rPr>
        <w:t>网数据中心业务，机房所在地为北京、廊坊、上海、深圳。三、内容分发网络业务，业务覆盖范围：北京、江苏。四、国内</w:t>
      </w:r>
      <w:r>
        <w:rPr>
          <w:spacing w:val="-70"/>
        </w:rPr>
        <w:t> </w:t>
      </w:r>
      <w:r>
        <w:rPr>
          <w:spacing w:val="-70"/>
        </w:rPr>
      </w:r>
      <w:r>
        <w:rPr/>
        <w:t>互联网虚拟专用网业务，业务覆盖范围：全国。五、互联网接入服务业务，业务覆盖范围：北京、河北、上海、山东。六、</w:t>
      </w:r>
      <w:r>
        <w:rPr>
          <w:spacing w:val="-85"/>
        </w:rPr>
        <w:t> </w:t>
      </w:r>
      <w:r>
        <w:rPr>
          <w:spacing w:val="-85"/>
        </w:rPr>
      </w:r>
      <w:r>
        <w:rPr>
          <w:spacing w:val="-2"/>
        </w:rPr>
        <w:t>互联网接入服务业务（仅限为上网用户提供互联网接入服务），业务覆盖范围：天津、重庆、广东、陕西。七、互联网域名</w:t>
      </w:r>
      <w:r>
        <w:rPr>
          <w:spacing w:val="-71"/>
        </w:rPr>
        <w:t> </w:t>
      </w:r>
      <w:r>
        <w:rPr>
          <w:spacing w:val="-71"/>
        </w:rPr>
      </w:r>
      <w:r>
        <w:rPr>
          <w:spacing w:val="-2"/>
        </w:rPr>
        <w:t>解析服务业务，业务覆盖范围：北京市。八、信息服务业务（仅限互联网信息服务），业务覆盖范围：北京市。</w:t>
      </w:r>
    </w:p>
    <w:p>
      <w:pPr>
        <w:pStyle w:val="BodyText"/>
        <w:spacing w:line="316" w:lineRule="auto" w:before="59"/>
        <w:ind w:right="1129" w:firstLine="360"/>
        <w:jc w:val="both"/>
      </w:pPr>
      <w:r>
        <w:rPr>
          <w:spacing w:val="-2"/>
        </w:rPr>
        <w:t>经营范围：信息系统集成；三维多媒体集成；承接网络工程、智能大厦弱电系统集成；研发数字网络应用软件；从事计</w:t>
      </w:r>
      <w:r>
        <w:rPr/>
        <w:t> </w:t>
      </w:r>
      <w:r>
        <w:rPr>
          <w:spacing w:val="-2"/>
        </w:rPr>
        <w:t>算机信息网络国际联网经营业务；销售通讯设备、计算机、软件及辅助设备；专业承包；经营电信业务。（企业依法自主选</w:t>
      </w:r>
      <w:r>
        <w:rPr>
          <w:spacing w:val="-72"/>
        </w:rPr>
        <w:t> </w:t>
      </w:r>
      <w:r>
        <w:rPr>
          <w:spacing w:val="-72"/>
        </w:rPr>
      </w:r>
      <w:r>
        <w:rPr>
          <w:spacing w:val="-2"/>
        </w:rPr>
        <w:t>择经营项目，开展经营活动；经营电信业务、专业承包以及依法须经批准的项目，经相关部门批准后依批准的内容开展经营</w:t>
      </w:r>
      <w:r>
        <w:rPr>
          <w:spacing w:val="-63"/>
        </w:rPr>
        <w:t> </w:t>
      </w:r>
      <w:r>
        <w:rPr>
          <w:spacing w:val="-63"/>
        </w:rPr>
      </w:r>
      <w:r>
        <w:rPr>
          <w:spacing w:val="-4"/>
        </w:rPr>
        <w:t>活动；不得从事本市产业政策禁止和限制类项目的经营活动。）</w:t>
      </w:r>
    </w:p>
    <w:p>
      <w:pPr>
        <w:pStyle w:val="BodyText"/>
        <w:spacing w:line="240" w:lineRule="auto" w:before="57"/>
        <w:ind w:left="513" w:right="3827"/>
        <w:jc w:val="left"/>
      </w:pPr>
      <w:r>
        <w:rPr>
          <w:rFonts w:ascii="Times New Roman" w:hAnsi="Times New Roman" w:cs="Times New Roman" w:eastAsia="Times New Roman" w:hint="default"/>
        </w:rPr>
        <w:t>2</w:t>
      </w:r>
      <w:r>
        <w:rPr/>
        <w:t>、行业性质</w:t>
      </w:r>
    </w:p>
    <w:p>
      <w:pPr>
        <w:pStyle w:val="BodyText"/>
        <w:spacing w:line="300" w:lineRule="auto" w:before="104"/>
        <w:ind w:right="1112" w:firstLine="360"/>
        <w:jc w:val="left"/>
      </w:pPr>
      <w:r>
        <w:rPr/>
        <w:t>本公司经营业务属于中国证监会行业分类 </w:t>
      </w:r>
      <w:r>
        <w:rPr>
          <w:rFonts w:ascii="Times New Roman" w:hAnsi="Times New Roman" w:cs="Times New Roman" w:eastAsia="Times New Roman" w:hint="default"/>
        </w:rPr>
        <w:t>I </w:t>
      </w:r>
      <w:r>
        <w:rPr>
          <w:spacing w:val="-5"/>
        </w:rPr>
        <w:t>类信息传输、软件和信息技术服务业之</w:t>
      </w:r>
      <w:r>
        <w:rPr/>
        <w:t> </w:t>
      </w:r>
      <w:r>
        <w:rPr>
          <w:rFonts w:ascii="Times New Roman" w:hAnsi="Times New Roman" w:cs="Times New Roman" w:eastAsia="Times New Roman" w:hint="default"/>
        </w:rPr>
        <w:t>I64 </w:t>
      </w:r>
      <w:r>
        <w:rPr>
          <w:spacing w:val="-1"/>
        </w:rPr>
        <w:t>互联网和相关服务及</w:t>
      </w:r>
      <w:r>
        <w:rPr/>
        <w:t> </w:t>
      </w:r>
      <w:r>
        <w:rPr>
          <w:rFonts w:ascii="Times New Roman" w:hAnsi="Times New Roman" w:cs="Times New Roman" w:eastAsia="Times New Roman" w:hint="default"/>
        </w:rPr>
        <w:t>I65</w:t>
      </w:r>
      <w:r>
        <w:rPr>
          <w:rFonts w:ascii="Times New Roman" w:hAnsi="Times New Roman" w:cs="Times New Roman" w:eastAsia="Times New Roman" w:hint="default"/>
          <w:spacing w:val="11"/>
        </w:rPr>
        <w:t> </w:t>
      </w:r>
      <w:r>
        <w:rPr/>
        <w:t>软件 信息</w:t>
      </w:r>
      <w:r>
        <w:rPr>
          <w:spacing w:val="1"/>
        </w:rPr>
        <w:t> </w:t>
      </w:r>
      <w:r>
        <w:rPr/>
        <w:t>技术服务业。</w:t>
      </w:r>
    </w:p>
    <w:p>
      <w:pPr>
        <w:pStyle w:val="BodyText"/>
        <w:spacing w:line="240" w:lineRule="auto" w:before="72"/>
        <w:ind w:left="513" w:right="3827"/>
        <w:jc w:val="left"/>
      </w:pPr>
      <w:r>
        <w:rPr>
          <w:rFonts w:ascii="Times New Roman" w:hAnsi="Times New Roman" w:cs="Times New Roman" w:eastAsia="Times New Roman" w:hint="default"/>
        </w:rPr>
        <w:t>3</w:t>
      </w:r>
      <w:r>
        <w:rPr/>
        <w:t>、财务报告的批准报出</w:t>
      </w:r>
    </w:p>
    <w:p>
      <w:pPr>
        <w:pStyle w:val="BodyText"/>
        <w:spacing w:line="240" w:lineRule="auto" w:before="101"/>
        <w:ind w:left="513" w:right="3827"/>
        <w:jc w:val="left"/>
      </w:pPr>
      <w:r>
        <w:rPr/>
        <w:t>本公司财务报表于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16 </w:t>
      </w:r>
      <w:r>
        <w:rPr/>
        <w:t>日已经公司董事会批准报出。</w:t>
      </w:r>
    </w:p>
    <w:p>
      <w:pPr>
        <w:pStyle w:val="BodyText"/>
        <w:spacing w:line="300" w:lineRule="auto" w:before="103"/>
        <w:ind w:right="1125" w:firstLine="360"/>
        <w:jc w:val="left"/>
      </w:pPr>
      <w:r>
        <w:rPr/>
        <w:t>本公司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年度纳入合并集团范围的子公司共</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6"/>
        </w:rPr>
        <w:t>家，其中包括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4"/>
        </w:rPr>
        <w:t>家全资子公司、</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1"/>
        </w:rPr>
        <w:t> </w:t>
      </w:r>
      <w:r>
        <w:rPr>
          <w:spacing w:val="-3"/>
        </w:rPr>
        <w:t>家全资二级子公司、</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1"/>
        </w:rPr>
        <w:t> </w:t>
      </w:r>
      <w:r>
        <w:rPr/>
        <w:t>家控股子公 司、</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家控股二级子公司。本公司本报告期合并范围较上年度增加</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家二级子公司，合并范围的变化情况详见本节</w:t>
      </w:r>
      <w:r>
        <w:rPr>
          <w:rFonts w:ascii="Times New Roman" w:hAnsi="Times New Roman" w:cs="Times New Roman" w:eastAsia="Times New Roman" w:hint="default"/>
        </w:rPr>
        <w:t>“</w:t>
      </w:r>
      <w:r>
        <w:rPr/>
        <w:t>八、合 并范围的变更</w:t>
      </w:r>
      <w:r>
        <w:rPr>
          <w:rFonts w:ascii="Times New Roman" w:hAnsi="Times New Roman" w:cs="Times New Roman" w:eastAsia="Times New Roman" w:hint="default"/>
        </w:rPr>
        <w:t>”</w:t>
      </w:r>
      <w:r>
        <w:rPr/>
        <w:t>。</w:t>
      </w:r>
    </w:p>
    <w:p>
      <w:pPr>
        <w:spacing w:after="0" w:line="30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6"/>
        <w:jc w:val="left"/>
      </w:pPr>
      <w:r>
        <w:rPr>
          <w:spacing w:val="-4"/>
        </w:rPr>
        <w:t>公司及各子公司以持续经营假设为基础，根据实际发生的交易和事项，按照财政部发布的《企业会计准则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号发</w:t>
      </w:r>
      <w:r>
        <w:rPr>
          <w:spacing w:val="-3"/>
        </w:rPr>
        <w:t>布</w:t>
      </w:r>
      <w:r>
        <w:rPr>
          <w:spacing w:val="-27"/>
        </w:rPr>
        <w:t>、</w:t>
      </w:r>
      <w:r>
        <w:rPr/>
        <w:t>财</w:t>
      </w:r>
      <w:r>
        <w:rPr>
          <w:spacing w:val="-3"/>
        </w:rPr>
        <w:t>政</w:t>
      </w:r>
      <w:r>
        <w:rPr/>
        <w:t>部令第</w:t>
      </w:r>
      <w:r>
        <w:rPr>
          <w:spacing w:val="-44"/>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号修订</w:t>
      </w:r>
      <w:r>
        <w:rPr>
          <w:spacing w:val="-92"/>
        </w:rPr>
        <w:t>）</w:t>
      </w:r>
      <w:r>
        <w:rPr>
          <w:spacing w:val="-29"/>
        </w:rPr>
        <w:t>、</w:t>
      </w:r>
      <w:r>
        <w:rPr/>
        <w:t>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日及其后颁布和修订的</w:t>
      </w:r>
      <w:r>
        <w:rPr>
          <w:spacing w:val="-47"/>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项具体会计准</w:t>
      </w:r>
      <w:r>
        <w:rPr>
          <w:spacing w:val="-3"/>
        </w:rPr>
        <w:t>则</w:t>
      </w:r>
      <w:r>
        <w:rPr>
          <w:spacing w:val="-27"/>
        </w:rPr>
        <w:t>、</w:t>
      </w:r>
      <w:r>
        <w:rPr/>
        <w:t>企业会计</w:t>
      </w:r>
      <w:r>
        <w:rPr/>
        <w:t> 准则应用指南、企业会计准则解释及其他相关规定（以下合</w:t>
      </w:r>
      <w:r>
        <w:rPr>
          <w:spacing w:val="1"/>
        </w:rPr>
        <w:t>称</w:t>
      </w:r>
      <w:r>
        <w:rPr>
          <w:rFonts w:ascii="Times New Roman" w:hAnsi="Times New Roman" w:cs="Times New Roman" w:eastAsia="Times New Roman" w:hint="default"/>
          <w:spacing w:val="-1"/>
          <w:w w:val="100"/>
        </w:rPr>
        <w:t>“</w:t>
      </w:r>
      <w:r>
        <w:rPr/>
        <w:t>企业会计准则</w:t>
      </w:r>
      <w:r>
        <w:rPr>
          <w:rFonts w:ascii="Times New Roman" w:hAnsi="Times New Roman" w:cs="Times New Roman" w:eastAsia="Times New Roman" w:hint="default"/>
          <w:spacing w:val="-1"/>
          <w:w w:val="100"/>
        </w:rPr>
        <w:t>”</w:t>
      </w:r>
      <w:r>
        <w:rPr>
          <w:spacing w:val="-92"/>
        </w:rPr>
        <w:t>）</w:t>
      </w:r>
      <w:r>
        <w:rPr/>
        <w:t>，以及中</w:t>
      </w:r>
      <w:r>
        <w:rPr>
          <w:spacing w:val="2"/>
        </w:rPr>
        <w:t>国</w:t>
      </w:r>
      <w:r>
        <w:rPr/>
        <w:t>证券监督管理委员会《公开发行</w:t>
      </w:r>
      <w:r>
        <w:rPr/>
        <w:t> 证券的公司信息披露编报规则第</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财务报告的一般</w:t>
      </w:r>
      <w:r>
        <w:rPr>
          <w:spacing w:val="-3"/>
        </w:rPr>
        <w:t>规</w:t>
      </w:r>
      <w:r>
        <w:rPr/>
        <w:t>定</w:t>
      </w:r>
      <w:r>
        <w:rPr>
          <w:spacing w:val="-92"/>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年修订）的披露</w:t>
      </w:r>
      <w:r>
        <w:rPr>
          <w:spacing w:val="-3"/>
        </w:rPr>
        <w:t>规</w:t>
      </w:r>
      <w:r>
        <w:rPr/>
        <w:t>定编制。</w:t>
      </w:r>
    </w:p>
    <w:p>
      <w:pPr>
        <w:pStyle w:val="BodyText"/>
        <w:spacing w:line="316" w:lineRule="auto" w:before="13"/>
        <w:ind w:right="1130" w:firstLine="360"/>
        <w:jc w:val="both"/>
      </w:pPr>
      <w:r>
        <w:rPr>
          <w:spacing w:val="-2"/>
        </w:rPr>
        <w:t>根据企业会计准则的相关规定，本公司会计核算以权责发生制为基础。除某些金融工具和投资性房地产外，本财务报表</w:t>
      </w:r>
      <w:r>
        <w:rPr/>
        <w:t> </w:t>
      </w:r>
      <w:r>
        <w:rPr>
          <w:spacing w:val="-2"/>
        </w:rPr>
        <w:t>均以历史成本为计量基础。持有待售的非流动资产，按公允价值减去预计费用后的金额，以及符合持有待售条件时的原账面</w:t>
      </w:r>
      <w:r>
        <w:rPr>
          <w:spacing w:val="-63"/>
        </w:rPr>
        <w:t> </w:t>
      </w:r>
      <w:r>
        <w:rPr>
          <w:spacing w:val="-63"/>
        </w:rPr>
      </w:r>
      <w:r>
        <w:rPr/>
        <w:t>价值，取两者孰低计价。资产如果发生减值，则按照相关规定计提相应的减值准备。</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3827"/>
        <w:jc w:val="left"/>
      </w:pPr>
      <w:r>
        <w:rPr/>
        <w:t>本财务报表以持续经营为基础列报，自报告期末起</w:t>
      </w:r>
      <w:r>
        <w:rPr>
          <w:spacing w:val="-45"/>
        </w:rPr>
        <w:t> </w:t>
      </w:r>
      <w:r>
        <w:rPr>
          <w:rFonts w:ascii="Times New Roman" w:hAnsi="Times New Roman" w:cs="Times New Roman" w:eastAsia="Times New Roman" w:hint="default"/>
        </w:rPr>
        <w:t>12 </w:t>
      </w:r>
      <w:r>
        <w:rPr/>
        <w:t>个月内具有持续经营能力。</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112" w:hanging="361"/>
        <w:jc w:val="left"/>
      </w:pPr>
      <w:r>
        <w:rPr/>
        <w:t>具体会计政策和会计估计提示： </w:t>
      </w:r>
      <w:r>
        <w:rPr>
          <w:spacing w:val="-2"/>
        </w:rPr>
        <w:t>公司根据实际生产经营特点制定的具体会计政策和会计估计包括：应收款项、存货、固定资产、无形资产、长期待摊费</w:t>
      </w:r>
    </w:p>
    <w:p>
      <w:pPr>
        <w:pStyle w:val="BodyText"/>
        <w:spacing w:line="222" w:lineRule="exact"/>
        <w:ind w:right="0"/>
        <w:jc w:val="both"/>
      </w:pPr>
      <w:r>
        <w:rPr/>
        <w:t>用、收入等。</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6"/>
        <w:jc w:val="left"/>
      </w:pPr>
      <w:r>
        <w:rPr/>
        <w:t>本公司编制的财务报表符合企业会计准则的要求，真实、完整地反映了本公司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w:t>
      </w:r>
    </w:p>
    <w:p>
      <w:pPr>
        <w:pStyle w:val="BodyText"/>
        <w:spacing w:line="240" w:lineRule="auto" w:before="63"/>
        <w:ind w:right="0"/>
        <w:jc w:val="both"/>
      </w:pPr>
      <w:r>
        <w:rPr/>
        <w:t>状况及</w:t>
      </w:r>
      <w:r>
        <w:rPr>
          <w:spacing w:val="-46"/>
        </w:rPr>
        <w:t> </w:t>
      </w:r>
      <w:r>
        <w:rPr>
          <w:rFonts w:ascii="Times New Roman" w:hAnsi="Times New Roman" w:cs="Times New Roman" w:eastAsia="Times New Roman" w:hint="default"/>
        </w:rPr>
        <w:t>2019 </w:t>
      </w:r>
      <w:r>
        <w:rPr/>
        <w:t>年度的合并及母公司经营成果和合并及母公司现金流量等有关信息。此外，本公司的财务报表在所有重大方面</w:t>
      </w:r>
    </w:p>
    <w:p>
      <w:pPr>
        <w:pStyle w:val="BodyText"/>
        <w:spacing w:line="300" w:lineRule="auto" w:before="63"/>
        <w:ind w:right="1114"/>
        <w:jc w:val="left"/>
      </w:pPr>
      <w:r>
        <w:rPr/>
        <w:t>符合中国证券监督管理委员会</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年修订的《公开发行证券的公司信息披露编报规则第</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spacing w:val="-3"/>
        </w:rPr>
        <w:t>号－财务报告的一般规定》有关</w:t>
      </w:r>
      <w:r>
        <w:rPr/>
        <w:t> 财务报表及其附注的披露要求。</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本公司会计期间采用公历年度，即每年自</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本公司以</w:t>
      </w:r>
      <w:r>
        <w:rPr>
          <w:spacing w:val="-45"/>
        </w:rPr>
        <w:t> </w:t>
      </w:r>
      <w:r>
        <w:rPr>
          <w:rFonts w:ascii="Times New Roman" w:hAnsi="Times New Roman" w:cs="Times New Roman" w:eastAsia="Times New Roman" w:hint="default"/>
        </w:rPr>
        <w:t>12 </w:t>
      </w:r>
      <w:r>
        <w:rPr/>
        <w:t>个月作为一个营业周期，并以其作为资产和负债的流动性划分标准。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本公司及子公司以人民币为记账本位币。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12"/>
        <w:jc w:val="left"/>
      </w:pPr>
      <w:r>
        <w:rPr/>
        <w:t>（</w:t>
      </w:r>
      <w:r>
        <w:rPr>
          <w:rFonts w:ascii="Times New Roman" w:hAnsi="Times New Roman" w:cs="Times New Roman" w:eastAsia="Times New Roman" w:hint="default"/>
        </w:rPr>
        <w:t>1</w:t>
      </w:r>
      <w:r>
        <w:rPr/>
        <w:t>）同一控制下企业合并 </w:t>
      </w:r>
      <w:r>
        <w:rPr>
          <w:spacing w:val="-2"/>
        </w:rPr>
        <w:t>合并方在企业合并中取得的资产和负债，按合并日在被合并方的账面价值计量。合并方取得的净资产账面价值与支付的</w:t>
      </w:r>
    </w:p>
    <w:p>
      <w:pPr>
        <w:pStyle w:val="BodyText"/>
        <w:spacing w:line="316" w:lineRule="auto" w:before="31"/>
        <w:ind w:right="1134"/>
        <w:jc w:val="both"/>
      </w:pPr>
      <w:r>
        <w:rPr>
          <w:spacing w:val="-2"/>
        </w:rPr>
        <w:t>合并对价的账面价值（或发行股份面值总额）的差额，调整资本公积中的股本溢价，不足冲减的则调整留存收益。合并方为</w:t>
      </w:r>
      <w:r>
        <w:rPr>
          <w:spacing w:val="-67"/>
        </w:rPr>
        <w:t> </w:t>
      </w:r>
      <w:r>
        <w:rPr>
          <w:spacing w:val="-67"/>
        </w:rPr>
      </w:r>
      <w:r>
        <w:rPr/>
        <w:t>进行企业合并发生的各项直接费用，于发生时计入当期损益。</w:t>
      </w:r>
    </w:p>
    <w:p>
      <w:pPr>
        <w:pStyle w:val="BodyText"/>
        <w:spacing w:line="316" w:lineRule="auto" w:before="19"/>
        <w:ind w:right="1130" w:firstLine="360"/>
        <w:jc w:val="both"/>
      </w:pPr>
      <w:r>
        <w:rPr>
          <w:spacing w:val="-2"/>
        </w:rPr>
        <w:t>公司编制财务报表时，在被合并方是最终控制方以前年度从第三方收购来的情况下，视同合并后形成的报告主体自最终</w:t>
      </w:r>
      <w:r>
        <w:rPr/>
        <w:t> </w:t>
      </w:r>
      <w:r>
        <w:rPr>
          <w:spacing w:val="-2"/>
        </w:rPr>
        <w:t>控制方开始实施控制时起，一直是一体化存续下来的，以被合并方的资产、负债（包括最终控制方收购被合并方而形成的商</w:t>
      </w:r>
      <w:r>
        <w:rPr>
          <w:spacing w:val="-64"/>
        </w:rPr>
        <w:t> </w:t>
      </w:r>
      <w:r>
        <w:rPr>
          <w:spacing w:val="-64"/>
        </w:rPr>
      </w:r>
      <w:r>
        <w:rPr>
          <w:spacing w:val="-2"/>
        </w:rPr>
        <w:t>誉）在最终控制方财务报表中的账面价值为基础，进行相关会计处理。公司财务报表比较数据追溯调整的期间不早于双方处</w:t>
      </w:r>
      <w:r>
        <w:rPr>
          <w:spacing w:val="-63"/>
        </w:rPr>
        <w:t> </w:t>
      </w:r>
      <w:r>
        <w:rPr>
          <w:spacing w:val="-63"/>
        </w:rPr>
      </w:r>
      <w:r>
        <w:rPr/>
        <w:t>于最终控制方的控制之下孰晚的时间。</w:t>
      </w:r>
    </w:p>
    <w:p>
      <w:pPr>
        <w:pStyle w:val="BodyText"/>
        <w:spacing w:line="300" w:lineRule="auto" w:before="19"/>
        <w:ind w:left="513" w:right="1112"/>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1131"/>
        <w:jc w:val="both"/>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3"/>
        </w:rPr>
        <w:t> </w:t>
      </w:r>
      <w:r>
        <w:rPr>
          <w:spacing w:val="-63"/>
        </w:rPr>
      </w:r>
      <w:r>
        <w:rPr/>
        <w:t>金额。所涉及的或有对价按其在购买日的公允价值计入合并成本，购买日后</w:t>
      </w:r>
      <w:r>
        <w:rPr>
          <w:spacing w:val="-44"/>
        </w:rPr>
        <w:t> </w:t>
      </w:r>
      <w:r>
        <w:rPr>
          <w:rFonts w:ascii="Times New Roman" w:hAnsi="Times New Roman" w:cs="Times New Roman" w:eastAsia="Times New Roman" w:hint="default"/>
        </w:rPr>
        <w:t>12 </w:t>
      </w:r>
      <w:r>
        <w:rPr/>
        <w:t>个月内出现对购买日已存在情况的新的或进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3"/>
        </w:rPr>
        <w:t> </w:t>
      </w:r>
      <w:r>
        <w:rPr>
          <w:spacing w:val="-63"/>
        </w:rPr>
      </w:r>
      <w:r>
        <w:rPr/>
        <w:t>期损益。</w:t>
      </w:r>
    </w:p>
    <w:p>
      <w:pPr>
        <w:pStyle w:val="BodyText"/>
        <w:spacing w:line="312" w:lineRule="auto" w:before="19"/>
        <w:ind w:right="1133" w:firstLine="360"/>
        <w:jc w:val="both"/>
      </w:pPr>
      <w:r>
        <w:rPr/>
        <w:t>购买方取得被购买方的可抵扣暂时性差异，在购买日因不符合递延所得税资产确认条件而未予确认的，在购买日后</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240" w:lineRule="auto" w:before="22"/>
        <w:ind w:left="513" w:right="3827"/>
        <w:jc w:val="left"/>
      </w:pP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的判断原则：</w:t>
      </w:r>
    </w:p>
    <w:p>
      <w:pPr>
        <w:pStyle w:val="BodyText"/>
        <w:spacing w:line="240" w:lineRule="auto" w:before="63"/>
        <w:ind w:left="513" w:right="3827"/>
        <w:jc w:val="left"/>
      </w:pPr>
      <w:r>
        <w:rPr/>
        <w:t>①这些交易是同时或者在考虑了彼此影响的情况下订立的；</w:t>
      </w:r>
    </w:p>
    <w:p>
      <w:pPr>
        <w:pStyle w:val="BodyText"/>
        <w:spacing w:line="240" w:lineRule="auto" w:before="76"/>
        <w:ind w:left="513" w:right="3827"/>
        <w:jc w:val="left"/>
      </w:pPr>
      <w:r>
        <w:rPr/>
        <w:t>②这些交易整体才能达成一项完整的商业结果；</w:t>
      </w:r>
    </w:p>
    <w:p>
      <w:pPr>
        <w:pStyle w:val="BodyText"/>
        <w:spacing w:line="240" w:lineRule="auto" w:before="76"/>
        <w:ind w:left="513" w:right="3827"/>
        <w:jc w:val="left"/>
      </w:pPr>
      <w:r>
        <w:rPr/>
        <w:t>③一项交易的发生取决于其他至少一项交易的发生；</w:t>
      </w:r>
    </w:p>
    <w:p>
      <w:pPr>
        <w:pStyle w:val="BodyText"/>
        <w:spacing w:line="316" w:lineRule="auto" w:before="76"/>
        <w:ind w:left="513" w:right="1112"/>
        <w:jc w:val="left"/>
      </w:pPr>
      <w:r>
        <w:rPr/>
        <w:t>④一项交易单独看是不经济的，但是和其他交易一并考虑时是经济的。 </w:t>
      </w:r>
      <w:r>
        <w:rPr>
          <w:spacing w:val="-2"/>
        </w:rPr>
        <w:t>通过多次交易分步实现的非同一控制下企业合并，属于一揽子交易的，合并方应当将各项交易作为一项取得控制权的交</w:t>
      </w:r>
    </w:p>
    <w:p>
      <w:pPr>
        <w:pStyle w:val="BodyText"/>
        <w:spacing w:line="300" w:lineRule="auto" w:before="19"/>
        <w:ind w:left="513" w:right="1112" w:hanging="361"/>
        <w:jc w:val="left"/>
      </w:pPr>
      <w:r>
        <w:rPr/>
        <w:t>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 </w:t>
      </w:r>
      <w:r>
        <w:rPr>
          <w:spacing w:val="-2"/>
        </w:rPr>
        <w:t>在个别财务报表中，以购买日之前所持被购买方的股权投资的账面价值与购买日新增投资成本之和，作为该项投资的初</w:t>
      </w:r>
    </w:p>
    <w:p>
      <w:pPr>
        <w:pStyle w:val="BodyText"/>
        <w:spacing w:line="319" w:lineRule="auto" w:before="31"/>
        <w:ind w:right="1133"/>
        <w:jc w:val="both"/>
      </w:pP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spacing w:val="-3"/>
        </w:rPr>
        <w:t>净负债或净资产导致的变动中的相应份额以外，其余转入当期投资收益）。</w:t>
      </w:r>
    </w:p>
    <w:p>
      <w:pPr>
        <w:pStyle w:val="BodyText"/>
        <w:spacing w:line="316" w:lineRule="auto" w:before="17"/>
        <w:ind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spacing w:val="-3"/>
        </w:rPr>
        <w:t>定受益计划净负债或净资产导致的变动中的相应份额以外，其余转为购买日所属当期投资收益）。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3827"/>
        <w:jc w:val="left"/>
      </w:pPr>
      <w:r>
        <w:rPr/>
        <w:t>（</w:t>
      </w:r>
      <w:r>
        <w:rPr>
          <w:rFonts w:ascii="Times New Roman" w:hAnsi="Times New Roman" w:cs="Times New Roman" w:eastAsia="Times New Roman" w:hint="default"/>
        </w:rPr>
        <w:t>1</w:t>
      </w:r>
      <w:r>
        <w:rPr/>
        <w:t>）合并财务报表范围的确定原则</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firstLine="360"/>
        <w:jc w:val="both"/>
      </w:pPr>
      <w:r>
        <w:rPr>
          <w:spacing w:val="-2"/>
        </w:rPr>
        <w:t>合并财务报表的合并范围以控制为基础予以确定。控制是指本公司拥有对被投资方的权力，通过参与被投资方的相关活</w:t>
      </w:r>
      <w:r>
        <w:rPr/>
        <w:t> </w:t>
      </w: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pStyle w:val="BodyText"/>
        <w:spacing w:line="240" w:lineRule="auto" w:before="17"/>
        <w:ind w:left="513" w:right="1112"/>
        <w:jc w:val="left"/>
      </w:pPr>
      <w:r>
        <w:rPr/>
        <w:t>一旦相关事实和情况的变化导致上述控制定义涉及的相关要素发生了变化，本公司将进行重新评估。</w:t>
      </w:r>
    </w:p>
    <w:p>
      <w:pPr>
        <w:pStyle w:val="BodyText"/>
        <w:spacing w:line="300" w:lineRule="auto" w:before="76"/>
        <w:ind w:left="513" w:right="1112"/>
        <w:jc w:val="left"/>
      </w:pPr>
      <w:r>
        <w:rPr/>
        <w:t>（</w:t>
      </w:r>
      <w:r>
        <w:rPr>
          <w:rFonts w:ascii="Times New Roman" w:hAnsi="Times New Roman" w:cs="Times New Roman" w:eastAsia="Times New Roman" w:hint="default"/>
        </w:rPr>
        <w:t>2</w:t>
      </w:r>
      <w:r>
        <w:rPr/>
        <w:t>）合并财务报表编制的方法 </w:t>
      </w:r>
      <w:r>
        <w:rPr>
          <w:spacing w:val="-2"/>
        </w:rPr>
        <w:t>本公司以母公司和纳入合并范围的子公司的个别会计报表及其他相关资料为依据，在抵销母公司与子公司、子公司相互</w:t>
      </w:r>
    </w:p>
    <w:p>
      <w:pPr>
        <w:pStyle w:val="BodyText"/>
        <w:spacing w:line="316" w:lineRule="auto" w:before="31"/>
        <w:ind w:right="1112"/>
        <w:jc w:val="left"/>
      </w:pPr>
      <w:r>
        <w:rPr>
          <w:spacing w:val="-2"/>
        </w:rPr>
        <w:t>间的债权与债务项目、内部销售收入和未实现的内部销售利润等项目，以及母公司对子公司权益性资本投资项目的数额与子</w:t>
      </w:r>
      <w:r>
        <w:rPr>
          <w:spacing w:val="-63"/>
        </w:rPr>
        <w:t> </w:t>
      </w:r>
      <w:r>
        <w:rPr>
          <w:spacing w:val="-63"/>
        </w:rPr>
      </w:r>
      <w:r>
        <w:rPr/>
        <w:t>公司所有者权益中母公司所持有的份额的基础上，合并各报表项目数额编制。</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00" w:lineRule="auto" w:before="19"/>
        <w:ind w:left="513" w:right="1112"/>
        <w:jc w:val="left"/>
      </w:pPr>
      <w:r>
        <w:rPr/>
        <w:t>（</w:t>
      </w:r>
      <w:r>
        <w:rPr>
          <w:rFonts w:ascii="Times New Roman" w:hAnsi="Times New Roman" w:cs="Times New Roman" w:eastAsia="Times New Roman" w:hint="default"/>
        </w:rPr>
        <w:t>3</w:t>
      </w:r>
      <w:r>
        <w:rPr/>
        <w:t>）少数股东权益和损益的列报 </w:t>
      </w:r>
      <w:r>
        <w:rPr>
          <w:spacing w:val="-2"/>
        </w:rPr>
        <w:t>子公司的股东权益中不属于本公司所拥有的部分作为少数股东权益在合并资产负债表中股东权益项下单独列示。子公司</w:t>
      </w:r>
    </w:p>
    <w:p>
      <w:pPr>
        <w:pStyle w:val="BodyText"/>
        <w:spacing w:line="300" w:lineRule="auto" w:before="31"/>
        <w:ind w:right="1112"/>
        <w:jc w:val="left"/>
      </w:pPr>
      <w:r>
        <w:rPr>
          <w:spacing w:val="-2"/>
        </w:rPr>
        <w:t>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w:t>
      </w:r>
      <w:r>
        <w:rPr>
          <w:spacing w:val="-44"/>
        </w:rPr>
        <w:t> </w:t>
      </w:r>
      <w:r>
        <w:rPr>
          <w:spacing w:val="-44"/>
        </w:rPr>
      </w:r>
      <w:r>
        <w:rPr/>
        <w:t>的亏损超过了少数股东在该子公司期初所有者权益中所享有的份额，其余额仍冲减少数股东权益。</w:t>
      </w:r>
    </w:p>
    <w:p>
      <w:pPr>
        <w:pStyle w:val="BodyText"/>
        <w:spacing w:line="300" w:lineRule="auto" w:before="31"/>
        <w:ind w:left="513" w:right="1112"/>
        <w:jc w:val="left"/>
      </w:pPr>
      <w:r>
        <w:rPr/>
        <w:t>（</w:t>
      </w:r>
      <w:r>
        <w:rPr>
          <w:rFonts w:ascii="Times New Roman" w:hAnsi="Times New Roman" w:cs="Times New Roman" w:eastAsia="Times New Roman" w:hint="default"/>
        </w:rPr>
        <w:t>4</w:t>
      </w:r>
      <w:r>
        <w:rPr/>
        <w:t>）当期增加减少子公司的合并报表处理 </w:t>
      </w:r>
      <w:r>
        <w:rPr>
          <w:spacing w:val="-2"/>
        </w:rPr>
        <w:t>在报告期内因同一控制下企业合并增加的子公司以及业务，调整合并资产负债表的期初数，并将该子公司以及业务合并</w:t>
      </w:r>
    </w:p>
    <w:p>
      <w:pPr>
        <w:pStyle w:val="BodyText"/>
        <w:spacing w:line="316" w:lineRule="auto" w:before="31"/>
        <w:ind w:right="1112"/>
        <w:jc w:val="left"/>
      </w:pPr>
      <w:r>
        <w:rPr>
          <w:spacing w:val="-2"/>
        </w:rPr>
        <w:t>当期期初至报告期末的收入、费用、利润纳入合并利润表，将该子公司以及业务合并当期期初至报告期末的现金流量纳入合</w:t>
      </w:r>
      <w:r>
        <w:rPr>
          <w:spacing w:val="-65"/>
        </w:rPr>
        <w:t> </w:t>
      </w:r>
      <w:r>
        <w:rPr>
          <w:spacing w:val="-65"/>
        </w:rPr>
      </w:r>
      <w:r>
        <w:rPr/>
        <w:t>并现金流量表，同时对比较报表的相关项目进行调整，视同合并后的报告主体自最终控制方开始控制时点起一直存在。</w:t>
      </w:r>
    </w:p>
    <w:p>
      <w:pPr>
        <w:pStyle w:val="BodyText"/>
        <w:spacing w:line="316" w:lineRule="auto" w:before="19"/>
        <w:ind w:right="1129" w:firstLine="360"/>
        <w:jc w:val="both"/>
      </w:pPr>
      <w:r>
        <w:rPr>
          <w:spacing w:val="-2"/>
        </w:rPr>
        <w:t>因非同一控制下企业合并或其他方式增加的子公司以及业务，不调整合并资产负债表的期初数，将该子公司以及业务购</w:t>
      </w:r>
      <w:r>
        <w:rPr/>
        <w:t> </w:t>
      </w:r>
      <w:r>
        <w:rPr>
          <w:spacing w:val="-2"/>
        </w:rPr>
        <w:t>买日至报告期末的收入、费用、利润纳入合并利润表，将该子公司以及业务购买日至报告期末的现金流量纳入合并现金流量</w:t>
      </w:r>
      <w:r>
        <w:rPr>
          <w:spacing w:val="-66"/>
        </w:rPr>
        <w:t> </w:t>
      </w:r>
      <w:r>
        <w:rPr>
          <w:spacing w:val="-66"/>
        </w:rPr>
      </w:r>
      <w:r>
        <w:rPr>
          <w:spacing w:val="-2"/>
        </w:rPr>
        <w:t>表。通过多次交易分步实现非同一控制下企业合并时，对于购买日之前持有的被购买方股权，本公司按照该股权在购买日的</w:t>
      </w:r>
      <w:r>
        <w:rPr>
          <w:spacing w:val="-63"/>
        </w:rPr>
        <w:t> </w:t>
      </w:r>
      <w:r>
        <w:rPr>
          <w:spacing w:val="-63"/>
        </w:rPr>
      </w:r>
      <w:r>
        <w:rPr>
          <w:spacing w:val="-2"/>
        </w:rPr>
        <w:t>公允价值进行重新计量，公允价值与其账面价值的差额计入当期投资收益。购买日之前持有的被购买方的股权涉及其他综合</w:t>
      </w:r>
      <w:r>
        <w:rPr>
          <w:spacing w:val="-64"/>
        </w:rPr>
        <w:t> </w:t>
      </w:r>
      <w:r>
        <w:rPr>
          <w:spacing w:val="-64"/>
        </w:rPr>
      </w:r>
      <w:r>
        <w:rPr>
          <w:spacing w:val="-2"/>
        </w:rPr>
        <w:t>收益以及其他所有者权益变动的，与其相关的其他综合收益、其他所有者权益转为购买日所属当期投资收益，由于被投资方</w:t>
      </w:r>
      <w:r>
        <w:rPr>
          <w:spacing w:val="-62"/>
        </w:rPr>
        <w:t> </w:t>
      </w:r>
      <w:r>
        <w:rPr>
          <w:spacing w:val="-62"/>
        </w:rPr>
      </w:r>
      <w:r>
        <w:rPr/>
        <w:t>重新计量设定受益计划净负债或净资产变动而产生的其他综合收益除外。</w:t>
      </w:r>
    </w:p>
    <w:p>
      <w:pPr>
        <w:pStyle w:val="BodyText"/>
        <w:spacing w:line="316" w:lineRule="auto" w:before="19"/>
        <w:ind w:right="1046" w:firstLine="360"/>
        <w:jc w:val="both"/>
      </w:pPr>
      <w:r>
        <w:rPr/>
        <w:t>本公司在报告期内处置子公司以及业务，不调整合并资产负债表的期初数；将该子公司以及业务期初至处置日的收入、 费用、利润纳入合并利润表；将该子公司期初至处置日的现金流量纳入合并现金流量表。</w:t>
      </w:r>
    </w:p>
    <w:p>
      <w:pPr>
        <w:pStyle w:val="BodyText"/>
        <w:spacing w:line="312" w:lineRule="auto" w:before="19"/>
        <w:ind w:right="1132" w:firstLine="360"/>
        <w:jc w:val="both"/>
      </w:pPr>
      <w:r>
        <w:rPr>
          <w:spacing w:val="-2"/>
        </w:rPr>
        <w:t>本公司通过多次交易分步处置对子公司股权投资直至丧失控制权的，需区分处置对子公司股权投资直至丧失控制权的各</w:t>
      </w:r>
      <w:r>
        <w:rPr/>
        <w:t> 项交易是否属于一揽子交易。不属于一揽子交易的，对其中的每一项交易视情况分别按照</w:t>
      </w:r>
      <w:r>
        <w:rPr>
          <w:rFonts w:ascii="Times New Roman" w:hAnsi="Times New Roman" w:cs="Times New Roman" w:eastAsia="Times New Roman" w:hint="default"/>
        </w:rPr>
        <w:t>“</w:t>
      </w:r>
      <w:r>
        <w:rPr/>
        <w:t>不丧失控制权的情况下部分处置 对子公司的长期股权投资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适用的原则进行会计处理。处 </w:t>
      </w:r>
      <w:r>
        <w:rPr>
          <w:spacing w:val="-2"/>
        </w:rPr>
        <w:t>置对子公司股权投资直至丧失控制权的各项交易属于一揽子交易的，将各项交易作为一项处置子公司并丧失控制权的交易进</w:t>
      </w:r>
      <w:r>
        <w:rPr>
          <w:spacing w:val="-64"/>
        </w:rPr>
        <w:t> </w:t>
      </w:r>
      <w:r>
        <w:rPr>
          <w:spacing w:val="-64"/>
        </w:rPr>
      </w:r>
      <w:r>
        <w:rPr>
          <w:spacing w:val="-2"/>
        </w:rPr>
        <w:t>行会计处理；但是，在丧失控制权之前每一次处置价款与处置投资对应的享有该子公司净资产份额的差额，在合并财务报表</w:t>
      </w:r>
      <w:r>
        <w:rPr>
          <w:spacing w:val="-66"/>
        </w:rPr>
        <w:t> </w:t>
      </w:r>
      <w:r>
        <w:rPr>
          <w:spacing w:val="-66"/>
        </w:rPr>
      </w:r>
      <w:r>
        <w:rPr/>
        <w:t>中确认为其他综合收益，在丧失控制权时一并转入丧失控制权当期的损益。</w:t>
      </w:r>
    </w:p>
    <w:p>
      <w:pPr>
        <w:pStyle w:val="BodyText"/>
        <w:spacing w:line="309" w:lineRule="auto" w:before="22"/>
        <w:ind w:right="1132"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 对价的公允价值之间的差额调整资本公积，资本公积不足冲减的，调整留存收益。</w:t>
      </w:r>
    </w:p>
    <w:p>
      <w:pPr>
        <w:spacing w:line="240" w:lineRule="auto" w:before="3"/>
        <w:rPr>
          <w:rFonts w:ascii="宋体" w:hAnsi="宋体" w:cs="宋体" w:eastAsia="宋体" w:hint="default"/>
          <w:sz w:val="23"/>
          <w:szCs w:val="23"/>
        </w:rPr>
      </w:pPr>
    </w:p>
    <w:p>
      <w:pPr>
        <w:pStyle w:val="Heading3"/>
        <w:spacing w:line="240" w:lineRule="auto"/>
        <w:ind w:right="3827"/>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03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企业，是指本公司仅对该安排的净资产享有权利的合营安排。本公司对合营企业的投资采用权益法核算，按照</w:t>
      </w:r>
      <w:r>
        <w:rPr>
          <w:rFonts w:ascii="Times New Roman" w:hAnsi="Times New Roman" w:cs="Times New Roman" w:eastAsia="Times New Roman" w:hint="default"/>
        </w:rPr>
        <w:t>“</w:t>
      </w:r>
      <w:r>
        <w:rPr/>
        <w:t>对被投资单 位具有共同控制或重大影响的长期股权，采用权益法核算</w:t>
      </w:r>
      <w:r>
        <w:rPr>
          <w:rFonts w:ascii="Times New Roman" w:hAnsi="Times New Roman" w:cs="Times New Roman" w:eastAsia="Times New Roman" w:hint="default"/>
        </w:rPr>
        <w:t>”</w:t>
      </w:r>
      <w:r>
        <w:rPr/>
        <w:t>中所述的会计政策处理。</w:t>
      </w:r>
    </w:p>
    <w:p>
      <w:pPr>
        <w:spacing w:after="0" w:line="312"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2" w:firstLine="360"/>
        <w:jc w:val="left"/>
      </w:pPr>
      <w:r>
        <w:rPr>
          <w:spacing w:val="-2"/>
        </w:rPr>
        <w:t>公司持有的期限短、流动性强、易于转换为已知金额现金、价值变动风险很小的投资。包括：现金、银行存款以及可在</w:t>
      </w:r>
      <w:r>
        <w:rPr/>
        <w:t> 证券市场上流通的三个月内到期的短期债券投资等。</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4633"/>
        <w:jc w:val="left"/>
      </w:pPr>
      <w:r>
        <w:rPr/>
        <w:t>（</w:t>
      </w:r>
      <w:r>
        <w:rPr>
          <w:rFonts w:ascii="Times New Roman" w:hAnsi="Times New Roman" w:cs="Times New Roman" w:eastAsia="Times New Roman" w:hint="default"/>
        </w:rPr>
        <w:t>1</w:t>
      </w:r>
      <w:r>
        <w:rPr/>
        <w:t>）外币业务 本公司发生外币业务，按交易发生日的即期汇率折算为记账本位币金额。</w:t>
      </w:r>
    </w:p>
    <w:p>
      <w:pPr>
        <w:pStyle w:val="BodyText"/>
        <w:spacing w:line="300" w:lineRule="auto" w:before="31"/>
        <w:ind w:left="513" w:right="1112"/>
        <w:jc w:val="left"/>
      </w:pPr>
      <w:r>
        <w:rPr/>
        <w:t>（</w:t>
      </w:r>
      <w:r>
        <w:rPr>
          <w:rFonts w:ascii="Times New Roman" w:hAnsi="Times New Roman" w:cs="Times New Roman" w:eastAsia="Times New Roman" w:hint="default"/>
        </w:rPr>
        <w:t>2</w:t>
      </w:r>
      <w:r>
        <w:rPr/>
        <w:t>）外币财务报表的折算 </w:t>
      </w:r>
      <w:r>
        <w:rPr>
          <w:spacing w:val="-2"/>
        </w:rPr>
        <w:t>资产负债表日，对外币货币性项目，采用资产负债表日即期汇率折算。因资产负债表日即期汇率与初始确认时或者前一</w:t>
      </w:r>
    </w:p>
    <w:p>
      <w:pPr>
        <w:pStyle w:val="BodyText"/>
        <w:spacing w:line="319" w:lineRule="auto" w:before="31"/>
        <w:ind w:right="1130"/>
        <w:jc w:val="both"/>
      </w:pP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3827"/>
        <w:jc w:val="left"/>
      </w:pPr>
      <w:r>
        <w:rPr/>
        <w:t>金融工具包括金融资产、金融负债和权益工具。</w:t>
      </w:r>
    </w:p>
    <w:p>
      <w:pPr>
        <w:pStyle w:val="BodyText"/>
        <w:spacing w:line="300" w:lineRule="auto" w:before="76"/>
        <w:ind w:left="513" w:right="1112"/>
        <w:jc w:val="left"/>
      </w:pPr>
      <w:r>
        <w:rPr>
          <w:rFonts w:ascii="Times New Roman" w:hAnsi="Times New Roman" w:cs="Times New Roman" w:eastAsia="Times New Roman" w:hint="default"/>
        </w:rPr>
        <w:t>1</w:t>
      </w:r>
      <w:r>
        <w:rPr/>
        <w:t>、金融工具的分类 </w:t>
      </w:r>
      <w:r>
        <w:rPr>
          <w:spacing w:val="-2"/>
        </w:rPr>
        <w:t>根据本公司管理金融资产的业务模式和金融资产的合同现金流量特征，金融资产于初始确认时分类为：以摊余成本计量</w:t>
      </w:r>
    </w:p>
    <w:p>
      <w:pPr>
        <w:pStyle w:val="BodyText"/>
        <w:spacing w:line="316" w:lineRule="auto" w:before="31"/>
        <w:ind w:left="513" w:right="1034" w:hanging="361"/>
        <w:jc w:val="left"/>
      </w:pPr>
      <w:r>
        <w:rPr/>
        <w:t>的金融资产、以公允价值计量且其变动计入其他综合收益的金融资产和以公允价值计量且其变动计入当期损益的金融资产。</w:t>
      </w:r>
      <w:r>
        <w:rPr>
          <w:spacing w:val="-86"/>
        </w:rPr>
        <w:t> </w:t>
      </w:r>
      <w:r>
        <w:rPr>
          <w:spacing w:val="-86"/>
        </w:rPr>
      </w:r>
      <w:r>
        <w:rPr>
          <w:spacing w:val="-2"/>
        </w:rPr>
        <w:t>业务模式是以收取合同现金流量为目标且合同现金流量仅为对本金和以未偿付本金金额为基础的利息的支付的，分类为</w:t>
      </w:r>
    </w:p>
    <w:p>
      <w:pPr>
        <w:pStyle w:val="BodyText"/>
        <w:spacing w:line="319" w:lineRule="auto" w:before="19"/>
        <w:ind w:right="1131"/>
        <w:jc w:val="both"/>
      </w:pPr>
      <w:r>
        <w:rPr>
          <w:spacing w:val="-2"/>
        </w:rPr>
        <w:t>以摊余成本计量的金融资产；业务模式既以收取合同现金流量又以出售该金融资产为目标且合同现金流量仅为对本金和以未</w:t>
      </w:r>
      <w:r>
        <w:rPr>
          <w:spacing w:val="-64"/>
        </w:rPr>
        <w:t> </w:t>
      </w:r>
      <w:r>
        <w:rPr>
          <w:spacing w:val="-64"/>
        </w:rPr>
      </w:r>
      <w:r>
        <w:rPr>
          <w:spacing w:val="-2"/>
        </w:rPr>
        <w:t>偿付本金金额为基础的利息的支付的，分类为以公允价值计量且其变动计入其他综合收益的金融资产；除此之外的其他金融</w:t>
      </w:r>
      <w:r>
        <w:rPr>
          <w:spacing w:val="-62"/>
        </w:rPr>
        <w:t> </w:t>
      </w:r>
      <w:r>
        <w:rPr>
          <w:spacing w:val="-62"/>
        </w:rPr>
      </w:r>
      <w:r>
        <w:rPr/>
        <w:t>资产，分类为以公允价值计量且其变动计入当期损益的金融资产。</w:t>
      </w:r>
    </w:p>
    <w:p>
      <w:pPr>
        <w:pStyle w:val="BodyText"/>
        <w:spacing w:line="316" w:lineRule="auto" w:before="17"/>
        <w:ind w:right="1112" w:firstLine="360"/>
        <w:jc w:val="left"/>
      </w:pPr>
      <w:r>
        <w:rPr>
          <w:spacing w:val="-2"/>
        </w:rPr>
        <w:t>对于非交易性权益工具投资，本公司在初始确认时确定是否将其指定为以公允价值计量且其变动计入其他综合收益的金</w:t>
      </w:r>
      <w:r>
        <w:rPr/>
        <w:t> 融资产。</w:t>
      </w:r>
    </w:p>
    <w:p>
      <w:pPr>
        <w:pStyle w:val="BodyText"/>
        <w:spacing w:line="240" w:lineRule="auto" w:before="19"/>
        <w:ind w:left="513" w:right="1112"/>
        <w:jc w:val="left"/>
      </w:pPr>
      <w:r>
        <w:rPr/>
        <w:t>金融负债于初始确认时分类为：以公允价值计量且其变动计入当期损益的金融负债和以摊余成本计量的金融负债。</w:t>
      </w:r>
    </w:p>
    <w:p>
      <w:pPr>
        <w:pStyle w:val="BodyText"/>
        <w:spacing w:line="240" w:lineRule="auto" w:before="76"/>
        <w:ind w:left="513" w:right="3827"/>
        <w:jc w:val="left"/>
      </w:pPr>
      <w:r>
        <w:rPr>
          <w:rFonts w:ascii="Times New Roman" w:hAnsi="Times New Roman" w:cs="Times New Roman" w:eastAsia="Times New Roman" w:hint="default"/>
        </w:rPr>
        <w:t>2</w:t>
      </w:r>
      <w:r>
        <w:rPr/>
        <w:t>、金融工具的确认依据和计量方法</w:t>
      </w:r>
    </w:p>
    <w:p>
      <w:pPr>
        <w:pStyle w:val="BodyText"/>
        <w:spacing w:line="300" w:lineRule="auto" w:before="63"/>
        <w:ind w:left="513" w:right="1112"/>
        <w:jc w:val="left"/>
      </w:pPr>
      <w:r>
        <w:rPr/>
        <w:t>（</w:t>
      </w:r>
      <w:r>
        <w:rPr>
          <w:rFonts w:ascii="Times New Roman" w:hAnsi="Times New Roman" w:cs="Times New Roman" w:eastAsia="Times New Roman" w:hint="default"/>
        </w:rPr>
        <w:t>1</w:t>
      </w:r>
      <w:r>
        <w:rPr/>
        <w:t>）以摊余成本计量的金融资产 </w:t>
      </w:r>
      <w:r>
        <w:rPr>
          <w:spacing w:val="-2"/>
        </w:rPr>
        <w:t>以摊余成本计量的金融资产包括应收票据、应收账款、其他应收款、长期应收款、债权投资等，按公允价值进行初始计</w:t>
      </w:r>
    </w:p>
    <w:p>
      <w:pPr>
        <w:pStyle w:val="BodyText"/>
        <w:spacing w:line="316" w:lineRule="auto" w:before="31"/>
        <w:ind w:right="1132"/>
        <w:jc w:val="both"/>
      </w:pPr>
      <w:r>
        <w:rPr>
          <w:spacing w:val="-2"/>
        </w:rPr>
        <w:t>量，相关交易费用计入初始确认金额；不包含重大融资成分的应收账款以及本公司决定不考虑不超过一年的融资成分的应收</w:t>
      </w:r>
      <w:r>
        <w:rPr>
          <w:spacing w:val="-63"/>
        </w:rPr>
        <w:t> </w:t>
      </w:r>
      <w:r>
        <w:rPr>
          <w:spacing w:val="-63"/>
        </w:rPr>
      </w:r>
      <w:r>
        <w:rPr/>
        <w:t>账款，以合同交易价格进行初始计量。</w:t>
      </w:r>
    </w:p>
    <w:p>
      <w:pPr>
        <w:pStyle w:val="BodyText"/>
        <w:spacing w:line="316" w:lineRule="auto" w:before="19"/>
        <w:ind w:left="513" w:right="4093"/>
        <w:jc w:val="left"/>
      </w:pPr>
      <w:r>
        <w:rPr/>
        <w:t>持有期间采用实际利率法计算的利息计入当期损益。 收回或处置时，将取得的价款与该金融资产账面价值之间的差额计入当期损益。</w:t>
      </w:r>
    </w:p>
    <w:p>
      <w:pPr>
        <w:pStyle w:val="BodyText"/>
        <w:spacing w:line="300" w:lineRule="auto" w:before="19"/>
        <w:ind w:left="513" w:right="986"/>
        <w:jc w:val="left"/>
      </w:pPr>
      <w:r>
        <w:rPr/>
        <w:t>（</w:t>
      </w:r>
      <w:r>
        <w:rPr>
          <w:rFonts w:ascii="Times New Roman" w:hAnsi="Times New Roman" w:cs="Times New Roman" w:eastAsia="Times New Roman" w:hint="default"/>
        </w:rPr>
        <w:t>2</w:t>
      </w:r>
      <w:r>
        <w:rPr/>
        <w:t>）以公允价值计量且其变动计入其他综合收益的金融资产 </w:t>
      </w:r>
      <w:r>
        <w:rPr>
          <w:spacing w:val="-4"/>
        </w:rPr>
        <w:t>以公允价值计量且其变动计入其他综合收益的金融资产包括应收款项融资、其他债权投资等，按公允价值进行初始计量，</w:t>
      </w:r>
    </w:p>
    <w:p>
      <w:pPr>
        <w:pStyle w:val="BodyText"/>
        <w:spacing w:line="316" w:lineRule="auto" w:before="31"/>
        <w:ind w:right="1130"/>
        <w:jc w:val="both"/>
      </w:pPr>
      <w:r>
        <w:rPr>
          <w:spacing w:val="-2"/>
        </w:rPr>
        <w:t>相关交易费用计入初始确认金额。该金融资产按公允价值进行后续计量，公允价值变动除采用实际利率法计算的利息、减值</w:t>
      </w:r>
      <w:r>
        <w:rPr>
          <w:spacing w:val="-63"/>
        </w:rPr>
        <w:t> </w:t>
      </w:r>
      <w:r>
        <w:rPr>
          <w:spacing w:val="-63"/>
        </w:rPr>
      </w:r>
      <w:r>
        <w:rPr/>
        <w:t>损失或利得和汇兑损益之外，均计入其他综合收益。</w:t>
      </w:r>
    </w:p>
    <w:p>
      <w:pPr>
        <w:pStyle w:val="BodyText"/>
        <w:spacing w:line="240" w:lineRule="auto" w:before="19"/>
        <w:ind w:left="513" w:right="1112"/>
        <w:jc w:val="left"/>
      </w:pPr>
      <w:r>
        <w:rPr/>
        <w:t>终止确认时，之前计入其他综合收益的累计利得或损失从其他综合收益中转出，计入当期损益。</w:t>
      </w:r>
    </w:p>
    <w:p>
      <w:pPr>
        <w:pStyle w:val="BodyText"/>
        <w:spacing w:line="300" w:lineRule="auto" w:before="76"/>
        <w:ind w:left="513" w:right="1112"/>
        <w:jc w:val="left"/>
      </w:pPr>
      <w:r>
        <w:rPr/>
        <w:t>（</w:t>
      </w:r>
      <w:r>
        <w:rPr>
          <w:rFonts w:ascii="Times New Roman" w:hAnsi="Times New Roman" w:cs="Times New Roman" w:eastAsia="Times New Roman" w:hint="default"/>
        </w:rPr>
        <w:t>3</w:t>
      </w:r>
      <w:r>
        <w:rPr/>
        <w:t>）指定为以公允价值计量且其变动计入其他综合收益的金融资产 </w:t>
      </w:r>
      <w:r>
        <w:rPr>
          <w:spacing w:val="-2"/>
        </w:rPr>
        <w:t>指定为以公允价值计量且其变动计入其他综合收益的金融资产包括其他权益工具投资等，按公允价值进行初始计量，相</w:t>
      </w:r>
    </w:p>
    <w:p>
      <w:pPr>
        <w:pStyle w:val="BodyText"/>
        <w:spacing w:line="316" w:lineRule="auto" w:before="31"/>
        <w:ind w:right="1130"/>
        <w:jc w:val="both"/>
      </w:pPr>
      <w:r>
        <w:rPr>
          <w:spacing w:val="-2"/>
        </w:rPr>
        <w:t>关交易费用计入初始确认金额。该金融资产按公允价值进行后续计量，公允价值变动计入其他综合收益。取得的股利计入当</w:t>
      </w:r>
      <w:r>
        <w:rPr>
          <w:spacing w:val="-63"/>
        </w:rPr>
        <w:t> </w:t>
      </w:r>
      <w:r>
        <w:rPr>
          <w:spacing w:val="-63"/>
        </w:rPr>
      </w:r>
      <w:r>
        <w:rPr/>
        <w:t>期损益。</w:t>
      </w:r>
    </w:p>
    <w:p>
      <w:pPr>
        <w:pStyle w:val="BodyText"/>
        <w:spacing w:line="240" w:lineRule="auto" w:before="19"/>
        <w:ind w:left="513" w:right="1112"/>
        <w:jc w:val="left"/>
      </w:pPr>
      <w:r>
        <w:rPr/>
        <w:t>终止确认时，之前计入其他综合收益的累计利得或损失从其他综合收益中转出，计入留存收益。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12"/>
        <w:jc w:val="left"/>
      </w:pPr>
      <w:r>
        <w:rPr/>
        <w:t>（</w:t>
      </w:r>
      <w:r>
        <w:rPr>
          <w:rFonts w:ascii="Times New Roman" w:hAnsi="Times New Roman" w:cs="Times New Roman" w:eastAsia="Times New Roman" w:hint="default"/>
        </w:rPr>
        <w:t>4</w:t>
      </w:r>
      <w:r>
        <w:rPr/>
        <w:t>）以公允价值计量且其变动计入当期损益的金融资产 </w:t>
      </w:r>
      <w:r>
        <w:rPr>
          <w:spacing w:val="-2"/>
        </w:rPr>
        <w:t>以公允价值计量且其变动计入当期损益的金融资产包括交易性金融资产、衍生金融资产、其他非流动金融资产等，按公</w:t>
      </w:r>
    </w:p>
    <w:p>
      <w:pPr>
        <w:pStyle w:val="BodyText"/>
        <w:spacing w:line="316" w:lineRule="auto" w:before="31"/>
        <w:ind w:left="513" w:right="1214" w:hanging="361"/>
        <w:jc w:val="left"/>
      </w:pPr>
      <w:r>
        <w:rPr/>
        <w:t>允价值进行初始计量，相关交易费用计入当期损益。该金融资产按公允价值进行后续计量，公允价值变动计入当期损益。 终止确认时，其公允价值与初始入账金额之间的差额确认为投资收益，同时调整公允价值变动损益。</w:t>
      </w:r>
    </w:p>
    <w:p>
      <w:pPr>
        <w:pStyle w:val="BodyText"/>
        <w:spacing w:line="300" w:lineRule="auto" w:before="19"/>
        <w:ind w:left="513" w:right="1033"/>
        <w:jc w:val="left"/>
      </w:pPr>
      <w:r>
        <w:rPr/>
        <w:t>（</w:t>
      </w:r>
      <w:r>
        <w:rPr>
          <w:rFonts w:ascii="Times New Roman" w:hAnsi="Times New Roman" w:cs="Times New Roman" w:eastAsia="Times New Roman" w:hint="default"/>
        </w:rPr>
        <w:t>5</w:t>
      </w:r>
      <w:r>
        <w:rPr/>
        <w:t>）以公允价值计量且其变动计入当期损益的金融负债 以公允价值计量且其变动计入当期损益的金融负债包括交易性金融负债、衍生金融负债等，按公允价值进行初始计量，</w:t>
      </w:r>
    </w:p>
    <w:p>
      <w:pPr>
        <w:pStyle w:val="BodyText"/>
        <w:spacing w:line="316" w:lineRule="auto" w:before="31"/>
        <w:ind w:left="513" w:right="2473" w:hanging="361"/>
        <w:jc w:val="left"/>
      </w:pPr>
      <w:r>
        <w:rPr/>
        <w:t>相关交易费用计入当期损益。该金融负债按公允价值进行后续计量，公允价值变动计入当期损益。 终止确认时，其公允价值与初始入账金额之间的差额确认为投资收益，同时调整公允价值变动损益。</w:t>
      </w:r>
    </w:p>
    <w:p>
      <w:pPr>
        <w:pStyle w:val="BodyText"/>
        <w:spacing w:line="300" w:lineRule="auto" w:before="19"/>
        <w:ind w:left="513" w:right="1112"/>
        <w:jc w:val="left"/>
      </w:pPr>
      <w:r>
        <w:rPr/>
        <w:t>（</w:t>
      </w:r>
      <w:r>
        <w:rPr>
          <w:rFonts w:ascii="Times New Roman" w:hAnsi="Times New Roman" w:cs="Times New Roman" w:eastAsia="Times New Roman" w:hint="default"/>
        </w:rPr>
        <w:t>6</w:t>
      </w:r>
      <w:r>
        <w:rPr/>
        <w:t>）以摊余成本计量的金融负债 </w:t>
      </w:r>
      <w:r>
        <w:rPr>
          <w:spacing w:val="-2"/>
        </w:rPr>
        <w:t>以摊余成本计量的金融负债包括短期借款、应付票据、应付账款、其他应付款、长期借款、应付债券、长期应付款，按</w:t>
      </w:r>
    </w:p>
    <w:p>
      <w:pPr>
        <w:pStyle w:val="BodyText"/>
        <w:spacing w:line="319" w:lineRule="auto" w:before="31"/>
        <w:ind w:left="513" w:right="4273" w:hanging="361"/>
        <w:jc w:val="left"/>
      </w:pPr>
      <w:r>
        <w:rPr/>
        <w:t>公允价值进行初始计量，相关交易费用计入初始确认金额。 持有期间采用实际利率法计算的利息计入当期损益。 终止确认时，将支付的对价与该金融负债账面价值之间的差额计入当期损益。</w:t>
      </w:r>
    </w:p>
    <w:p>
      <w:pPr>
        <w:pStyle w:val="BodyText"/>
        <w:spacing w:line="300" w:lineRule="auto" w:before="17"/>
        <w:ind w:left="513" w:right="1137"/>
        <w:jc w:val="left"/>
      </w:pPr>
      <w:r>
        <w:rPr/>
        <w:t>（</w:t>
      </w:r>
      <w:r>
        <w:rPr>
          <w:rFonts w:ascii="Times New Roman" w:hAnsi="Times New Roman" w:cs="Times New Roman" w:eastAsia="Times New Roman" w:hint="default"/>
        </w:rPr>
        <w:t>7</w:t>
      </w:r>
      <w:r>
        <w:rPr/>
        <w:t>）权益工具 </w:t>
      </w:r>
      <w:r>
        <w:rPr>
          <w:spacing w:val="-2"/>
        </w:rPr>
        <w:t>权益工具是指能证明拥有本公司在扣除所有负债后的资产中的剩余权益的合同。本公司发行（含再融资）、回购、出售</w:t>
      </w:r>
    </w:p>
    <w:p>
      <w:pPr>
        <w:pStyle w:val="BodyText"/>
        <w:spacing w:line="307" w:lineRule="auto" w:before="31"/>
        <w:ind w:left="513" w:right="986" w:hanging="361"/>
        <w:jc w:val="left"/>
      </w:pPr>
      <w:r>
        <w:rPr>
          <w:spacing w:val="-4"/>
        </w:rPr>
        <w:t>或注销权益工具作为权益的变动处理，与权益性交易相关的交易费用从权益中扣减。本公司不确认权益工具的公允价值变动。</w:t>
      </w:r>
      <w:r>
        <w:rPr>
          <w:spacing w:val="-44"/>
        </w:rPr>
        <w:t> </w:t>
      </w:r>
      <w:r>
        <w:rPr>
          <w:spacing w:val="-44"/>
        </w:rPr>
      </w:r>
      <w:r>
        <w:rPr/>
        <w:t>本公司权益工具在存续期间分派股利（含分类为权益工具的工具所产生的</w:t>
      </w:r>
      <w:r>
        <w:rPr>
          <w:rFonts w:ascii="Times New Roman" w:hAnsi="Times New Roman" w:cs="Times New Roman" w:eastAsia="Times New Roman" w:hint="default"/>
        </w:rPr>
        <w:t>“</w:t>
      </w:r>
      <w:r>
        <w:rPr/>
        <w:t>利息</w:t>
      </w:r>
      <w:r>
        <w:rPr>
          <w:rFonts w:ascii="Times New Roman" w:hAnsi="Times New Roman" w:cs="Times New Roman" w:eastAsia="Times New Roman" w:hint="default"/>
        </w:rPr>
        <w:t>”</w:t>
      </w:r>
      <w:r>
        <w:rPr/>
        <w:t>）的，作为利润分配处理。 </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26"/>
        <w:ind w:left="513" w:right="1112"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9"/>
        <w:ind w:right="1112"/>
        <w:jc w:val="left"/>
      </w:pPr>
      <w:r>
        <w:rPr/>
        <w:t>融资产整体转移和部分转移。金融资产整体转移满足终止确认条件的，将下列两项金额的差额计入当期损益：</w:t>
      </w:r>
    </w:p>
    <w:p>
      <w:pPr>
        <w:pStyle w:val="BodyText"/>
        <w:spacing w:line="240" w:lineRule="auto" w:before="76"/>
        <w:ind w:left="513" w:right="3827"/>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31"/>
        <w:ind w:right="103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3827"/>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09" w:lineRule="auto" w:before="31"/>
        <w:ind w:left="513" w:right="1112"/>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24"/>
        <w:ind w:right="1112"/>
        <w:jc w:val="left"/>
      </w:pPr>
      <w:r>
        <w:rPr>
          <w:spacing w:val="-2"/>
        </w:rPr>
        <w:t>新金融负债方式替换现存金融负债，且新金融负债与现存金融负债的合同条款实质上不同的，则终止确认现存金融负债，并</w:t>
      </w:r>
      <w:r>
        <w:rPr>
          <w:spacing w:val="-62"/>
        </w:rPr>
        <w:t> </w:t>
      </w:r>
      <w:r>
        <w:rPr>
          <w:spacing w:val="-62"/>
        </w:rPr>
      </w:r>
      <w:r>
        <w:rPr/>
        <w:t>同时确认新金融负债。</w:t>
      </w:r>
    </w:p>
    <w:p>
      <w:pPr>
        <w:pStyle w:val="BodyText"/>
        <w:spacing w:line="316" w:lineRule="auto" w:before="19"/>
        <w:ind w:right="1112"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1112"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w:t>
      </w:r>
      <w:r>
        <w:rPr>
          <w:spacing w:val="-85"/>
        </w:rPr>
        <w:t> </w:t>
      </w:r>
      <w:r>
        <w:rPr>
          <w:spacing w:val="-85"/>
        </w:rPr>
      </w:r>
      <w:r>
        <w:rPr/>
        <w:t>计入当期损益。</w:t>
      </w:r>
    </w:p>
    <w:p>
      <w:pPr>
        <w:pStyle w:val="BodyText"/>
        <w:spacing w:line="300" w:lineRule="auto" w:before="19"/>
        <w:ind w:left="513" w:right="1112"/>
        <w:jc w:val="left"/>
      </w:pPr>
      <w:r>
        <w:rPr>
          <w:rFonts w:ascii="Times New Roman" w:hAnsi="Times New Roman" w:cs="Times New Roman" w:eastAsia="Times New Roman" w:hint="default"/>
        </w:rPr>
        <w:t>5</w:t>
      </w:r>
      <w:r>
        <w:rPr/>
        <w:t>、本公司对金融工具的公允价值的确认方法 </w:t>
      </w:r>
      <w:r>
        <w:rPr>
          <w:spacing w:val="-2"/>
        </w:rPr>
        <w:t>如存在活跃市场的金融工具，以活跃市场中的报价确定其公允价值；如不存在活跃市场的金融工具，采用估值技术确定</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12" w:hanging="361"/>
        <w:jc w:val="left"/>
      </w:pPr>
      <w:r>
        <w:rPr/>
        <w:t>其公允价值。估值技术主要包括市场法、收益法和成本法。 </w:t>
      </w:r>
      <w:r>
        <w:rPr>
          <w:spacing w:val="-2"/>
        </w:rPr>
        <w:t>在有限情况下，如果用以确定公允价值的近期信息不足，或者公允价值的可能估计金额分布范围很广，而成本代表了该</w:t>
      </w:r>
    </w:p>
    <w:p>
      <w:pPr>
        <w:pStyle w:val="BodyText"/>
        <w:spacing w:line="316" w:lineRule="auto" w:before="17"/>
        <w:ind w:right="1112"/>
        <w:jc w:val="left"/>
      </w:pPr>
      <w:r>
        <w:rPr>
          <w:spacing w:val="-2"/>
        </w:rPr>
        <w:t>范围内对公允价值的最佳估计的，该成本可代表其在该分布范围内对公允价值的恰当估计。本公司利用初始确认日后可获得</w:t>
      </w:r>
      <w:r>
        <w:rPr>
          <w:spacing w:val="-64"/>
        </w:rPr>
        <w:t> </w:t>
      </w:r>
      <w:r>
        <w:rPr>
          <w:spacing w:val="-64"/>
        </w:rPr>
      </w:r>
      <w:r>
        <w:rPr/>
        <w:t>的关于被投资方业绩和经营的所有信息，判断成本能否代表公允价值。</w:t>
      </w:r>
    </w:p>
    <w:p>
      <w:pPr>
        <w:pStyle w:val="BodyText"/>
        <w:spacing w:line="300" w:lineRule="auto" w:before="19"/>
        <w:ind w:left="513" w:right="1112"/>
        <w:jc w:val="left"/>
      </w:pPr>
      <w:r>
        <w:rPr>
          <w:rFonts w:ascii="Times New Roman" w:hAnsi="Times New Roman" w:cs="Times New Roman" w:eastAsia="Times New Roman" w:hint="default"/>
        </w:rPr>
        <w:t>6</w:t>
      </w:r>
      <w:r>
        <w:rPr/>
        <w:t>、金融资产（不含应收款项）减值的测试方法及会计处理方法 </w:t>
      </w:r>
      <w:r>
        <w:rPr>
          <w:spacing w:val="-2"/>
        </w:rPr>
        <w:t>本公司考虑所有合理且有依据的信息，包括前瞻性信息，以单项或组合的方式对以摊余成本计量的金融资产和以公允价</w:t>
      </w:r>
    </w:p>
    <w:p>
      <w:pPr>
        <w:pStyle w:val="BodyText"/>
        <w:spacing w:line="316" w:lineRule="auto" w:before="31"/>
        <w:ind w:right="1112"/>
        <w:jc w:val="left"/>
      </w:pPr>
      <w:r>
        <w:rPr>
          <w:spacing w:val="-2"/>
        </w:rPr>
        <w:t>值计量且其变动计入其他综合收益的金融资产的预期信用损失进行估计。预期信用损失的计量取决于金融资产自初始确认后</w:t>
      </w:r>
      <w:r>
        <w:rPr>
          <w:spacing w:val="-64"/>
        </w:rPr>
        <w:t> </w:t>
      </w:r>
      <w:r>
        <w:rPr>
          <w:spacing w:val="-64"/>
        </w:rPr>
      </w:r>
      <w:r>
        <w:rPr/>
        <w:t>是否发生信用风险显著增加。</w:t>
      </w:r>
    </w:p>
    <w:p>
      <w:pPr>
        <w:pStyle w:val="BodyText"/>
        <w:spacing w:line="309" w:lineRule="auto" w:before="19"/>
        <w:ind w:right="1132" w:firstLine="360"/>
        <w:jc w:val="both"/>
      </w:pPr>
      <w:r>
        <w:rPr>
          <w:spacing w:val="-2"/>
        </w:rPr>
        <w:t>如果该金融工具的信用风险自初始确认后已显著增加，本公司按照相当于该金融工具整个存续期内预期信用损失的金额</w:t>
      </w:r>
      <w:r>
        <w:rPr/>
        <w:t> 计量其损失准备；如果该金融工具的信用风险自初始确认后并未显著增加，本公司按照相当于该金融工具未来</w:t>
      </w:r>
      <w:r>
        <w:rPr>
          <w:spacing w:val="-44"/>
        </w:rPr>
        <w:t> </w:t>
      </w:r>
      <w:r>
        <w:rPr>
          <w:rFonts w:ascii="Times New Roman" w:hAnsi="Times New Roman" w:cs="Times New Roman" w:eastAsia="Times New Roman" w:hint="default"/>
        </w:rPr>
        <w:t>12 </w:t>
      </w:r>
      <w:r>
        <w:rPr/>
        <w:t>个月内预 期信用损失的金额计量其损失准备。由此形成的损失准备的增加或转回金额，作为减值损失或利得计入当期损益。</w:t>
      </w:r>
    </w:p>
    <w:p>
      <w:pPr>
        <w:pStyle w:val="BodyText"/>
        <w:spacing w:line="300" w:lineRule="auto" w:before="24"/>
        <w:ind w:right="1139" w:firstLine="360"/>
        <w:jc w:val="both"/>
      </w:pPr>
      <w:r>
        <w:rPr/>
        <w:t>通常逾期超过</w:t>
      </w:r>
      <w:r>
        <w:rPr>
          <w:spacing w:val="-46"/>
        </w:rPr>
        <w:t> </w:t>
      </w:r>
      <w:r>
        <w:rPr>
          <w:rFonts w:ascii="Times New Roman" w:hAnsi="Times New Roman" w:cs="Times New Roman" w:eastAsia="Times New Roman" w:hint="default"/>
        </w:rPr>
        <w:t>30 </w:t>
      </w:r>
      <w:r>
        <w:rPr/>
        <w:t>日，本公司即认为该金融工具的信用风险已显著增加，除非有确凿证据证明该金融工具的信用风险自 初始确认后并未显著增加。</w:t>
      </w:r>
    </w:p>
    <w:p>
      <w:pPr>
        <w:spacing w:line="240" w:lineRule="auto" w:before="10"/>
        <w:rPr>
          <w:rFonts w:ascii="宋体" w:hAnsi="宋体" w:cs="宋体" w:eastAsia="宋体" w:hint="default"/>
          <w:sz w:val="23"/>
          <w:szCs w:val="23"/>
        </w:rPr>
      </w:pPr>
    </w:p>
    <w:p>
      <w:pPr>
        <w:pStyle w:val="Heading3"/>
        <w:spacing w:line="240" w:lineRule="auto"/>
        <w:ind w:right="3827"/>
        <w:jc w:val="left"/>
        <w:rPr>
          <w:b w:val="0"/>
          <w:bCs w:val="0"/>
        </w:rPr>
      </w:pPr>
      <w:bookmarkStart w:name="11、应收账款" w:id="181"/>
      <w:bookmarkEnd w:id="181"/>
      <w:r>
        <w:rPr>
          <w:b w:val="0"/>
          <w:bCs w:val="0"/>
        </w:rPr>
      </w:r>
      <w:r>
        <w:rPr>
          <w:rFonts w:ascii="Times New Roman" w:hAnsi="Times New Roman" w:cs="Times New Roman" w:eastAsia="Times New Roman" w:hint="default"/>
        </w:rPr>
        <w:t>11</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应收票据、应收账款、其他应收款及应收融资租赁款，无论是否存在重大融资成分，本公司考虑所有合理且有依据的信</w:t>
      </w:r>
      <w:r>
        <w:rPr/>
        <w:t> </w:t>
      </w:r>
      <w:r>
        <w:rPr>
          <w:spacing w:val="-2"/>
        </w:rPr>
        <w:t>息，包括前瞻性信息，以单项或组合的方式对上述应收款项预期信用损失进行估计，并采用预期信用损失的简化模型，始终</w:t>
      </w:r>
      <w:r>
        <w:rPr>
          <w:spacing w:val="-64"/>
        </w:rPr>
        <w:t> </w:t>
      </w:r>
      <w:r>
        <w:rPr>
          <w:spacing w:val="-64"/>
        </w:rPr>
      </w:r>
      <w:r>
        <w:rPr/>
        <w:t>按照整个存续期的预期信用损失计量损失准备。计提方法如下：</w:t>
      </w:r>
    </w:p>
    <w:p>
      <w:pPr>
        <w:pStyle w:val="BodyText"/>
        <w:spacing w:line="240" w:lineRule="auto" w:before="19"/>
        <w:ind w:left="513" w:right="3827"/>
        <w:jc w:val="left"/>
      </w:pPr>
      <w:r>
        <w:rPr/>
        <w:t>（</w:t>
      </w:r>
      <w:r>
        <w:rPr>
          <w:rFonts w:ascii="Times New Roman" w:hAnsi="Times New Roman" w:cs="Times New Roman" w:eastAsia="Times New Roman" w:hint="default"/>
        </w:rPr>
        <w:t>1</w:t>
      </w:r>
      <w:r>
        <w:rPr/>
        <w:t>）单项金额重大并单独计提坏账准备的应收款项</w:t>
      </w:r>
    </w:p>
    <w:p>
      <w:pPr>
        <w:pStyle w:val="BodyText"/>
        <w:spacing w:line="240" w:lineRule="auto" w:before="63"/>
        <w:ind w:left="513" w:right="986"/>
        <w:jc w:val="left"/>
      </w:pPr>
      <w:r>
        <w:rPr/>
        <w:t>单项金额重大的判断依据或金额标准：期末余额达到</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spacing w:val="-8"/>
        </w:rPr>
        <w:t>万元（含</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万元）以上的应收款项为单项金额重大的应收款</w:t>
      </w:r>
    </w:p>
    <w:p>
      <w:pPr>
        <w:pStyle w:val="BodyText"/>
        <w:spacing w:line="240" w:lineRule="auto" w:before="63"/>
        <w:ind w:right="3827"/>
        <w:jc w:val="left"/>
      </w:pPr>
      <w:r>
        <w:rPr/>
        <w:t>项。</w:t>
      </w:r>
    </w:p>
    <w:p>
      <w:pPr>
        <w:pStyle w:val="BodyText"/>
        <w:spacing w:line="240" w:lineRule="auto" w:before="76"/>
        <w:ind w:left="513" w:right="986"/>
        <w:jc w:val="left"/>
      </w:pPr>
      <w:r>
        <w:rPr/>
        <w:t>单项金额重大并单项计提坏账准备的计提方法：对于单项金额重大的应收款项单独进行减值测试，当存在客观证据表明</w:t>
      </w:r>
    </w:p>
    <w:p>
      <w:pPr>
        <w:pStyle w:val="BodyText"/>
        <w:spacing w:line="319" w:lineRule="auto" w:before="76"/>
        <w:ind w:right="986"/>
        <w:jc w:val="left"/>
      </w:pPr>
      <w:r>
        <w:rPr>
          <w:spacing w:val="-4"/>
        </w:rPr>
        <w:t>本公司将无法按应收款项的原有条款收回所有款项时，根据其未来现金流量现值低于其账面价值的差额，单独进行减值测试，</w:t>
      </w:r>
      <w:r>
        <w:rPr>
          <w:spacing w:val="-44"/>
        </w:rPr>
        <w:t> </w:t>
      </w:r>
      <w:r>
        <w:rPr>
          <w:spacing w:val="-44"/>
        </w:rPr>
      </w:r>
      <w:r>
        <w:rPr/>
        <w:t>计提坏账准备。单项金额重大经单独测试未发生减值的应收款项，再按组合计提坏账准备。</w:t>
      </w:r>
    </w:p>
    <w:p>
      <w:pPr>
        <w:pStyle w:val="BodyText"/>
        <w:spacing w:line="240" w:lineRule="auto" w:before="17"/>
        <w:ind w:left="513" w:right="3827"/>
        <w:jc w:val="left"/>
      </w:pPr>
      <w:r>
        <w:rPr/>
        <w:t>（</w:t>
      </w:r>
      <w:r>
        <w:rPr>
          <w:rFonts w:ascii="Times New Roman" w:hAnsi="Times New Roman" w:cs="Times New Roman" w:eastAsia="Times New Roman" w:hint="default"/>
        </w:rPr>
        <w:t>2</w:t>
      </w:r>
      <w:r>
        <w:rPr/>
        <w:t>）按信用风险特征组合计提坏账准备的应收款项</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4784"/>
        <w:gridCol w:w="4784"/>
      </w:tblGrid>
      <w:tr>
        <w:trPr>
          <w:trHeight w:val="42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个别认定</w:t>
            </w:r>
          </w:p>
        </w:tc>
      </w:tr>
    </w:tbl>
    <w:p>
      <w:pPr>
        <w:pStyle w:val="BodyText"/>
        <w:spacing w:line="338" w:lineRule="auto" w:before="49"/>
        <w:ind w:right="1112" w:firstLine="360"/>
        <w:jc w:val="left"/>
      </w:pPr>
      <w:r>
        <w:rPr>
          <w:spacing w:val="-2"/>
        </w:rPr>
        <w:t>对于划分为账龄组合的应收款项，本公司参考历史信用损失经验，结合当前状况及对未来经济状况的预测，编制应收账</w:t>
      </w:r>
      <w:r>
        <w:rPr/>
        <w:t> 款账龄与整个存续期预期信用损失率对照表，计算预期信用损失。 组合中，采用账龄分析法计提坏账准备的存续期预期信用损失率对照表：</w:t>
      </w:r>
    </w:p>
    <w:p>
      <w:pPr>
        <w:spacing w:line="240" w:lineRule="auto" w:before="13"/>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3188"/>
        <w:gridCol w:w="3190"/>
        <w:gridCol w:w="3193"/>
      </w:tblGrid>
      <w:tr>
        <w:trPr>
          <w:trHeight w:val="421"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600" w:right="0"/>
              <w:jc w:val="left"/>
              <w:rPr>
                <w:rFonts w:ascii="宋体" w:hAnsi="宋体" w:cs="宋体" w:eastAsia="宋体" w:hint="default"/>
                <w:sz w:val="18"/>
                <w:szCs w:val="18"/>
              </w:rPr>
            </w:pPr>
            <w:r>
              <w:rPr>
                <w:rFonts w:ascii="宋体" w:hAnsi="宋体" w:cs="宋体" w:eastAsia="宋体" w:hint="default"/>
                <w:sz w:val="18"/>
                <w:szCs w:val="18"/>
              </w:rPr>
              <w:t>应收账款预期信用损失率</w:t>
            </w:r>
          </w:p>
        </w:tc>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508" w:right="0"/>
              <w:jc w:val="left"/>
              <w:rPr>
                <w:rFonts w:ascii="宋体" w:hAnsi="宋体" w:cs="宋体" w:eastAsia="宋体" w:hint="default"/>
                <w:sz w:val="18"/>
                <w:szCs w:val="18"/>
              </w:rPr>
            </w:pPr>
            <w:r>
              <w:rPr>
                <w:rFonts w:ascii="宋体" w:hAnsi="宋体" w:cs="宋体" w:eastAsia="宋体" w:hint="default"/>
                <w:sz w:val="18"/>
                <w:szCs w:val="18"/>
              </w:rPr>
              <w:t>其他应收款预期信用损失率</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z w:val="18"/>
              </w:rPr>
              <w:t>3.00%</w:t>
            </w:r>
          </w:p>
        </w:tc>
        <w:tc>
          <w:tcPr>
            <w:tcW w:w="31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z w:val="18"/>
              </w:rPr>
              <w:t>3.00%</w:t>
            </w:r>
          </w:p>
        </w:tc>
      </w:tr>
      <w:tr>
        <w:trPr>
          <w:trHeight w:val="427" w:hRule="exact"/>
        </w:trPr>
        <w:tc>
          <w:tcPr>
            <w:tcW w:w="318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其中：无双科技和光环云数据</w:t>
            </w: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其中：无双科技和光环云数据</w:t>
            </w:r>
            <w:r>
              <w:rPr>
                <w:rFonts w:ascii="Times New Roman" w:hAnsi="Times New Roman" w:cs="Times New Roman" w:eastAsia="Times New Roman" w:hint="default"/>
                <w:sz w:val="18"/>
                <w:szCs w:val="18"/>
              </w:rPr>
              <w:t>7-12</w:t>
            </w:r>
            <w:r>
              <w:rPr>
                <w:rFonts w:ascii="宋体" w:hAnsi="宋体" w:cs="宋体" w:eastAsia="宋体" w:hint="default"/>
                <w:sz w:val="18"/>
                <w:szCs w:val="18"/>
              </w:rPr>
              <w:t>月</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30.00%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3188"/>
        <w:gridCol w:w="3190"/>
        <w:gridCol w:w="3193"/>
      </w:tblGrid>
      <w:tr>
        <w:trPr>
          <w:trHeight w:val="428"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50.00%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50.00%</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80.00%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80.00%</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3827"/>
        <w:jc w:val="left"/>
      </w:pPr>
      <w:r>
        <w:rPr/>
        <w:t>组合中，采用其他方法计提坏账准备的：</w:t>
      </w:r>
    </w:p>
    <w:p>
      <w:pPr>
        <w:spacing w:line="240" w:lineRule="auto" w:before="8"/>
        <w:rPr>
          <w:rFonts w:ascii="宋体" w:hAnsi="宋体" w:cs="宋体" w:eastAsia="宋体" w:hint="default"/>
          <w:sz w:val="9"/>
          <w:szCs w:val="9"/>
        </w:rPr>
      </w:pPr>
    </w:p>
    <w:tbl>
      <w:tblPr>
        <w:tblW w:w="0" w:type="auto"/>
        <w:jc w:val="left"/>
        <w:tblInd w:w="164" w:type="dxa"/>
        <w:tblLayout w:type="fixed"/>
        <w:tblCellMar>
          <w:top w:w="0" w:type="dxa"/>
          <w:left w:w="0" w:type="dxa"/>
          <w:bottom w:w="0" w:type="dxa"/>
          <w:right w:w="0" w:type="dxa"/>
        </w:tblCellMar>
        <w:tblLook w:val="01E0"/>
      </w:tblPr>
      <w:tblGrid>
        <w:gridCol w:w="3188"/>
        <w:gridCol w:w="3190"/>
        <w:gridCol w:w="3193"/>
      </w:tblGrid>
      <w:tr>
        <w:trPr>
          <w:trHeight w:val="408"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按款项性质组合</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0.00%</w:t>
            </w:r>
          </w:p>
        </w:tc>
      </w:tr>
      <w:tr>
        <w:trPr>
          <w:trHeight w:val="739"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1"/>
              <w:jc w:val="left"/>
              <w:rPr>
                <w:rFonts w:ascii="宋体" w:hAnsi="宋体" w:cs="宋体" w:eastAsia="宋体" w:hint="default"/>
                <w:sz w:val="18"/>
                <w:szCs w:val="18"/>
              </w:rPr>
            </w:pPr>
            <w:r>
              <w:rPr>
                <w:rFonts w:ascii="宋体" w:hAnsi="宋体" w:cs="宋体" w:eastAsia="宋体" w:hint="default"/>
                <w:spacing w:val="-4"/>
                <w:sz w:val="18"/>
                <w:szCs w:val="18"/>
              </w:rPr>
              <w:t>按款项性质组合（按风险余额对应账龄法</w:t>
            </w:r>
            <w:r>
              <w:rPr>
                <w:rFonts w:ascii="宋体" w:hAnsi="宋体" w:cs="宋体" w:eastAsia="宋体" w:hint="default"/>
                <w:sz w:val="18"/>
                <w:szCs w:val="18"/>
              </w:rPr>
              <w:t> 计提坏账准备）</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同账龄分析法</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特定资产组合</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12"/>
        <w:jc w:val="left"/>
      </w:pPr>
      <w:r>
        <w:rPr/>
        <w:t>按照款项性质组合的其他应收款为合作意向保证金、员工备用金，预期信用损失率为</w:t>
      </w:r>
      <w:r>
        <w:rPr>
          <w:rFonts w:ascii="Times New Roman" w:hAnsi="Times New Roman" w:cs="Times New Roman" w:eastAsia="Times New Roman" w:hint="default"/>
        </w:rPr>
        <w:t>0</w:t>
      </w:r>
      <w:r>
        <w:rPr/>
        <w:t>。</w:t>
      </w:r>
    </w:p>
    <w:p>
      <w:pPr>
        <w:pStyle w:val="BodyText"/>
        <w:spacing w:line="240" w:lineRule="auto" w:before="103"/>
        <w:ind w:right="3827"/>
        <w:jc w:val="left"/>
      </w:pPr>
      <w:r>
        <w:rPr/>
        <w:t>（</w:t>
      </w:r>
      <w:r>
        <w:rPr>
          <w:rFonts w:ascii="Times New Roman" w:hAnsi="Times New Roman" w:cs="Times New Roman" w:eastAsia="Times New Roman" w:hint="default"/>
        </w:rPr>
        <w:t>3</w:t>
      </w:r>
      <w:r>
        <w:rPr/>
        <w:t>）单项金额不重大但单独计提坏账准备的应收款项</w:t>
      </w:r>
    </w:p>
    <w:p>
      <w:pPr>
        <w:spacing w:line="240" w:lineRule="auto" w:before="1"/>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4784"/>
        <w:gridCol w:w="4784"/>
      </w:tblGrid>
      <w:tr>
        <w:trPr>
          <w:trHeight w:val="105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84"/>
              <w:jc w:val="both"/>
              <w:rPr>
                <w:rFonts w:ascii="宋体" w:hAnsi="宋体" w:cs="宋体" w:eastAsia="宋体" w:hint="default"/>
                <w:sz w:val="18"/>
                <w:szCs w:val="18"/>
              </w:rPr>
            </w:pPr>
            <w:r>
              <w:rPr>
                <w:rFonts w:ascii="宋体" w:hAnsi="宋体" w:cs="宋体" w:eastAsia="宋体" w:hint="default"/>
                <w:sz w:val="18"/>
                <w:szCs w:val="18"/>
              </w:rPr>
              <w:t>对于单项金额非重大的应收款项，本公司将其与经单独测试 后未减值的应收款项一起按信用风险特征划分为若干组合， 计提坏账准备。</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3827"/>
        <w:jc w:val="left"/>
        <w:rPr>
          <w:b w:val="0"/>
          <w:bCs w:val="0"/>
        </w:rPr>
      </w:pPr>
      <w:bookmarkStart w:name="12、其他应收款" w:id="182"/>
      <w:bookmarkEnd w:id="182"/>
      <w:r>
        <w:rPr>
          <w:b w:val="0"/>
          <w:bCs w:val="0"/>
        </w:rPr>
      </w:r>
      <w:r>
        <w:rPr>
          <w:rFonts w:ascii="Times New Roman" w:hAnsi="Times New Roman" w:cs="Times New Roman" w:eastAsia="Times New Roman" w:hint="default"/>
        </w:rPr>
        <w:t>12</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354"/>
        <w:jc w:val="left"/>
      </w:pPr>
      <w:r>
        <w:rPr/>
        <w:t>其他应收款的预期信用损失的确定方法及会计处理方法 其他应收款的预期信用损失的确定方法及会计处理方法见应收账款。</w:t>
      </w:r>
    </w:p>
    <w:p>
      <w:pPr>
        <w:spacing w:line="240" w:lineRule="auto" w:before="4"/>
        <w:rPr>
          <w:rFonts w:ascii="宋体" w:hAnsi="宋体" w:cs="宋体" w:eastAsia="宋体" w:hint="default"/>
          <w:sz w:val="20"/>
          <w:szCs w:val="20"/>
        </w:rPr>
      </w:pPr>
    </w:p>
    <w:p>
      <w:pPr>
        <w:pStyle w:val="Heading3"/>
        <w:spacing w:line="240" w:lineRule="auto"/>
        <w:ind w:right="3827"/>
        <w:jc w:val="left"/>
        <w:rPr>
          <w:b w:val="0"/>
          <w:bCs w:val="0"/>
        </w:rPr>
      </w:pPr>
      <w:bookmarkStart w:name="13、存货" w:id="183"/>
      <w:bookmarkEnd w:id="183"/>
      <w:r>
        <w:rPr>
          <w:b w:val="0"/>
          <w:bCs w:val="0"/>
        </w:rPr>
      </w:r>
      <w:r>
        <w:rPr>
          <w:rFonts w:ascii="Times New Roman" w:hAnsi="Times New Roman" w:cs="Times New Roman" w:eastAsia="Times New Roman" w:hint="default"/>
        </w:rPr>
        <w:t>13</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5713"/>
        <w:jc w:val="left"/>
      </w:pPr>
      <w:r>
        <w:rPr/>
        <w:t>（</w:t>
      </w:r>
      <w:r>
        <w:rPr>
          <w:rFonts w:ascii="Times New Roman" w:hAnsi="Times New Roman" w:cs="Times New Roman" w:eastAsia="Times New Roman" w:hint="default"/>
        </w:rPr>
        <w:t>1</w:t>
      </w:r>
      <w:r>
        <w:rPr/>
        <w:t>）存货的分类 存货包括库存材料、库存商品、低值易耗品、备品备件等。</w:t>
      </w:r>
    </w:p>
    <w:p>
      <w:pPr>
        <w:pStyle w:val="BodyText"/>
        <w:spacing w:line="300" w:lineRule="auto" w:before="31"/>
        <w:ind w:left="513" w:right="5353"/>
        <w:jc w:val="left"/>
      </w:pPr>
      <w:r>
        <w:rPr/>
        <w:t>（</w:t>
      </w:r>
      <w:r>
        <w:rPr>
          <w:rFonts w:ascii="Times New Roman" w:hAnsi="Times New Roman" w:cs="Times New Roman" w:eastAsia="Times New Roman" w:hint="default"/>
        </w:rPr>
        <w:t>2</w:t>
      </w:r>
      <w:r>
        <w:rPr/>
        <w:t>）发出存货的计价方法 外购、自制的存货按实际成本计价，发出存货采用个别计价法。</w:t>
      </w:r>
    </w:p>
    <w:p>
      <w:pPr>
        <w:pStyle w:val="BodyText"/>
        <w:spacing w:line="300" w:lineRule="auto" w:before="31"/>
        <w:ind w:left="513" w:right="1112"/>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期末存货按成本与可变现净值孰低计价，并按单个存货项目比较存货成本与可变现净值孰低，如存货可变现净值低于存</w:t>
      </w:r>
    </w:p>
    <w:p>
      <w:pPr>
        <w:pStyle w:val="BodyText"/>
        <w:spacing w:line="319" w:lineRule="auto" w:before="31"/>
        <w:ind w:right="1112"/>
        <w:jc w:val="left"/>
      </w:pPr>
      <w:r>
        <w:rPr>
          <w:spacing w:val="-2"/>
        </w:rPr>
        <w:t>货成本，按其差额计提存货跌价准备，计入当期损益。存货可变现净值以估计售价减去估计将要发生的成本、估计的销售费</w:t>
      </w:r>
      <w:r>
        <w:rPr>
          <w:spacing w:val="-64"/>
        </w:rPr>
        <w:t> </w:t>
      </w:r>
      <w:r>
        <w:rPr>
          <w:spacing w:val="-64"/>
        </w:rPr>
      </w:r>
      <w:r>
        <w:rPr/>
        <w:t>用以及相关税费后的金额确定。</w:t>
      </w:r>
    </w:p>
    <w:p>
      <w:pPr>
        <w:pStyle w:val="BodyText"/>
        <w:spacing w:line="300" w:lineRule="auto" w:before="17"/>
        <w:ind w:left="513" w:right="7333"/>
        <w:jc w:val="left"/>
      </w:pPr>
      <w:r>
        <w:rPr/>
        <w:t>（</w:t>
      </w:r>
      <w:r>
        <w:rPr>
          <w:rFonts w:ascii="Times New Roman" w:hAnsi="Times New Roman" w:cs="Times New Roman" w:eastAsia="Times New Roman" w:hint="default"/>
        </w:rPr>
        <w:t>4</w:t>
      </w:r>
      <w:r>
        <w:rPr/>
        <w:t>）存货的盘存制度 本公司的存货盘存制度为永续盘存制。</w:t>
      </w:r>
    </w:p>
    <w:p>
      <w:pPr>
        <w:pStyle w:val="BodyText"/>
        <w:spacing w:line="300" w:lineRule="auto" w:before="31"/>
        <w:ind w:left="513" w:right="6973"/>
        <w:jc w:val="left"/>
      </w:pPr>
      <w:r>
        <w:rPr/>
        <w:t>（</w:t>
      </w:r>
      <w:r>
        <w:rPr>
          <w:rFonts w:ascii="Times New Roman" w:hAnsi="Times New Roman" w:cs="Times New Roman" w:eastAsia="Times New Roman" w:hint="default"/>
        </w:rPr>
        <w:t>5</w:t>
      </w:r>
      <w:r>
        <w:rPr/>
        <w:t>）低值易耗品和包装物的摊销方法 低值易耗品和包装物采用一次转销法摊销。</w:t>
      </w:r>
    </w:p>
    <w:p>
      <w:pPr>
        <w:spacing w:line="240" w:lineRule="auto" w:before="10"/>
        <w:rPr>
          <w:rFonts w:ascii="宋体" w:hAnsi="宋体" w:cs="宋体" w:eastAsia="宋体" w:hint="default"/>
          <w:sz w:val="23"/>
          <w:szCs w:val="23"/>
        </w:rPr>
      </w:pPr>
    </w:p>
    <w:p>
      <w:pPr>
        <w:pStyle w:val="Heading3"/>
        <w:spacing w:line="240" w:lineRule="auto"/>
        <w:ind w:right="3827"/>
        <w:jc w:val="left"/>
        <w:rPr>
          <w:b w:val="0"/>
          <w:bCs w:val="0"/>
        </w:rPr>
      </w:pPr>
      <w:bookmarkStart w:name="14、持有待售资产" w:id="184"/>
      <w:bookmarkEnd w:id="184"/>
      <w:r>
        <w:rPr>
          <w:b w:val="0"/>
          <w:bCs w:val="0"/>
        </w:rPr>
      </w:r>
      <w:r>
        <w:rPr>
          <w:rFonts w:ascii="Times New Roman" w:hAnsi="Times New Roman" w:cs="Times New Roman" w:eastAsia="Times New Roman" w:hint="default"/>
        </w:rPr>
        <w:t>14</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t>本公司若主要通过出售（包括具有商业实质的非货币性资产交换，下同）而非持续使用一项非流动资产或处置组收回其</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129"/>
        <w:jc w:val="both"/>
      </w:pPr>
      <w:r>
        <w:rPr>
          <w:spacing w:val="-2"/>
        </w:rPr>
        <w:t>账面价值的，则将其划分为持有待售类别。具体标准为同时满足以下条件：某项非流动资产或处置组根据类似交易中出售此</w:t>
      </w:r>
      <w:r>
        <w:rPr>
          <w:spacing w:val="-63"/>
        </w:rPr>
        <w:t> </w:t>
      </w:r>
      <w:r>
        <w:rPr>
          <w:spacing w:val="-63"/>
        </w:rPr>
      </w:r>
      <w:r>
        <w:rPr>
          <w:spacing w:val="-2"/>
        </w:rPr>
        <w:t>类资产或处置组的惯例，在当前状况下即可立即出售；本公司已经就出售计划作出决议且获得确定的购买承诺；预计出售将</w:t>
      </w:r>
      <w:r>
        <w:rPr>
          <w:spacing w:val="-63"/>
        </w:rPr>
        <w:t> </w:t>
      </w:r>
      <w:r>
        <w:rPr>
          <w:spacing w:val="-63"/>
        </w:rPr>
      </w:r>
      <w:r>
        <w:rPr>
          <w:spacing w:val="-2"/>
        </w:rPr>
        <w:t>在一年内完成。其中，处置组是指在一项交易中作为整体通过出售或其他方式一并处置的一组资产，以及在该交易中转让的</w:t>
      </w:r>
      <w:r>
        <w:rPr>
          <w:spacing w:val="-66"/>
        </w:rPr>
        <w:t> </w:t>
      </w:r>
      <w:r>
        <w:rPr>
          <w:spacing w:val="-66"/>
        </w:rPr>
      </w:r>
      <w:r>
        <w:rPr>
          <w:spacing w:val="-2"/>
        </w:rPr>
        <w:t>与这些资产直接相关的负债。处置组所属的资产组或资产组组合按照《企业会计准则第</w:t>
      </w:r>
      <w:r>
        <w:rPr>
          <w:spacing w:val="-32"/>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资产减值》分摊了企业合并</w:t>
      </w:r>
      <w:r>
        <w:rPr>
          <w:spacing w:val="-88"/>
        </w:rPr>
        <w:t> </w:t>
      </w:r>
      <w:r>
        <w:rPr>
          <w:spacing w:val="-88"/>
        </w:rPr>
      </w:r>
      <w:r>
        <w:rPr/>
        <w:t>中取得的商誉的，该处置组应当包含分摊至处置组的商誉。</w:t>
      </w:r>
    </w:p>
    <w:p>
      <w:pPr>
        <w:pStyle w:val="BodyText"/>
        <w:spacing w:line="316" w:lineRule="auto" w:before="20"/>
        <w:ind w:right="1034"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w:t>
      </w:r>
      <w:r>
        <w:rPr>
          <w:spacing w:val="-86"/>
        </w:rPr>
        <w:t> </w:t>
      </w:r>
      <w:r>
        <w:rPr>
          <w:spacing w:val="-86"/>
        </w:rPr>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spacing w:val="-39"/>
        </w:rPr>
        <w:t> </w:t>
      </w:r>
      <w:r>
        <w:rPr>
          <w:rFonts w:ascii="Times New Roman" w:hAnsi="Times New Roman" w:cs="Times New Roman" w:eastAsia="Times New Roman" w:hint="default"/>
        </w:rPr>
        <w:t>42</w:t>
      </w:r>
      <w:r>
        <w:rPr>
          <w:rFonts w:ascii="Times New Roman" w:hAnsi="Times New Roman" w:cs="Times New Roman" w:eastAsia="Times New Roman" w:hint="default"/>
          <w:spacing w:val="9"/>
        </w:rPr>
        <w:t> </w:t>
      </w:r>
      <w:r>
        <w:rPr>
          <w:spacing w:val="-4"/>
          <w:w w:val="100"/>
        </w:rPr>
        <w:t>号</w:t>
      </w:r>
      <w:r>
        <w:rPr>
          <w:rFonts w:ascii="Times New Roman" w:hAnsi="Times New Roman" w:cs="Times New Roman" w:eastAsia="Times New Roman" w:hint="default"/>
          <w:spacing w:val="-4"/>
          <w:w w:val="100"/>
        </w:rPr>
        <w:t>——</w:t>
      </w:r>
      <w:r>
        <w:rPr>
          <w:spacing w:val="-4"/>
          <w:w w:val="100"/>
        </w:rPr>
        <w:t>持有待售的非流动资产、处置组和终止经营》（以下简称</w:t>
      </w:r>
      <w:r>
        <w:rPr>
          <w:rFonts w:ascii="Times New Roman" w:hAnsi="Times New Roman" w:cs="Times New Roman" w:eastAsia="Times New Roman" w:hint="default"/>
          <w:spacing w:val="-4"/>
          <w:w w:val="100"/>
        </w:rPr>
        <w:t>“</w:t>
      </w:r>
      <w:r>
        <w:rPr>
          <w:spacing w:val="-4"/>
          <w:w w:val="100"/>
        </w:rPr>
        <w:t>持有待售准则</w:t>
      </w:r>
      <w:r>
        <w:rPr>
          <w:rFonts w:ascii="Times New Roman" w:hAnsi="Times New Roman" w:cs="Times New Roman" w:eastAsia="Times New Roman" w:hint="default"/>
          <w:spacing w:val="-4"/>
          <w:w w:val="100"/>
        </w:rPr>
        <w:t>”</w:t>
      </w:r>
      <w:r>
        <w:rPr>
          <w:spacing w:val="-4"/>
          <w:w w:val="100"/>
        </w:rPr>
        <w:t>）的计量规</w:t>
      </w:r>
      <w:r>
        <w:rPr>
          <w:spacing w:val="-72"/>
          <w:w w:val="100"/>
        </w:rPr>
        <w:t> </w:t>
      </w:r>
      <w:r>
        <w:rPr>
          <w:spacing w:val="-72"/>
          <w:w w:val="100"/>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w:t>
      </w:r>
      <w:r>
        <w:rPr>
          <w:spacing w:val="-86"/>
        </w:rPr>
        <w:t> </w:t>
      </w:r>
      <w:r>
        <w:rPr>
          <w:spacing w:val="-86"/>
        </w:rPr>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316" w:lineRule="auto" w:before="19"/>
        <w:ind w:right="1112" w:firstLine="360"/>
        <w:jc w:val="left"/>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before="19"/>
        <w:ind w:right="1112" w:firstLine="360"/>
        <w:jc w:val="left"/>
      </w:pPr>
      <w:r>
        <w:rPr>
          <w:spacing w:val="-2"/>
        </w:rPr>
        <w:t>非流动资产或处置组不再满足持有待售类别的划分条件时，本公司不再将其继续划分为持有待售类别或将非流动资产从</w:t>
      </w:r>
      <w:r>
        <w:rPr/>
        <w:t> 持有待售的处置组中移除，并按照以下两者孰低计量：</w:t>
      </w:r>
    </w:p>
    <w:p>
      <w:pPr>
        <w:pStyle w:val="BodyText"/>
        <w:spacing w:line="300" w:lineRule="auto" w:before="19"/>
        <w:ind w:right="1124" w:firstLine="360"/>
        <w:jc w:val="left"/>
      </w:pPr>
      <w:r>
        <w:rPr/>
        <w:t>（</w:t>
      </w:r>
      <w:r>
        <w:rPr>
          <w:rFonts w:ascii="Times New Roman" w:hAnsi="Times New Roman" w:cs="Times New Roman" w:eastAsia="Times New Roman" w:hint="default"/>
        </w:rPr>
        <w:t>1</w:t>
      </w:r>
      <w:r>
        <w:rPr/>
        <w:t>）划分为持有待售类别前的账面价值，按照假定不划分为持有待售类别情况下本应确认的折旧、摊销或减值等进行 调整后的金额；</w:t>
      </w:r>
    </w:p>
    <w:p>
      <w:pPr>
        <w:pStyle w:val="BodyText"/>
        <w:spacing w:line="240" w:lineRule="auto" w:before="31"/>
        <w:ind w:left="513" w:right="3827"/>
        <w:jc w:val="left"/>
      </w:pPr>
      <w:r>
        <w:rPr/>
        <w:t>（</w:t>
      </w:r>
      <w:r>
        <w:rPr>
          <w:rFonts w:ascii="Times New Roman" w:hAnsi="Times New Roman" w:cs="Times New Roman" w:eastAsia="Times New Roman" w:hint="default"/>
        </w:rPr>
        <w:t>2</w:t>
      </w:r>
      <w:r>
        <w:rPr/>
        <w:t>）可收回金额。</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15、长期股权投资" w:id="185"/>
      <w:bookmarkEnd w:id="185"/>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3"/>
        </w:rPr>
        <w:t> </w:t>
      </w:r>
      <w:r>
        <w:rPr>
          <w:spacing w:val="-63"/>
        </w:rPr>
      </w:r>
      <w:r>
        <w:rPr/>
        <w:t>金融资产核算。</w:t>
      </w:r>
    </w:p>
    <w:p>
      <w:pPr>
        <w:pStyle w:val="BodyText"/>
        <w:spacing w:line="300" w:lineRule="auto" w:before="19"/>
        <w:ind w:left="513" w:right="1112"/>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7"/>
        </w:rPr>
        <w:t> </w:t>
      </w:r>
      <w:r>
        <w:rPr>
          <w:spacing w:val="-67"/>
        </w:rPr>
      </w:r>
      <w:r>
        <w:rPr>
          <w:spacing w:val="-2"/>
        </w:rPr>
        <w:t>并日按照被合并方所有者权益在最终控制方合并财务报表中的账面价值的份额作为长期股权投资的初始投资成本，按照发行</w:t>
      </w:r>
      <w:r>
        <w:rPr>
          <w:spacing w:val="-63"/>
        </w:rPr>
        <w:t> </w:t>
      </w:r>
      <w:r>
        <w:rPr>
          <w:spacing w:val="-63"/>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4"/>
        </w:rPr>
        <w:t> </w:t>
      </w:r>
      <w:r>
        <w:rPr>
          <w:spacing w:val="-64"/>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的，在合并日按照应享有被合并方股东权益在最终控制方合并财务报表中的账面价值的份额作为长期股权投资的初始投 </w:t>
      </w:r>
      <w:r>
        <w:rPr>
          <w:spacing w:val="-2"/>
        </w:rPr>
        <w:t>资成本，长期股权投资初始投资成本与达到合并前的长期股权投资账面价值加上合并日进一步取得股份新支付对价的账面价</w:t>
      </w:r>
      <w:r>
        <w:rPr>
          <w:spacing w:val="-64"/>
        </w:rPr>
        <w:t> </w:t>
      </w:r>
      <w:r>
        <w:rPr>
          <w:spacing w:val="-64"/>
        </w:rPr>
      </w:r>
      <w:r>
        <w:rPr>
          <w:spacing w:val="-2"/>
        </w:rPr>
        <w:t>值之和的差额，调整资本公积；资本公积不足冲减的，调整留存收益。合并日之前持有的股权投资因采用权益法核算或为可</w:t>
      </w:r>
      <w:r>
        <w:rPr>
          <w:spacing w:val="-64"/>
        </w:rPr>
        <w:t> </w:t>
      </w:r>
      <w:r>
        <w:rPr>
          <w:spacing w:val="-64"/>
        </w:rPr>
      </w:r>
      <w:r>
        <w:rPr/>
        <w:t>供出售金融资产而确认的其他综合收益，暂不进行会计处理。</w:t>
      </w:r>
    </w:p>
    <w:p>
      <w:pPr>
        <w:pStyle w:val="BodyText"/>
        <w:spacing w:line="309" w:lineRule="auto" w:before="20"/>
        <w:ind w:right="1042" w:firstLine="360"/>
        <w:jc w:val="left"/>
      </w:pPr>
      <w:r>
        <w:rPr>
          <w:spacing w:val="-2"/>
        </w:rPr>
        <w:t>对于非同一控制下的企业合并取得的长期股权投资，在购买日按照合并成本作为长期股权投资的初始投资成本，合并成</w:t>
      </w:r>
      <w:r>
        <w:rPr/>
        <w:t> </w:t>
      </w:r>
      <w:r>
        <w:rPr>
          <w:spacing w:val="-5"/>
        </w:rPr>
        <w:t>本包括购买方付出的资产、发生或承担的负债、发行的权益性证券的公允价值之和。通过多次交易分步取得被购买方的股权，</w:t>
      </w:r>
      <w:r>
        <w:rPr>
          <w:spacing w:val="-76"/>
        </w:rPr>
        <w:t> </w:t>
      </w:r>
      <w:r>
        <w:rPr>
          <w:spacing w:val="-76"/>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理。原持有股权投资为可供出售金融资产的，其公允价值与账面价值之间的差额，以及原计入其他综合收益的累计公允价值</w:t>
      </w:r>
      <w:r>
        <w:rPr>
          <w:spacing w:val="-63"/>
        </w:rPr>
        <w:t> </w:t>
      </w:r>
      <w:r>
        <w:rPr>
          <w:spacing w:val="-63"/>
        </w:rPr>
      </w:r>
      <w:r>
        <w:rPr/>
        <w:t>变动转入当期损益。</w:t>
      </w:r>
    </w:p>
    <w:p>
      <w:pPr>
        <w:pStyle w:val="BodyText"/>
        <w:spacing w:line="314" w:lineRule="auto" w:before="17"/>
        <w:ind w:right="1130" w:firstLine="360"/>
        <w:jc w:val="both"/>
      </w:pPr>
      <w:r>
        <w:rPr>
          <w:spacing w:val="-2"/>
        </w:rPr>
        <w:t>合并方或购买方为企业合并发生的审计、法律服务、评估咨询等中介费用以及其他相关管理费用，于发生时计入当期损</w:t>
      </w:r>
      <w:r>
        <w:rPr/>
        <w:t> 益。</w:t>
      </w:r>
      <w:r>
        <w:rPr>
          <w:spacing w:val="1"/>
        </w:rPr>
        <w:t> </w:t>
      </w:r>
      <w:r>
        <w:rPr/>
        <w:t>除企业合并形成的长期股权投资外的其他股权投资，按成本进行初始计量，该成本视长期股权投资取得方式的不同，</w:t>
      </w:r>
      <w:r>
        <w:rPr/>
        <w:t> </w:t>
      </w:r>
      <w:r>
        <w:rPr>
          <w:spacing w:val="-2"/>
        </w:rPr>
        <w:t>分别按照本公司实际支付的现金购买价款、本公司发行的权益性证券的公允价值、投资合同或协议约定的价值、非货币性资</w:t>
      </w:r>
      <w:r>
        <w:rPr>
          <w:spacing w:val="-63"/>
        </w:rPr>
        <w:t> </w:t>
      </w:r>
      <w:r>
        <w:rPr>
          <w:spacing w:val="-63"/>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t>成控制的，长期股权投资成本为按照《企业会计准则第</w:t>
      </w:r>
      <w:r>
        <w:rPr>
          <w:spacing w:val="-45"/>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金融工具确认和计量》确定的原持有股权投资的公允价值 加上新增投资成本之和。</w:t>
      </w:r>
    </w:p>
    <w:p>
      <w:pPr>
        <w:pStyle w:val="BodyText"/>
        <w:spacing w:line="300" w:lineRule="auto" w:before="20"/>
        <w:ind w:left="513" w:right="1112"/>
        <w:jc w:val="left"/>
      </w:pPr>
      <w:r>
        <w:rPr/>
        <w:t>（</w:t>
      </w:r>
      <w:r>
        <w:rPr>
          <w:rFonts w:ascii="Times New Roman" w:hAnsi="Times New Roman" w:cs="Times New Roman" w:eastAsia="Times New Roman" w:hint="default"/>
        </w:rPr>
        <w:t>2</w:t>
      </w:r>
      <w:r>
        <w:rPr/>
        <w:t>）后续计量及损益确认 </w:t>
      </w:r>
      <w:r>
        <w:rPr>
          <w:spacing w:val="-2"/>
        </w:rPr>
        <w:t>对被投资单位具有共同控制（构成共同经营者除外）或重大影响的长期股权投资，采用权益法核算。此外，公司财务报</w:t>
      </w:r>
    </w:p>
    <w:p>
      <w:pPr>
        <w:pStyle w:val="BodyText"/>
        <w:spacing w:line="240" w:lineRule="auto" w:before="31"/>
        <w:ind w:right="0"/>
        <w:jc w:val="both"/>
      </w:pPr>
      <w:r>
        <w:rPr/>
        <w:t>表采用成本法核算能够对被投资单位实施控制的长期股权投资。</w:t>
      </w:r>
    </w:p>
    <w:p>
      <w:pPr>
        <w:pStyle w:val="BodyText"/>
        <w:spacing w:line="316" w:lineRule="auto" w:before="77"/>
        <w:ind w:left="513" w:right="1112"/>
        <w:jc w:val="left"/>
      </w:pPr>
      <w:r>
        <w:rPr/>
        <w:t>①本公司能够对被投资单位实施控制的长期股权投资按照成本法核算。 </w:t>
      </w:r>
      <w:r>
        <w:rPr>
          <w:spacing w:val="-2"/>
        </w:rPr>
        <w:t>采用成本法核算的长期股权投资按照初始投资成本计价；追加或收回投资调整长期股权投资的成本；被投资单位宣告分</w:t>
      </w:r>
    </w:p>
    <w:p>
      <w:pPr>
        <w:pStyle w:val="BodyText"/>
        <w:spacing w:line="316" w:lineRule="auto" w:before="19"/>
        <w:ind w:right="1133"/>
        <w:jc w:val="both"/>
      </w:pPr>
      <w:r>
        <w:rPr>
          <w:spacing w:val="-2"/>
        </w:rPr>
        <w:t>派的现金股利或利润，确认为当期投资收益，除取得投资时实际支付的价款或对价中包含的已宣告但尚未发放的现金股利或</w:t>
      </w:r>
      <w:r>
        <w:rPr>
          <w:spacing w:val="-64"/>
        </w:rPr>
        <w:t> </w:t>
      </w:r>
      <w:r>
        <w:rPr>
          <w:spacing w:val="-64"/>
        </w:rPr>
      </w:r>
      <w:r>
        <w:rPr/>
        <w:t>利润作为初始投资成本的收回外，按照享有被投资单位宣告发放的现金股利或利润确认投资收益。</w:t>
      </w:r>
    </w:p>
    <w:p>
      <w:pPr>
        <w:pStyle w:val="BodyText"/>
        <w:spacing w:line="316" w:lineRule="auto" w:before="19"/>
        <w:ind w:left="513" w:right="1112"/>
        <w:jc w:val="left"/>
      </w:pPr>
      <w:r>
        <w:rPr/>
        <w:t>②对被投资单位具有共同控制或重大影响的长期股权，采用权益法核算。 </w:t>
      </w:r>
      <w:r>
        <w:rPr>
          <w:spacing w:val="-2"/>
        </w:rPr>
        <w:t>采用权益法核算时，长期股权投资的初始投资成本大于投资时应享有被投资单位可辨认净资产公允价值份额的，不调整</w:t>
      </w:r>
    </w:p>
    <w:p>
      <w:pPr>
        <w:pStyle w:val="BodyText"/>
        <w:spacing w:line="316" w:lineRule="auto" w:before="19"/>
        <w:ind w:right="1132"/>
        <w:jc w:val="both"/>
      </w:pPr>
      <w:r>
        <w:rPr>
          <w:spacing w:val="-2"/>
        </w:rPr>
        <w:t>长期股权投资的初始投资成本；初始投资成本小于投资时应享有被投资单位可辨认净资产公允价值份额的，其差额计入当期</w:t>
      </w:r>
      <w:r>
        <w:rPr>
          <w:spacing w:val="-63"/>
        </w:rPr>
        <w:t> </w:t>
      </w:r>
      <w:r>
        <w:rPr>
          <w:spacing w:val="-63"/>
        </w:rPr>
      </w:r>
      <w:r>
        <w:rPr/>
        <w:t>损益，同时调整长期股权投资的成本。</w:t>
      </w:r>
    </w:p>
    <w:p>
      <w:pPr>
        <w:pStyle w:val="BodyText"/>
        <w:spacing w:line="316" w:lineRule="auto" w:before="19"/>
        <w:ind w:right="1130"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期股权投资的账面价值；被投资单位除净损益、其他综合收益和利润分配以外所有者权益的其他变动，调整长期股权投资的</w:t>
      </w:r>
      <w:r>
        <w:rPr>
          <w:spacing w:val="-63"/>
        </w:rPr>
        <w:t> </w:t>
      </w:r>
      <w:r>
        <w:rPr>
          <w:spacing w:val="-63"/>
        </w:rPr>
      </w:r>
      <w:r>
        <w:rPr/>
        <w:t>账面价值并计入所有者权益。</w:t>
      </w:r>
    </w:p>
    <w:p>
      <w:pPr>
        <w:pStyle w:val="BodyText"/>
        <w:spacing w:line="316" w:lineRule="auto" w:before="19"/>
        <w:ind w:right="1131" w:firstLine="360"/>
        <w:jc w:val="both"/>
      </w:pPr>
      <w:r>
        <w:rPr>
          <w:spacing w:val="-2"/>
        </w:rPr>
        <w:t>在确认应享有被投资单位净损益的份额时，以取得投资时被投资单位各项可辨认资产等的公允价值为基础，对被投资单</w:t>
      </w:r>
      <w:r>
        <w:rPr/>
        <w:t> </w:t>
      </w:r>
      <w:r>
        <w:rPr>
          <w:spacing w:val="-2"/>
        </w:rPr>
        <w:t>位的净利润进行调整后确认。被投资单位采用的会计政策及会计期间与本公司不一致的，按照本公司的会计政策及会计期间</w:t>
      </w:r>
      <w:r>
        <w:rPr>
          <w:spacing w:val="-64"/>
        </w:rPr>
        <w:t> </w:t>
      </w:r>
      <w:r>
        <w:rPr>
          <w:spacing w:val="-64"/>
        </w:rPr>
      </w:r>
      <w:r>
        <w:rPr/>
        <w:t>对被投资单位的财务报表进行调整，并据以确认投资收益和其他综合收益。</w:t>
      </w:r>
    </w:p>
    <w:p>
      <w:pPr>
        <w:pStyle w:val="BodyText"/>
        <w:spacing w:line="314" w:lineRule="auto" w:before="19"/>
        <w:ind w:right="1129" w:firstLine="360"/>
        <w:jc w:val="both"/>
      </w:pPr>
      <w:r>
        <w:rPr>
          <w:spacing w:val="-2"/>
        </w:rPr>
        <w:t>对于本公司与联营企业及合营企业之间发生的交易，投出或出售的资产不构成业务的，未实现内部交易损益按照享有的</w:t>
      </w:r>
      <w:r>
        <w:rPr/>
        <w:t> </w:t>
      </w:r>
      <w:r>
        <w:rPr>
          <w:spacing w:val="-2"/>
        </w:rPr>
        <w:t>比例计算归属于本公司的部分予以抵销，在此基础上确认投资损益。但本公司与被投资单位发生的未实现内部交易损失，属</w:t>
      </w:r>
      <w:r>
        <w:rPr>
          <w:spacing w:val="-63"/>
        </w:rPr>
        <w:t> </w:t>
      </w:r>
      <w:r>
        <w:rPr>
          <w:spacing w:val="-63"/>
        </w:rPr>
      </w:r>
      <w:r>
        <w:rPr>
          <w:spacing w:val="-2"/>
        </w:rPr>
        <w:t>于所转让资产减值损失的，不予以抵销。本公司向合营企业或联营企业投出的资产构成业务的，投资方因此取得长期股权投</w:t>
      </w:r>
      <w:r>
        <w:rPr>
          <w:spacing w:val="-62"/>
        </w:rPr>
        <w:t> </w:t>
      </w:r>
      <w:r>
        <w:rPr>
          <w:spacing w:val="-62"/>
        </w:rPr>
      </w:r>
      <w:r>
        <w:rPr>
          <w:spacing w:val="-2"/>
        </w:rPr>
        <w:t>资但未取得控制权的，以投出业务的公允价值作为新增长期股权投资的初始投资成本，初始投资成本与投出业务的账面价值</w:t>
      </w:r>
      <w:r>
        <w:rPr>
          <w:spacing w:val="-64"/>
        </w:rPr>
        <w:t> </w:t>
      </w:r>
      <w:r>
        <w:rPr>
          <w:spacing w:val="-64"/>
        </w:rPr>
      </w:r>
      <w:r>
        <w:rPr>
          <w:spacing w:val="-2"/>
        </w:rPr>
        <w:t>之差，全额计入当期损益。本公司向合营企业或联营企业出售的资产构成业务的，取得的对价与业务的账面价值之差，全额</w:t>
      </w:r>
      <w:r>
        <w:rPr>
          <w:spacing w:val="-64"/>
        </w:rPr>
        <w:t> </w:t>
      </w:r>
      <w:r>
        <w:rPr>
          <w:spacing w:val="-64"/>
        </w:rPr>
      </w:r>
      <w:r>
        <w:rPr/>
        <w:t>计入当期损益。本公司自联营企业及合营企业购入的资产构成业务的，按《企业会计准则第</w:t>
      </w:r>
      <w:r>
        <w:rPr>
          <w:spacing w:val="-44"/>
        </w:rPr>
        <w:t> </w:t>
      </w:r>
      <w:r>
        <w:rPr>
          <w:rFonts w:ascii="Times New Roman" w:hAnsi="Times New Roman" w:cs="Times New Roman" w:eastAsia="Times New Roman" w:hint="default"/>
        </w:rPr>
        <w:t>20 </w:t>
      </w:r>
      <w:r>
        <w:rPr/>
        <w:t>号</w:t>
      </w:r>
      <w:r>
        <w:rPr>
          <w:rFonts w:ascii="Times New Roman" w:hAnsi="Times New Roman" w:cs="Times New Roman" w:eastAsia="Times New Roman" w:hint="default"/>
        </w:rPr>
        <w:t>——</w:t>
      </w:r>
      <w:r>
        <w:rPr/>
        <w:t>企业合并》的规定进 行会计处理，全额确认与交易相关的利得或损失。</w:t>
      </w:r>
    </w:p>
    <w:p>
      <w:pPr>
        <w:pStyle w:val="BodyText"/>
        <w:spacing w:line="319" w:lineRule="auto" w:before="20"/>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16" w:lineRule="auto" w:before="17"/>
        <w:ind w:left="513" w:right="1120"/>
        <w:jc w:val="left"/>
      </w:pPr>
      <w:r>
        <w:rPr/>
        <w:t>③追加投资和处置股权的处置方法 本公司因追加投资等原因能够对被投资单位施加重大影响或实施共同控制但不构成控制的，按照《企业会计准则</w:t>
      </w:r>
      <w:r>
        <w:rPr>
          <w:spacing w:val="-43"/>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p>
    <w:p>
      <w:pPr>
        <w:pStyle w:val="BodyText"/>
        <w:spacing w:line="309" w:lineRule="auto"/>
        <w:ind w:right="1129"/>
        <w:jc w:val="both"/>
      </w:pP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金融工具确认和计量》确定的原持有的股权投资的公允价值加上新增投资成本之和，作为改按权益法核算的初始投资成</w:t>
      </w:r>
      <w:r>
        <w:rPr>
          <w:spacing w:val="-64"/>
        </w:rPr>
        <w:t> </w:t>
      </w:r>
      <w:r>
        <w:rPr>
          <w:spacing w:val="-64"/>
        </w:rPr>
      </w:r>
      <w:r>
        <w:rPr>
          <w:spacing w:val="-2"/>
        </w:rPr>
        <w:t>本。原持有的股权投资分类为可供出售金融资产的，其公允价值与账面价值之间的差额，以及原计入其他综合收益的累计公</w:t>
      </w:r>
      <w:r>
        <w:rPr>
          <w:spacing w:val="-62"/>
        </w:rPr>
        <w:t> </w:t>
      </w:r>
      <w:r>
        <w:rPr>
          <w:spacing w:val="-62"/>
        </w:rPr>
      </w:r>
      <w:r>
        <w:rPr/>
        <w:t>允价值变动转入改按权益法核算的当期损益。</w:t>
      </w:r>
    </w:p>
    <w:p>
      <w:pPr>
        <w:pStyle w:val="BodyText"/>
        <w:spacing w:line="316" w:lineRule="auto" w:before="24"/>
        <w:ind w:right="1132" w:firstLine="360"/>
        <w:jc w:val="both"/>
      </w:pPr>
      <w:r>
        <w:rPr>
          <w:spacing w:val="-2"/>
        </w:rPr>
        <w:t>本公司因追加投资等原因能够对非同一控制下的被投资单位实施控制的，在编制个别财务报表时，按照原持有的股权投</w:t>
      </w:r>
      <w:r>
        <w:rPr/>
        <w:t> </w:t>
      </w:r>
      <w:r>
        <w:rPr>
          <w:spacing w:val="-2"/>
        </w:rPr>
        <w:t>资账面价值加上新增投资成本之和，作为改按成本法核算的初始投资成本。购买日之前持有的股权投资因采用权益法核算而</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3"/>
        <w:jc w:val="both"/>
      </w:pPr>
      <w:r>
        <w:rPr>
          <w:spacing w:val="-2"/>
        </w:rPr>
        <w:t>确认的其他综合收益，应当在处置该项投资时采用与被投资单位直接处置相关资产或负债相同的基础进行会计处理。购买日</w:t>
      </w:r>
      <w:r>
        <w:rPr>
          <w:spacing w:val="-64"/>
        </w:rPr>
        <w:t> </w:t>
      </w:r>
      <w:r>
        <w:rPr>
          <w:spacing w:val="-64"/>
        </w:rPr>
      </w:r>
      <w:r>
        <w:rPr/>
        <w:t>之前持有的股权投资按照《企业会计准则第</w:t>
      </w:r>
      <w:r>
        <w:rPr>
          <w:spacing w:val="-45"/>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金融工具确认和计量》的有关规定进行会计处理的，原计入其他综合 收益的累计公允价值变动应当在改按成本法核算时转入当期损益。</w:t>
      </w:r>
    </w:p>
    <w:p>
      <w:pPr>
        <w:pStyle w:val="BodyText"/>
        <w:spacing w:line="312" w:lineRule="auto" w:before="24"/>
        <w:ind w:right="1132" w:firstLine="360"/>
        <w:jc w:val="both"/>
      </w:pPr>
      <w:r>
        <w:rPr>
          <w:spacing w:val="-2"/>
        </w:rPr>
        <w:t>本公司因处置部分股权投资等原因丧失了对被投资单位的共同控制或重大影响的，处置后的剩余股权应当改按《企业会</w:t>
      </w:r>
      <w:r>
        <w:rPr/>
        <w:t> 计准则第</w:t>
      </w:r>
      <w:r>
        <w:rPr>
          <w:spacing w:val="-45"/>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金融工具确认和计量》核算，其在丧失共同控制或重大影响之日的公允价值与账面价值之间的差额计入 </w:t>
      </w:r>
      <w:r>
        <w:rPr>
          <w:spacing w:val="-2"/>
        </w:rPr>
        <w:t>当期损益。原股权投资因采用权益法核算而确认的其他综合收益，应当在终止采用权益法核算时采用与被投资单位直接处置</w:t>
      </w:r>
      <w:r>
        <w:rPr>
          <w:spacing w:val="-64"/>
        </w:rPr>
        <w:t> </w:t>
      </w:r>
      <w:r>
        <w:rPr>
          <w:spacing w:val="-64"/>
        </w:rPr>
      </w:r>
      <w:r>
        <w:rPr/>
        <w:t>相关资产或负债相同的基础进行会计处理。</w:t>
      </w:r>
    </w:p>
    <w:p>
      <w:pPr>
        <w:pStyle w:val="BodyText"/>
        <w:spacing w:line="312" w:lineRule="auto" w:before="22"/>
        <w:ind w:right="1131" w:firstLine="360"/>
        <w:jc w:val="both"/>
      </w:pPr>
      <w:r>
        <w:rPr>
          <w:spacing w:val="-2"/>
        </w:rPr>
        <w:t>本公司因处置部分权益性投资等原因丧失了对被投资单位的控制的，在编制个别财务报表时，处置后的剩余股权能够对</w:t>
      </w:r>
      <w:r>
        <w:rPr/>
        <w:t> </w:t>
      </w:r>
      <w:r>
        <w:rPr>
          <w:spacing w:val="-2"/>
        </w:rPr>
        <w:t>被投资单位实施共同控制或施加重大影响的，应当改按权益法核算，并对该剩余股权视同自取得时即采用权益法核算进行调</w:t>
      </w:r>
      <w:r>
        <w:rPr>
          <w:spacing w:val="-64"/>
        </w:rPr>
        <w:t> </w:t>
      </w:r>
      <w:r>
        <w:rPr>
          <w:spacing w:val="-64"/>
        </w:rPr>
      </w:r>
      <w:r>
        <w:rPr/>
        <w:t>整；处置后的剩余股权不能对被投资单位实施共同控制或施加重大影响的，应当改按《企业会计准则第</w:t>
      </w:r>
      <w:r>
        <w:rPr>
          <w:spacing w:val="-44"/>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 确认和计量》的有关规定进行会计处理，其在丧失控制之日的公允价值与账面价值间的差额计入当期损益。</w:t>
      </w:r>
    </w:p>
    <w:p>
      <w:pPr>
        <w:pStyle w:val="BodyText"/>
        <w:spacing w:line="240" w:lineRule="auto" w:before="22"/>
        <w:ind w:left="513" w:right="3827"/>
        <w:jc w:val="left"/>
      </w:pPr>
      <w:r>
        <w:rPr/>
        <w:t>（</w:t>
      </w:r>
      <w:r>
        <w:rPr>
          <w:rFonts w:ascii="Times New Roman" w:hAnsi="Times New Roman" w:cs="Times New Roman" w:eastAsia="Times New Roman" w:hint="default"/>
        </w:rPr>
        <w:t>3</w:t>
      </w:r>
      <w:r>
        <w:rPr/>
        <w:t>）确定对被投资单位具有共同控制、重大影响的依据</w:t>
      </w:r>
    </w:p>
    <w:p>
      <w:pPr>
        <w:pStyle w:val="BodyText"/>
        <w:spacing w:line="312" w:lineRule="auto" w:before="63"/>
        <w:ind w:right="1044" w:firstLine="360"/>
        <w:jc w:val="both"/>
      </w:pPr>
      <w:r>
        <w:rPr/>
        <w:t>控制的定义见附注</w:t>
      </w:r>
      <w:r>
        <w:rPr>
          <w:rFonts w:ascii="Times New Roman" w:hAnsi="Times New Roman" w:cs="Times New Roman" w:eastAsia="Times New Roman" w:hint="default"/>
        </w:rPr>
        <w:t>“</w:t>
      </w:r>
      <w:r>
        <w:rPr/>
        <w:t>合并财务报表范围的确定原则</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共同控制，是指本公司按照相关约定对某项安排所共有的控制，并 </w:t>
      </w:r>
      <w:r>
        <w:rPr>
          <w:spacing w:val="-2"/>
        </w:rPr>
        <w:t>且该安排的相关活动必须经过分享控制权的参与方一致同意后才能决策。重大影响，是指本公司对被投资单位的财务和经营</w:t>
      </w:r>
      <w:r>
        <w:rPr>
          <w:spacing w:val="-64"/>
        </w:rPr>
        <w:t> </w:t>
      </w:r>
      <w:r>
        <w:rPr>
          <w:spacing w:val="-64"/>
        </w:rPr>
      </w:r>
      <w:r>
        <w:rPr>
          <w:spacing w:val="-2"/>
        </w:rPr>
        <w:t>政策有参与决策的权力，但并不能够控制或者与其他方一起共同控制这些政策的制定。在确定能否对被投资单位实施控制或</w:t>
      </w:r>
      <w:r>
        <w:rPr>
          <w:spacing w:val="-64"/>
        </w:rPr>
        <w:t> </w:t>
      </w:r>
      <w:r>
        <w:rPr>
          <w:spacing w:val="-64"/>
        </w:rPr>
      </w:r>
      <w:r>
        <w:rPr>
          <w:spacing w:val="-4"/>
        </w:rPr>
        <w:t>施加重大影响时，已考虑投资企业和其他方持有的被投资单位当期可转换公司债券、当期可执行认股权证等潜在表决权因素。</w:t>
      </w:r>
    </w:p>
    <w:p>
      <w:pPr>
        <w:pStyle w:val="BodyText"/>
        <w:spacing w:line="307" w:lineRule="auto" w:before="22"/>
        <w:ind w:right="1112" w:firstLine="360"/>
        <w:jc w:val="left"/>
      </w:pPr>
      <w:r>
        <w:rPr/>
        <w:t>当本公司直接或通过子公司间接拥有被投资单位</w:t>
      </w:r>
      <w:r>
        <w:rPr>
          <w:spacing w:val="-46"/>
        </w:rPr>
        <w:t> </w:t>
      </w:r>
      <w:r>
        <w:rPr>
          <w:rFonts w:ascii="Times New Roman" w:hAnsi="Times New Roman" w:cs="Times New Roman" w:eastAsia="Times New Roman" w:hint="default"/>
        </w:rPr>
        <w:t>20%</w:t>
      </w:r>
      <w:r>
        <w:rPr/>
        <w:t>（含</w:t>
      </w:r>
      <w:r>
        <w:rPr>
          <w:spacing w:val="-47"/>
        </w:rPr>
        <w:t> </w:t>
      </w:r>
      <w:r>
        <w:rPr>
          <w:rFonts w:ascii="Times New Roman" w:hAnsi="Times New Roman" w:cs="Times New Roman" w:eastAsia="Times New Roman" w:hint="default"/>
        </w:rPr>
        <w:t>20%</w:t>
      </w:r>
      <w:r>
        <w:rPr/>
        <w:t>）以上但低于</w:t>
      </w:r>
      <w:r>
        <w:rPr>
          <w:spacing w:val="-47"/>
        </w:rPr>
        <w:t> </w:t>
      </w:r>
      <w:r>
        <w:rPr>
          <w:rFonts w:ascii="Times New Roman" w:hAnsi="Times New Roman" w:cs="Times New Roman" w:eastAsia="Times New Roman" w:hint="default"/>
        </w:rPr>
        <w:t>50%</w:t>
      </w:r>
      <w:r>
        <w:rPr/>
        <w:t>的表决权股份时，除非有明确证据表 </w:t>
      </w:r>
      <w:r>
        <w:rPr>
          <w:spacing w:val="-2"/>
        </w:rPr>
        <w:t>明该种情况下不能参与被投资单位的生产经营决策，不形成重大影响外，均确定对被投资单位具有重大影响；本公司拥有被</w:t>
      </w:r>
      <w:r>
        <w:rPr>
          <w:spacing w:val="-62"/>
        </w:rPr>
        <w:t> </w:t>
      </w:r>
      <w:r>
        <w:rPr>
          <w:spacing w:val="-62"/>
        </w:rPr>
      </w:r>
      <w:r>
        <w:rPr/>
        <w:t>投资单位</w:t>
      </w:r>
      <w:r>
        <w:rPr>
          <w:spacing w:val="-45"/>
        </w:rPr>
        <w:t> </w:t>
      </w:r>
      <w:r>
        <w:rPr>
          <w:rFonts w:ascii="Times New Roman" w:hAnsi="Times New Roman" w:cs="Times New Roman" w:eastAsia="Times New Roman" w:hint="default"/>
        </w:rPr>
        <w:t>20%</w:t>
      </w:r>
      <w:r>
        <w:rPr/>
        <w:t>（不含）以下的表决权股份，一般不认为对被投资单位具有重大影响，除非有明确证据表明该种情况下能够 参与被投资单位的生产经营决策，形成重大影响。</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固定资产是指为生商品、提供劳务出租或经营管理而持有并且使用寿命超过一个会计年度的形资产。固定资产在满足下</w:t>
      </w:r>
      <w:r>
        <w:rPr/>
        <w:t> 列条件时予以确认： ①与该固定资产有关的经济利益很可能流入本公司；</w:t>
      </w:r>
      <w:r>
        <w:rPr>
          <w:spacing w:val="3"/>
        </w:rPr>
        <w:t> </w:t>
      </w:r>
      <w:r>
        <w:rPr/>
        <w:t>②该固定资产的成本能够可靠的计量。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9.5%-32.33%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9.5%-32.33%</w:t>
            </w:r>
          </w:p>
        </w:tc>
      </w:tr>
    </w:tbl>
    <w:p>
      <w:pPr>
        <w:spacing w:line="240" w:lineRule="auto" w:before="3"/>
        <w:rPr>
          <w:rFonts w:ascii="宋体" w:hAnsi="宋体" w:cs="宋体" w:eastAsia="宋体" w:hint="default"/>
          <w:b/>
          <w:bCs/>
          <w:sz w:val="19"/>
          <w:szCs w:val="19"/>
        </w:rPr>
      </w:pPr>
    </w:p>
    <w:p>
      <w:pPr>
        <w:pStyle w:val="Heading3"/>
        <w:spacing w:line="240" w:lineRule="auto" w:before="36"/>
        <w:ind w:right="3827"/>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符合下列一项或数标准的，认定为融资租赁：①在租赁期届满时，资产的所有权转移给承人；②承租人有购买赁资产的</w:t>
      </w:r>
      <w:r>
        <w:rPr/>
        <w:t> </w:t>
      </w:r>
      <w:r>
        <w:rPr>
          <w:spacing w:val="-2"/>
        </w:rPr>
        <w:t>选择权，所订立价款预计将远远低于行使选择权时租赁资产的公允值，因而租赁在开始日就可以合理确定承租人将会行使这</w:t>
      </w:r>
      <w:r>
        <w:rPr>
          <w:spacing w:val="-64"/>
        </w:rPr>
        <w:t> </w:t>
      </w:r>
      <w:r>
        <w:rPr>
          <w:spacing w:val="-64"/>
        </w:rPr>
      </w:r>
      <w:r>
        <w:rPr>
          <w:spacing w:val="-2"/>
        </w:rPr>
        <w:t>种选择权；③即使资产的所有权不转移，但租赁期占租赁资产使用寿命的大部分；④承租人在赁开始日的最低租赁付款额现</w:t>
      </w:r>
      <w:r>
        <w:rPr>
          <w:spacing w:val="-63"/>
        </w:rPr>
        <w:t> </w:t>
      </w:r>
      <w:r>
        <w:rPr>
          <w:spacing w:val="-63"/>
        </w:rPr>
      </w:r>
      <w:r>
        <w:rPr>
          <w:spacing w:val="-2"/>
        </w:rPr>
        <w:t>值，几乎相当于租赁开始日租赁资产的公允价值；出承租人在赁开始日的最低租赁收款额现值，几乎相当于租赁开始日租赁</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2"/>
        <w:jc w:val="left"/>
      </w:pPr>
      <w:r>
        <w:rPr>
          <w:spacing w:val="-2"/>
        </w:rPr>
        <w:t>资产的公允价值；⑤租赁资产性质特殊，如果不作较大改造，只有承租人才能使用。计价方法：在租赁期开始日，融资入固</w:t>
      </w:r>
      <w:r>
        <w:rPr>
          <w:spacing w:val="-66"/>
        </w:rPr>
        <w:t> </w:t>
      </w:r>
      <w:r>
        <w:rPr>
          <w:spacing w:val="-66"/>
        </w:rPr>
      </w:r>
      <w:r>
        <w:rPr/>
        <w:t>定产的入账价值为租赁开始日租赁资产的公允价值与最低租赁付款额的现值两着较低者。</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6433"/>
        <w:jc w:val="left"/>
      </w:pPr>
      <w:r>
        <w:rPr/>
        <w:t>（</w:t>
      </w:r>
      <w:r>
        <w:rPr>
          <w:rFonts w:ascii="Times New Roman" w:hAnsi="Times New Roman" w:cs="Times New Roman" w:eastAsia="Times New Roman" w:hint="default"/>
        </w:rPr>
        <w:t>1</w:t>
      </w:r>
      <w:r>
        <w:rPr/>
        <w:t>）在建工程的类别 在建工程指兴建中的厂房与设备及其他固定资产。</w:t>
      </w:r>
    </w:p>
    <w:p>
      <w:pPr>
        <w:pStyle w:val="BodyText"/>
        <w:spacing w:line="300" w:lineRule="auto" w:before="31"/>
        <w:ind w:left="513" w:right="1112"/>
        <w:jc w:val="left"/>
      </w:pPr>
      <w:r>
        <w:rPr/>
        <w:t>（</w:t>
      </w:r>
      <w:r>
        <w:rPr>
          <w:rFonts w:ascii="Times New Roman" w:hAnsi="Times New Roman" w:cs="Times New Roman" w:eastAsia="Times New Roman" w:hint="default"/>
        </w:rPr>
        <w:t>2</w:t>
      </w:r>
      <w:r>
        <w:rPr/>
        <w:t>）在建工程结转为固定资产的标准和时点 </w:t>
      </w:r>
      <w:r>
        <w:rPr>
          <w:spacing w:val="-2"/>
        </w:rPr>
        <w:t>在建工程在达到预定可使用状态时，确认为固定资产，并停止利息资本化。在建工程达到预定可使用状态时，按工程实</w:t>
      </w:r>
    </w:p>
    <w:p>
      <w:pPr>
        <w:pStyle w:val="BodyText"/>
        <w:spacing w:line="316" w:lineRule="auto" w:before="31"/>
        <w:ind w:right="1112"/>
        <w:jc w:val="left"/>
      </w:pPr>
      <w:r>
        <w:rPr>
          <w:spacing w:val="-2"/>
        </w:rPr>
        <w:t>际成本转入固定资产。已达到预定可使用状态但尚未办理竣工决算的，先按估计价值计入固定资产，待办理竣工决算后再按</w:t>
      </w:r>
      <w:r>
        <w:rPr>
          <w:spacing w:val="-63"/>
        </w:rPr>
        <w:t> </w:t>
      </w:r>
      <w:r>
        <w:rPr>
          <w:spacing w:val="-63"/>
        </w:rPr>
      </w:r>
      <w:r>
        <w:rPr/>
        <w:t>实际成本调整原暂估价值，但不再调整已计提的折旧。</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）借款费用资本化的确认原则 </w:t>
      </w:r>
      <w:r>
        <w:rPr>
          <w:spacing w:val="-2"/>
        </w:rPr>
        <w:t>符合资本化条件的资产，是指需要经过相当长时间的购建或者生产活动才能达到预定可使用或者可销售状态的固定资产、</w:t>
      </w:r>
    </w:p>
    <w:p>
      <w:pPr>
        <w:pStyle w:val="BodyText"/>
        <w:spacing w:line="316" w:lineRule="auto" w:before="31"/>
        <w:ind w:left="513" w:right="1118" w:hanging="361"/>
        <w:jc w:val="left"/>
      </w:pPr>
      <w:r>
        <w:rPr/>
        <w:t>投资性房地产和存货等资产。 </w:t>
      </w:r>
      <w:r>
        <w:rPr>
          <w:spacing w:val="-5"/>
        </w:rPr>
        <w:t>借款费用包括借款利息、折价或者溢价的摊销、辅助费用以及因外币借款而发生的汇兑差额等。本公司发生的借款费用，</w:t>
      </w:r>
    </w:p>
    <w:p>
      <w:pPr>
        <w:pStyle w:val="BodyText"/>
        <w:spacing w:line="316" w:lineRule="auto" w:before="19"/>
        <w:ind w:right="1112"/>
        <w:jc w:val="left"/>
      </w:pPr>
      <w:r>
        <w:rPr>
          <w:spacing w:val="-2"/>
        </w:rPr>
        <w:t>可直接归属于符合资本化条件的资产的购建或者生产的，予以资本化，计入相关资产成本；其他借款费用在发生时根据其发</w:t>
      </w:r>
      <w:r>
        <w:rPr>
          <w:spacing w:val="-63"/>
        </w:rPr>
        <w:t> </w:t>
      </w:r>
      <w:r>
        <w:rPr>
          <w:spacing w:val="-63"/>
        </w:rPr>
      </w:r>
      <w:r>
        <w:rPr/>
        <w:t>生额确认为费用，计入当期损益。</w:t>
      </w:r>
    </w:p>
    <w:p>
      <w:pPr>
        <w:pStyle w:val="BodyText"/>
        <w:spacing w:line="240" w:lineRule="auto" w:before="19"/>
        <w:ind w:left="513" w:right="3827"/>
        <w:jc w:val="left"/>
      </w:pPr>
      <w:r>
        <w:rPr/>
        <w:t>借款费用同时满足下列条件时开始资本化：</w:t>
      </w:r>
    </w:p>
    <w:p>
      <w:pPr>
        <w:pStyle w:val="BodyText"/>
        <w:spacing w:line="316" w:lineRule="auto" w:before="76"/>
        <w:ind w:right="1112"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3827"/>
        <w:jc w:val="left"/>
      </w:pPr>
      <w:r>
        <w:rPr/>
        <w:t>②借款费用已经发生；</w:t>
      </w:r>
    </w:p>
    <w:p>
      <w:pPr>
        <w:pStyle w:val="BodyText"/>
        <w:spacing w:line="316" w:lineRule="auto" w:before="77"/>
        <w:ind w:left="513" w:right="1028"/>
        <w:jc w:val="left"/>
      </w:pPr>
      <w:r>
        <w:rPr/>
        <w:t>③为使资产达到预定可使用或者可销售状态所必要的购建或者生产活动已经开始。 </w:t>
      </w:r>
      <w:r>
        <w:rPr>
          <w:spacing w:val="-3"/>
        </w:rPr>
        <w:t>当符合资本化条件的资产在购建或者生产过程中发生非正常中断、且中断时间连续超过</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7"/>
        </w:rPr>
        <w:t>个月的，借款费用暂停资本化。</w:t>
      </w:r>
    </w:p>
    <w:p>
      <w:pPr>
        <w:pStyle w:val="BodyText"/>
        <w:spacing w:line="235" w:lineRule="exact"/>
        <w:ind w:right="0"/>
        <w:jc w:val="both"/>
      </w:pPr>
      <w:r>
        <w:rPr/>
        <w:t>当购建或者生产符合资本化条件的资产达到预定可使用或者可销售状态时，借款费用停止资本化。</w:t>
      </w:r>
    </w:p>
    <w:p>
      <w:pPr>
        <w:pStyle w:val="BodyText"/>
        <w:spacing w:line="314" w:lineRule="auto" w:before="76"/>
        <w:ind w:left="513" w:right="1112"/>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0"/>
        <w:jc w:val="both"/>
      </w:pPr>
      <w:r>
        <w:rPr/>
        <w:t>款费用资本化。</w:t>
      </w:r>
    </w:p>
    <w:p>
      <w:pPr>
        <w:pStyle w:val="BodyText"/>
        <w:spacing w:line="300" w:lineRule="auto" w:before="76"/>
        <w:ind w:left="513" w:right="1112"/>
        <w:jc w:val="left"/>
      </w:pPr>
      <w:r>
        <w:rPr/>
        <w:t>（</w:t>
      </w:r>
      <w:r>
        <w:rPr>
          <w:rFonts w:ascii="Times New Roman" w:hAnsi="Times New Roman" w:cs="Times New Roman" w:eastAsia="Times New Roman" w:hint="default"/>
        </w:rPr>
        <w:t>3</w:t>
      </w:r>
      <w:r>
        <w:rPr/>
        <w:t>）暂停资本化期间 </w:t>
      </w:r>
      <w:r>
        <w:rPr>
          <w:spacing w:val="-2"/>
        </w:rPr>
        <w:t>购建或者生产的资产的各部分分别完工，但必须等到整体完工后才可使用或可对外销售的符合资本化条件的资产在购建</w:t>
      </w:r>
    </w:p>
    <w:p>
      <w:pPr>
        <w:pStyle w:val="BodyText"/>
        <w:spacing w:line="312" w:lineRule="auto" w:before="32"/>
        <w:ind w:right="1133"/>
        <w:jc w:val="both"/>
      </w:pPr>
      <w:r>
        <w:rPr/>
        <w:t>或生产过程中发生的非正常中断、且中断时间连续超过 </w:t>
      </w:r>
      <w:r>
        <w:rPr>
          <w:rFonts w:ascii="Times New Roman" w:hAnsi="Times New Roman" w:cs="Times New Roman" w:eastAsia="Times New Roman" w:hint="default"/>
        </w:rPr>
        <w:t>3 </w:t>
      </w:r>
      <w:r>
        <w:rPr/>
        <w:t>个月的，则借款费用暂停资本化；该项中断如是所购建或生产的 </w:t>
      </w:r>
      <w:r>
        <w:rPr>
          <w:spacing w:val="-2"/>
        </w:rPr>
        <w:t>符合资本化条件的资产达到预定可使用状态或者可销售状态必要的程序，则借款费用继续资本化。在中断期间发生的借款费</w:t>
      </w:r>
      <w:r>
        <w:rPr>
          <w:spacing w:val="-64"/>
        </w:rPr>
        <w:t> </w:t>
      </w:r>
      <w:r>
        <w:rPr>
          <w:spacing w:val="-64"/>
        </w:rPr>
      </w:r>
      <w:r>
        <w:rPr>
          <w:spacing w:val="-2"/>
        </w:rPr>
        <w:t>用确认为当期损益，直至资产的购建或者生产活动重新开始后借款费用继续资本化。在该资产整体完工时停止借款费用资本</w:t>
      </w:r>
      <w:r>
        <w:rPr>
          <w:spacing w:val="-64"/>
        </w:rPr>
        <w:t> </w:t>
      </w:r>
      <w:r>
        <w:rPr>
          <w:spacing w:val="-64"/>
        </w:rPr>
      </w:r>
      <w:r>
        <w:rPr/>
        <w:t>化。</w:t>
      </w:r>
    </w:p>
    <w:p>
      <w:pPr>
        <w:pStyle w:val="BodyText"/>
        <w:spacing w:line="300" w:lineRule="auto" w:before="22"/>
        <w:ind w:left="513" w:right="1112"/>
        <w:jc w:val="left"/>
      </w:pPr>
      <w:r>
        <w:rPr/>
        <w:t>（</w:t>
      </w:r>
      <w:r>
        <w:rPr>
          <w:rFonts w:ascii="Times New Roman" w:hAnsi="Times New Roman" w:cs="Times New Roman" w:eastAsia="Times New Roman"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316" w:lineRule="auto" w:before="31"/>
        <w:ind w:left="513" w:right="1213" w:hanging="361"/>
        <w:jc w:val="left"/>
      </w:pPr>
      <w:r>
        <w:rPr/>
        <w:t>助费用在所购建或者生产的符合资本化条件的资产达到预定可使用或者可销售状态前，予以资本化。 一般借款应予资本化的利息金额根据累计资产支出超过专门借款部分的资产支出按年加权平均数乘以所占用一般借款</w:t>
      </w:r>
    </w:p>
    <w:p>
      <w:pPr>
        <w:pStyle w:val="BodyText"/>
        <w:spacing w:line="316" w:lineRule="auto" w:before="18"/>
        <w:ind w:left="513" w:right="1121" w:hanging="361"/>
        <w:jc w:val="left"/>
      </w:pPr>
      <w:r>
        <w:rPr/>
        <w:t>的资本化率计算确定。资本化率根据一般借款加权平均利率计算确定。 借款存在折价或者溢价的，按照实际利率法确定每一会计期间应摊销的折价或者溢价金额，调整每期利息金额。</w:t>
      </w:r>
      <w:r>
        <w:rPr>
          <w:spacing w:val="2"/>
        </w:rPr>
        <w:t> </w:t>
      </w:r>
      <w:r>
        <w:rPr/>
        <w:t>在资</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2"/>
        <w:jc w:val="left"/>
      </w:pPr>
      <w:r>
        <w:rPr/>
        <w:t>本化期间内，外币专门借款本金及利息的汇兑差额，应当予以资本化，计入符合资本化条件的资产成本。</w:t>
      </w:r>
    </w:p>
    <w:p>
      <w:pPr>
        <w:spacing w:line="240" w:lineRule="auto" w:before="0"/>
        <w:rPr>
          <w:rFonts w:ascii="宋体" w:hAnsi="宋体" w:cs="宋体" w:eastAsia="宋体" w:hint="default"/>
          <w:sz w:val="18"/>
          <w:szCs w:val="18"/>
        </w:rPr>
      </w:pPr>
    </w:p>
    <w:p>
      <w:pPr>
        <w:pStyle w:val="Heading3"/>
        <w:spacing w:line="240" w:lineRule="auto" w:before="120"/>
        <w:ind w:right="3827"/>
        <w:jc w:val="left"/>
        <w:rPr>
          <w:b w:val="0"/>
          <w:bCs w:val="0"/>
        </w:rPr>
      </w:pPr>
      <w:bookmarkStart w:name="19、无形资产" w:id="192"/>
      <w:bookmarkEnd w:id="192"/>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7602"/>
        <w:jc w:val="left"/>
      </w:pPr>
      <w:r>
        <w:rPr/>
        <w:t>①</w:t>
      </w:r>
      <w:r>
        <w:rPr>
          <w:spacing w:val="1"/>
        </w:rPr>
        <w:t> </w:t>
      </w:r>
      <w:r>
        <w:rPr/>
        <w:t>计价方法、使用寿命、减值测试</w:t>
      </w:r>
      <w:r>
        <w:rPr/>
        <w:t> 无形资产按实际成本计价。</w:t>
      </w:r>
    </w:p>
    <w:p>
      <w:pPr>
        <w:pStyle w:val="BodyText"/>
        <w:spacing w:line="316" w:lineRule="auto" w:before="19"/>
        <w:ind w:right="1130" w:firstLine="360"/>
        <w:jc w:val="both"/>
      </w:pPr>
      <w:r>
        <w:rPr>
          <w:spacing w:val="-2"/>
        </w:rPr>
        <w:t>外购无形资产按照成本（包括购买价款、相关税费以及直接归属于使该项资产达到预定用途所发生的其他支出）进行初</w:t>
      </w:r>
      <w:r>
        <w:rPr/>
        <w:t> </w:t>
      </w:r>
      <w:r>
        <w:rPr>
          <w:spacing w:val="-2"/>
        </w:rPr>
        <w:t>始计量；自行开发的无形资产成本按达到预定用途前所发生的支出总额确定；投资者投入的无形资产的成本，按投资合同或</w:t>
      </w:r>
      <w:r>
        <w:rPr>
          <w:spacing w:val="-63"/>
        </w:rPr>
        <w:t> </w:t>
      </w:r>
      <w:r>
        <w:rPr>
          <w:spacing w:val="-63"/>
        </w:rPr>
      </w:r>
      <w:r>
        <w:rPr>
          <w:spacing w:val="-2"/>
        </w:rPr>
        <w:t>协议约定的价值确定；非货币性交换、债务重组、企业合并和融资租赁取得的无形资产成本分别按照其他相关准则确定；计</w:t>
      </w:r>
      <w:r>
        <w:rPr>
          <w:spacing w:val="-66"/>
        </w:rPr>
        <w:t> </w:t>
      </w:r>
      <w:r>
        <w:rPr>
          <w:spacing w:val="-66"/>
        </w:rPr>
      </w:r>
      <w:r>
        <w:rPr/>
        <w:t>入无形资产成本的借款费用，按照《企业会计准则第</w:t>
      </w:r>
      <w:r>
        <w:rPr>
          <w:spacing w:val="-45"/>
        </w:rPr>
        <w:t> </w:t>
      </w:r>
      <w:r>
        <w:rPr>
          <w:rFonts w:ascii="Times New Roman" w:hAnsi="Times New Roman" w:cs="Times New Roman" w:eastAsia="Times New Roman" w:hint="default"/>
        </w:rPr>
        <w:t>17 </w:t>
      </w:r>
      <w:r>
        <w:rPr/>
        <w:t>号</w:t>
      </w:r>
      <w:r>
        <w:rPr>
          <w:rFonts w:ascii="Times New Roman" w:hAnsi="Times New Roman" w:cs="Times New Roman" w:eastAsia="Times New Roman" w:hint="default"/>
        </w:rPr>
        <w:t>-</w:t>
      </w:r>
      <w:r>
        <w:rPr/>
        <w:t>借款费用》的规定确定。</w:t>
      </w:r>
    </w:p>
    <w:p>
      <w:pPr>
        <w:pStyle w:val="BodyText"/>
        <w:spacing w:line="316" w:lineRule="auto"/>
        <w:ind w:left="513" w:right="1122"/>
        <w:jc w:val="left"/>
      </w:pPr>
      <w:r>
        <w:rPr/>
        <w:t>②</w:t>
      </w:r>
      <w:r>
        <w:rPr>
          <w:spacing w:val="1"/>
        </w:rPr>
        <w:t> </w:t>
      </w:r>
      <w:r>
        <w:rPr/>
        <w:t>使用寿命有限的无形资产的使用寿命估计情况</w:t>
      </w:r>
      <w:r>
        <w:rPr/>
        <w:t> 使用寿命有限的无形资产在使用寿命内系统合理摊销，使用寿命不确定的无形资产不予摊销。</w:t>
      </w:r>
      <w:r>
        <w:rPr>
          <w:spacing w:val="1"/>
        </w:rPr>
        <w:t> </w:t>
      </w:r>
      <w:r>
        <w:rPr/>
        <w:t>公司于每年年度终了，</w:t>
      </w:r>
    </w:p>
    <w:p>
      <w:pPr>
        <w:pStyle w:val="BodyText"/>
        <w:spacing w:line="316" w:lineRule="auto" w:before="19"/>
        <w:ind w:right="1112"/>
        <w:jc w:val="left"/>
      </w:pPr>
      <w:r>
        <w:rPr>
          <w:spacing w:val="-2"/>
        </w:rPr>
        <w:t>对无形资产的使用寿命和摊销方法进行复核。使用寿命和摊销方法与以前估计不同的，改变其摊销期限和摊销方法。如果有</w:t>
      </w:r>
      <w:r>
        <w:rPr>
          <w:spacing w:val="-63"/>
        </w:rPr>
        <w:t> </w:t>
      </w:r>
      <w:r>
        <w:rPr>
          <w:spacing w:val="-63"/>
        </w:rPr>
      </w:r>
      <w:r>
        <w:rPr/>
        <w:t>证据表明无形资产的使用寿命是有限的，估计其使用寿命，并按规定处理。</w:t>
      </w:r>
    </w:p>
    <w:tbl>
      <w:tblPr>
        <w:tblW w:w="0" w:type="auto"/>
        <w:jc w:val="left"/>
        <w:tblInd w:w="136" w:type="dxa"/>
        <w:tblLayout w:type="fixed"/>
        <w:tblCellMar>
          <w:top w:w="0" w:type="dxa"/>
          <w:left w:w="0" w:type="dxa"/>
          <w:bottom w:w="0" w:type="dxa"/>
          <w:right w:w="0" w:type="dxa"/>
        </w:tblCellMar>
        <w:tblLook w:val="01E0"/>
      </w:tblPr>
      <w:tblGrid>
        <w:gridCol w:w="2184"/>
        <w:gridCol w:w="1328"/>
        <w:gridCol w:w="4683"/>
        <w:gridCol w:w="1464"/>
      </w:tblGrid>
      <w:tr>
        <w:trPr>
          <w:trHeight w:val="3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4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依据</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6"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根据同行业情况，历史经验等综合因素判断</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依据国有土地出让合同中约定的出让年限</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计算机软件著作权</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依据法律规定年限</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0"/>
        <w:rPr>
          <w:rFonts w:ascii="宋体" w:hAnsi="宋体" w:cs="宋体" w:eastAsia="宋体" w:hint="default"/>
          <w:sz w:val="20"/>
          <w:szCs w:val="20"/>
        </w:rPr>
      </w:pPr>
    </w:p>
    <w:p>
      <w:pPr>
        <w:pStyle w:val="Heading3"/>
        <w:spacing w:line="240" w:lineRule="auto" w:before="36"/>
        <w:ind w:right="3827"/>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1112"/>
        <w:jc w:val="left"/>
      </w:pPr>
      <w:r>
        <w:rPr/>
        <w:t>（</w:t>
      </w:r>
      <w:r>
        <w:rPr>
          <w:rFonts w:ascii="Times New Roman" w:hAnsi="Times New Roman" w:cs="Times New Roman" w:eastAsia="Times New Roman" w:hint="default"/>
        </w:rPr>
        <w:t>2.1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24"/>
        <w:ind w:right="3827"/>
        <w:jc w:val="left"/>
      </w:pPr>
      <w:r>
        <w:rPr/>
        <w:t>进的材料、装置、产品等活动的阶段。</w:t>
      </w:r>
    </w:p>
    <w:p>
      <w:pPr>
        <w:pStyle w:val="BodyText"/>
        <w:spacing w:line="300" w:lineRule="auto" w:before="76"/>
        <w:ind w:left="513" w:right="5893"/>
        <w:jc w:val="left"/>
      </w:pPr>
      <w:r>
        <w:rPr/>
        <w:t>（</w:t>
      </w:r>
      <w:r>
        <w:rPr>
          <w:rFonts w:ascii="Times New Roman" w:hAnsi="Times New Roman" w:cs="Times New Roman" w:eastAsia="Times New Roman" w:hint="default"/>
        </w:rPr>
        <w:t>2.2</w:t>
      </w:r>
      <w:r>
        <w:rPr/>
        <w:t>）研究阶段的支出于发生时计入当期损益。 开发阶段的支出同时满足下列条件的，确认为无形资产：</w:t>
      </w:r>
    </w:p>
    <w:p>
      <w:pPr>
        <w:pStyle w:val="BodyText"/>
        <w:spacing w:line="240" w:lineRule="auto" w:before="31"/>
        <w:ind w:left="513" w:right="3827"/>
        <w:jc w:val="left"/>
      </w:pPr>
      <w:r>
        <w:rPr/>
        <w:t>①完成该无形资产以使其能够使用或出售在技术上具有可行性；</w:t>
      </w:r>
    </w:p>
    <w:p>
      <w:pPr>
        <w:pStyle w:val="BodyText"/>
        <w:spacing w:line="240" w:lineRule="auto" w:before="76"/>
        <w:ind w:left="513" w:right="3827"/>
        <w:jc w:val="left"/>
      </w:pPr>
      <w:r>
        <w:rPr/>
        <w:t>②具有完成该无形资产并使用或出售的意图；</w:t>
      </w:r>
    </w:p>
    <w:p>
      <w:pPr>
        <w:pStyle w:val="BodyText"/>
        <w:spacing w:line="316" w:lineRule="auto" w:before="76"/>
        <w:ind w:right="1112"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3" w:right="1112"/>
        <w:jc w:val="left"/>
      </w:pPr>
      <w:r>
        <w:rPr/>
        <w:t>④有足够的技术、财务资源和其他资源支持，以完成该无形资产的开发，并有能力使用或出售该无形资产；</w:t>
      </w:r>
    </w:p>
    <w:p>
      <w:pPr>
        <w:pStyle w:val="BodyText"/>
        <w:spacing w:line="319" w:lineRule="auto" w:before="76"/>
        <w:ind w:left="513" w:right="1112"/>
        <w:jc w:val="left"/>
      </w:pPr>
      <w:r>
        <w:rPr/>
        <w:t>⑤归属于该无形资产开发阶段的支出能够可靠地计量。 </w:t>
      </w:r>
      <w:r>
        <w:rPr>
          <w:spacing w:val="-2"/>
        </w:rPr>
        <w:t>不能满足上述条件的开发阶段的支出计入当期损益；无法区分研究阶段支出和开发阶段支出的，将发生的研发支出全部</w:t>
      </w:r>
    </w:p>
    <w:p>
      <w:pPr>
        <w:pStyle w:val="BodyText"/>
        <w:spacing w:line="240" w:lineRule="auto" w:before="17"/>
        <w:ind w:right="3827"/>
        <w:jc w:val="left"/>
      </w:pPr>
      <w:r>
        <w:rPr/>
        <w:t>计入当期损益。</w:t>
      </w:r>
    </w:p>
    <w:p>
      <w:pPr>
        <w:spacing w:line="240" w:lineRule="auto" w:before="0"/>
        <w:rPr>
          <w:rFonts w:ascii="宋体" w:hAnsi="宋体" w:cs="宋体" w:eastAsia="宋体" w:hint="default"/>
          <w:sz w:val="18"/>
          <w:szCs w:val="18"/>
        </w:rPr>
      </w:pPr>
    </w:p>
    <w:p>
      <w:pPr>
        <w:pStyle w:val="Heading3"/>
        <w:spacing w:line="240" w:lineRule="auto" w:before="120"/>
        <w:ind w:right="3827"/>
        <w:jc w:val="left"/>
        <w:rPr>
          <w:b w:val="0"/>
          <w:bCs w:val="0"/>
        </w:rPr>
      </w:pPr>
      <w:bookmarkStart w:name="20、长期资产减值" w:id="195"/>
      <w:bookmarkEnd w:id="195"/>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在每个资产负债表日判断长期股权投资、固定资产、在建工程、使用寿命确定的无形资产等是否存在减值迹象，对存在</w:t>
      </w:r>
      <w:r>
        <w:rPr/>
        <w:t> </w:t>
      </w:r>
      <w:r>
        <w:rPr>
          <w:spacing w:val="-2"/>
        </w:rPr>
        <w:t>减值迹象的，估计其可收回金额，可收回金额低于其账面价值的，将资产的账面价值减记至可收回金额，减记的金额确认相</w:t>
      </w:r>
      <w:r>
        <w:rPr>
          <w:spacing w:val="-65"/>
        </w:rPr>
        <w:t> </w:t>
      </w:r>
      <w:r>
        <w:rPr>
          <w:spacing w:val="-65"/>
        </w:rPr>
      </w:r>
      <w:r>
        <w:rPr/>
        <w:t>应的减值损失，计入当期损益，同时计提相应的减值准备。</w:t>
      </w:r>
    </w:p>
    <w:p>
      <w:pPr>
        <w:pStyle w:val="BodyText"/>
        <w:spacing w:line="240" w:lineRule="auto" w:before="19"/>
        <w:ind w:left="513" w:right="986"/>
        <w:jc w:val="left"/>
      </w:pPr>
      <w:r>
        <w:rPr/>
        <w:t>资产可收回金额的估计，根据其公允价值减去处置费用后的净额与其预计未来现金流量的现值两者之间较高者确定。公</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spacing w:val="-2"/>
        </w:rPr>
        <w:t>司以单项资产为基础估计其可收回金额，在难以对单项资产可回收金额进行估计的情况下，以资产所属的资产组为基础确定</w:t>
      </w:r>
      <w:r>
        <w:rPr>
          <w:spacing w:val="-64"/>
        </w:rPr>
        <w:t> </w:t>
      </w:r>
      <w:r>
        <w:rPr>
          <w:spacing w:val="-64"/>
        </w:rPr>
      </w:r>
      <w:r>
        <w:rPr/>
        <w:t>资产组的可收回金额。资产减值损失确认后，减值资产的折旧或者摊销费用在未来期间做相应调整，使资产在剩余寿命内，</w:t>
      </w:r>
      <w:r>
        <w:rPr>
          <w:spacing w:val="-86"/>
        </w:rPr>
        <w:t> </w:t>
      </w:r>
      <w:r>
        <w:rPr>
          <w:spacing w:val="-86"/>
        </w:rPr>
      </w:r>
      <w:r>
        <w:rPr/>
        <w:t>系统地分摊调整后的资产账面价值。</w:t>
      </w:r>
    </w:p>
    <w:p>
      <w:pPr>
        <w:pStyle w:val="BodyText"/>
        <w:spacing w:line="316" w:lineRule="auto" w:before="17"/>
        <w:ind w:left="513" w:right="1163"/>
        <w:jc w:val="left"/>
      </w:pPr>
      <w:r>
        <w:rPr/>
        <w:t>对于使用寿命不确定的无形资产、尚未达到使用状态的无形资以及合并所形成的商誉每年年度终了进行减值测试。 关于商誉减值测试，对于因企业合并形成的商誉的账面价值，自购买日起按照合理的方法分摊至相关的资产组</w:t>
      </w:r>
      <w:r>
        <w:rPr>
          <w:rFonts w:ascii="Times New Roman" w:hAnsi="Times New Roman" w:cs="Times New Roman" w:eastAsia="Times New Roman" w:hint="default"/>
        </w:rPr>
        <w:t>;</w:t>
      </w:r>
      <w:r>
        <w:rPr/>
        <w:t>难以分</w:t>
      </w:r>
    </w:p>
    <w:p>
      <w:pPr>
        <w:pStyle w:val="BodyText"/>
        <w:spacing w:line="316" w:lineRule="auto"/>
        <w:ind w:right="1034"/>
        <w:jc w:val="left"/>
      </w:pPr>
      <w:r>
        <w:rPr>
          <w:spacing w:val="-2"/>
        </w:rPr>
        <w:t>摊至相关的资产组的，将其分摊至相关的资产组组合。在将商誉的账面价值分摊至相关的资产组或者资产组组合时，按照各</w:t>
      </w:r>
      <w:r>
        <w:rPr>
          <w:spacing w:val="-63"/>
        </w:rPr>
        <w:t> </w:t>
      </w:r>
      <w:r>
        <w:rPr>
          <w:spacing w:val="-63"/>
        </w:rPr>
      </w:r>
      <w:r>
        <w:rPr/>
        <w:t>资产组或者资产组组合的公允价值占相关资产组或者资产组组合公允价值总额的比例进行分摊。公允价值难以可靠计量的，</w:t>
      </w:r>
      <w:r>
        <w:rPr>
          <w:spacing w:val="-86"/>
        </w:rPr>
        <w:t> </w:t>
      </w:r>
      <w:r>
        <w:rPr>
          <w:spacing w:val="-86"/>
        </w:rPr>
      </w:r>
      <w:r>
        <w:rPr/>
        <w:t>按照各资产组或者资产组组合的账面价值占相关资产组或者资产组组合账面价值总额的比例进行分摊。</w:t>
      </w:r>
    </w:p>
    <w:p>
      <w:pPr>
        <w:pStyle w:val="BodyText"/>
        <w:spacing w:line="312" w:lineRule="auto" w:before="19"/>
        <w:ind w:right="1034"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r>
        <w:rPr>
          <w:spacing w:val="-76"/>
        </w:rPr>
        <w:t> </w:t>
      </w:r>
      <w:r>
        <w:rPr>
          <w:spacing w:val="-76"/>
        </w:rPr>
      </w:r>
      <w:r>
        <w:rPr/>
        <w:t>再对包含商誉的资产组或者资产组组合进行减值测试，比较这些相关资产组或者资产组组合的账面价值</w:t>
      </w:r>
      <w:r>
        <w:rPr>
          <w:rFonts w:ascii="Times New Roman" w:hAnsi="Times New Roman" w:cs="Times New Roman" w:eastAsia="Times New Roman" w:hint="default"/>
        </w:rPr>
        <w:t>(</w:t>
      </w:r>
      <w:r>
        <w:rPr/>
        <w:t>包括所分摊的商誉 的账面价值部分</w:t>
      </w:r>
      <w:r>
        <w:rPr>
          <w:rFonts w:ascii="Times New Roman" w:hAnsi="Times New Roman" w:cs="Times New Roman" w:eastAsia="Times New Roman" w:hint="default"/>
        </w:rPr>
        <w:t>)</w:t>
      </w:r>
      <w:r>
        <w:rPr/>
        <w:t>与其可收回金额，如相关资产组或者资产组组合的可收回金额低于其账面价值的，确认商誉的减值损失。</w:t>
      </w:r>
    </w:p>
    <w:p>
      <w:pPr>
        <w:spacing w:line="240" w:lineRule="auto" w:before="8"/>
        <w:rPr>
          <w:rFonts w:ascii="宋体" w:hAnsi="宋体" w:cs="宋体" w:eastAsia="宋体" w:hint="default"/>
          <w:sz w:val="21"/>
          <w:szCs w:val="21"/>
        </w:rPr>
      </w:pPr>
    </w:p>
    <w:p>
      <w:pPr>
        <w:pStyle w:val="Heading3"/>
        <w:spacing w:line="240" w:lineRule="auto"/>
        <w:ind w:right="3827"/>
        <w:jc w:val="left"/>
        <w:rPr>
          <w:b w:val="0"/>
          <w:bCs w:val="0"/>
        </w:rPr>
      </w:pPr>
      <w:bookmarkStart w:name="21、长期待摊费用" w:id="196"/>
      <w:bookmarkEnd w:id="196"/>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2" w:firstLine="360"/>
        <w:jc w:val="left"/>
      </w:pPr>
      <w:r>
        <w:rPr>
          <w:spacing w:val="-2"/>
        </w:rPr>
        <w:t>长期待摊费用中能够确定收益期限的，采用平均年限法按受益期限分期平均摊销，不能确定受益期限的按照不超过十年</w:t>
      </w:r>
      <w:r>
        <w:rPr/>
        <w:t> 的期限分期平均摊销。</w:t>
      </w:r>
    </w:p>
    <w:p>
      <w:pPr>
        <w:spacing w:line="240" w:lineRule="auto" w:before="10"/>
        <w:rPr>
          <w:rFonts w:ascii="宋体" w:hAnsi="宋体" w:cs="宋体" w:eastAsia="宋体" w:hint="default"/>
          <w:sz w:val="22"/>
          <w:szCs w:val="22"/>
        </w:rPr>
      </w:pPr>
    </w:p>
    <w:p>
      <w:pPr>
        <w:pStyle w:val="Heading3"/>
        <w:spacing w:line="240" w:lineRule="auto"/>
        <w:ind w:right="3827"/>
        <w:jc w:val="left"/>
        <w:rPr>
          <w:b w:val="0"/>
          <w:bCs w:val="0"/>
        </w:rPr>
      </w:pPr>
      <w:bookmarkStart w:name="22、职工薪酬" w:id="197"/>
      <w:bookmarkEnd w:id="197"/>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短期薪酬的会计处理方法" w:id="198"/>
      <w:bookmarkEnd w:id="1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86"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9"/>
        <w:rPr>
          <w:rFonts w:ascii="宋体" w:hAnsi="宋体" w:cs="宋体" w:eastAsia="宋体" w:hint="default"/>
          <w:sz w:val="22"/>
          <w:szCs w:val="22"/>
        </w:rPr>
      </w:pPr>
    </w:p>
    <w:p>
      <w:pPr>
        <w:pStyle w:val="Heading3"/>
        <w:spacing w:line="240" w:lineRule="auto"/>
        <w:ind w:right="3827"/>
        <w:jc w:val="left"/>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12"/>
        <w:jc w:val="left"/>
      </w:pPr>
      <w:r>
        <w:rPr/>
        <w:t>离职后福利主要包括设定提存计划和设定受益计划。 </w:t>
      </w:r>
      <w:r>
        <w:rPr>
          <w:spacing w:val="-2"/>
        </w:rPr>
        <w:t>设定提存计划：本公司按当地政府的相关规定为职工缴纳基本养老保险和失业保险，在职工为本公司提供服务的会计期</w:t>
      </w:r>
    </w:p>
    <w:p>
      <w:pPr>
        <w:pStyle w:val="BodyText"/>
        <w:spacing w:line="316" w:lineRule="auto" w:before="19"/>
        <w:ind w:left="513" w:right="0" w:hanging="361"/>
        <w:jc w:val="left"/>
      </w:pPr>
      <w:r>
        <w:rPr/>
        <w:t>间，按以当地规定的缴纳基数和比例计算应缴纳金额，确认为负债，并计入当期损益或相关资产成本。 </w:t>
      </w:r>
      <w:r>
        <w:rPr>
          <w:spacing w:val="-2"/>
        </w:rPr>
        <w:t>设定受益计划：本公司根据预期累计福利单位法确定的公式将设定受益计划产生的福利义务归属于职工提供服务的期间，</w:t>
      </w:r>
    </w:p>
    <w:p>
      <w:pPr>
        <w:pStyle w:val="BodyText"/>
        <w:spacing w:line="319" w:lineRule="auto" w:before="19"/>
        <w:ind w:right="1130"/>
        <w:jc w:val="both"/>
      </w:pPr>
      <w:r>
        <w:rPr>
          <w:spacing w:val="-2"/>
        </w:rPr>
        <w:t>并计入当期损益或相关资产成本。设定受益计划义务现值减去设定受益计划资产公允价值所形成的赤字或盈余确认为一项设</w:t>
      </w:r>
      <w:r>
        <w:rPr>
          <w:spacing w:val="-64"/>
        </w:rPr>
        <w:t> </w:t>
      </w:r>
      <w:r>
        <w:rPr>
          <w:spacing w:val="-64"/>
        </w:rPr>
      </w:r>
      <w:r>
        <w:rPr>
          <w:spacing w:val="-2"/>
        </w:rPr>
        <w:t>定受益计划净负债或净资产。设定受益计划存在盈余的，本公司以设定受益计划的盈余和资产上限两项的孰低者计量设定受</w:t>
      </w:r>
      <w:r>
        <w:rPr>
          <w:spacing w:val="-64"/>
        </w:rPr>
        <w:t> </w:t>
      </w:r>
      <w:r>
        <w:rPr>
          <w:spacing w:val="-64"/>
        </w:rPr>
      </w:r>
      <w:r>
        <w:rPr>
          <w:spacing w:val="-2"/>
        </w:rPr>
        <w:t>益计划净资产。所有设定受益计划义务，包括预期在职工提供服务的年度报告期间结束后的十二个月内支付的义务，根据资</w:t>
      </w:r>
      <w:r>
        <w:rPr>
          <w:spacing w:val="-63"/>
        </w:rPr>
        <w:t> </w:t>
      </w:r>
      <w:r>
        <w:rPr>
          <w:spacing w:val="-63"/>
        </w:rPr>
      </w:r>
      <w:r>
        <w:rPr>
          <w:spacing w:val="-2"/>
        </w:rPr>
        <w:t>产负债表日与设定受益计划义务期限和币种相匹配的国债或活跃市场上的高质量公司债券的市场收益率予以折现。设定受益</w:t>
      </w:r>
      <w:r>
        <w:rPr>
          <w:spacing w:val="-63"/>
        </w:rPr>
        <w:t> </w:t>
      </w:r>
      <w:r>
        <w:rPr>
          <w:spacing w:val="-63"/>
        </w:rPr>
      </w:r>
      <w:r>
        <w:rPr>
          <w:spacing w:val="-2"/>
        </w:rPr>
        <w:t>计划产生的服务成本和设定受益计划净负债或净资产的利息净额计入当期损益或相关资产成本；重新计量设定受益计划净负</w:t>
      </w:r>
      <w:r>
        <w:rPr>
          <w:spacing w:val="-64"/>
        </w:rPr>
        <w:t> </w:t>
      </w:r>
      <w:r>
        <w:rPr>
          <w:spacing w:val="-64"/>
        </w:rPr>
      </w:r>
      <w:r>
        <w:rPr>
          <w:spacing w:val="-2"/>
        </w:rPr>
        <w:t>债或净资产所产生的变动计入其他综合收益，并且在后续会计期间不转回至损益。在设定受益计划结算时，按在结算日确定</w:t>
      </w:r>
      <w:r>
        <w:rPr>
          <w:spacing w:val="-63"/>
        </w:rPr>
        <w:t> </w:t>
      </w:r>
      <w:r>
        <w:rPr>
          <w:spacing w:val="-63"/>
        </w:rPr>
      </w:r>
      <w:r>
        <w:rPr/>
        <w:t>的设定受益计划义务现值和结算价格两者的差额，确认结算利得或损失。</w:t>
      </w:r>
    </w:p>
    <w:p>
      <w:pPr>
        <w:spacing w:line="240" w:lineRule="auto" w:before="9"/>
        <w:rPr>
          <w:rFonts w:ascii="宋体" w:hAnsi="宋体" w:cs="宋体" w:eastAsia="宋体" w:hint="default"/>
          <w:sz w:val="22"/>
          <w:szCs w:val="22"/>
        </w:rPr>
      </w:pPr>
    </w:p>
    <w:p>
      <w:pPr>
        <w:pStyle w:val="Heading3"/>
        <w:spacing w:line="240" w:lineRule="auto"/>
        <w:ind w:right="3827"/>
        <w:jc w:val="left"/>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5"/>
        </w:rPr>
        <w:t>早日，确认辞退福利产生的职工薪酬负债，并计入当期损益。但辞退福利预期在年度报告期结束后十二个月不能完全支付的，</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2"/>
        <w:jc w:val="left"/>
      </w:pPr>
      <w:r>
        <w:rPr>
          <w:spacing w:val="-2"/>
        </w:rPr>
        <w:t>按照其他长期职工薪酬处理。职工内部退休计划采用上述辞退福利相同的原则处理。本公司将自职工停止提供服务日至正常</w:t>
      </w:r>
      <w:r>
        <w:rPr>
          <w:spacing w:val="-64"/>
        </w:rPr>
        <w:t> </w:t>
      </w:r>
      <w:r>
        <w:rPr>
          <w:spacing w:val="-64"/>
        </w:rPr>
      </w:r>
      <w:r>
        <w:rPr>
          <w:spacing w:val="-2"/>
        </w:rPr>
        <w:t>退休日的期间拟支付的内退人员工资和缴纳的社会保险费等，在符合预计负债确认条件时，计入当期损益（辞退福利）。</w:t>
      </w:r>
    </w:p>
    <w:p>
      <w:pPr>
        <w:spacing w:line="240" w:lineRule="auto" w:before="9"/>
        <w:rPr>
          <w:rFonts w:ascii="宋体" w:hAnsi="宋体" w:cs="宋体" w:eastAsia="宋体" w:hint="default"/>
          <w:sz w:val="22"/>
          <w:szCs w:val="22"/>
        </w:rPr>
      </w:pPr>
    </w:p>
    <w:p>
      <w:pPr>
        <w:pStyle w:val="Heading3"/>
        <w:spacing w:line="240" w:lineRule="auto"/>
        <w:ind w:right="3827"/>
        <w:jc w:val="left"/>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10"/>
        <w:rPr>
          <w:rFonts w:ascii="宋体" w:hAnsi="宋体" w:cs="宋体" w:eastAsia="宋体" w:hint="default"/>
          <w:sz w:val="22"/>
          <w:szCs w:val="22"/>
        </w:rPr>
      </w:pPr>
    </w:p>
    <w:p>
      <w:pPr>
        <w:pStyle w:val="Heading3"/>
        <w:spacing w:line="240" w:lineRule="auto"/>
        <w:ind w:right="3827"/>
        <w:jc w:val="left"/>
        <w:rPr>
          <w:b w:val="0"/>
          <w:bCs w:val="0"/>
        </w:rPr>
      </w:pPr>
      <w:bookmarkStart w:name="23、预计负债" w:id="202"/>
      <w:bookmarkEnd w:id="202"/>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4273"/>
        <w:jc w:val="left"/>
      </w:pPr>
      <w:r>
        <w:rPr/>
        <w:t>（</w:t>
      </w:r>
      <w:r>
        <w:rPr>
          <w:rFonts w:ascii="Times New Roman" w:hAnsi="Times New Roman" w:cs="Times New Roman" w:eastAsia="Times New Roman" w:hint="default"/>
        </w:rPr>
        <w:t>1</w:t>
      </w:r>
      <w:r>
        <w:rPr/>
        <w:t>）预计负债的确认标准 如果与或有事项相关的义务同时符合以下条件，本公司将其确认为预计负债：</w:t>
      </w:r>
    </w:p>
    <w:p>
      <w:pPr>
        <w:pStyle w:val="BodyText"/>
        <w:spacing w:line="240" w:lineRule="auto" w:before="32"/>
        <w:ind w:left="513" w:right="3827"/>
        <w:jc w:val="left"/>
      </w:pPr>
      <w:r>
        <w:rPr/>
        <w:t>①该义务是本公司承担的现时义务；</w:t>
      </w:r>
    </w:p>
    <w:p>
      <w:pPr>
        <w:pStyle w:val="BodyText"/>
        <w:spacing w:line="240" w:lineRule="auto" w:before="76"/>
        <w:ind w:left="513" w:right="3827"/>
        <w:jc w:val="left"/>
      </w:pPr>
      <w:r>
        <w:rPr/>
        <w:t>②该义务的履行很可能导致经济利益流出本公司；</w:t>
      </w:r>
    </w:p>
    <w:p>
      <w:pPr>
        <w:pStyle w:val="BodyText"/>
        <w:spacing w:line="240" w:lineRule="auto" w:before="76"/>
        <w:ind w:left="513" w:right="3827"/>
        <w:jc w:val="left"/>
      </w:pPr>
      <w:r>
        <w:rPr/>
        <w:t>③该义务的金额能够可靠地计量。</w:t>
      </w:r>
    </w:p>
    <w:p>
      <w:pPr>
        <w:pStyle w:val="BodyText"/>
        <w:spacing w:line="300" w:lineRule="auto" w:before="76"/>
        <w:ind w:left="513" w:right="1112"/>
        <w:jc w:val="left"/>
      </w:pPr>
      <w:r>
        <w:rPr/>
        <w:t>（</w:t>
      </w:r>
      <w:r>
        <w:rPr>
          <w:rFonts w:ascii="Times New Roman" w:hAnsi="Times New Roman" w:cs="Times New Roman" w:eastAsia="Times New Roman" w:hint="default"/>
        </w:rPr>
        <w:t>2</w:t>
      </w:r>
      <w:r>
        <w:rPr/>
        <w:t>）预计负债的计量方法 </w:t>
      </w:r>
      <w:r>
        <w:rPr>
          <w:spacing w:val="-2"/>
        </w:rPr>
        <w:t>预计负债按照履行相关现时义务所需支出的最佳估计数进行初始计量，并综合考虑与或有事项有关的风险、不确定性和</w:t>
      </w:r>
    </w:p>
    <w:p>
      <w:pPr>
        <w:pStyle w:val="BodyText"/>
        <w:spacing w:line="316" w:lineRule="auto" w:before="31"/>
        <w:ind w:right="1112"/>
        <w:jc w:val="left"/>
      </w:pPr>
      <w:r>
        <w:rPr>
          <w:spacing w:val="-2"/>
        </w:rPr>
        <w:t>货币时间价值等因素。货币时间价值影响重大的，通过对相关未来现金流出进行折现后确定最佳估计数。本公司于资产负债</w:t>
      </w:r>
      <w:r>
        <w:rPr>
          <w:spacing w:val="-63"/>
        </w:rPr>
        <w:t> </w:t>
      </w:r>
      <w:r>
        <w:rPr>
          <w:spacing w:val="-63"/>
        </w:rPr>
      </w:r>
      <w:r>
        <w:rPr/>
        <w:t>表日对预计负债的账面价值进行复核，并对账面价值进行调整以反映当前最佳估计数。</w:t>
      </w:r>
    </w:p>
    <w:p>
      <w:pPr>
        <w:pStyle w:val="BodyText"/>
        <w:spacing w:line="316" w:lineRule="auto" w:before="19"/>
        <w:ind w:right="1132" w:firstLine="360"/>
        <w:jc w:val="both"/>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10"/>
        <w:rPr>
          <w:rFonts w:ascii="宋体" w:hAnsi="宋体" w:cs="宋体" w:eastAsia="宋体" w:hint="default"/>
          <w:sz w:val="22"/>
          <w:szCs w:val="22"/>
        </w:rPr>
      </w:pPr>
    </w:p>
    <w:p>
      <w:pPr>
        <w:pStyle w:val="Heading3"/>
        <w:spacing w:line="240" w:lineRule="auto"/>
        <w:ind w:right="3827"/>
        <w:jc w:val="left"/>
        <w:rPr>
          <w:b w:val="0"/>
          <w:bCs w:val="0"/>
        </w:rPr>
      </w:pPr>
      <w:bookmarkStart w:name="24、股份支付" w:id="203"/>
      <w:bookmarkEnd w:id="203"/>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1112"/>
        <w:jc w:val="left"/>
      </w:pPr>
      <w:r>
        <w:rPr/>
        <w:t>（</w:t>
      </w:r>
      <w:r>
        <w:rPr>
          <w:rFonts w:ascii="Times New Roman" w:hAnsi="Times New Roman" w:cs="Times New Roman" w:eastAsia="Times New Roman" w:hint="default"/>
        </w:rPr>
        <w:t>1</w:t>
      </w:r>
      <w:r>
        <w:rPr/>
        <w:t>）股份支付的种类 </w:t>
      </w:r>
      <w:r>
        <w:rPr>
          <w:spacing w:val="-2"/>
        </w:rPr>
        <w:t>股份支付是为了获取职工或其他方提供服务而授予权益工具或者承担以权益工具为基础确定的负债的交易。股份支付分</w:t>
      </w:r>
    </w:p>
    <w:p>
      <w:pPr>
        <w:pStyle w:val="BodyText"/>
        <w:spacing w:line="240" w:lineRule="auto" w:before="31"/>
        <w:ind w:right="3827"/>
        <w:jc w:val="left"/>
      </w:pPr>
      <w:r>
        <w:rPr/>
        <w:t>为以权益结算的股份支付和以现金结算的股份支付。</w:t>
      </w:r>
    </w:p>
    <w:p>
      <w:pPr>
        <w:pStyle w:val="BodyText"/>
        <w:spacing w:line="316" w:lineRule="auto" w:before="76"/>
        <w:ind w:right="1132" w:firstLine="360"/>
        <w:jc w:val="both"/>
      </w:pPr>
      <w:r>
        <w:rPr>
          <w:spacing w:val="-2"/>
        </w:rPr>
        <w:t>①以权益结算的股份支付公司的股票期权计划为用以换取职工提供服务的权益结算的股份支付，以授予职工的权益工具</w:t>
      </w:r>
      <w:r>
        <w:rPr/>
        <w:t> </w:t>
      </w:r>
      <w:r>
        <w:rPr>
          <w:spacing w:val="-2"/>
        </w:rPr>
        <w:t>在授予日的公允价值计量。在完成等待期内的服务或达到规定业绩条件才可行权，在等待期内以对可行权权益工具数量的最</w:t>
      </w:r>
      <w:r>
        <w:rPr>
          <w:spacing w:val="-64"/>
        </w:rPr>
        <w:t> </w:t>
      </w:r>
      <w:r>
        <w:rPr>
          <w:spacing w:val="-64"/>
        </w:rPr>
      </w:r>
      <w:r>
        <w:rPr/>
        <w:t>佳估计为基础，按照权益工具授予日的公允价值，将当期取得的服务计入相关成本或费用，相应增加资本公积。</w:t>
      </w:r>
    </w:p>
    <w:p>
      <w:pPr>
        <w:pStyle w:val="BodyText"/>
        <w:spacing w:line="316" w:lineRule="auto" w:before="19"/>
        <w:ind w:right="1132" w:firstLine="360"/>
        <w:jc w:val="both"/>
      </w:pPr>
      <w:r>
        <w:rPr>
          <w:spacing w:val="-2"/>
        </w:rPr>
        <w:t>②以现金结算的股份支付公司的股票增值权计划为以现金结算的股份支付，按照公司承担的以本公司股份数量为基础确</w:t>
      </w:r>
      <w:r>
        <w:rPr/>
        <w:t> </w:t>
      </w:r>
      <w:r>
        <w:rPr>
          <w:spacing w:val="-2"/>
        </w:rPr>
        <w:t>定的负债的公允价值计量。该以现金结算的股份支付须完成等待期内的服务或达到规定业绩条件以后才可行权，在等待期的</w:t>
      </w:r>
      <w:r>
        <w:rPr>
          <w:spacing w:val="-64"/>
        </w:rPr>
        <w:t> </w:t>
      </w:r>
      <w:r>
        <w:rPr>
          <w:spacing w:val="-64"/>
        </w:rPr>
      </w:r>
      <w:r>
        <w:rPr>
          <w:spacing w:val="-2"/>
        </w:rPr>
        <w:t>每个资产负债表日以对可行权情况的最佳估计为基础，按照公司承担负债的公允价值金额，将当期取得的服务计入成本或费</w:t>
      </w:r>
      <w:r>
        <w:rPr>
          <w:spacing w:val="-64"/>
        </w:rPr>
        <w:t> </w:t>
      </w:r>
      <w:r>
        <w:rPr>
          <w:spacing w:val="-64"/>
        </w:rPr>
      </w:r>
      <w:r>
        <w:rPr>
          <w:spacing w:val="-5"/>
        </w:rPr>
        <w:t>用，相应增加负债。在相关负债结算前的每个资产负债表日以及结算日，对负债的公允价值重新计量，其变动计入当期损益。</w:t>
      </w:r>
    </w:p>
    <w:p>
      <w:pPr>
        <w:pStyle w:val="BodyText"/>
        <w:spacing w:line="300" w:lineRule="auto" w:before="19"/>
        <w:ind w:left="513" w:right="1112"/>
        <w:jc w:val="left"/>
      </w:pPr>
      <w:r>
        <w:rPr/>
        <w:t>（</w:t>
      </w:r>
      <w:r>
        <w:rPr>
          <w:rFonts w:ascii="Times New Roman" w:hAnsi="Times New Roman" w:cs="Times New Roman" w:eastAsia="Times New Roman" w:hint="default"/>
        </w:rPr>
        <w:t>2</w:t>
      </w:r>
      <w:r>
        <w:rPr/>
        <w:t>）权益工具公允价值的确定方法 </w:t>
      </w:r>
      <w:r>
        <w:rPr>
          <w:spacing w:val="-2"/>
        </w:rPr>
        <w:t>本公司对于授予的存在活跃市场的期权等权益工具，按照活跃市场中的报价确定其公允价值。对于授予的不存在活跃市</w:t>
      </w:r>
    </w:p>
    <w:p>
      <w:pPr>
        <w:pStyle w:val="BodyText"/>
        <w:spacing w:line="300" w:lineRule="auto" w:before="31"/>
        <w:ind w:right="1129"/>
        <w:jc w:val="left"/>
      </w:pPr>
      <w:r>
        <w:rPr>
          <w:spacing w:val="-3"/>
        </w:rPr>
        <w:t>场的期权等权益工具，采用期权定价模型等确定其公允价值。选用的期权定价模型考虑以下因素：</w:t>
      </w:r>
      <w:r>
        <w:rPr>
          <w:rFonts w:ascii="Times New Roman" w:hAnsi="Times New Roman" w:cs="Times New Roman" w:eastAsia="Times New Roman" w:hint="default"/>
          <w:spacing w:val="-3"/>
        </w:rPr>
        <w:t>A</w:t>
      </w:r>
      <w:r>
        <w:rPr>
          <w:spacing w:val="-3"/>
        </w:rPr>
        <w:t>、期权的行权价格；</w:t>
      </w:r>
      <w:r>
        <w:rPr>
          <w:rFonts w:ascii="Times New Roman" w:hAnsi="Times New Roman" w:cs="Times New Roman" w:eastAsia="Times New Roman" w:hint="default"/>
          <w:spacing w:val="-3"/>
        </w:rPr>
        <w:t>B</w:t>
      </w:r>
      <w:r>
        <w:rPr>
          <w:spacing w:val="-3"/>
        </w:rPr>
        <w:t>、</w:t>
      </w:r>
      <w:r>
        <w:rPr>
          <w:spacing w:val="-82"/>
        </w:rPr>
        <w:t> </w:t>
      </w:r>
      <w:r>
        <w:rPr/>
        <w:t>期权的有效期；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300" w:lineRule="auto" w:before="13"/>
        <w:ind w:left="513" w:right="1112"/>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等待期内每个资产负债表日，本公司根据最新取得的可行权职工人数变动等后续信息作出最佳估计，修正预计可行权的</w:t>
      </w:r>
    </w:p>
    <w:p>
      <w:pPr>
        <w:pStyle w:val="BodyText"/>
        <w:spacing w:line="240" w:lineRule="auto" w:before="31"/>
        <w:ind w:right="1112"/>
        <w:jc w:val="left"/>
      </w:pPr>
      <w:r>
        <w:rPr/>
        <w:t>权益工具数量。在可行权日，最终预计可行权权益工具的数量应当与实际可行权数量一致。</w:t>
      </w:r>
    </w:p>
    <w:p>
      <w:pPr>
        <w:pStyle w:val="BodyText"/>
        <w:spacing w:line="300" w:lineRule="auto" w:before="76"/>
        <w:ind w:left="513" w:right="1112"/>
        <w:jc w:val="left"/>
      </w:pPr>
      <w:r>
        <w:rPr/>
        <w:t>（</w:t>
      </w:r>
      <w:r>
        <w:rPr>
          <w:rFonts w:ascii="Times New Roman" w:hAnsi="Times New Roman" w:cs="Times New Roman" w:eastAsia="Times New Roman" w:hint="default"/>
        </w:rPr>
        <w:t>4</w:t>
      </w:r>
      <w:r>
        <w:rPr/>
        <w:t>）实施、修改、终止股份支付计划的相关会计处理 </w:t>
      </w:r>
      <w:r>
        <w:rPr>
          <w:spacing w:val="-2"/>
        </w:rPr>
        <w:t>以权益结算的股份支付，按授予职工权益工具的公允价值计量。授予后立即可行权的，在授予日按照权益工具的公允价</w:t>
      </w:r>
    </w:p>
    <w:p>
      <w:pPr>
        <w:pStyle w:val="BodyText"/>
        <w:spacing w:line="316" w:lineRule="auto" w:before="31"/>
        <w:ind w:right="1112"/>
        <w:jc w:val="left"/>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12" w:hanging="361"/>
        <w:jc w:val="left"/>
      </w:pPr>
      <w:r>
        <w:rPr/>
        <w:t>本或费用和资本公积。在可行权日之后不再对已确认的相关成本或费用和所有者权益总额进行调整。 </w:t>
      </w:r>
      <w:r>
        <w:rPr>
          <w:spacing w:val="-2"/>
        </w:rPr>
        <w:t>以现金结算的股份支付，按照本公司承担的以股份或其他权益工具为基础计算确定的负债的公允价值计量。授予后立即</w:t>
      </w:r>
    </w:p>
    <w:p>
      <w:pPr>
        <w:pStyle w:val="BodyText"/>
        <w:spacing w:line="316" w:lineRule="auto" w:before="17"/>
        <w:ind w:right="1130"/>
        <w:jc w:val="both"/>
      </w:pPr>
      <w:r>
        <w:rPr>
          <w:spacing w:val="-2"/>
        </w:rPr>
        <w:t>可行权的，在授予日以本公司承担负债的公允价值计入相关成本或费用，相应增加负债。在完成等待期内的服务或达到规定</w:t>
      </w:r>
      <w:r>
        <w:rPr>
          <w:spacing w:val="-63"/>
        </w:rPr>
        <w:t> </w:t>
      </w:r>
      <w:r>
        <w:rPr>
          <w:spacing w:val="-63"/>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6" w:lineRule="auto" w:before="19"/>
        <w:ind w:right="1034" w:firstLine="360"/>
        <w:jc w:val="left"/>
      </w:pPr>
      <w:r>
        <w:rPr>
          <w:spacing w:val="-2"/>
        </w:rPr>
        <w:t>本公司对股份支付计划进行修改时，若修改增加了所授予权益工具的公允价值，按照权益工具公允价值的增加相应地确</w:t>
      </w:r>
      <w:r>
        <w:rPr/>
        <w:t> 认取得服务的增加；若修改增加了所授予权益工具的数量，则将增加的权益工具的公允价值相应地确认为取得服务的增加。</w:t>
      </w:r>
      <w:r>
        <w:rPr>
          <w:spacing w:val="-86"/>
        </w:rPr>
        <w:t> </w:t>
      </w:r>
      <w:r>
        <w:rPr>
          <w:spacing w:val="-86"/>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319" w:lineRule="auto" w:before="19"/>
        <w:ind w:right="1130" w:firstLine="360"/>
        <w:jc w:val="both"/>
      </w:pPr>
      <w:r>
        <w:rPr>
          <w:spacing w:val="-2"/>
        </w:rPr>
        <w:t>在等待期内，如果取消了授予的权益工具（因未满足可行权条件的非市场条件而被取消的除外），本公司对取消所授予</w:t>
      </w:r>
      <w:r>
        <w:rPr/>
        <w:t> </w:t>
      </w:r>
      <w:r>
        <w:rPr>
          <w:spacing w:val="-2"/>
        </w:rPr>
        <w:t>的权益性工具作为加速行权处理，将剩余等待期内应确认的金额立即计入当期损益，同时确认资本公积。职工或其他方能够</w:t>
      </w:r>
      <w:r>
        <w:rPr>
          <w:spacing w:val="-63"/>
        </w:rPr>
        <w:t> </w:t>
      </w:r>
      <w:r>
        <w:rPr>
          <w:spacing w:val="-63"/>
        </w:rPr>
      </w:r>
      <w:r>
        <w:rPr/>
        <w:t>选择满足非可行权条件但在等待期内未满足的，本公司将其作为授予权益工具的取消处理。</w:t>
      </w:r>
    </w:p>
    <w:p>
      <w:pPr>
        <w:spacing w:line="240" w:lineRule="auto" w:before="9"/>
        <w:rPr>
          <w:rFonts w:ascii="宋体" w:hAnsi="宋体" w:cs="宋体" w:eastAsia="宋体" w:hint="default"/>
          <w:sz w:val="22"/>
          <w:szCs w:val="22"/>
        </w:rPr>
      </w:pPr>
    </w:p>
    <w:p>
      <w:pPr>
        <w:pStyle w:val="Heading3"/>
        <w:spacing w:line="240" w:lineRule="auto"/>
        <w:ind w:right="3827"/>
        <w:jc w:val="left"/>
        <w:rPr>
          <w:b w:val="0"/>
          <w:bCs w:val="0"/>
        </w:rPr>
      </w:pPr>
      <w:bookmarkStart w:name="25、优先股、永续债等其他金融工具" w:id="204"/>
      <w:bookmarkEnd w:id="204"/>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12"/>
        <w:jc w:val="left"/>
      </w:pPr>
      <w:r>
        <w:rPr/>
        <w:t>（</w:t>
      </w:r>
      <w:r>
        <w:rPr>
          <w:rFonts w:ascii="Times New Roman" w:hAnsi="Times New Roman" w:cs="Times New Roman" w:eastAsia="Times New Roman" w:hint="default"/>
        </w:rPr>
        <w:t>1</w:t>
      </w:r>
      <w:r>
        <w:rPr/>
        <w:t>）公司发行的永续债和优先股等金融工具，同时符合以下条件的，作为权益工具：</w:t>
      </w:r>
    </w:p>
    <w:p>
      <w:pPr>
        <w:pStyle w:val="BodyText"/>
        <w:spacing w:line="316" w:lineRule="auto" w:before="63"/>
        <w:ind w:right="1132"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13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9" w:lineRule="auto" w:before="19"/>
        <w:ind w:left="513" w:right="1112"/>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7"/>
        <w:ind w:right="1112"/>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3"/>
        </w:rPr>
        <w:t> </w:t>
      </w:r>
      <w:r>
        <w:rPr>
          <w:spacing w:val="-43"/>
        </w:rPr>
      </w:r>
      <w:r>
        <w:rPr/>
        <w:t>总发行价款的比例进行分摊。</w:t>
      </w:r>
    </w:p>
    <w:p>
      <w:pPr>
        <w:pStyle w:val="BodyText"/>
        <w:spacing w:line="300" w:lineRule="auto" w:before="31"/>
        <w:ind w:left="513" w:right="1137"/>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16" w:lineRule="auto" w:before="31"/>
        <w:ind w:left="513" w:right="1137" w:hanging="361"/>
        <w:jc w:val="left"/>
      </w:pPr>
      <w:r>
        <w:rPr/>
        <w:t>利得或损失等，除符合资本化条件的借款费用以外，均计入当期损益。 </w:t>
      </w:r>
      <w:r>
        <w:rPr>
          <w:spacing w:val="-2"/>
        </w:rPr>
        <w:t>归类为权益工具的永续债和优先股等金融工具，其发行（含再融资）、回购、出售或注销时，本公司作为权益的变动处</w:t>
      </w:r>
    </w:p>
    <w:p>
      <w:pPr>
        <w:pStyle w:val="BodyText"/>
        <w:spacing w:line="316" w:lineRule="auto" w:before="19"/>
        <w:ind w:left="604" w:right="3734" w:hanging="452"/>
        <w:jc w:val="left"/>
      </w:pPr>
      <w:r>
        <w:rPr/>
        <w:t>理，相关交易费用亦从权益中扣减。本公司对权益工具持有方的分配作为利润分配处理。 本公司不确认权益工具的公允价值变动。</w:t>
      </w:r>
    </w:p>
    <w:p>
      <w:pPr>
        <w:spacing w:line="240" w:lineRule="auto" w:before="10"/>
        <w:rPr>
          <w:rFonts w:ascii="宋体" w:hAnsi="宋体" w:cs="宋体" w:eastAsia="宋体" w:hint="default"/>
          <w:sz w:val="22"/>
          <w:szCs w:val="22"/>
        </w:rPr>
      </w:pPr>
    </w:p>
    <w:p>
      <w:pPr>
        <w:pStyle w:val="Heading3"/>
        <w:spacing w:line="240" w:lineRule="auto"/>
        <w:ind w:right="3827"/>
        <w:jc w:val="left"/>
        <w:rPr>
          <w:b w:val="0"/>
          <w:bCs w:val="0"/>
        </w:rPr>
      </w:pPr>
      <w:bookmarkStart w:name="26、收入" w:id="205"/>
      <w:bookmarkEnd w:id="205"/>
      <w:r>
        <w:rPr>
          <w:b w:val="0"/>
          <w:bCs w:val="0"/>
        </w:rPr>
      </w:r>
      <w:r>
        <w:rPr>
          <w:rFonts w:ascii="Times New Roman" w:hAnsi="Times New Roman" w:cs="Times New Roman" w:eastAsia="Times New Roman" w:hint="default"/>
        </w:rPr>
        <w:t>26</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t>是否已执行新收入准则</w:t>
      </w:r>
    </w:p>
    <w:p>
      <w:pPr>
        <w:pStyle w:val="BodyText"/>
        <w:spacing w:line="240" w:lineRule="auto" w:before="117"/>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1"/>
        <w:ind w:left="513" w:right="1112"/>
        <w:jc w:val="left"/>
      </w:pPr>
      <w:r>
        <w:rPr/>
        <w:t>（</w:t>
      </w:r>
      <w:r>
        <w:rPr>
          <w:rFonts w:ascii="Times New Roman" w:hAnsi="Times New Roman" w:cs="Times New Roman" w:eastAsia="Times New Roman" w:hint="default"/>
        </w:rPr>
        <w:t>1</w:t>
      </w:r>
      <w:r>
        <w:rPr/>
        <w:t>）销售商品收入确认时间的具体判断标准 </w:t>
      </w:r>
      <w:r>
        <w:rPr>
          <w:spacing w:val="-2"/>
        </w:rPr>
        <w:t>商品销售收入：主要是本公司为客户提供技术服务过程中，销售网络产品及相关设备配件获得的收入。对于商品销售本</w:t>
      </w:r>
    </w:p>
    <w:p>
      <w:pPr>
        <w:pStyle w:val="BodyText"/>
        <w:spacing w:line="240" w:lineRule="auto" w:before="31"/>
        <w:ind w:right="3827"/>
        <w:jc w:val="left"/>
      </w:pPr>
      <w:r>
        <w:rPr/>
        <w:t>公司在相关的收入已经收到或取得了收款的证据时确认销售收入。</w:t>
      </w:r>
    </w:p>
    <w:p>
      <w:pPr>
        <w:pStyle w:val="BodyText"/>
        <w:spacing w:line="240" w:lineRule="auto" w:before="76"/>
        <w:ind w:left="513" w:right="3827"/>
        <w:jc w:val="left"/>
      </w:pPr>
      <w:r>
        <w:rPr/>
        <w:t>（</w:t>
      </w:r>
      <w:r>
        <w:rPr>
          <w:rFonts w:ascii="Times New Roman" w:hAnsi="Times New Roman" w:cs="Times New Roman" w:eastAsia="Times New Roman" w:hint="default"/>
        </w:rPr>
        <w:t>2</w:t>
      </w:r>
      <w:r>
        <w:rPr/>
        <w:t>）确认提供劳务收入的依据</w:t>
      </w:r>
    </w:p>
    <w:p>
      <w:pPr>
        <w:pStyle w:val="BodyText"/>
        <w:spacing w:line="300" w:lineRule="auto" w:before="63"/>
        <w:ind w:right="1131" w:firstLine="360"/>
        <w:jc w:val="both"/>
      </w:pPr>
      <w:r>
        <w:rPr>
          <w:spacing w:val="-1"/>
        </w:rPr>
        <w:t>本公司的提供劳务收入包括互联网宽带接入服务、</w:t>
      </w:r>
      <w:r>
        <w:rPr>
          <w:rFonts w:ascii="Times New Roman" w:hAnsi="Times New Roman" w:cs="Times New Roman" w:eastAsia="Times New Roman" w:hint="default"/>
          <w:spacing w:val="-1"/>
        </w:rPr>
        <w:t>IDC</w:t>
      </w:r>
      <w:r>
        <w:rPr>
          <w:rFonts w:ascii="Times New Roman" w:hAnsi="Times New Roman" w:cs="Times New Roman" w:eastAsia="Times New Roman" w:hint="default"/>
        </w:rPr>
        <w:t> </w:t>
      </w:r>
      <w:r>
        <w:rPr>
          <w:spacing w:val="-2"/>
        </w:rPr>
        <w:t>及其增值服务收入、</w:t>
      </w:r>
      <w:r>
        <w:rPr>
          <w:rFonts w:ascii="Times New Roman" w:hAnsi="Times New Roman" w:cs="Times New Roman" w:eastAsia="Times New Roman" w:hint="default"/>
          <w:spacing w:val="-2"/>
        </w:rPr>
        <w:t>IDC</w:t>
      </w:r>
      <w:r>
        <w:rPr>
          <w:rFonts w:ascii="Times New Roman" w:hAnsi="Times New Roman" w:cs="Times New Roman" w:eastAsia="Times New Roman" w:hint="default"/>
          <w:spacing w:val="9"/>
        </w:rPr>
        <w:t> </w:t>
      </w:r>
      <w:r>
        <w:rPr>
          <w:spacing w:val="-2"/>
        </w:rPr>
        <w:t>运营管理服务收入、云计算及相关服务</w:t>
      </w:r>
      <w:r>
        <w:rPr/>
        <w:t> </w:t>
      </w:r>
      <w:r>
        <w:rPr>
          <w:spacing w:val="-3"/>
          <w:w w:val="99"/>
        </w:rPr>
        <w:t>收入（包括云计算收入、广告托管收入、营销优化收入（</w:t>
      </w:r>
      <w:r>
        <w:rPr>
          <w:rFonts w:ascii="Times New Roman" w:hAnsi="Times New Roman" w:cs="Times New Roman" w:eastAsia="Times New Roman" w:hint="default"/>
          <w:spacing w:val="-3"/>
          <w:w w:val="99"/>
        </w:rPr>
        <w:t>SaaS</w:t>
      </w:r>
      <w:r>
        <w:rPr>
          <w:spacing w:val="-3"/>
          <w:w w:val="99"/>
        </w:rPr>
        <w:t>））和其他收入。</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986"/>
        <w:jc w:val="left"/>
      </w:pPr>
      <w:r>
        <w:rPr/>
        <w:t>①互联网宽带接入服务：主要是通过专线、光纤等各种传输手段向用户提供将计算机或者其他终端设备接入互联网的服</w:t>
      </w:r>
    </w:p>
    <w:p>
      <w:pPr>
        <w:pStyle w:val="BodyText"/>
        <w:spacing w:line="240" w:lineRule="auto" w:before="77"/>
        <w:ind w:right="3827"/>
        <w:jc w:val="left"/>
      </w:pPr>
      <w:r>
        <w:rPr/>
        <w:t>务。</w:t>
      </w:r>
    </w:p>
    <w:p>
      <w:pPr>
        <w:pStyle w:val="BodyText"/>
        <w:spacing w:line="240" w:lineRule="auto" w:before="76"/>
        <w:ind w:left="513" w:right="986"/>
        <w:jc w:val="left"/>
      </w:pPr>
      <w:r>
        <w:rPr>
          <w:rFonts w:ascii="Times New Roman" w:hAnsi="Times New Roman" w:cs="Times New Roman" w:eastAsia="Times New Roman" w:hint="default"/>
        </w:rPr>
        <w:t>IDC</w:t>
      </w:r>
      <w:r>
        <w:rPr>
          <w:rFonts w:ascii="Times New Roman" w:hAnsi="Times New Roman" w:cs="Times New Roman" w:eastAsia="Times New Roman" w:hint="default"/>
          <w:spacing w:val="24"/>
        </w:rPr>
        <w:t> </w:t>
      </w:r>
      <w:r>
        <w:rPr>
          <w:spacing w:val="-2"/>
        </w:rPr>
        <w:t>及其增值服务收入：是利用已有的互联网通信线路、带宽资源，建立标准化的电信专业级机房环境，为企业、政府</w:t>
      </w:r>
    </w:p>
    <w:p>
      <w:pPr>
        <w:pStyle w:val="BodyText"/>
        <w:spacing w:line="240" w:lineRule="auto" w:before="63"/>
        <w:ind w:right="0"/>
        <w:jc w:val="both"/>
      </w:pPr>
      <w:r>
        <w:rPr/>
        <w:t>部门等提供服务器托管、租用以及相关增值等方面的全方位服务。</w:t>
      </w:r>
    </w:p>
    <w:p>
      <w:pPr>
        <w:pStyle w:val="BodyText"/>
        <w:spacing w:line="300" w:lineRule="auto" w:before="76"/>
        <w:ind w:left="513" w:right="1121"/>
        <w:jc w:val="left"/>
      </w:pPr>
      <w:r>
        <w:rPr>
          <w:rFonts w:ascii="Times New Roman" w:hAnsi="Times New Roman" w:cs="Times New Roman" w:eastAsia="Times New Roman" w:hint="default"/>
        </w:rPr>
        <w:t>IDC </w:t>
      </w:r>
      <w:r>
        <w:rPr/>
        <w:t>运营管理服务收入：公司为其他公司的数据中心提供运营管理服务，包括设计、建设、运维、销售等专业服务。 云计算收入：公司提供的云计算服务包括</w:t>
      </w:r>
      <w:r>
        <w:rPr>
          <w:spacing w:val="-73"/>
        </w:rPr>
        <w:t> </w:t>
      </w:r>
      <w:r>
        <w:rPr>
          <w:rFonts w:ascii="Times New Roman" w:hAnsi="Times New Roman" w:cs="Times New Roman" w:eastAsia="Times New Roman" w:hint="default"/>
          <w:spacing w:val="-3"/>
        </w:rPr>
        <w:t>IaaS</w:t>
      </w:r>
      <w:r>
        <w:rPr>
          <w:spacing w:val="-3"/>
        </w:rPr>
        <w:t>、</w:t>
      </w:r>
      <w:r>
        <w:rPr>
          <w:rFonts w:ascii="Times New Roman" w:hAnsi="Times New Roman" w:cs="Times New Roman" w:eastAsia="Times New Roman" w:hint="default"/>
          <w:spacing w:val="-3"/>
        </w:rPr>
        <w:t>PaaS</w:t>
      </w:r>
      <w:r>
        <w:rPr>
          <w:spacing w:val="-3"/>
        </w:rPr>
        <w:t>、</w:t>
      </w:r>
      <w:r>
        <w:rPr>
          <w:rFonts w:ascii="Times New Roman" w:hAnsi="Times New Roman" w:cs="Times New Roman" w:eastAsia="Times New Roman" w:hint="default"/>
          <w:spacing w:val="-3"/>
        </w:rPr>
        <w:t>SaaS</w:t>
      </w:r>
      <w:r>
        <w:rPr>
          <w:rFonts w:ascii="Times New Roman" w:hAnsi="Times New Roman" w:cs="Times New Roman" w:eastAsia="Times New Roman" w:hint="default"/>
          <w:spacing w:val="-28"/>
        </w:rPr>
        <w:t> </w:t>
      </w:r>
      <w:r>
        <w:rPr/>
        <w:t>及相关技术服务。</w:t>
      </w:r>
      <w:r>
        <w:rPr>
          <w:rFonts w:ascii="Times New Roman" w:hAnsi="Times New Roman" w:cs="Times New Roman" w:eastAsia="Times New Roman" w:hint="default"/>
        </w:rPr>
        <w:t>IaaS</w:t>
      </w:r>
      <w:r>
        <w:rPr/>
        <w:t>：即设施即服务，向客户提供处理、</w:t>
      </w:r>
    </w:p>
    <w:p>
      <w:pPr>
        <w:pStyle w:val="BodyText"/>
        <w:spacing w:line="300" w:lineRule="auto" w:before="13"/>
        <w:ind w:right="1133"/>
        <w:jc w:val="both"/>
      </w:pPr>
      <w:r>
        <w:rPr>
          <w:spacing w:val="-2"/>
        </w:rPr>
        <w:t>存储、网络以及其他基础计算资源，客户可以在其上运行任意软件，包括操作系统和应用程序。</w:t>
      </w:r>
      <w:r>
        <w:rPr>
          <w:rFonts w:ascii="Times New Roman" w:hAnsi="Times New Roman" w:cs="Times New Roman" w:eastAsia="Times New Roman" w:hint="default"/>
          <w:spacing w:val="-2"/>
        </w:rPr>
        <w:t>PaaS</w:t>
      </w:r>
      <w:r>
        <w:rPr>
          <w:spacing w:val="-2"/>
        </w:rPr>
        <w:t>：平台即服务，客户使</w:t>
      </w:r>
      <w:r>
        <w:rPr>
          <w:spacing w:val="-66"/>
        </w:rPr>
        <w:t> </w:t>
      </w:r>
      <w:r>
        <w:rPr>
          <w:spacing w:val="-66"/>
        </w:rPr>
      </w:r>
      <w:r>
        <w:rPr>
          <w:spacing w:val="-2"/>
        </w:rPr>
        <w:t>用云供应商支持的开发语言和工具，开发出应用程序，并发布到云基础架构上。</w:t>
      </w:r>
      <w:r>
        <w:rPr>
          <w:rFonts w:ascii="Times New Roman" w:hAnsi="Times New Roman" w:cs="Times New Roman" w:eastAsia="Times New Roman" w:hint="default"/>
          <w:spacing w:val="-2"/>
        </w:rPr>
        <w:t>SaaS</w:t>
      </w:r>
      <w:r>
        <w:rPr>
          <w:spacing w:val="-2"/>
        </w:rPr>
        <w:t>：即软件即服务，客户所使用的服务商</w:t>
      </w:r>
      <w:r>
        <w:rPr>
          <w:spacing w:val="-64"/>
        </w:rPr>
        <w:t> </w:t>
      </w:r>
      <w:r>
        <w:rPr>
          <w:spacing w:val="-64"/>
        </w:rPr>
      </w:r>
      <w:r>
        <w:rPr/>
        <w:t>提供的运行在云基础设施上的应用程序。</w:t>
      </w:r>
    </w:p>
    <w:p>
      <w:pPr>
        <w:pStyle w:val="BodyText"/>
        <w:spacing w:line="316" w:lineRule="auto" w:before="31"/>
        <w:ind w:right="1130" w:firstLine="360"/>
        <w:jc w:val="both"/>
      </w:pPr>
      <w:r>
        <w:rPr>
          <w:spacing w:val="-2"/>
        </w:rPr>
        <w:t>广告托管收入：公司接受客户的委托，为客户在互联网进行广告投放。广告投放前，本公司与客户确认投放的金额、时</w:t>
      </w:r>
      <w:r>
        <w:rPr/>
        <w:t> </w:t>
      </w:r>
      <w:r>
        <w:rPr>
          <w:spacing w:val="-2"/>
        </w:rPr>
        <w:t>间以及投放媒体。本公司与客户一般采取预付费模式，即客户预先将充值金额支付给本公司，由本公司帮助客户进行账户充</w:t>
      </w:r>
      <w:r>
        <w:rPr>
          <w:spacing w:val="-63"/>
        </w:rPr>
        <w:t> </w:t>
      </w:r>
      <w:r>
        <w:rPr>
          <w:spacing w:val="-63"/>
        </w:rPr>
      </w:r>
      <w:r>
        <w:rPr/>
        <w:t>值。</w:t>
      </w:r>
    </w:p>
    <w:p>
      <w:pPr>
        <w:pStyle w:val="BodyText"/>
        <w:spacing w:line="300" w:lineRule="auto" w:before="19"/>
        <w:ind w:right="1218" w:firstLine="360"/>
        <w:jc w:val="both"/>
      </w:pPr>
      <w:r>
        <w:rPr>
          <w:spacing w:val="-3"/>
          <w:w w:val="99"/>
        </w:rPr>
        <w:t>营销优化收入（</w:t>
      </w:r>
      <w:r>
        <w:rPr>
          <w:rFonts w:ascii="Times New Roman" w:hAnsi="Times New Roman" w:cs="Times New Roman" w:eastAsia="Times New Roman" w:hint="default"/>
          <w:spacing w:val="-3"/>
          <w:w w:val="99"/>
        </w:rPr>
        <w:t>SaaS</w:t>
      </w:r>
      <w:r>
        <w:rPr>
          <w:spacing w:val="-3"/>
          <w:w w:val="99"/>
        </w:rPr>
        <w:t>）：公司与客户签订技术服务合同，约定本公司为客户提供</w:t>
      </w:r>
      <w:r>
        <w:rPr>
          <w:w w:val="99"/>
        </w:rPr>
        <w:t> </w:t>
      </w:r>
      <w:r>
        <w:rPr>
          <w:rFonts w:ascii="Times New Roman" w:hAnsi="Times New Roman" w:cs="Times New Roman" w:eastAsia="Times New Roman" w:hint="default"/>
          <w:w w:val="99"/>
        </w:rPr>
        <w:t>SEM</w:t>
      </w:r>
      <w:r>
        <w:rPr>
          <w:rFonts w:ascii="Times New Roman" w:hAnsi="Times New Roman" w:cs="Times New Roman" w:eastAsia="Times New Roman" w:hint="default"/>
          <w:spacing w:val="-17"/>
          <w:w w:val="99"/>
        </w:rPr>
        <w:t> </w:t>
      </w:r>
      <w:r>
        <w:rPr>
          <w:spacing w:val="-1"/>
        </w:rPr>
        <w:t>营销技术，客户以广告投放额度</w:t>
      </w:r>
      <w:r>
        <w:rPr/>
        <w:t> 为基数按照合同约定的比率向公司支付技术服务费。或公司将其基于</w:t>
      </w:r>
      <w:r>
        <w:rPr>
          <w:spacing w:val="-46"/>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t>平台的</w:t>
      </w:r>
      <w:r>
        <w:rPr>
          <w:spacing w:val="-47"/>
        </w:rPr>
        <w:t> </w:t>
      </w:r>
      <w:r>
        <w:rPr>
          <w:rFonts w:ascii="Times New Roman" w:hAnsi="Times New Roman" w:cs="Times New Roman" w:eastAsia="Times New Roman" w:hint="default"/>
        </w:rPr>
        <w:t>SEM</w:t>
      </w:r>
      <w:r>
        <w:rPr>
          <w:rFonts w:ascii="Times New Roman" w:hAnsi="Times New Roman" w:cs="Times New Roman" w:eastAsia="Times New Roman" w:hint="default"/>
          <w:spacing w:val="-1"/>
        </w:rPr>
        <w:t> </w:t>
      </w:r>
      <w:r>
        <w:rPr/>
        <w:t>营销优化产品授权客户使用，客户 自行进行账户开立、账户重组</w:t>
      </w:r>
      <w:r>
        <w:rPr>
          <w:rFonts w:ascii="Times New Roman" w:hAnsi="Times New Roman" w:cs="Times New Roman" w:eastAsia="Times New Roman" w:hint="default"/>
        </w:rPr>
        <w:t>/</w:t>
      </w:r>
      <w:r>
        <w:rPr/>
        <w:t>扩展、营销效果分析、营销优化等活动。</w:t>
      </w:r>
    </w:p>
    <w:p>
      <w:pPr>
        <w:pStyle w:val="BodyText"/>
        <w:spacing w:line="309" w:lineRule="auto" w:before="13"/>
        <w:ind w:right="1133" w:firstLine="360"/>
        <w:jc w:val="both"/>
      </w:pPr>
      <w:r>
        <w:rPr>
          <w:spacing w:val="-2"/>
        </w:rPr>
        <w:t>②互联网宽带接入服务、</w:t>
      </w:r>
      <w:r>
        <w:rPr>
          <w:rFonts w:ascii="Times New Roman" w:hAnsi="Times New Roman" w:cs="Times New Roman" w:eastAsia="Times New Roman" w:hint="default"/>
          <w:spacing w:val="-2"/>
        </w:rPr>
        <w:t>IDC</w:t>
      </w:r>
      <w:r>
        <w:rPr>
          <w:rFonts w:ascii="Times New Roman" w:hAnsi="Times New Roman" w:cs="Times New Roman" w:eastAsia="Times New Roman" w:hint="default"/>
          <w:spacing w:val="20"/>
        </w:rPr>
        <w:t> </w:t>
      </w:r>
      <w:r>
        <w:rPr>
          <w:spacing w:val="-2"/>
        </w:rPr>
        <w:t>及其增值服务收入确认原则：公司根据合同约定提供相应服务，公司统计客户的带宽使用</w:t>
      </w:r>
      <w:r>
        <w:rPr/>
        <w:t> </w:t>
      </w:r>
      <w:r>
        <w:rPr>
          <w:spacing w:val="-2"/>
        </w:rPr>
        <w:t>量得到客户确认，相关的成本能够可靠计量时确认收入。公司的主要成本构成包括向电信运营商租用的带宽费用和房屋租赁</w:t>
      </w:r>
      <w:r>
        <w:rPr>
          <w:spacing w:val="-64"/>
        </w:rPr>
        <w:t> </w:t>
      </w:r>
      <w:r>
        <w:rPr>
          <w:spacing w:val="-64"/>
        </w:rPr>
      </w:r>
      <w:r>
        <w:rPr/>
        <w:t>费用、设备折旧费用及维修等其他费用。</w:t>
      </w:r>
    </w:p>
    <w:p>
      <w:pPr>
        <w:pStyle w:val="BodyText"/>
        <w:spacing w:line="309" w:lineRule="auto" w:before="24"/>
        <w:ind w:left="513" w:right="1174"/>
        <w:jc w:val="left"/>
      </w:pPr>
      <w:r>
        <w:rPr/>
        <w:t>互联网宽带接入服务、</w:t>
      </w:r>
      <w:r>
        <w:rPr>
          <w:rFonts w:ascii="Times New Roman" w:hAnsi="Times New Roman" w:cs="Times New Roman" w:eastAsia="Times New Roman" w:hint="default"/>
        </w:rPr>
        <w:t>IDC </w:t>
      </w:r>
      <w:r>
        <w:rPr/>
        <w:t>及其增值服务收入确认的具体方法： 公司互联网宽带接入服务的合同一般为固定合同，该类合同一般为明确约定服务提供量，每月按固定金额确认收入。 </w:t>
      </w:r>
      <w:r>
        <w:rPr>
          <w:rFonts w:ascii="Times New Roman" w:hAnsi="Times New Roman" w:cs="Times New Roman" w:eastAsia="Times New Roman" w:hint="default"/>
        </w:rPr>
        <w:t>IDC</w:t>
      </w:r>
      <w:r>
        <w:rPr>
          <w:rFonts w:ascii="Times New Roman" w:hAnsi="Times New Roman" w:cs="Times New Roman" w:eastAsia="Times New Roman" w:hint="default"/>
          <w:spacing w:val="44"/>
        </w:rPr>
        <w:t> </w:t>
      </w:r>
      <w:r>
        <w:rPr/>
        <w:t>服务及其增值服务合同分为固定合同与敞口合同。固定合同即合同明确约定服务提供量，敞口合同仅约定单价，</w:t>
      </w:r>
    </w:p>
    <w:p>
      <w:pPr>
        <w:pStyle w:val="BodyText"/>
        <w:spacing w:line="316" w:lineRule="auto" w:before="5"/>
        <w:ind w:right="1131"/>
        <w:jc w:val="both"/>
      </w:pPr>
      <w:r>
        <w:rPr>
          <w:spacing w:val="-2"/>
        </w:rPr>
        <w:t>主要约定带宽与电费的单价。对于固定合同，在合同服务期限内按月平均确认；对于敞口合同，实际使用带宽流量根据监控</w:t>
      </w:r>
      <w:r>
        <w:rPr>
          <w:spacing w:val="-65"/>
        </w:rPr>
        <w:t> </w:t>
      </w:r>
      <w:r>
        <w:rPr>
          <w:spacing w:val="-65"/>
        </w:rPr>
      </w:r>
      <w:r>
        <w:rPr>
          <w:spacing w:val="-2"/>
        </w:rPr>
        <w:t>系统统计的当月平均带宽使用量编制月客户收费通知单，并经客户核对确认，实际使用电费根据电表计量编制月客户收费通</w:t>
      </w:r>
      <w:r>
        <w:rPr>
          <w:spacing w:val="-64"/>
        </w:rPr>
        <w:t> </w:t>
      </w:r>
      <w:r>
        <w:rPr>
          <w:spacing w:val="-64"/>
        </w:rPr>
      </w:r>
      <w:r>
        <w:rPr/>
        <w:t>知单，并经客户核对确认。</w:t>
      </w:r>
    </w:p>
    <w:p>
      <w:pPr>
        <w:pStyle w:val="BodyText"/>
        <w:spacing w:line="240" w:lineRule="auto" w:before="19"/>
        <w:ind w:left="513" w:right="1112"/>
        <w:jc w:val="left"/>
      </w:pPr>
      <w:r>
        <w:rPr/>
        <w:t>③</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运营管理服务收入确认原则和收入确认的具体方法按照</w:t>
      </w:r>
      <w:r>
        <w:rPr>
          <w:spacing w:val="-45"/>
        </w:rPr>
        <w:t> </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及其增值服务收入的确认原则和方法。</w:t>
      </w:r>
    </w:p>
    <w:p>
      <w:pPr>
        <w:pStyle w:val="BodyText"/>
        <w:spacing w:line="316" w:lineRule="auto" w:before="63"/>
        <w:ind w:right="1130" w:firstLine="360"/>
        <w:jc w:val="both"/>
      </w:pPr>
      <w:r>
        <w:rPr>
          <w:spacing w:val="-2"/>
        </w:rPr>
        <w:t>④云计算收入确认原则：公司根据合同约定提供相应服务，公司统计客户的使用量得到客户确认，相关的成本能够可靠</w:t>
      </w:r>
      <w:r>
        <w:rPr/>
        <w:t> 计量时确认收入。</w:t>
      </w:r>
    </w:p>
    <w:p>
      <w:pPr>
        <w:pStyle w:val="BodyText"/>
        <w:spacing w:line="316" w:lineRule="auto" w:before="19"/>
        <w:ind w:right="1046" w:firstLine="360"/>
        <w:jc w:val="both"/>
      </w:pPr>
      <w:r>
        <w:rPr/>
        <w:t>云计算收入确认的具体方法：云计算合同分为固定合同与敞口合同。对于固定合同，在合同服务期限内按月平均确认； 对于敞口合同，根据系统统计的当月使用量确认收入。</w:t>
      </w:r>
    </w:p>
    <w:p>
      <w:pPr>
        <w:pStyle w:val="BodyText"/>
        <w:spacing w:line="316" w:lineRule="auto" w:before="19"/>
        <w:ind w:right="1129" w:firstLine="360"/>
        <w:jc w:val="both"/>
      </w:pPr>
      <w:r>
        <w:rPr>
          <w:spacing w:val="-2"/>
        </w:rPr>
        <w:t>⑤广告托管收入确认原则：公司与客户签订网广告服务年度框架合同，该框架服务合同约定服务内容、服务期限、结算</w:t>
      </w:r>
      <w:r>
        <w:rPr/>
        <w:t> </w:t>
      </w:r>
      <w:r>
        <w:rPr>
          <w:spacing w:val="-2"/>
        </w:rPr>
        <w:t>方式、预计合同总金额等相关内容，公司提供互联网广告服务最终以与客户确认的下单为准。根据客户的下单，本公司向媒</w:t>
      </w:r>
      <w:r>
        <w:rPr>
          <w:spacing w:val="-62"/>
        </w:rPr>
        <w:t> </w:t>
      </w:r>
      <w:r>
        <w:rPr>
          <w:spacing w:val="-62"/>
        </w:rPr>
      </w:r>
      <w:r>
        <w:rPr/>
        <w:t>体下单投放广告。本公司根据客户的下单确认收入，同时根据向媒体的下单结转成本。</w:t>
      </w:r>
    </w:p>
    <w:p>
      <w:pPr>
        <w:pStyle w:val="BodyText"/>
        <w:spacing w:line="300" w:lineRule="auto" w:before="19"/>
        <w:ind w:right="1132" w:firstLine="360"/>
        <w:jc w:val="both"/>
      </w:pPr>
      <w:r>
        <w:rPr>
          <w:spacing w:val="-2"/>
        </w:rPr>
        <w:t>⑥营销优化收入（</w:t>
      </w:r>
      <w:r>
        <w:rPr>
          <w:rFonts w:ascii="Times New Roman" w:hAnsi="Times New Roman" w:cs="Times New Roman" w:eastAsia="Times New Roman" w:hint="default"/>
          <w:spacing w:val="-2"/>
        </w:rPr>
        <w:t>SaaS</w:t>
      </w:r>
      <w:r>
        <w:rPr>
          <w:spacing w:val="-2"/>
        </w:rPr>
        <w:t>）确认原则：本公司根据客户最终确认的服务费账单或者根据软件授权使用合同期限直线摊销确</w:t>
      </w:r>
      <w:r>
        <w:rPr/>
        <w:t> 认收入。</w:t>
      </w:r>
    </w:p>
    <w:p>
      <w:pPr>
        <w:pStyle w:val="BodyText"/>
        <w:spacing w:line="300" w:lineRule="auto" w:before="31"/>
        <w:ind w:left="513" w:right="1112"/>
        <w:jc w:val="left"/>
      </w:pPr>
      <w:r>
        <w:rPr/>
        <w:t>（</w:t>
      </w:r>
      <w:r>
        <w:rPr>
          <w:rFonts w:ascii="Times New Roman" w:hAnsi="Times New Roman" w:cs="Times New Roman" w:eastAsia="Times New Roman" w:hint="default"/>
        </w:rPr>
        <w:t>3</w:t>
      </w:r>
      <w:r>
        <w:rPr/>
        <w:t>）按完工百分比法确认提供劳务的收入和建造合同收入时，确定合同完工进度的依据和方法 </w:t>
      </w:r>
      <w:r>
        <w:rPr>
          <w:spacing w:val="-2"/>
        </w:rPr>
        <w:t>系统集成收入：主要是本公司为客户提供网络及综合布线系统、自动化控制系统、安全防范系统、视频及多媒体系统等</w:t>
      </w:r>
    </w:p>
    <w:p>
      <w:pPr>
        <w:pStyle w:val="BodyText"/>
        <w:spacing w:line="316" w:lineRule="auto" w:before="31"/>
        <w:ind w:left="513" w:right="6613" w:hanging="361"/>
        <w:jc w:val="left"/>
      </w:pPr>
      <w:r>
        <w:rPr/>
        <w:t>智能化系统工程所获得的收入。 对于系统集成收入按照项目进度比例确认收入。</w:t>
      </w:r>
    </w:p>
    <w:p>
      <w:pPr>
        <w:pStyle w:val="BodyText"/>
        <w:spacing w:line="300" w:lineRule="auto" w:before="19"/>
        <w:ind w:left="513" w:right="6253"/>
        <w:jc w:val="left"/>
      </w:pPr>
      <w:r>
        <w:rPr/>
        <w:t>（</w:t>
      </w:r>
      <w:r>
        <w:rPr>
          <w:rFonts w:ascii="Times New Roman" w:hAnsi="Times New Roman" w:cs="Times New Roman" w:eastAsia="Times New Roman" w:hint="default"/>
        </w:rPr>
        <w:t>4</w:t>
      </w:r>
      <w:r>
        <w:rPr/>
        <w:t>）确认让渡资产使用权收入的依据 让渡资产使用权收入包括利息收入、使用费收入等。</w:t>
      </w:r>
    </w:p>
    <w:p>
      <w:pPr>
        <w:pStyle w:val="BodyText"/>
        <w:spacing w:line="316" w:lineRule="auto" w:before="31"/>
        <w:ind w:right="1130" w:firstLine="360"/>
        <w:jc w:val="both"/>
      </w:pPr>
      <w:r>
        <w:rPr>
          <w:spacing w:val="-2"/>
        </w:rPr>
        <w:t>利息收入金额，按照他人使用本企业货币资金的时间和实际利率计算确定；使用费收入金额，按照有关合同或协议约定</w:t>
      </w:r>
      <w:r>
        <w:rPr/>
        <w:t> 的收费时间和方法计算确定。</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27、政府补助" w:id="206"/>
      <w:bookmarkEnd w:id="206"/>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1112"/>
        <w:jc w:val="left"/>
      </w:pPr>
      <w:r>
        <w:rPr/>
        <w:t>（</w:t>
      </w:r>
      <w:r>
        <w:rPr>
          <w:rFonts w:ascii="Times New Roman" w:hAnsi="Times New Roman" w:cs="Times New Roman" w:eastAsia="Times New Roman" w:hint="default"/>
        </w:rPr>
        <w:t>1</w:t>
      </w:r>
      <w:r>
        <w:rPr/>
        <w:t>）与资产相关的政府补助判断依据及会计处理方法 </w:t>
      </w:r>
      <w:r>
        <w:rPr>
          <w:spacing w:val="-2"/>
        </w:rPr>
        <w:t>政府补助，是指公司从政府无偿取得的货币性资产或非货币性资产，包括与资产相关的政府补助和与收益相关的政府补</w:t>
      </w:r>
    </w:p>
    <w:p>
      <w:pPr>
        <w:pStyle w:val="BodyText"/>
        <w:spacing w:line="316" w:lineRule="auto" w:before="31"/>
        <w:ind w:left="513" w:right="1112" w:hanging="361"/>
        <w:jc w:val="left"/>
      </w:pPr>
      <w:r>
        <w:rPr/>
        <w:t>助。与资产相关的政府补助，是指公司取得的、用于购建或以其他方式形成长期资产的政府补助。 政府补助在同时满足下列条件的，才能予以确认：①公司能够满足政府补助所附条件；②公司能够收到政府补助。 </w:t>
      </w:r>
      <w:r>
        <w:rPr>
          <w:spacing w:val="-2"/>
        </w:rPr>
        <w:t>政府补助为货币性资产的，公司按照收到或应收的金额计量。政府补助为非货币性资产的，公司按照公允价值计量；公</w:t>
      </w:r>
    </w:p>
    <w:p>
      <w:pPr>
        <w:pStyle w:val="BodyText"/>
        <w:spacing w:line="300" w:lineRule="auto" w:before="19"/>
        <w:ind w:left="513" w:right="1112" w:hanging="361"/>
        <w:jc w:val="left"/>
      </w:pPr>
      <w:r>
        <w:rPr/>
        <w:t>允价值不能可靠取得的，按照名义金额计量（名义金额为人民币</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1"/>
        </w:rPr>
        <w:t>元）。</w:t>
      </w:r>
      <w:r>
        <w:rPr/>
        <w:t> </w:t>
      </w:r>
      <w:r>
        <w:rPr>
          <w:spacing w:val="-2"/>
        </w:rPr>
        <w:t>与资产相关的政府补助，在取得时冲减相关资产的账面价值或确认为递延收益。确认为递延收益的，在相关资产使用寿</w:t>
      </w:r>
    </w:p>
    <w:p>
      <w:pPr>
        <w:pStyle w:val="BodyText"/>
        <w:spacing w:line="240" w:lineRule="auto" w:before="31"/>
        <w:ind w:right="1112"/>
        <w:jc w:val="left"/>
      </w:pPr>
      <w:r>
        <w:rPr/>
        <w:t>命内按照合理、系统的方法分期计入损益。按照名义金额计量的政府补助，直接计入当期损益。</w:t>
      </w:r>
    </w:p>
    <w:p>
      <w:pPr>
        <w:pStyle w:val="BodyText"/>
        <w:spacing w:line="300" w:lineRule="auto" w:before="76"/>
        <w:ind w:left="513" w:right="1112"/>
        <w:jc w:val="left"/>
      </w:pPr>
      <w:r>
        <w:rPr/>
        <w:t>（</w:t>
      </w:r>
      <w:r>
        <w:rPr>
          <w:rFonts w:ascii="Times New Roman" w:hAnsi="Times New Roman" w:cs="Times New Roman" w:eastAsia="Times New Roman" w:hint="default"/>
        </w:rPr>
        <w:t>2</w:t>
      </w:r>
      <w:r>
        <w:rPr/>
        <w:t>）与收益相关的政府补助判断依据及会计处理方法 </w:t>
      </w:r>
      <w:r>
        <w:rPr>
          <w:spacing w:val="-2"/>
        </w:rPr>
        <w:t>与收益相关的政府补助，是指除与资产相关的政府补助之外的政府补助。对于同时包含于资产相关部分和与收益相关部</w:t>
      </w:r>
    </w:p>
    <w:p>
      <w:pPr>
        <w:pStyle w:val="BodyText"/>
        <w:spacing w:line="316" w:lineRule="auto" w:before="32"/>
        <w:ind w:right="1112"/>
        <w:jc w:val="left"/>
      </w:pPr>
      <w:r>
        <w:rPr>
          <w:spacing w:val="-2"/>
        </w:rPr>
        <w:t>分的政府补助，可以区分的，则分不同部分分别进行会计处理；难以区分的，则整体归类为与收益相关的政府补助。与收益</w:t>
      </w:r>
      <w:r>
        <w:rPr>
          <w:spacing w:val="-67"/>
        </w:rPr>
        <w:t> </w:t>
      </w:r>
      <w:r>
        <w:rPr>
          <w:spacing w:val="-67"/>
        </w:rPr>
      </w:r>
      <w:r>
        <w:rPr/>
        <w:t>相关的政府补助，分别下列情况处理：</w:t>
      </w:r>
    </w:p>
    <w:p>
      <w:pPr>
        <w:pStyle w:val="BodyText"/>
        <w:spacing w:line="316" w:lineRule="auto" w:before="19"/>
        <w:ind w:right="1034" w:firstLine="360"/>
        <w:jc w:val="left"/>
      </w:pPr>
      <w:r>
        <w:rPr/>
        <w:t>①用于补偿公司以后期间的相关成本费用或损失的，在取得时确认为递延收益，并在确认相关成本费用或损失的期间， 计入当期损益或冲减相关成本。</w:t>
      </w:r>
    </w:p>
    <w:p>
      <w:pPr>
        <w:pStyle w:val="BodyText"/>
        <w:spacing w:line="240" w:lineRule="auto" w:before="19"/>
        <w:ind w:left="513" w:right="1112"/>
        <w:jc w:val="left"/>
      </w:pPr>
      <w:r>
        <w:rPr/>
        <w:t>②于补偿公司已发生的相关成本费用或损失的，在取得时直接计入当期损益或冲减相关成本。</w:t>
      </w:r>
    </w:p>
    <w:p>
      <w:pPr>
        <w:pStyle w:val="BodyText"/>
        <w:spacing w:line="316" w:lineRule="auto" w:before="76"/>
        <w:ind w:right="1112" w:firstLine="360"/>
        <w:jc w:val="left"/>
      </w:pPr>
      <w:r>
        <w:rPr>
          <w:spacing w:val="-2"/>
        </w:rPr>
        <w:t>③与公司日常经营相关的政府补助，按照经济业务实质，计入其他收益或冲减相关成本费用。与公司日常活动无关的政</w:t>
      </w:r>
      <w:r>
        <w:rPr/>
        <w:t> 府补助，计入营业外收支。财政将贴息资金直接</w:t>
      </w:r>
      <w:r>
        <w:rPr>
          <w:spacing w:val="2"/>
        </w:rPr>
        <w:t> </w:t>
      </w:r>
      <w:r>
        <w:rPr/>
        <w:t>拨付给公司的，公司将对应的贴息冲减相关借款费用。</w:t>
      </w:r>
    </w:p>
    <w:p>
      <w:pPr>
        <w:pStyle w:val="BodyText"/>
        <w:spacing w:line="240" w:lineRule="auto" w:before="19"/>
        <w:ind w:left="513" w:right="986"/>
        <w:jc w:val="left"/>
        <w:rPr>
          <w:rFonts w:ascii="Times New Roman" w:hAnsi="Times New Roman" w:cs="Times New Roman" w:eastAsia="Times New Roman" w:hint="default"/>
        </w:rPr>
      </w:pPr>
      <w:r>
        <w:rPr>
          <w:spacing w:val="-3"/>
        </w:rPr>
        <w:t>④已确认的政府补助需要退回的，分别下列情况处理：</w:t>
      </w:r>
      <w:r>
        <w:rPr>
          <w:spacing w:val="-44"/>
        </w:rPr>
        <w:t> </w:t>
      </w:r>
      <w:r>
        <w:rPr>
          <w:rFonts w:ascii="Times New Roman" w:hAnsi="Times New Roman" w:cs="Times New Roman" w:eastAsia="Times New Roman" w:hint="default"/>
          <w:spacing w:val="-3"/>
        </w:rPr>
        <w:t>A.</w:t>
      </w:r>
      <w:r>
        <w:rPr>
          <w:spacing w:val="-3"/>
        </w:rPr>
        <w:t>初始确认时冲减相关资产账面价值的，调整资产账面价值。</w:t>
      </w:r>
      <w:r>
        <w:rPr>
          <w:spacing w:val="-43"/>
        </w:rPr>
        <w:t> </w:t>
      </w:r>
      <w:r>
        <w:rPr>
          <w:rFonts w:ascii="Times New Roman" w:hAnsi="Times New Roman" w:cs="Times New Roman" w:eastAsia="Times New Roman" w:hint="default"/>
        </w:rPr>
        <w:t>B.</w:t>
      </w:r>
    </w:p>
    <w:p>
      <w:pPr>
        <w:pStyle w:val="BodyText"/>
        <w:spacing w:line="240" w:lineRule="auto" w:before="63"/>
        <w:ind w:right="1112"/>
        <w:jc w:val="left"/>
      </w:pPr>
      <w:r>
        <w:rPr/>
        <w:t>存在相关递延收益的，冲减相关递延收益账面金额，超出部分计入当期损益。</w:t>
      </w:r>
      <w:r>
        <w:rPr>
          <w:spacing w:val="-2"/>
        </w:rPr>
        <w:t> </w:t>
      </w:r>
      <w:r>
        <w:rPr>
          <w:rFonts w:ascii="Times New Roman" w:hAnsi="Times New Roman" w:cs="Times New Roman" w:eastAsia="Times New Roman" w:hint="default"/>
        </w:rPr>
        <w:t>C.</w:t>
      </w:r>
      <w:r>
        <w:rPr/>
        <w:t>属于其他情况的，直接计入当期损益。</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28、递延所得税资产/递延所得税负债" w:id="207"/>
      <w:bookmarkEnd w:id="207"/>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112"/>
        <w:jc w:val="left"/>
      </w:pPr>
      <w:r>
        <w:rPr/>
        <w:t>（</w:t>
      </w:r>
      <w:r>
        <w:rPr>
          <w:rFonts w:ascii="Times New Roman" w:hAnsi="Times New Roman" w:cs="Times New Roman" w:eastAsia="Times New Roman" w:hint="default"/>
        </w:rPr>
        <w:t>1</w:t>
      </w:r>
      <w:r>
        <w:rPr/>
        <w:t>）确认递延所得税资产的依据 </w:t>
      </w:r>
      <w:r>
        <w:rPr>
          <w:spacing w:val="-2"/>
        </w:rPr>
        <w:t>根据资产、负债的账面价值与其计税基础之间的差额（未作为资产和负债确认的项目按照税法规定可以确定其计税基础</w:t>
      </w:r>
    </w:p>
    <w:p>
      <w:pPr>
        <w:pStyle w:val="BodyText"/>
        <w:spacing w:line="316" w:lineRule="auto" w:before="31"/>
        <w:ind w:right="1112"/>
        <w:jc w:val="left"/>
      </w:pPr>
      <w:r>
        <w:rPr>
          <w:spacing w:val="-2"/>
        </w:rPr>
        <w:t>的，该计税基础与其账面数之间的差额），按照预期收回该资产或清偿该负债期间的适用税率计算确认递延所得税资产或递</w:t>
      </w:r>
      <w:r>
        <w:rPr>
          <w:spacing w:val="-72"/>
        </w:rPr>
        <w:t> </w:t>
      </w:r>
      <w:r>
        <w:rPr>
          <w:spacing w:val="-72"/>
        </w:rPr>
      </w:r>
      <w:r>
        <w:rPr/>
        <w:t>延所得税负债。</w:t>
      </w:r>
    </w:p>
    <w:p>
      <w:pPr>
        <w:pStyle w:val="BodyText"/>
        <w:spacing w:line="300" w:lineRule="auto" w:before="19"/>
        <w:ind w:left="513" w:right="1112"/>
        <w:jc w:val="left"/>
      </w:pPr>
      <w:r>
        <w:rPr/>
        <w:t>（</w:t>
      </w:r>
      <w:r>
        <w:rPr>
          <w:rFonts w:ascii="Times New Roman" w:hAnsi="Times New Roman" w:cs="Times New Roman" w:eastAsia="Times New Roman" w:hint="default"/>
        </w:rPr>
        <w:t>2</w:t>
      </w:r>
      <w:r>
        <w:rPr/>
        <w:t>）确认递延所得税负债的依据 </w:t>
      </w:r>
      <w:r>
        <w:rPr>
          <w:spacing w:val="-2"/>
        </w:rPr>
        <w:t>根据资产、负债的账面价值与其计税基础之间的差额（未作为资产和负债确认的项目按照税法规定可以确定其计税基础</w:t>
      </w:r>
    </w:p>
    <w:p>
      <w:pPr>
        <w:pStyle w:val="BodyText"/>
        <w:spacing w:line="316" w:lineRule="auto" w:before="31"/>
        <w:ind w:right="1112"/>
        <w:jc w:val="left"/>
      </w:pPr>
      <w:r>
        <w:rPr>
          <w:spacing w:val="-2"/>
        </w:rPr>
        <w:t>的，该计税基础与其账面数之间的差额），按照预期收回该资产或清偿该负债期间的适用税率计算确认递延所得税资产或递</w:t>
      </w:r>
      <w:r>
        <w:rPr>
          <w:spacing w:val="-72"/>
        </w:rPr>
        <w:t> </w:t>
      </w:r>
      <w:r>
        <w:rPr>
          <w:spacing w:val="-72"/>
        </w:rPr>
      </w:r>
      <w:r>
        <w:rPr/>
        <w:t>延所得税负债。</w:t>
      </w:r>
    </w:p>
    <w:p>
      <w:pPr>
        <w:spacing w:line="240" w:lineRule="auto" w:before="10"/>
        <w:rPr>
          <w:rFonts w:ascii="宋体" w:hAnsi="宋体" w:cs="宋体" w:eastAsia="宋体" w:hint="default"/>
          <w:sz w:val="22"/>
          <w:szCs w:val="22"/>
        </w:rPr>
      </w:pPr>
    </w:p>
    <w:p>
      <w:pPr>
        <w:pStyle w:val="Heading3"/>
        <w:spacing w:line="240" w:lineRule="auto"/>
        <w:ind w:right="3827"/>
        <w:jc w:val="left"/>
        <w:rPr>
          <w:b w:val="0"/>
          <w:bCs w:val="0"/>
        </w:rPr>
      </w:pPr>
      <w:bookmarkStart w:name="29、租赁" w:id="208"/>
      <w:bookmarkEnd w:id="208"/>
      <w:r>
        <w:rPr>
          <w:b w:val="0"/>
          <w:bCs w:val="0"/>
        </w:rPr>
      </w:r>
      <w:r>
        <w:rPr>
          <w:rFonts w:ascii="Times New Roman" w:hAnsi="Times New Roman" w:cs="Times New Roman" w:eastAsia="Times New Roman" w:hint="default"/>
        </w:rPr>
        <w:t>29</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0" w:firstLine="360"/>
        <w:jc w:val="left"/>
      </w:pPr>
      <w:r>
        <w:rPr>
          <w:spacing w:val="-4"/>
        </w:rPr>
        <w:t>对于经营租赁的租金，出租人、承租人在租赁期内各个期间按照直线法确认为当期损益。 </w:t>
      </w:r>
      <w:r>
        <w:rPr>
          <w:spacing w:val="-6"/>
        </w:rPr>
        <w:t>出租人、承租人发生的初始</w:t>
      </w:r>
      <w:r>
        <w:rPr>
          <w:spacing w:val="-34"/>
        </w:rPr>
        <w:t> </w:t>
      </w:r>
      <w:r>
        <w:rPr/>
        <w:t>直</w:t>
      </w:r>
      <w:r>
        <w:rPr/>
        <w:t> 接费用，计入当期损益。或有租金在实际发生时计入当期损益。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3827"/>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12"/>
        <w:jc w:val="left"/>
      </w:pPr>
      <w:r>
        <w:rPr/>
        <w:t>①</w:t>
      </w:r>
      <w:r>
        <w:rPr>
          <w:spacing w:val="1"/>
        </w:rPr>
        <w:t> </w:t>
      </w:r>
      <w:r>
        <w:rPr/>
        <w:t>承租人的会计处理</w:t>
      </w:r>
      <w:r>
        <w:rPr/>
        <w:t> </w:t>
      </w:r>
      <w:r>
        <w:rPr>
          <w:spacing w:val="-2"/>
        </w:rPr>
        <w:t>在租赁期开始日，将租赁开始日租赁资产公允价值与最低租赁付款额现值两者中较低者作为租入资产的入账价值，将最</w:t>
      </w:r>
    </w:p>
    <w:p>
      <w:pPr>
        <w:pStyle w:val="BodyText"/>
        <w:spacing w:line="240" w:lineRule="auto" w:before="19"/>
        <w:ind w:right="986"/>
        <w:jc w:val="left"/>
      </w:pPr>
      <w:r>
        <w:rPr/>
        <w:t>低租赁付款额作为长期应付款的入账价值，其差额作为未确认融资费用。在租赁谈判和签订租赁合同过程中发生的，可归属</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于租赁项目的手续费等初始直接费用（下同），计入租入资产价值。未确认融资费用在租赁期内按照实际利率法计算确认当</w:t>
      </w:r>
      <w:r>
        <w:rPr>
          <w:spacing w:val="-71"/>
        </w:rPr>
        <w:t> </w:t>
      </w:r>
      <w:r>
        <w:rPr>
          <w:spacing w:val="-71"/>
        </w:rPr>
      </w:r>
      <w:r>
        <w:rPr>
          <w:spacing w:val="-2"/>
        </w:rPr>
        <w:t>期的融资费用。或有租金在实际发生时计入当期损益。本公司采用与自有固定资产相一致的折旧政策计提租赁资产折旧。能</w:t>
      </w:r>
      <w:r>
        <w:rPr>
          <w:spacing w:val="-63"/>
        </w:rPr>
        <w:t> </w:t>
      </w:r>
      <w:r>
        <w:rPr>
          <w:spacing w:val="-63"/>
        </w:rPr>
      </w:r>
      <w:r>
        <w:rPr>
          <w:spacing w:val="-2"/>
        </w:rPr>
        <w:t>够合理确定租赁期届满时取得租赁资产所有权的，在租赁资产使用寿命内计提折旧。无法合理确定租赁期届满时能够取得租</w:t>
      </w:r>
      <w:r>
        <w:rPr>
          <w:spacing w:val="-64"/>
        </w:rPr>
        <w:t> </w:t>
      </w:r>
      <w:r>
        <w:rPr>
          <w:spacing w:val="-64"/>
        </w:rPr>
      </w:r>
      <w:r>
        <w:rPr/>
        <w:t>赁资产所有权的，在租赁期与租赁资产使用寿命两者中较短的期间内计提折旧。</w:t>
      </w:r>
    </w:p>
    <w:p>
      <w:pPr>
        <w:pStyle w:val="BodyText"/>
        <w:spacing w:line="316" w:lineRule="auto" w:before="17"/>
        <w:ind w:left="513" w:right="1112"/>
        <w:jc w:val="left"/>
      </w:pPr>
      <w:r>
        <w:rPr/>
        <w:t>②</w:t>
      </w:r>
      <w:r>
        <w:rPr>
          <w:spacing w:val="1"/>
        </w:rPr>
        <w:t> </w:t>
      </w:r>
      <w:r>
        <w:rPr/>
        <w:t>出租人的会计处理</w:t>
      </w:r>
      <w:r>
        <w:rPr/>
        <w:t> </w:t>
      </w:r>
      <w:r>
        <w:rPr>
          <w:spacing w:val="-2"/>
        </w:rPr>
        <w:t>在租赁期开始日，出租人将租赁开始日最低租赁收款额与初始直接费用之和作为应收融资租赁款的入账价值，同时记录</w:t>
      </w:r>
    </w:p>
    <w:p>
      <w:pPr>
        <w:pStyle w:val="BodyText"/>
        <w:spacing w:line="316" w:lineRule="auto" w:before="19"/>
        <w:ind w:right="1129"/>
        <w:jc w:val="both"/>
      </w:pPr>
      <w:r>
        <w:rPr>
          <w:spacing w:val="-2"/>
        </w:rPr>
        <w:t>未担保余值；将最低租赁收款额、初始直接费用及未担保余值之和与其现值之和的差额确认为未实现融资收益。未实现融资</w:t>
      </w:r>
      <w:r>
        <w:rPr>
          <w:spacing w:val="-62"/>
        </w:rPr>
        <w:t> </w:t>
      </w:r>
      <w:r>
        <w:rPr>
          <w:spacing w:val="-62"/>
        </w:rPr>
      </w:r>
      <w:r>
        <w:rPr/>
        <w:t>收益在租赁期内按照实际利率法计算确认当期的融资收入。或有租金在实际发生时计入当期损益。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0、重要会计政策和会计估计变更" w:id="211"/>
      <w:bookmarkEnd w:id="211"/>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1248" w:lineRule="exact"/>
        <w:ind w:left="3350"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59.050pt;height:62.4pt;mso-position-horizontal-relative:char;mso-position-vertical-relative:line" coordorigin="0,0" coordsize="3181,1248">
            <v:group style="position:absolute;left:0;top:0;width:3181;height:1248" coordorigin="0,0" coordsize="3181,1248">
              <v:shape style="position:absolute;left:0;top:0;width:3181;height:1248" coordorigin="0,0" coordsize="3181,1248" path="m0,1248l3180,1248,3180,0,0,0,0,1248xe" filled="true" fillcolor="#ffffff" stroked="false">
                <v:path arrowok="t"/>
                <v:fill type="solid"/>
              </v:shape>
            </v:group>
          </v:group>
        </w:pict>
      </w:r>
      <w:r>
        <w:rPr>
          <w:rFonts w:ascii="宋体" w:hAnsi="宋体" w:cs="宋体" w:eastAsia="宋体" w:hint="default"/>
          <w:position w:val="-24"/>
          <w:sz w:val="20"/>
          <w:szCs w:val="20"/>
        </w:rPr>
      </w:r>
    </w:p>
    <w:p>
      <w:pPr>
        <w:spacing w:line="240" w:lineRule="auto" w:before="2"/>
        <w:rPr>
          <w:rFonts w:ascii="宋体" w:hAnsi="宋体" w:cs="宋体" w:eastAsia="宋体" w:hint="default"/>
          <w:sz w:val="9"/>
          <w:szCs w:val="9"/>
        </w:rPr>
      </w:pPr>
    </w:p>
    <w:p>
      <w:pPr>
        <w:pStyle w:val="BodyText"/>
        <w:spacing w:line="240" w:lineRule="auto" w:before="44"/>
        <w:ind w:left="0" w:right="1138"/>
        <w:jc w:val="right"/>
      </w:pPr>
      <w:r>
        <w:rPr/>
        <w:pict>
          <v:shape style="position:absolute;margin-left:56.400002pt;margin-top:-88.928261pt;width:479.3pt;height:427.7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4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年分别发布了《企业会计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20"/>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20"/>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《企业</w:t>
                        </w:r>
                        <w:r>
                          <w:rPr>
                            <w:rFonts w:ascii="宋体" w:hAnsi="宋体" w:cs="宋体" w:eastAsia="宋体" w:hint="default"/>
                            <w:spacing w:val="-3"/>
                            <w:sz w:val="18"/>
                            <w:szCs w:val="18"/>
                          </w:rPr>
                          <w:t>会</w:t>
                        </w:r>
                        <w:r>
                          <w:rPr>
                            <w:rFonts w:ascii="宋体" w:hAnsi="宋体" w:cs="宋体" w:eastAsia="宋体" w:hint="default"/>
                            <w:sz w:val="18"/>
                            <w:szCs w:val="18"/>
                          </w:rPr>
                          <w:t>计准则第</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金融资产转移》（财会〔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p>
                      <w:p>
                        <w:pPr>
                          <w:pStyle w:val="TableParagraph"/>
                          <w:spacing w:line="300"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17"/>
                            <w:sz w:val="18"/>
                            <w:szCs w:val="18"/>
                          </w:rPr>
                          <w:t>号）、《企业会计准则第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套期</w:t>
                        </w:r>
                        <w:r>
                          <w:rPr>
                            <w:rFonts w:ascii="宋体" w:hAnsi="宋体" w:cs="宋体" w:eastAsia="宋体" w:hint="default"/>
                            <w:sz w:val="18"/>
                            <w:szCs w:val="18"/>
                          </w:rPr>
                          <w:t> </w:t>
                        </w:r>
                        <w:r>
                          <w:rPr>
                            <w:rFonts w:ascii="宋体" w:hAnsi="宋体" w:cs="宋体" w:eastAsia="宋体" w:hint="default"/>
                            <w:spacing w:val="-7"/>
                            <w:sz w:val="18"/>
                            <w:szCs w:val="18"/>
                          </w:rPr>
                          <w:t>会计》（财会〔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号）和《企业会</w:t>
                        </w:r>
                        <w:r>
                          <w:rPr>
                            <w:rFonts w:ascii="宋体" w:hAnsi="宋体" w:cs="宋体" w:eastAsia="宋体" w:hint="default"/>
                            <w:sz w:val="18"/>
                            <w:szCs w:val="18"/>
                          </w:rPr>
                          <w:t> 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金融工具列报》（财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号）等四项金融工具相关 </w:t>
                        </w:r>
                        <w:r>
                          <w:rPr>
                            <w:rFonts w:ascii="宋体" w:hAnsi="宋体" w:cs="宋体" w:eastAsia="宋体" w:hint="default"/>
                            <w:spacing w:val="-5"/>
                            <w:w w:val="100"/>
                            <w:sz w:val="18"/>
                            <w:szCs w:val="18"/>
                          </w:rPr>
                          <w:t>会计准则（简称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新金融准则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），并要求</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境内上市企业自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日起执行 新金融工具相关会计准则。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日召开第三届董</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事会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年第二次会议，审议通过了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《关于会计政策变更的议案</w:t>
                        </w:r>
                        <w:r>
                          <w:rPr>
                            <w:rFonts w:ascii="宋体" w:hAnsi="宋体" w:cs="宋体" w:eastAsia="宋体" w:hint="default"/>
                            <w:spacing w:val="-91"/>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公司按照新金融工具准则的要求，自</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日起执行新金融工具准则</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并按照新金融工具准的规定编制</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日以后的财务报表。</w:t>
                        </w:r>
                      </w:p>
                    </w:tc>
                  </w:tr>
                  <w:tr>
                    <w:trPr>
                      <w:trHeight w:val="250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日发布的《关于</w:t>
                        </w:r>
                      </w:p>
                      <w:p>
                        <w:pPr>
                          <w:pStyle w:val="TableParagraph"/>
                          <w:spacing w:line="307"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修订印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年度一般企业财务报表格式 </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号要求执行企</w:t>
                        </w:r>
                        <w:r>
                          <w:rPr>
                            <w:rFonts w:ascii="宋体" w:hAnsi="宋体" w:cs="宋体" w:eastAsia="宋体" w:hint="default"/>
                            <w:sz w:val="18"/>
                            <w:szCs w:val="18"/>
                          </w:rPr>
                          <w:t> 业会计准则的非金融企业按照企业会计 准则和财会（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号的规定编制财 </w:t>
                        </w:r>
                        <w:r>
                          <w:rPr>
                            <w:rFonts w:ascii="宋体" w:hAnsi="宋体" w:cs="宋体" w:eastAsia="宋体" w:hint="default"/>
                            <w:spacing w:val="-10"/>
                            <w:sz w:val="18"/>
                            <w:szCs w:val="18"/>
                          </w:rPr>
                          <w:t>务报表，企业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年度中期财务报表和 年度财务报表及以后期间的财务报表均 按财会（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号的规定编制执行。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日召开第四届董</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年第四次会议，通过了《关于 </w:t>
                        </w:r>
                        <w:r>
                          <w:rPr>
                            <w:rFonts w:ascii="宋体" w:hAnsi="宋体" w:cs="宋体" w:eastAsia="宋体" w:hint="default"/>
                            <w:spacing w:val="-9"/>
                            <w:sz w:val="18"/>
                            <w:szCs w:val="18"/>
                          </w:rPr>
                          <w:t>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资产负债表中将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5"/>
                            <w:w w:val="99"/>
                            <w:sz w:val="18"/>
                            <w:szCs w:val="18"/>
                          </w:rPr>
                          <w:t>应收款项融资</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；将</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应付票据及应付账款</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司按照规定的财务报表格式编制比较报 表，并采用追溯调整法变更了相关财务 报表列报。利润表中新增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信用减值损失 </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，比较数据不调整。</w:t>
                        </w:r>
                      </w:p>
                    </w:tc>
                  </w:tr>
                  <w:tr>
                    <w:trPr>
                      <w:trHeight w:val="2194"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日发布了《关于</w:t>
                        </w:r>
                      </w:p>
                      <w:p>
                        <w:pPr>
                          <w:pStyle w:val="TableParagraph"/>
                          <w:spacing w:line="300" w:lineRule="auto" w:before="63"/>
                          <w:ind w:left="24" w:right="-41"/>
                          <w:jc w:val="left"/>
                          <w:rPr>
                            <w:rFonts w:ascii="宋体" w:hAnsi="宋体" w:cs="宋体" w:eastAsia="宋体" w:hint="default"/>
                            <w:sz w:val="18"/>
                            <w:szCs w:val="18"/>
                          </w:rPr>
                        </w:pPr>
                        <w:r>
                          <w:rPr>
                            <w:rFonts w:ascii="宋体" w:hAnsi="宋体" w:cs="宋体" w:eastAsia="宋体" w:hint="default"/>
                            <w:sz w:val="18"/>
                            <w:szCs w:val="18"/>
                          </w:rPr>
                          <w:t>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 </w:t>
                        </w:r>
                        <w:r>
                          <w:rPr>
                            <w:rFonts w:ascii="宋体" w:hAnsi="宋体" w:cs="宋体" w:eastAsia="宋体" w:hint="default"/>
                            <w:spacing w:val="-9"/>
                            <w:sz w:val="18"/>
                            <w:szCs w:val="18"/>
                          </w:rPr>
                          <w:t>币性资产交换</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[2019]8</w:t>
                        </w:r>
                        <w:r>
                          <w:rPr>
                            <w:rFonts w:ascii="Times New Roman" w:hAnsi="Times New Roman" w:cs="Times New Roman" w:eastAsia="Times New Roman" w:hint="default"/>
                            <w:spacing w:val="-3"/>
                            <w:sz w:val="18"/>
                            <w:szCs w:val="18"/>
                          </w:rPr>
                          <w:t> </w:t>
                        </w:r>
                        <w:r>
                          <w:rPr>
                            <w:rFonts w:ascii="宋体" w:hAnsi="宋体" w:cs="宋体" w:eastAsia="宋体" w:hint="default"/>
                            <w:spacing w:val="-18"/>
                            <w:sz w:val="18"/>
                            <w:szCs w:val="18"/>
                          </w:rPr>
                          <w:t>号）</w:t>
                        </w:r>
                        <w:r>
                          <w:rPr>
                            <w:rFonts w:ascii="宋体" w:hAnsi="宋体" w:cs="宋体" w:eastAsia="宋体" w:hint="default"/>
                            <w:sz w:val="18"/>
                            <w:szCs w:val="18"/>
                          </w:rPr>
                        </w:r>
                      </w:p>
                      <w:p>
                        <w:pPr>
                          <w:pStyle w:val="TableParagraph"/>
                          <w:spacing w:line="300" w:lineRule="auto" w:before="13"/>
                          <w:ind w:left="24" w:right="12"/>
                          <w:jc w:val="left"/>
                          <w:rPr>
                            <w:rFonts w:ascii="宋体" w:hAnsi="宋体" w:cs="宋体" w:eastAsia="宋体" w:hint="default"/>
                            <w:sz w:val="18"/>
                            <w:szCs w:val="18"/>
                          </w:rPr>
                        </w:pPr>
                        <w:r>
                          <w:rPr>
                            <w:rFonts w:ascii="宋体" w:hAnsi="宋体" w:cs="宋体" w:eastAsia="宋体" w:hint="default"/>
                            <w:spacing w:val="-1"/>
                            <w:w w:val="100"/>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财会</w:t>
                        </w:r>
                        <w:r>
                          <w:rPr>
                            <w:rFonts w:ascii="Times New Roman" w:hAnsi="Times New Roman" w:cs="Times New Roman" w:eastAsia="Times New Roman" w:hint="default"/>
                            <w:spacing w:val="-1"/>
                            <w:w w:val="100"/>
                            <w:sz w:val="18"/>
                            <w:szCs w:val="18"/>
                          </w:rPr>
                          <w:t>[2019]8</w:t>
                        </w:r>
                        <w:r>
                          <w:rPr>
                            <w:rFonts w:ascii="Times New Roman" w:hAnsi="Times New Roman" w:cs="Times New Roman" w:eastAsia="Times New Roman" w:hint="default"/>
                            <w:w w:val="100"/>
                            <w:sz w:val="18"/>
                            <w:szCs w:val="18"/>
                          </w:rPr>
                          <w:t> </w:t>
                        </w:r>
                        <w:r>
                          <w:rPr>
                            <w:rFonts w:ascii="宋体" w:hAnsi="宋体" w:cs="宋体" w:eastAsia="宋体" w:hint="default"/>
                            <w:spacing w:val="-21"/>
                            <w:w w:val="100"/>
                            <w:sz w:val="18"/>
                            <w:szCs w:val="18"/>
                          </w:rPr>
                          <w:t>号</w:t>
                        </w:r>
                        <w:r>
                          <w:rPr>
                            <w:rFonts w:ascii="Times New Roman" w:hAnsi="Times New Roman" w:cs="Times New Roman" w:eastAsia="Times New Roman" w:hint="default"/>
                            <w:spacing w:val="-21"/>
                            <w:w w:val="100"/>
                            <w:sz w:val="18"/>
                            <w:szCs w:val="18"/>
                          </w:rPr>
                          <w:t>”</w:t>
                        </w:r>
                        <w:r>
                          <w:rPr>
                            <w:rFonts w:ascii="宋体" w:hAnsi="宋体" w:cs="宋体" w:eastAsia="宋体" w:hint="default"/>
                            <w:spacing w:val="-21"/>
                            <w:w w:val="100"/>
                            <w:sz w:val="18"/>
                            <w:szCs w:val="18"/>
                          </w:rPr>
                          <w:t>），要求所有</w:t>
                        </w:r>
                        <w:r>
                          <w:rPr>
                            <w:rFonts w:ascii="宋体" w:hAnsi="宋体" w:cs="宋体" w:eastAsia="宋体" w:hint="default"/>
                            <w:spacing w:val="-73"/>
                            <w:w w:val="100"/>
                            <w:sz w:val="18"/>
                            <w:szCs w:val="18"/>
                          </w:rPr>
                          <w:t> </w:t>
                        </w:r>
                        <w:r>
                          <w:rPr>
                            <w:rFonts w:ascii="宋体" w:hAnsi="宋体" w:cs="宋体" w:eastAsia="宋体" w:hint="default"/>
                            <w:spacing w:val="-73"/>
                            <w:w w:val="100"/>
                            <w:sz w:val="18"/>
                            <w:szCs w:val="18"/>
                          </w:rPr>
                        </w:r>
                        <w:r>
                          <w:rPr>
                            <w:rFonts w:ascii="宋体" w:hAnsi="宋体" w:cs="宋体" w:eastAsia="宋体" w:hint="default"/>
                            <w:sz w:val="18"/>
                            <w:szCs w:val="18"/>
                          </w:rPr>
                          <w:t>执行企业会计准则的企业自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日起施行修订后的《企业会计准则第</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日召开的第四届董</w:t>
                        </w:r>
                      </w:p>
                      <w:p>
                        <w:pPr>
                          <w:pStyle w:val="TableParagraph"/>
                          <w:spacing w:line="300" w:lineRule="auto" w:before="63"/>
                          <w:ind w:left="16" w:right="17"/>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年第一次会议审议通过了《关 </w:t>
                        </w:r>
                        <w:r>
                          <w:rPr>
                            <w:rFonts w:ascii="宋体" w:hAnsi="宋体" w:cs="宋体" w:eastAsia="宋体" w:hint="default"/>
                            <w:spacing w:val="-8"/>
                            <w:sz w:val="18"/>
                            <w:szCs w:val="18"/>
                          </w:rPr>
                          <w:t>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07" w:lineRule="auto"/>
                          <w:ind w:left="23" w:right="21"/>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日至执行日之间发生的 非货币性资产交换，根据修订后的准则 </w:t>
                        </w:r>
                        <w:r>
                          <w:rPr>
                            <w:rFonts w:ascii="宋体" w:hAnsi="宋体" w:cs="宋体" w:eastAsia="宋体" w:hint="default"/>
                            <w:spacing w:val="-3"/>
                            <w:sz w:val="18"/>
                            <w:szCs w:val="18"/>
                          </w:rPr>
                          <w:t>进行调整，对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 的非货币性资产交换，不进行追溯调整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12" w:lineRule="exact"/>
        <w:ind w:left="337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6.65pt;height:15.6pt;mso-position-horizontal-relative:char;mso-position-vertical-relative:line" coordorigin="0,0" coordsize="3133,312">
            <v:group style="position:absolute;left:0;top:0;width:3133;height:312" coordorigin="0,0" coordsize="3133,312">
              <v:shape style="position:absolute;left:0;top:0;width:3133;height:312" coordorigin="0,0" coordsize="3133,312" path="m0,312l3132,312,3132,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0" w:right="1138"/>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17.729996pt;margin-top:228.97998pt;width:156.65pt;height:15.6pt;mso-position-horizontal-relative:page;mso-position-vertical-relative:page;z-index:-1238728" coordorigin="4355,4580" coordsize="3133,312">
            <v:shape style="position:absolute;left:4355;top:4580;width:3133;height:312" coordorigin="4355,4580" coordsize="3133,312" path="m4355,4892l7487,4892,7487,4580,4355,4580,4355,489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219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日发布了《关</w:t>
            </w:r>
          </w:p>
          <w:p>
            <w:pPr>
              <w:pStyle w:val="TableParagraph"/>
              <w:spacing w:line="300" w:lineRule="auto" w:before="63"/>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债务重组</w:t>
            </w:r>
            <w:r>
              <w:rPr>
                <w:rFonts w:ascii="Times New Roman" w:hAnsi="Times New Roman" w:cs="Times New Roman" w:eastAsia="Times New Roman" w:hint="default"/>
                <w:spacing w:val="-8"/>
                <w:sz w:val="18"/>
                <w:szCs w:val="18"/>
              </w:rPr>
              <w:t>&gt;</w:t>
            </w:r>
            <w:r>
              <w:rPr>
                <w:rFonts w:ascii="宋体" w:hAnsi="宋体" w:cs="宋体" w:eastAsia="宋体" w:hint="default"/>
                <w:spacing w:val="-8"/>
                <w:sz w:val="18"/>
                <w:szCs w:val="18"/>
              </w:rPr>
              <w:t>的通知》（财会</w:t>
            </w:r>
            <w:r>
              <w:rPr>
                <w:rFonts w:ascii="Times New Roman" w:hAnsi="Times New Roman" w:cs="Times New Roman" w:eastAsia="Times New Roman" w:hint="default"/>
                <w:spacing w:val="-8"/>
                <w:sz w:val="18"/>
                <w:szCs w:val="18"/>
              </w:rPr>
              <w:t>[2019]9</w:t>
            </w:r>
            <w:r>
              <w:rPr>
                <w:rFonts w:ascii="Times New Roman" w:hAnsi="Times New Roman" w:cs="Times New Roman" w:eastAsia="Times New Roman" w:hint="default"/>
                <w:spacing w:val="9"/>
                <w:sz w:val="18"/>
                <w:szCs w:val="18"/>
              </w:rPr>
              <w:t> </w:t>
            </w:r>
            <w:r>
              <w:rPr>
                <w:rFonts w:ascii="宋体" w:hAnsi="宋体" w:cs="宋体" w:eastAsia="宋体" w:hint="default"/>
                <w:spacing w:val="-36"/>
                <w:sz w:val="18"/>
                <w:szCs w:val="18"/>
              </w:rPr>
              <w:t>号）（以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w w:val="100"/>
                <w:sz w:val="18"/>
                <w:szCs w:val="18"/>
              </w:rPr>
              <w:t>下简称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财会</w:t>
            </w:r>
            <w:r>
              <w:rPr>
                <w:rFonts w:ascii="Times New Roman" w:hAnsi="Times New Roman" w:cs="Times New Roman" w:eastAsia="Times New Roman" w:hint="default"/>
                <w:spacing w:val="-1"/>
                <w:w w:val="100"/>
                <w:sz w:val="18"/>
                <w:szCs w:val="18"/>
              </w:rPr>
              <w:t>[2019]9</w:t>
            </w:r>
            <w:r>
              <w:rPr>
                <w:rFonts w:ascii="Times New Roman" w:hAnsi="Times New Roman" w:cs="Times New Roman" w:eastAsia="Times New Roman" w:hint="default"/>
                <w:spacing w:val="11"/>
                <w:w w:val="100"/>
                <w:sz w:val="18"/>
                <w:szCs w:val="18"/>
              </w:rPr>
              <w:t> </w:t>
            </w:r>
            <w:r>
              <w:rPr>
                <w:rFonts w:ascii="宋体" w:hAnsi="宋体" w:cs="宋体" w:eastAsia="宋体" w:hint="default"/>
                <w:spacing w:val="-17"/>
                <w:w w:val="100"/>
                <w:sz w:val="18"/>
                <w:szCs w:val="18"/>
              </w:rPr>
              <w:t>号</w:t>
            </w:r>
            <w:r>
              <w:rPr>
                <w:rFonts w:ascii="Times New Roman" w:hAnsi="Times New Roman" w:cs="Times New Roman" w:eastAsia="Times New Roman" w:hint="default"/>
                <w:spacing w:val="-17"/>
                <w:w w:val="100"/>
                <w:sz w:val="18"/>
                <w:szCs w:val="18"/>
              </w:rPr>
              <w:t>”</w:t>
            </w:r>
            <w:r>
              <w:rPr>
                <w:rFonts w:ascii="宋体" w:hAnsi="宋体" w:cs="宋体" w:eastAsia="宋体" w:hint="default"/>
                <w:spacing w:val="-17"/>
                <w:w w:val="100"/>
                <w:sz w:val="18"/>
                <w:szCs w:val="18"/>
              </w:rPr>
              <w:t>），要求所有执行</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企业会计准则的企业自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日起施行修订后的《企业会计准则第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日召开的第四届董</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年第一次会议审议通过了《关 </w:t>
            </w:r>
            <w:r>
              <w:rPr>
                <w:rFonts w:ascii="宋体" w:hAnsi="宋体" w:cs="宋体" w:eastAsia="宋体" w:hint="default"/>
                <w:spacing w:val="-8"/>
                <w:sz w:val="18"/>
                <w:szCs w:val="18"/>
              </w:rPr>
              <w:t>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07" w:lineRule="auto"/>
              <w:ind w:left="23" w:right="21"/>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日至执行日之间发生的 债务重组，据修订后的准则进行调整， 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日之前发生的债务重组 不进行追溯调整。</w:t>
            </w:r>
          </w:p>
        </w:tc>
      </w:tr>
      <w:tr>
        <w:trPr>
          <w:trHeight w:val="2818"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日发布了《关于</w:t>
            </w:r>
          </w:p>
          <w:p>
            <w:pPr>
              <w:pStyle w:val="TableParagraph"/>
              <w:spacing w:line="307" w:lineRule="auto" w:before="63"/>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修订印发</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收 </w:t>
            </w:r>
            <w:r>
              <w:rPr>
                <w:rFonts w:ascii="宋体" w:hAnsi="宋体" w:cs="宋体" w:eastAsia="宋体" w:hint="default"/>
                <w:spacing w:val="-6"/>
                <w:sz w:val="18"/>
                <w:szCs w:val="18"/>
              </w:rPr>
              <w:t>入</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[2017]22</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号）（以下简</w:t>
            </w:r>
            <w:r>
              <w:rPr>
                <w:rFonts w:ascii="宋体" w:hAnsi="宋体" w:cs="宋体" w:eastAsia="宋体" w:hint="default"/>
                <w:sz w:val="18"/>
                <w:szCs w:val="18"/>
              </w:rPr>
              <w:t> </w:t>
            </w:r>
            <w:r>
              <w:rPr>
                <w:rFonts w:ascii="宋体" w:hAnsi="宋体" w:cs="宋体" w:eastAsia="宋体" w:hint="default"/>
                <w:spacing w:val="-1"/>
                <w:w w:val="100"/>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财会</w:t>
            </w:r>
            <w:r>
              <w:rPr>
                <w:rFonts w:ascii="Times New Roman" w:hAnsi="Times New Roman" w:cs="Times New Roman" w:eastAsia="Times New Roman" w:hint="default"/>
                <w:spacing w:val="-1"/>
                <w:w w:val="100"/>
                <w:sz w:val="18"/>
                <w:szCs w:val="18"/>
              </w:rPr>
              <w:t>[2017]22</w:t>
            </w:r>
            <w:r>
              <w:rPr>
                <w:rFonts w:ascii="Times New Roman" w:hAnsi="Times New Roman" w:cs="Times New Roman" w:eastAsia="Times New Roman" w:hint="default"/>
                <w:spacing w:val="12"/>
                <w:w w:val="100"/>
                <w:sz w:val="18"/>
                <w:szCs w:val="18"/>
              </w:rPr>
              <w:t> </w:t>
            </w:r>
            <w:r>
              <w:rPr>
                <w:rFonts w:ascii="宋体" w:hAnsi="宋体" w:cs="宋体" w:eastAsia="宋体" w:hint="default"/>
                <w:spacing w:val="-17"/>
                <w:w w:val="100"/>
                <w:sz w:val="18"/>
                <w:szCs w:val="18"/>
              </w:rPr>
              <w:t>号</w:t>
            </w:r>
            <w:r>
              <w:rPr>
                <w:rFonts w:ascii="Times New Roman" w:hAnsi="Times New Roman" w:cs="Times New Roman" w:eastAsia="Times New Roman" w:hint="default"/>
                <w:spacing w:val="-17"/>
                <w:w w:val="100"/>
                <w:sz w:val="18"/>
                <w:szCs w:val="18"/>
              </w:rPr>
              <w:t>”</w:t>
            </w:r>
            <w:r>
              <w:rPr>
                <w:rFonts w:ascii="宋体" w:hAnsi="宋体" w:cs="宋体" w:eastAsia="宋体" w:hint="default"/>
                <w:spacing w:val="-17"/>
                <w:w w:val="100"/>
                <w:sz w:val="18"/>
                <w:szCs w:val="18"/>
              </w:rPr>
              <w:t>），根据财政部要求，</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在境内外同时上市的企业以及在境外上</w:t>
            </w:r>
            <w:r>
              <w:rPr>
                <w:rFonts w:ascii="宋体" w:hAnsi="宋体" w:cs="宋体" w:eastAsia="宋体" w:hint="default"/>
                <w:sz w:val="18"/>
                <w:szCs w:val="18"/>
              </w:rPr>
              <w:t> 市并采用国际财务报告准则或企业会计 准则编制财务报表的企业，自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日起施行该准则；其他境内上市企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日起施行。</w:t>
            </w:r>
          </w:p>
        </w:tc>
        <w:tc>
          <w:tcPr>
            <w:tcW w:w="318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日召开的第四届董</w:t>
            </w:r>
          </w:p>
          <w:p>
            <w:pPr>
              <w:pStyle w:val="TableParagraph"/>
              <w:spacing w:line="300" w:lineRule="auto" w:before="63"/>
              <w:ind w:left="16" w:right="17"/>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年第一次会议审议通过了《关 </w:t>
            </w:r>
            <w:r>
              <w:rPr>
                <w:rFonts w:ascii="宋体" w:hAnsi="宋体" w:cs="宋体" w:eastAsia="宋体" w:hint="default"/>
                <w:spacing w:val="-8"/>
                <w:sz w:val="18"/>
                <w:szCs w:val="18"/>
              </w:rPr>
              <w:t>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61"/>
              <w:ind w:left="23" w:right="21"/>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日起执行新收入准 则。根据衔接规定，首次执行本准则的 累积影响数，调整期初留存收益及财务 报表其他相关项目金额，对可比期间信 息不予调整。</w:t>
            </w:r>
          </w:p>
        </w:tc>
      </w:tr>
      <w:tr>
        <w:trPr>
          <w:trHeight w:val="531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02" w:lineRule="auto"/>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日，财政部颁布了《关于</w:t>
            </w:r>
            <w:r>
              <w:rPr>
                <w:rFonts w:ascii="宋体" w:hAnsi="宋体" w:cs="宋体" w:eastAsia="宋体" w:hint="default"/>
                <w:sz w:val="18"/>
                <w:szCs w:val="18"/>
              </w:rPr>
              <w:t> 修订印发合并财务报表格式（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 </w:t>
            </w:r>
            <w:r>
              <w:rPr>
                <w:rFonts w:ascii="宋体" w:hAnsi="宋体" w:cs="宋体" w:eastAsia="宋体" w:hint="default"/>
                <w:spacing w:val="-12"/>
                <w:sz w:val="18"/>
                <w:szCs w:val="18"/>
              </w:rPr>
              <w:t>的通知》（财会</w:t>
            </w:r>
            <w:r>
              <w:rPr>
                <w:rFonts w:ascii="Times New Roman" w:hAnsi="Times New Roman" w:cs="Times New Roman" w:eastAsia="Times New Roman" w:hint="default"/>
                <w:spacing w:val="-12"/>
                <w:sz w:val="18"/>
                <w:szCs w:val="18"/>
              </w:rPr>
              <w:t>[2019]16</w:t>
            </w:r>
            <w:r>
              <w:rPr>
                <w:rFonts w:ascii="Times New Roman" w:hAnsi="Times New Roman" w:cs="Times New Roman" w:eastAsia="Times New Roman" w:hint="default"/>
                <w:spacing w:val="2"/>
                <w:sz w:val="18"/>
                <w:szCs w:val="18"/>
              </w:rPr>
              <w:t> </w:t>
            </w:r>
            <w:r>
              <w:rPr>
                <w:rFonts w:ascii="宋体" w:hAnsi="宋体" w:cs="宋体" w:eastAsia="宋体" w:hint="default"/>
                <w:spacing w:val="-20"/>
                <w:w w:val="100"/>
                <w:sz w:val="18"/>
                <w:szCs w:val="18"/>
              </w:rPr>
              <w:t>号）（以下简称</w:t>
            </w:r>
            <w:r>
              <w:rPr>
                <w:rFonts w:ascii="Times New Roman" w:hAnsi="Times New Roman" w:cs="Times New Roman" w:eastAsia="Times New Roman" w:hint="default"/>
                <w:spacing w:val="-20"/>
                <w:w w:val="100"/>
                <w:sz w:val="18"/>
                <w:szCs w:val="18"/>
              </w:rPr>
              <w:t>“</w:t>
            </w:r>
            <w:r>
              <w:rPr>
                <w:rFonts w:ascii="宋体" w:hAnsi="宋体" w:cs="宋体" w:eastAsia="宋体" w:hint="default"/>
                <w:spacing w:val="-20"/>
                <w:w w:val="100"/>
                <w:sz w:val="18"/>
                <w:szCs w:val="18"/>
              </w:rPr>
              <w:t>财</w:t>
            </w:r>
            <w:r>
              <w:rPr>
                <w:rFonts w:ascii="宋体" w:hAnsi="宋体" w:cs="宋体" w:eastAsia="宋体" w:hint="default"/>
                <w:sz w:val="18"/>
                <w:szCs w:val="18"/>
              </w:rPr>
              <w:t> </w:t>
            </w:r>
            <w:r>
              <w:rPr>
                <w:rFonts w:ascii="宋体" w:hAnsi="宋体" w:cs="宋体" w:eastAsia="宋体" w:hint="default"/>
                <w:spacing w:val="-1"/>
                <w:sz w:val="18"/>
                <w:szCs w:val="18"/>
              </w:rPr>
              <w:t>会</w:t>
            </w:r>
            <w:r>
              <w:rPr>
                <w:rFonts w:ascii="Times New Roman" w:hAnsi="Times New Roman" w:cs="Times New Roman" w:eastAsia="Times New Roman" w:hint="default"/>
                <w:spacing w:val="-1"/>
                <w:sz w:val="18"/>
                <w:szCs w:val="18"/>
              </w:rPr>
              <w:t>[2019]16</w:t>
            </w:r>
            <w:r>
              <w:rPr>
                <w:rFonts w:ascii="Times New Roman" w:hAnsi="Times New Roman" w:cs="Times New Roman" w:eastAsia="Times New Roman" w:hint="default"/>
                <w:spacing w:val="12"/>
                <w:sz w:val="18"/>
                <w:szCs w:val="18"/>
              </w:rPr>
              <w:t> </w:t>
            </w:r>
            <w:r>
              <w:rPr>
                <w:rFonts w:ascii="宋体" w:hAnsi="宋体" w:cs="宋体" w:eastAsia="宋体" w:hint="default"/>
                <w:spacing w:val="-13"/>
                <w:w w:val="100"/>
                <w:sz w:val="18"/>
                <w:szCs w:val="18"/>
              </w:rPr>
              <w:t>号</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），对合并财务报表格式进</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行了修订，要求执行企业会计准则的企 业按照会计准则和财会</w:t>
            </w:r>
            <w:r>
              <w:rPr>
                <w:rFonts w:ascii="Times New Roman" w:hAnsi="Times New Roman" w:cs="Times New Roman" w:eastAsia="Times New Roman" w:hint="default"/>
                <w:sz w:val="18"/>
                <w:szCs w:val="18"/>
              </w:rPr>
              <w:t>[2019]16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号通知 的要求编制</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年度合并财务报表及以 后期间的合并财务报表。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日召开的第四届董</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年第一次会议审议通过了《关 </w:t>
            </w:r>
            <w:r>
              <w:rPr>
                <w:rFonts w:ascii="宋体" w:hAnsi="宋体" w:cs="宋体" w:eastAsia="宋体" w:hint="default"/>
                <w:spacing w:val="-8"/>
                <w:sz w:val="18"/>
                <w:szCs w:val="18"/>
              </w:rPr>
              <w:t>于会计政策变更的议案》。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在原合并资产负债表中增加了</w:t>
            </w:r>
            <w:r>
              <w:rPr>
                <w:rFonts w:ascii="Times New Roman" w:hAnsi="Times New Roman" w:cs="Times New Roman" w:eastAsia="Times New Roman" w:hint="default"/>
                <w:sz w:val="18"/>
                <w:szCs w:val="18"/>
              </w:rPr>
              <w:t>“</w:t>
            </w:r>
            <w:r>
              <w:rPr>
                <w:rFonts w:ascii="宋体" w:hAnsi="宋体" w:cs="宋体" w:eastAsia="宋体" w:hint="default"/>
                <w:sz w:val="18"/>
                <w:szCs w:val="18"/>
              </w:rPr>
              <w:t>使用权 资产</w:t>
            </w:r>
            <w:r>
              <w:rPr>
                <w:rFonts w:ascii="Times New Roman" w:hAnsi="Times New Roman" w:cs="Times New Roman" w:eastAsia="Times New Roman" w:hint="default"/>
                <w:sz w:val="18"/>
                <w:szCs w:val="18"/>
              </w:rPr>
              <w:t>”“</w:t>
            </w:r>
            <w:r>
              <w:rPr>
                <w:rFonts w:ascii="宋体" w:hAnsi="宋体" w:cs="宋体" w:eastAsia="宋体" w:hint="default"/>
                <w:sz w:val="18"/>
                <w:szCs w:val="18"/>
              </w:rPr>
              <w:t>租赁负债</w:t>
            </w:r>
            <w:r>
              <w:rPr>
                <w:rFonts w:ascii="Times New Roman" w:hAnsi="Times New Roman" w:cs="Times New Roman" w:eastAsia="Times New Roman" w:hint="default"/>
                <w:sz w:val="18"/>
                <w:szCs w:val="18"/>
              </w:rPr>
              <w:t>”</w:t>
            </w:r>
            <w:r>
              <w:rPr>
                <w:rFonts w:ascii="宋体" w:hAnsi="宋体" w:cs="宋体" w:eastAsia="宋体" w:hint="default"/>
                <w:sz w:val="18"/>
                <w:szCs w:val="18"/>
              </w:rPr>
              <w:t>等行项目，在原合并利 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行项目下增加了</w:t>
            </w:r>
            <w:r>
              <w:rPr>
                <w:rFonts w:ascii="Times New Roman" w:hAnsi="Times New Roman" w:cs="Times New Roman" w:eastAsia="Times New Roman" w:hint="default"/>
                <w:sz w:val="18"/>
                <w:szCs w:val="18"/>
              </w:rPr>
              <w:t>“</w:t>
            </w:r>
            <w:r>
              <w:rPr>
                <w:rFonts w:ascii="宋体" w:hAnsi="宋体" w:cs="宋体" w:eastAsia="宋体" w:hint="default"/>
                <w:sz w:val="18"/>
                <w:szCs w:val="18"/>
              </w:rPr>
              <w:t>其 中：以摊余成本计量的金融资产终止确 </w:t>
            </w:r>
            <w:r>
              <w:rPr>
                <w:rFonts w:ascii="宋体" w:hAnsi="宋体" w:cs="宋体" w:eastAsia="宋体" w:hint="default"/>
                <w:spacing w:val="-1"/>
                <w:sz w:val="18"/>
                <w:szCs w:val="18"/>
              </w:rPr>
              <w:t>认收益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行项目。将原合并资产负债表中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行项目分拆为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三个行项目，将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行项目分拆为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两 </w:t>
            </w:r>
            <w:r>
              <w:rPr>
                <w:rFonts w:ascii="宋体" w:hAnsi="宋体" w:cs="宋体" w:eastAsia="宋体" w:hint="default"/>
                <w:spacing w:val="-1"/>
                <w:sz w:val="18"/>
                <w:szCs w:val="18"/>
              </w:rPr>
              <w:t>个行项目，将原合并利润表中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资产减值</w:t>
            </w:r>
            <w:r>
              <w:rPr>
                <w:rFonts w:ascii="宋体" w:hAnsi="宋体" w:cs="宋体" w:eastAsia="宋体" w:hint="default"/>
                <w:spacing w:val="-81"/>
                <w:sz w:val="18"/>
                <w:szCs w:val="18"/>
              </w:rPr>
              <w:t> </w:t>
            </w: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信用减值损失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行项目的列报行次 进行了调整，删除了原合并现金流量表 中</w:t>
            </w:r>
            <w:r>
              <w:rPr>
                <w:rFonts w:ascii="Times New Roman" w:hAnsi="Times New Roman" w:cs="Times New Roman" w:eastAsia="Times New Roman" w:hint="default"/>
                <w:sz w:val="18"/>
                <w:szCs w:val="18"/>
              </w:rPr>
              <w:t>“</w:t>
            </w:r>
            <w:r>
              <w:rPr>
                <w:rFonts w:ascii="宋体" w:hAnsi="宋体" w:cs="宋体" w:eastAsia="宋体" w:hint="default"/>
                <w:sz w:val="18"/>
                <w:szCs w:val="18"/>
              </w:rPr>
              <w:t>为交易目的而持有的金融资产净增 加额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发行债券收到的现金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等行项目， 在原合并资产负债表和合并所有者权益 变动表中分别增加了</w:t>
            </w:r>
            <w:r>
              <w:rPr>
                <w:rFonts w:ascii="Times New Roman" w:hAnsi="Times New Roman" w:cs="Times New Roman" w:eastAsia="Times New Roman" w:hint="default"/>
                <w:sz w:val="18"/>
                <w:szCs w:val="18"/>
              </w:rPr>
              <w:t>“</w:t>
            </w: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 和列项目。</w:t>
            </w:r>
          </w:p>
        </w:tc>
      </w:tr>
    </w:tbl>
    <w:p>
      <w:pPr>
        <w:pStyle w:val="BodyText"/>
        <w:spacing w:line="319" w:lineRule="auto" w:before="8"/>
        <w:ind w:right="1130" w:firstLine="360"/>
        <w:jc w:val="both"/>
      </w:pPr>
      <w:r>
        <w:rPr>
          <w:spacing w:val="-2"/>
        </w:rPr>
        <w:t>在新金融工具准则下所有已确认金融资产，其后续均按摊余成本或公允价值计量。在新金融工具准则施行日，以本公司</w:t>
      </w:r>
      <w:r>
        <w:rPr/>
        <w:t> </w:t>
      </w:r>
      <w:r>
        <w:rPr>
          <w:spacing w:val="-2"/>
        </w:rPr>
        <w:t>该日既有事实和情况为基础评估管理金融资产的业务模式、以金融资产初始确认时的事实和情况为基础评估该金融资产上的</w:t>
      </w:r>
      <w:r>
        <w:rPr>
          <w:spacing w:val="-64"/>
        </w:rPr>
        <w:t> </w:t>
      </w:r>
      <w:r>
        <w:rPr>
          <w:spacing w:val="-64"/>
        </w:rPr>
      </w:r>
      <w:r>
        <w:rPr>
          <w:spacing w:val="-2"/>
        </w:rPr>
        <w:t>合同现金流量特征，将金融资产分为三类：按摊余成本计量、按公允价值计量且其变动计入其他综合收益及按公允价值计量</w:t>
      </w:r>
      <w:r>
        <w:rPr>
          <w:spacing w:val="-63"/>
        </w:rPr>
        <w:t> </w:t>
      </w:r>
      <w:r>
        <w:rPr>
          <w:spacing w:val="-63"/>
        </w:rPr>
      </w:r>
      <w:r>
        <w:rPr>
          <w:spacing w:val="-5"/>
        </w:rPr>
        <w:t>且其变动计入当期损益。其中，对于按公允价值计量且其变动计入其他综合收益的权益工具投资，当该金融资产终止确认时，</w:t>
      </w:r>
      <w:r>
        <w:rPr>
          <w:spacing w:val="-78"/>
        </w:rPr>
        <w:t> </w:t>
      </w:r>
      <w:r>
        <w:rPr>
          <w:spacing w:val="-78"/>
        </w:rPr>
      </w:r>
      <w:r>
        <w:rPr/>
        <w:t>之前计入其他综合收益的累计利得或损失将从其他综合收益转入留存收益，不计入当期损益。</w:t>
      </w:r>
    </w:p>
    <w:p>
      <w:pPr>
        <w:pStyle w:val="BodyText"/>
        <w:spacing w:line="316" w:lineRule="auto" w:before="17"/>
        <w:ind w:right="1130" w:firstLine="360"/>
        <w:jc w:val="both"/>
      </w:pPr>
      <w:r>
        <w:rPr>
          <w:spacing w:val="-2"/>
        </w:rPr>
        <w:t>在新金融工具准则下，本公司以预期信用损失为基础，对以摊余成本计量的金融资产、以公允价值计量且其变动计入其</w:t>
      </w:r>
      <w:r>
        <w:rPr/>
        <w:t> 他综合收益的债务工具投资、租赁应收款、合同资产及财务担保合同计提减值准备并确认信用减值损失。</w:t>
      </w:r>
    </w:p>
    <w:p>
      <w:pPr>
        <w:pStyle w:val="BodyText"/>
        <w:spacing w:line="309" w:lineRule="auto" w:before="19"/>
        <w:ind w:right="1132" w:firstLine="360"/>
        <w:jc w:val="both"/>
      </w:pPr>
      <w:r>
        <w:rPr>
          <w:spacing w:val="-5"/>
        </w:rPr>
        <w:t>本公司追溯应用新金融工具准则，但对于分类和计量（含减值）涉及前期比较财务报表数据与新金融工具准则不一致的，</w:t>
      </w:r>
      <w:r>
        <w:rPr/>
        <w:t> 本公司选择不进行重述。因此，对于首次执行该准则的累积影响数，本公司调整</w:t>
      </w:r>
      <w:r>
        <w:rPr>
          <w:spacing w:val="-45"/>
        </w:rPr>
        <w:t> </w:t>
      </w:r>
      <w:r>
        <w:rPr>
          <w:rFonts w:ascii="Times New Roman" w:hAnsi="Times New Roman" w:cs="Times New Roman" w:eastAsia="Times New Roman" w:hint="default"/>
        </w:rPr>
        <w:t>2019 </w:t>
      </w:r>
      <w:r>
        <w:rPr/>
        <w:t>年年初留存收益或其他综合收益以及 财务报表其他相关项目金额，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年度的财务报表未予重述。</w:t>
      </w:r>
    </w:p>
    <w:p>
      <w:pPr>
        <w:spacing w:after="0" w:line="309"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3827"/>
        <w:jc w:val="left"/>
      </w:pPr>
      <w:r>
        <w:rPr/>
        <w:t>上述会计政策变更对公司</w:t>
      </w:r>
      <w:r>
        <w:rPr>
          <w:rFonts w:ascii="Times New Roman" w:hAnsi="Times New Roman" w:cs="Times New Roman" w:eastAsia="Times New Roman" w:hint="default"/>
        </w:rPr>
        <w:t>2019</w:t>
      </w:r>
      <w:r>
        <w:rPr/>
        <w:t>年度财务报表项目列报影响如下：</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1925"/>
        <w:gridCol w:w="1925"/>
        <w:gridCol w:w="1928"/>
        <w:gridCol w:w="1925"/>
        <w:gridCol w:w="1927"/>
      </w:tblGrid>
      <w:tr>
        <w:trPr>
          <w:trHeight w:val="659" w:hRule="exact"/>
        </w:trPr>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8"/>
              <w:ind w:left="866" w:right="51" w:hanging="810"/>
              <w:jc w:val="left"/>
              <w:rPr>
                <w:rFonts w:ascii="宋体" w:hAnsi="宋体" w:cs="宋体" w:eastAsia="宋体" w:hint="default"/>
                <w:sz w:val="18"/>
                <w:szCs w:val="18"/>
              </w:rPr>
            </w:pPr>
            <w:r>
              <w:rPr>
                <w:rFonts w:ascii="宋体" w:hAnsi="宋体" w:cs="宋体" w:eastAsia="宋体" w:hint="default"/>
                <w:sz w:val="18"/>
                <w:szCs w:val="18"/>
              </w:rPr>
              <w:t>会计政策变更内容和原 因</w:t>
            </w:r>
          </w:p>
        </w:tc>
        <w:tc>
          <w:tcPr>
            <w:tcW w:w="385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日重述报表项目及金额</w:t>
            </w:r>
          </w:p>
        </w:tc>
        <w:tc>
          <w:tcPr>
            <w:tcW w:w="385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日列报的报表项目及金额</w:t>
            </w:r>
          </w:p>
        </w:tc>
      </w:tr>
      <w:tr>
        <w:trPr>
          <w:trHeight w:val="347" w:hRule="exact"/>
        </w:trPr>
        <w:tc>
          <w:tcPr>
            <w:tcW w:w="1925" w:type="dxa"/>
            <w:vMerge w:val="restart"/>
            <w:tcBorders>
              <w:top w:val="single" w:sz="6" w:space="0" w:color="000000"/>
              <w:left w:val="single" w:sz="6" w:space="0" w:color="000000"/>
              <w:right w:val="single" w:sz="6" w:space="0" w:color="000000"/>
            </w:tcBorders>
          </w:tcPr>
          <w:p>
            <w:pPr>
              <w:pStyle w:val="TableParagraph"/>
              <w:spacing w:line="300" w:lineRule="auto" w:before="35"/>
              <w:ind w:left="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、应收票据和应收账款 分开列示</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59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4,600,000.00</w:t>
            </w:r>
          </w:p>
        </w:tc>
        <w:tc>
          <w:tcPr>
            <w:tcW w:w="192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2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1,622,522,954.88</w:t>
            </w:r>
          </w:p>
        </w:tc>
      </w:tr>
      <w:tr>
        <w:trPr>
          <w:trHeight w:val="348" w:hRule="exact"/>
        </w:trPr>
        <w:tc>
          <w:tcPr>
            <w:tcW w:w="1925" w:type="dxa"/>
            <w:vMerge/>
            <w:tcBorders>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1,617,922,954.88</w:t>
            </w:r>
          </w:p>
        </w:tc>
        <w:tc>
          <w:tcPr>
            <w:tcW w:w="1925" w:type="dxa"/>
            <w:vMerge/>
            <w:tcBorders>
              <w:left w:val="single" w:sz="6" w:space="0" w:color="000000"/>
              <w:bottom w:val="single" w:sz="6" w:space="0" w:color="000000"/>
              <w:right w:val="single" w:sz="6" w:space="0" w:color="000000"/>
            </w:tcBorders>
          </w:tcPr>
          <w:p>
            <w:pPr/>
          </w:p>
        </w:tc>
        <w:tc>
          <w:tcPr>
            <w:tcW w:w="1927" w:type="dxa"/>
            <w:vMerge/>
            <w:tcBorders>
              <w:left w:val="single" w:sz="6" w:space="0" w:color="000000"/>
              <w:bottom w:val="single" w:sz="6" w:space="0" w:color="000000"/>
              <w:right w:val="single" w:sz="6" w:space="0" w:color="000000"/>
            </w:tcBorders>
          </w:tcPr>
          <w:p>
            <w:pPr/>
          </w:p>
        </w:tc>
      </w:tr>
      <w:tr>
        <w:trPr>
          <w:trHeight w:val="346" w:hRule="exact"/>
        </w:trPr>
        <w:tc>
          <w:tcPr>
            <w:tcW w:w="192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、新增交易性金融资产</w:t>
            </w:r>
          </w:p>
        </w:tc>
        <w:tc>
          <w:tcPr>
            <w:tcW w:w="192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2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251,224,993.54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250,000,000.00</w:t>
            </w:r>
          </w:p>
        </w:tc>
      </w:tr>
      <w:tr>
        <w:trPr>
          <w:trHeight w:val="348" w:hRule="exact"/>
        </w:trPr>
        <w:tc>
          <w:tcPr>
            <w:tcW w:w="1925" w:type="dxa"/>
            <w:vMerge/>
            <w:tcBorders>
              <w:left w:val="single" w:sz="6" w:space="0" w:color="000000"/>
              <w:bottom w:val="single" w:sz="6" w:space="0" w:color="000000"/>
              <w:right w:val="single" w:sz="6" w:space="0" w:color="000000"/>
            </w:tcBorders>
          </w:tcPr>
          <w:p>
            <w:pPr/>
          </w:p>
        </w:tc>
        <w:tc>
          <w:tcPr>
            <w:tcW w:w="1925" w:type="dxa"/>
            <w:vMerge/>
            <w:tcBorders>
              <w:left w:val="single" w:sz="6" w:space="0" w:color="000000"/>
              <w:bottom w:val="single" w:sz="6" w:space="0" w:color="000000"/>
              <w:right w:val="single" w:sz="6" w:space="0" w:color="000000"/>
            </w:tcBorders>
          </w:tcPr>
          <w:p>
            <w:pPr/>
          </w:p>
        </w:tc>
        <w:tc>
          <w:tcPr>
            <w:tcW w:w="1928" w:type="dxa"/>
            <w:vMerge/>
            <w:tcBorders>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其他应收款中应收利息</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1,224,993.54</w:t>
            </w:r>
          </w:p>
        </w:tc>
      </w:tr>
      <w:tr>
        <w:trPr>
          <w:trHeight w:val="658"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、新增其他权益工具投 资</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56,592,267.47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56,592,267.47</w:t>
            </w:r>
          </w:p>
        </w:tc>
      </w:tr>
      <w:tr>
        <w:trPr>
          <w:trHeight w:val="348" w:hRule="exact"/>
        </w:trPr>
        <w:tc>
          <w:tcPr>
            <w:tcW w:w="1925" w:type="dxa"/>
            <w:vMerge w:val="restart"/>
            <w:tcBorders>
              <w:top w:val="single" w:sz="6" w:space="0" w:color="000000"/>
              <w:left w:val="single" w:sz="6" w:space="0" w:color="000000"/>
              <w:right w:val="single" w:sz="6" w:space="0" w:color="000000"/>
            </w:tcBorders>
          </w:tcPr>
          <w:p>
            <w:pPr>
              <w:pStyle w:val="TableParagraph"/>
              <w:spacing w:line="300" w:lineRule="auto" w:before="37"/>
              <w:ind w:left="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、应付票据和应付账款 分开列示</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2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27"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1,165,086,955.74</w:t>
            </w:r>
          </w:p>
        </w:tc>
      </w:tr>
      <w:tr>
        <w:trPr>
          <w:trHeight w:val="348" w:hRule="exact"/>
        </w:trPr>
        <w:tc>
          <w:tcPr>
            <w:tcW w:w="1925" w:type="dxa"/>
            <w:vMerge/>
            <w:tcBorders>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1,165,086,955.74</w:t>
            </w:r>
          </w:p>
        </w:tc>
        <w:tc>
          <w:tcPr>
            <w:tcW w:w="1925" w:type="dxa"/>
            <w:vMerge/>
            <w:tcBorders>
              <w:left w:val="single" w:sz="6" w:space="0" w:color="000000"/>
              <w:bottom w:val="single" w:sz="6" w:space="0" w:color="000000"/>
              <w:right w:val="single" w:sz="6" w:space="0" w:color="000000"/>
            </w:tcBorders>
          </w:tcPr>
          <w:p>
            <w:pPr/>
          </w:p>
        </w:tc>
        <w:tc>
          <w:tcPr>
            <w:tcW w:w="1927" w:type="dxa"/>
            <w:vMerge/>
            <w:tcBorders>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bookmarkStart w:name="（3）2019年起执行新金融工具准则、新收入准则或新租赁准则调整执行当年年初财务" w:id="214"/>
      <w:bookmarkEnd w:id="21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730,991,207.45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730,991,207.45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251,224,993.54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6" w:right="0"/>
              <w:jc w:val="left"/>
              <w:rPr>
                <w:rFonts w:ascii="Times New Roman" w:hAnsi="Times New Roman" w:cs="Times New Roman" w:eastAsia="Times New Roman" w:hint="default"/>
                <w:sz w:val="18"/>
                <w:szCs w:val="18"/>
              </w:rPr>
            </w:pPr>
            <w:r>
              <w:rPr>
                <w:rFonts w:ascii="Times New Roman"/>
                <w:sz w:val="18"/>
              </w:rPr>
              <w:t>251,224,993.54</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1,617,922,954.88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1,617,922,954.88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302,353,705.73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302,353,705.73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221,360,019.00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220,135,025.46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-1,224,993.54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1,224,993.54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-1,224,993.54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9,331,579.22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9,331,579.22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366,331,943.29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116,331,943.29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3,252,891,409.57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3,252,891,409.57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56,592,267.47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-56,592,267.47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56,592,267.47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56,592,267.47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4,040,067,130.95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4,040,067,130.95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938,491,735.17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938,491,735.17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396,593,287.11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396,593,287.11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2,397,904,262.39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2,397,904,262.39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212,939,874.22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212,939,874.22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18,398,221.05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18,398,221.05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73,015,270.28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73,015,270.28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8,134,002,048.64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8,134,002,048.64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11,386,893,458.21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11,386,893,458.21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1,165,086,955.74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1,165,086,955.74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152,605,204.89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152,605,204.89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19,643,402.02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19,643,402.02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88,070,828.92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88,070,828.92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188,072,971.84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188,072,971.84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2,432,039.28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2,432,039.28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1,753,479,363.41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1,753,479,363.41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1,488,332,103.61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1,488,332,103.61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617,043,821.52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617,043,821.52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22,380,612.91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22,380,612.91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2,128,236,538.04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2,128,236,538.04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3,881,715,901.45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3,881,715,901.45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1,539,675,821.00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1,539,675,821.00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4,429,356,256.15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4,429,356,256.15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78,275,273.37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78,275,273.37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1,453,336,132.25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1,453,336,132.25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7,500,643,482.77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7,500,643,482.77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4,534,073.99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4,534,073.99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7,505,177,556.76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7,505,177,556.76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11,386,893,458.21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11,386,893,458.21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827"/>
        <w:jc w:val="left"/>
      </w:pPr>
      <w:r>
        <w:rPr/>
        <w:t>调整情况说明</w:t>
      </w:r>
    </w:p>
    <w:p>
      <w:pPr>
        <w:pStyle w:val="BodyText"/>
        <w:spacing w:line="300" w:lineRule="auto" w:before="115"/>
        <w:ind w:right="1128" w:firstLine="360"/>
        <w:jc w:val="both"/>
      </w:pPr>
      <w:r>
        <w:rPr/>
        <w:t>财政部于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2"/>
        </w:rPr>
        <w:t>年颁布了修订后的《企业会计准则第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金融工具确认和计量》</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4"/>
        </w:rPr>
        <w:t> </w:t>
      </w:r>
      <w:r>
        <w:rPr>
          <w:spacing w:val="-12"/>
        </w:rPr>
        <w:t>号</w:t>
      </w:r>
      <w:r>
        <w:rPr>
          <w:rFonts w:ascii="Times New Roman" w:hAnsi="Times New Roman" w:cs="Times New Roman" w:eastAsia="Times New Roman" w:hint="default"/>
          <w:spacing w:val="-12"/>
        </w:rPr>
        <w:t>)</w:t>
      </w:r>
      <w:r>
        <w:rPr>
          <w:spacing w:val="-12"/>
        </w:rPr>
        <w:t>、《企业会计准</w:t>
      </w:r>
      <w:r>
        <w:rPr/>
        <w:t> 则第</w:t>
      </w:r>
      <w:r>
        <w:rPr>
          <w:spacing w:val="-39"/>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1"/>
        </w:rPr>
        <w:t>号</w:t>
      </w:r>
      <w:r>
        <w:rPr>
          <w:rFonts w:ascii="Times New Roman" w:hAnsi="Times New Roman" w:cs="Times New Roman" w:eastAsia="Times New Roman" w:hint="default"/>
          <w:spacing w:val="-1"/>
        </w:rPr>
        <w:t>——</w:t>
      </w:r>
      <w:r>
        <w:rPr>
          <w:spacing w:val="-1"/>
        </w:rPr>
        <w:t>金融资产转移》</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6"/>
        </w:rPr>
        <w:t> </w:t>
      </w:r>
      <w:r>
        <w:rPr>
          <w:spacing w:val="-9"/>
        </w:rPr>
        <w:t>号</w:t>
      </w:r>
      <w:r>
        <w:rPr>
          <w:rFonts w:ascii="Times New Roman" w:hAnsi="Times New Roman" w:cs="Times New Roman" w:eastAsia="Times New Roman" w:hint="default"/>
          <w:spacing w:val="-9"/>
        </w:rPr>
        <w:t>)</w:t>
      </w:r>
      <w:r>
        <w:rPr>
          <w:spacing w:val="-9"/>
        </w:rPr>
        <w:t>、《企业会计准则第</w:t>
      </w:r>
      <w:r>
        <w:rPr>
          <w:spacing w:val="-39"/>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spacing w:val="-1"/>
        </w:rPr>
        <w:t>号</w:t>
      </w:r>
      <w:r>
        <w:rPr>
          <w:rFonts w:ascii="Times New Roman" w:hAnsi="Times New Roman" w:cs="Times New Roman" w:eastAsia="Times New Roman" w:hint="default"/>
          <w:spacing w:val="-1"/>
        </w:rPr>
        <w:t>——</w:t>
      </w:r>
      <w:r>
        <w:rPr>
          <w:spacing w:val="-1"/>
        </w:rPr>
        <w:t>套期会计》</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及《企业会</w:t>
      </w:r>
      <w:r>
        <w:rPr>
          <w:spacing w:val="-84"/>
        </w:rPr>
        <w:t> </w:t>
      </w:r>
      <w:r>
        <w:rPr/>
        <w:t>计准则第</w:t>
      </w:r>
      <w:r>
        <w:rPr>
          <w:spacing w:val="-44"/>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金融工具列报》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，本公司于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日起执行上述新金融会计准则。根据衔接 规定，对可比期间信息不予调整，首日执行新准则与原准则的差异追溯调整本报告期期初未分配利润或其他综合收益。</w:t>
      </w:r>
    </w:p>
    <w:p>
      <w:pPr>
        <w:spacing w:line="240" w:lineRule="auto" w:before="13"/>
        <w:rPr>
          <w:rFonts w:ascii="宋体" w:hAnsi="宋体" w:cs="宋体" w:eastAsia="宋体" w:hint="default"/>
          <w:sz w:val="25"/>
          <w:szCs w:val="25"/>
        </w:rPr>
      </w:pPr>
    </w:p>
    <w:p>
      <w:pPr>
        <w:pStyle w:val="BodyText"/>
        <w:spacing w:line="240" w:lineRule="auto" w:before="44"/>
        <w:ind w:right="3827"/>
        <w:jc w:val="left"/>
      </w:pPr>
      <w:r>
        <w:rPr/>
        <w:t>母公司资产负债表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54"/>
        <w:gridCol w:w="2454"/>
        <w:gridCol w:w="2443"/>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153,053,921.53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153,053,921.53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251,224,993.54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251,224,993.54</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5"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622,424,927.16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622,424,927.16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138,255,429.47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138,255,429.47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557,035,684.68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555,810,691.14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-1,224,993.54</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1,224,993.54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-1,224,993.54</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5,206,117.01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5,206,117.01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297,019,384.89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47,019,384.89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1,777,595,464.74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1,777,595,464.74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-55,290,000.00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5,917,992,008.92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5,917,992,008.92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55,290,000.00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55,290,000.00</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898,814,767.44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898,814,767.44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24,806,467.30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24,806,467.30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2,308,125.54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2,308,125.54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92,944,259.18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92,944,259.18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1,779,147.04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1,779,147.04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73,015,270.28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73,015,270.28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7,066,950,045.70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7,066,950,045.70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8,844,545,510.44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8,844,545,510.44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831,207,388.91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831,207,388.91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105,257,604.98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105,257,604.98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9,176,587.38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9,176,587.38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4,290,143.44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4,290,143.44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39,594,207.35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39,594,207.35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213,383.36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213,383.36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1,089,525,932.06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1,089,525,932.06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613,966,754.43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613,966,754.43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614,446,754.43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614,446,754.43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1,703,972,686.49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1,703,972,686.49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1,539,675,821.00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1,539,675,821.00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5,150,024,006.58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5,150,024,006.58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78,275,273.37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78,275,273.37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372,597,723.00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372,597,723.00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7,140,572,823.95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7,140,572,823.95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8,844,545,510.44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8,844,545,510.44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827"/>
        <w:jc w:val="left"/>
      </w:pPr>
      <w:r>
        <w:rPr/>
        <w:t>调整情况说明</w:t>
      </w:r>
    </w:p>
    <w:p>
      <w:pPr>
        <w:pStyle w:val="BodyText"/>
        <w:spacing w:line="300" w:lineRule="auto" w:before="115"/>
        <w:ind w:right="986" w:firstLine="360"/>
        <w:jc w:val="left"/>
      </w:pPr>
      <w:r>
        <w:rPr/>
        <w:t>财政部于</w:t>
      </w:r>
      <w:r>
        <w:rPr>
          <w:rFonts w:ascii="Times New Roman" w:hAnsi="Times New Roman" w:cs="Times New Roman" w:eastAsia="Times New Roman" w:hint="default"/>
        </w:rPr>
        <w:t>2017</w:t>
      </w:r>
      <w:r>
        <w:rPr/>
        <w:t>年颁布了修订后的《企业会计准则第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、《企业会计准 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及《企业会计</w:t>
      </w:r>
      <w:r>
        <w:rPr>
          <w:spacing w:val="-58"/>
        </w:rPr>
        <w:t> </w:t>
      </w:r>
      <w:r>
        <w:rPr>
          <w:spacing w:val="-58"/>
        </w:rPr>
      </w:r>
      <w:r>
        <w:rPr/>
        <w:t>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日起执行上述新金融会计准则。根据衔接规定，</w:t>
      </w:r>
      <w:r>
        <w:rPr>
          <w:spacing w:val="-39"/>
        </w:rPr>
        <w:t> </w:t>
      </w:r>
      <w:r>
        <w:rPr>
          <w:spacing w:val="-39"/>
        </w:rPr>
      </w:r>
      <w:r>
        <w:rPr/>
        <w:t>对可比期间信息不予调整，首日执行新准则与原准则的差异追溯调整本报告期期初未分配利润或其他综合收益。</w:t>
      </w:r>
    </w:p>
    <w:p>
      <w:pPr>
        <w:spacing w:line="240" w:lineRule="auto" w:before="10"/>
        <w:rPr>
          <w:rFonts w:ascii="宋体" w:hAnsi="宋体" w:cs="宋体" w:eastAsia="宋体" w:hint="default"/>
          <w:sz w:val="23"/>
          <w:szCs w:val="23"/>
        </w:rPr>
      </w:pPr>
    </w:p>
    <w:p>
      <w:pPr>
        <w:pStyle w:val="Heading3"/>
        <w:spacing w:line="240" w:lineRule="auto"/>
        <w:ind w:right="1112"/>
        <w:jc w:val="left"/>
        <w:rPr>
          <w:b w:val="0"/>
          <w:bCs w:val="0"/>
        </w:rPr>
      </w:pPr>
      <w:bookmarkStart w:name="（4）2019年起执行新金融工具准则或新租赁准则追溯调整前期比较数据说明" w:id="215"/>
      <w:bookmarkEnd w:id="215"/>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3827"/>
        <w:jc w:val="left"/>
        <w:rPr>
          <w:b w:val="0"/>
          <w:bCs w:val="0"/>
        </w:rPr>
      </w:pPr>
      <w:bookmarkStart w:name="六、税项" w:id="216"/>
      <w:bookmarkEnd w:id="216"/>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3827"/>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北京光环新网科技股份有限公司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光环云谷科技有限公司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北京无双科技有限公司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光环新网（上海）信息服务有限公司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北京光环金网科技有限公司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西安博凯创达数字科技有限公司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北京瑞科新网科技有限公司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北京亚逊新网科技有限公司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光环新网（宁夏）云服务有限公司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北京德信致远科技有限公司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北京新光环无双科技有限公司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北京无双尚链科技有限公司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北京弘丰科华科技发展有限公司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北京光环凯旋管理咨询有限公司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光环有云（香港）网络科技有限公司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光环新网国际有限公司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杭州光环云数据有限公司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上海无双企业发展有限公司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上海中可企业发展有限公司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光环云（上海）数据科技有限公司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035" w:firstLine="360"/>
        <w:jc w:val="left"/>
      </w:pPr>
      <w:r>
        <w:rPr/>
        <w:t>（</w:t>
      </w:r>
      <w:r>
        <w:rPr>
          <w:rFonts w:ascii="Times New Roman" w:hAnsi="Times New Roman" w:cs="Times New Roman" w:eastAsia="Times New Roman" w:hint="default"/>
        </w:rPr>
        <w:t>1</w:t>
      </w:r>
      <w:r>
        <w:rPr/>
        <w:t>）本公司于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日经北京市科学技术委员会批准取得编号为</w:t>
      </w:r>
      <w:r>
        <w:rPr>
          <w:spacing w:val="-43"/>
        </w:rPr>
        <w:t> </w:t>
      </w:r>
      <w:r>
        <w:rPr>
          <w:rFonts w:ascii="Times New Roman" w:hAnsi="Times New Roman" w:cs="Times New Roman" w:eastAsia="Times New Roman" w:hint="default"/>
        </w:rPr>
        <w:t>GR201711004090</w:t>
      </w:r>
      <w:r>
        <w:rPr>
          <w:rFonts w:ascii="Times New Roman" w:hAnsi="Times New Roman" w:cs="Times New Roman" w:eastAsia="Times New Roman" w:hint="default"/>
          <w:spacing w:val="5"/>
        </w:rPr>
        <w:t> </w:t>
      </w:r>
      <w:r>
        <w:rPr/>
        <w:t>号的高新技术企业证书， </w:t>
      </w:r>
      <w:r>
        <w:rPr>
          <w:spacing w:val="-3"/>
        </w:rPr>
        <w:t>根据《国家税务总局关于企业所得税减免税管理问题的通知》（国税发</w:t>
      </w:r>
      <w:r>
        <w:rPr>
          <w:rFonts w:ascii="Times New Roman" w:hAnsi="Times New Roman" w:cs="Times New Roman" w:eastAsia="Times New Roman" w:hint="default"/>
          <w:spacing w:val="-3"/>
        </w:rPr>
        <w:t>[2008]111</w:t>
      </w:r>
      <w:r>
        <w:rPr>
          <w:rFonts w:ascii="Times New Roman" w:hAnsi="Times New Roman" w:cs="Times New Roman" w:eastAsia="Times New Roman" w:hint="default"/>
        </w:rPr>
        <w:t> </w:t>
      </w:r>
      <w:r>
        <w:rPr>
          <w:spacing w:val="-1"/>
        </w:rPr>
        <w:t>号）文件的相关规定，公司自</w:t>
      </w:r>
      <w:r>
        <w:rPr/>
        <w:t> </w:t>
      </w:r>
      <w:r>
        <w:rPr>
          <w:rFonts w:ascii="Times New Roman" w:hAnsi="Times New Roman" w:cs="Times New Roman" w:eastAsia="Times New Roman" w:hint="default"/>
        </w:rPr>
        <w:t>2017 </w:t>
      </w:r>
      <w:r>
        <w:rPr/>
        <w:t>年开始</w:t>
      </w:r>
      <w:r>
        <w:rPr>
          <w:spacing w:val="-68"/>
        </w:rPr>
        <w:t> </w:t>
      </w:r>
      <w:r>
        <w:rPr/>
        <w:t>按</w:t>
      </w:r>
      <w:r>
        <w:rPr>
          <w:spacing w:val="-47"/>
        </w:rPr>
        <w:t> </w:t>
      </w:r>
      <w:r>
        <w:rPr>
          <w:rFonts w:ascii="Times New Roman" w:hAnsi="Times New Roman" w:cs="Times New Roman" w:eastAsia="Times New Roman" w:hint="default"/>
        </w:rPr>
        <w:t>15%</w:t>
      </w:r>
      <w:r>
        <w:rPr/>
        <w:t>征收企业所得税，有效期三年。</w:t>
      </w:r>
    </w:p>
    <w:p>
      <w:pPr>
        <w:pStyle w:val="BodyText"/>
        <w:spacing w:line="300" w:lineRule="auto" w:before="13"/>
        <w:ind w:right="1110" w:firstLine="360"/>
        <w:jc w:val="both"/>
      </w:pPr>
      <w:r>
        <w:rPr/>
        <w:t>（ </w:t>
      </w:r>
      <w:r>
        <w:rPr>
          <w:rFonts w:ascii="Times New Roman" w:hAnsi="Times New Roman" w:cs="Times New Roman" w:eastAsia="Times New Roman" w:hint="default"/>
        </w:rPr>
        <w:t>2 </w:t>
      </w:r>
      <w:r>
        <w:rPr>
          <w:spacing w:val="17"/>
        </w:rPr>
        <w:t>）本公司子公司光环云谷科技有限公司于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26"/>
        </w:rPr>
        <w:t> </w:t>
      </w:r>
      <w:r>
        <w:rPr>
          <w:spacing w:val="17"/>
        </w:rPr>
        <w:t>日经河北省科学技术委员会批准取得编号为</w:t>
      </w:r>
      <w:r>
        <w:rPr>
          <w:spacing w:val="-71"/>
        </w:rPr>
        <w:t> </w:t>
      </w:r>
      <w:r>
        <w:rPr>
          <w:rFonts w:ascii="Times New Roman" w:hAnsi="Times New Roman" w:cs="Times New Roman" w:eastAsia="Times New Roman" w:hint="default"/>
          <w:spacing w:val="-1"/>
          <w:w w:val="99"/>
        </w:rPr>
        <w:t>GR201713000037</w:t>
      </w:r>
      <w:r>
        <w:rPr>
          <w:rFonts w:ascii="Times New Roman" w:hAnsi="Times New Roman" w:cs="Times New Roman" w:eastAsia="Times New Roman" w:hint="default"/>
          <w:spacing w:val="13"/>
          <w:w w:val="99"/>
        </w:rPr>
        <w:t> </w:t>
      </w:r>
      <w:r>
        <w:rPr>
          <w:spacing w:val="-2"/>
        </w:rPr>
        <w:t>号的高新技术企业证书，根据《国家税务总局关于企业所得税减免税管理问题的通知》（国税发</w:t>
      </w:r>
      <w:r>
        <w:rPr>
          <w:rFonts w:ascii="Times New Roman" w:hAnsi="Times New Roman" w:cs="Times New Roman" w:eastAsia="Times New Roman" w:hint="default"/>
          <w:spacing w:val="-2"/>
        </w:rPr>
        <w:t>[2008]111</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号）文件的相关规定，光环云谷科技有限公司自</w:t>
      </w:r>
      <w:r>
        <w:rPr>
          <w:spacing w:val="-47"/>
        </w:rPr>
        <w:t> </w:t>
      </w:r>
      <w:r>
        <w:rPr>
          <w:rFonts w:ascii="Times New Roman" w:hAnsi="Times New Roman" w:cs="Times New Roman" w:eastAsia="Times New Roman" w:hint="default"/>
        </w:rPr>
        <w:t>2017 </w:t>
      </w:r>
      <w:r>
        <w:rPr/>
        <w:t>年开始按</w:t>
      </w:r>
      <w:r>
        <w:rPr>
          <w:spacing w:val="-47"/>
        </w:rPr>
        <w:t> </w:t>
      </w:r>
      <w:r>
        <w:rPr>
          <w:rFonts w:ascii="Times New Roman" w:hAnsi="Times New Roman" w:cs="Times New Roman" w:eastAsia="Times New Roman" w:hint="default"/>
        </w:rPr>
        <w:t>15%</w:t>
      </w:r>
      <w:r>
        <w:rPr/>
        <w:t>征收企业所得税，有效期三年。</w:t>
      </w:r>
    </w:p>
    <w:p>
      <w:pPr>
        <w:pStyle w:val="BodyText"/>
        <w:spacing w:line="300" w:lineRule="auto" w:before="13"/>
        <w:ind w:right="1130" w:firstLine="360"/>
        <w:jc w:val="both"/>
      </w:pPr>
      <w:r>
        <w:rPr>
          <w:spacing w:val="9"/>
        </w:rPr>
        <w:t>（</w:t>
      </w:r>
      <w:r>
        <w:rPr>
          <w:rFonts w:ascii="Times New Roman" w:hAnsi="Times New Roman" w:cs="Times New Roman" w:eastAsia="Times New Roman" w:hint="default"/>
          <w:spacing w:val="9"/>
        </w:rPr>
        <w:t>3</w:t>
      </w:r>
      <w:r>
        <w:rPr>
          <w:spacing w:val="9"/>
        </w:rPr>
        <w:t>）本公司子公司北京中金云网科技有限公司于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spacing w:val="8"/>
        </w:rPr>
        <w:t>日经北京市科学技术委员会批准取得编号为</w:t>
      </w:r>
      <w:r>
        <w:rPr/>
        <w:t> </w:t>
      </w:r>
      <w:r>
        <w:rPr>
          <w:rFonts w:ascii="Times New Roman" w:hAnsi="Times New Roman" w:cs="Times New Roman" w:eastAsia="Times New Roman" w:hint="default"/>
          <w:spacing w:val="-2"/>
          <w:w w:val="99"/>
        </w:rPr>
        <w:t>GR201911001143</w:t>
      </w:r>
      <w:r>
        <w:rPr>
          <w:rFonts w:ascii="Times New Roman" w:hAnsi="Times New Roman" w:cs="Times New Roman" w:eastAsia="Times New Roman" w:hint="default"/>
          <w:spacing w:val="27"/>
          <w:w w:val="99"/>
        </w:rPr>
        <w:t> </w:t>
      </w:r>
      <w:r>
        <w:rPr>
          <w:spacing w:val="-2"/>
        </w:rPr>
        <w:t>号的高新技术企业证书，根据《国家税务总局关于企业所得税减免税管理问题的通知》（国税发</w:t>
      </w:r>
      <w:r>
        <w:rPr>
          <w:rFonts w:ascii="Times New Roman" w:hAnsi="Times New Roman" w:cs="Times New Roman" w:eastAsia="Times New Roman" w:hint="default"/>
          <w:spacing w:val="-2"/>
        </w:rPr>
        <w:t>[2008]111</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号）文件的相关规定，北京中金云网科技有限公司自</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年开始按</w:t>
      </w:r>
      <w:r>
        <w:rPr>
          <w:spacing w:val="-48"/>
        </w:rPr>
        <w:t> </w:t>
      </w:r>
      <w:r>
        <w:rPr>
          <w:rFonts w:ascii="Times New Roman" w:hAnsi="Times New Roman" w:cs="Times New Roman" w:eastAsia="Times New Roman" w:hint="default"/>
        </w:rPr>
        <w:t>15%</w:t>
      </w:r>
      <w:r>
        <w:rPr/>
        <w:t>征收企业所得税，有效期三年。</w:t>
      </w:r>
    </w:p>
    <w:p>
      <w:pPr>
        <w:pStyle w:val="BodyText"/>
        <w:spacing w:line="300" w:lineRule="auto" w:before="13"/>
        <w:ind w:right="1130" w:firstLine="360"/>
        <w:jc w:val="both"/>
      </w:pPr>
      <w:r>
        <w:rPr>
          <w:spacing w:val="5"/>
        </w:rPr>
        <w:t>（</w:t>
      </w:r>
      <w:r>
        <w:rPr>
          <w:rFonts w:ascii="Times New Roman" w:hAnsi="Times New Roman" w:cs="Times New Roman" w:eastAsia="Times New Roman" w:hint="default"/>
          <w:spacing w:val="5"/>
        </w:rPr>
        <w:t>4</w:t>
      </w:r>
      <w:r>
        <w:rPr>
          <w:spacing w:val="5"/>
        </w:rPr>
        <w:t>）本公司子公司北京科信盛彩云计算有限公司于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5"/>
        </w:rPr>
        <w:t>日经北京市科学技术委员会批准取得编号为</w:t>
      </w:r>
      <w:r>
        <w:rPr/>
        <w:t> </w:t>
      </w:r>
      <w:r>
        <w:rPr>
          <w:rFonts w:ascii="Times New Roman" w:hAnsi="Times New Roman" w:cs="Times New Roman" w:eastAsia="Times New Roman" w:hint="default"/>
          <w:spacing w:val="-2"/>
          <w:w w:val="99"/>
        </w:rPr>
        <w:t>GR201811001108</w:t>
      </w:r>
      <w:r>
        <w:rPr>
          <w:rFonts w:ascii="Times New Roman" w:hAnsi="Times New Roman" w:cs="Times New Roman" w:eastAsia="Times New Roman" w:hint="default"/>
          <w:spacing w:val="27"/>
          <w:w w:val="99"/>
        </w:rPr>
        <w:t> </w:t>
      </w:r>
      <w:r>
        <w:rPr>
          <w:spacing w:val="-2"/>
        </w:rPr>
        <w:t>号的高新技术企业证书，根据《国家税务总局关于企业所得税减免税管理问题的通知》（国税发</w:t>
      </w:r>
      <w:r>
        <w:rPr>
          <w:rFonts w:ascii="Times New Roman" w:hAnsi="Times New Roman" w:cs="Times New Roman" w:eastAsia="Times New Roman" w:hint="default"/>
          <w:spacing w:val="-2"/>
        </w:rPr>
        <w:t>[2008]111</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号）文件的相关规定，北京科信盛彩云计算有限公司自</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年开始按</w:t>
      </w:r>
      <w:r>
        <w:rPr>
          <w:spacing w:val="-45"/>
        </w:rPr>
        <w:t> </w:t>
      </w:r>
      <w:r>
        <w:rPr>
          <w:rFonts w:ascii="Times New Roman" w:hAnsi="Times New Roman" w:cs="Times New Roman" w:eastAsia="Times New Roman" w:hint="default"/>
        </w:rPr>
        <w:t>15%</w:t>
      </w:r>
      <w:r>
        <w:rPr/>
        <w:t>征收企业所得税，有效期三年。</w:t>
      </w:r>
    </w:p>
    <w:p>
      <w:pPr>
        <w:pStyle w:val="BodyText"/>
        <w:spacing w:line="300" w:lineRule="auto" w:before="13"/>
        <w:ind w:right="1130" w:firstLine="360"/>
        <w:jc w:val="both"/>
      </w:pPr>
      <w:r>
        <w:rPr/>
        <w:t>（</w:t>
      </w:r>
      <w:r>
        <w:rPr>
          <w:rFonts w:ascii="Times New Roman" w:hAnsi="Times New Roman" w:cs="Times New Roman" w:eastAsia="Times New Roman" w:hint="default"/>
        </w:rPr>
        <w:t>5</w:t>
      </w:r>
      <w:r>
        <w:rPr/>
        <w:t>）本公司子公司光环新网（上海）信息服务有限公司于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8 </w:t>
      </w:r>
      <w:r>
        <w:rPr/>
        <w:t>日经上海市科学技术委员会批准取得编号为 </w:t>
      </w:r>
      <w:r>
        <w:rPr>
          <w:rFonts w:ascii="Times New Roman" w:hAnsi="Times New Roman" w:cs="Times New Roman" w:eastAsia="Times New Roman" w:hint="default"/>
          <w:spacing w:val="-1"/>
          <w:w w:val="99"/>
        </w:rPr>
        <w:t>GR201931000547</w:t>
      </w:r>
      <w:r>
        <w:rPr>
          <w:rFonts w:ascii="Times New Roman" w:hAnsi="Times New Roman" w:cs="Times New Roman" w:eastAsia="Times New Roman" w:hint="default"/>
          <w:spacing w:val="13"/>
          <w:w w:val="99"/>
        </w:rPr>
        <w:t> </w:t>
      </w:r>
      <w:r>
        <w:rPr>
          <w:spacing w:val="-2"/>
        </w:rPr>
        <w:t>号的高新技术企业证书，根据《国家税务总局关于企业所得税减免税管理问题的通知》（国税发</w:t>
      </w:r>
      <w:r>
        <w:rPr>
          <w:rFonts w:ascii="Times New Roman" w:hAnsi="Times New Roman" w:cs="Times New Roman" w:eastAsia="Times New Roman" w:hint="default"/>
          <w:spacing w:val="-2"/>
        </w:rPr>
        <w:t>[2008]111</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号）文件的相关规定，子公司光环新网（上海）信息服务有限公司自</w:t>
      </w:r>
      <w:r>
        <w:rPr>
          <w:spacing w:val="-45"/>
        </w:rPr>
        <w:t> </w:t>
      </w:r>
      <w:r>
        <w:rPr>
          <w:rFonts w:ascii="Times New Roman" w:hAnsi="Times New Roman" w:cs="Times New Roman" w:eastAsia="Times New Roman" w:hint="default"/>
        </w:rPr>
        <w:t>2019 </w:t>
      </w:r>
      <w:r>
        <w:rPr/>
        <w:t>年开始按</w:t>
      </w:r>
      <w:r>
        <w:rPr>
          <w:spacing w:val="-47"/>
        </w:rPr>
        <w:t> </w:t>
      </w:r>
      <w:r>
        <w:rPr>
          <w:rFonts w:ascii="Times New Roman" w:hAnsi="Times New Roman" w:cs="Times New Roman" w:eastAsia="Times New Roman" w:hint="default"/>
        </w:rPr>
        <w:t>15%</w:t>
      </w:r>
      <w:r>
        <w:rPr/>
        <w:t>征收企业所得税，有效期三年。</w:t>
      </w:r>
    </w:p>
    <w:p>
      <w:pPr>
        <w:spacing w:line="240" w:lineRule="auto" w:before="5"/>
        <w:rPr>
          <w:rFonts w:ascii="宋体" w:hAnsi="宋体" w:cs="宋体" w:eastAsia="宋体" w:hint="default"/>
          <w:sz w:val="20"/>
          <w:szCs w:val="20"/>
        </w:rPr>
      </w:pPr>
    </w:p>
    <w:p>
      <w:pPr>
        <w:pStyle w:val="Heading2"/>
        <w:spacing w:line="240" w:lineRule="auto"/>
        <w:ind w:right="3827"/>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7"/>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32,866.64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677,397,880.90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730,958,340.81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677,411,424.95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730,991,207.45</w:t>
            </w:r>
          </w:p>
        </w:tc>
      </w:tr>
    </w:tbl>
    <w:p>
      <w:pPr>
        <w:pStyle w:val="BodyText"/>
        <w:spacing w:line="240" w:lineRule="auto" w:before="49"/>
        <w:ind w:right="3827"/>
        <w:jc w:val="left"/>
      </w:pPr>
      <w:r>
        <w:rPr/>
        <w:t>其他说明</w:t>
      </w:r>
    </w:p>
    <w:p>
      <w:pPr>
        <w:pStyle w:val="BodyText"/>
        <w:spacing w:line="240" w:lineRule="auto" w:before="117"/>
        <w:ind w:left="513" w:right="3827"/>
        <w:jc w:val="left"/>
      </w:pPr>
      <w:r>
        <w:rPr/>
        <w:t>（</w:t>
      </w:r>
      <w:r>
        <w:rPr>
          <w:rFonts w:ascii="Times New Roman" w:hAnsi="Times New Roman" w:cs="Times New Roman" w:eastAsia="Times New Roman" w:hint="default"/>
        </w:rPr>
        <w:t>1</w:t>
      </w:r>
      <w:r>
        <w:rPr/>
        <w:t>）截至</w:t>
      </w:r>
      <w:r>
        <w:rPr>
          <w:spacing w:val="-46"/>
        </w:rPr>
        <w:t> </w:t>
      </w: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日，无所有权受到限制的银行存款。</w:t>
      </w:r>
    </w:p>
    <w:p>
      <w:pPr>
        <w:pStyle w:val="BodyText"/>
        <w:spacing w:line="240" w:lineRule="auto" w:before="63"/>
        <w:ind w:left="513" w:right="1112"/>
        <w:jc w:val="left"/>
      </w:pPr>
      <w:r>
        <w:rPr/>
        <w:t>（</w:t>
      </w:r>
      <w:r>
        <w:rPr>
          <w:rFonts w:ascii="Times New Roman" w:hAnsi="Times New Roman" w:cs="Times New Roman" w:eastAsia="Times New Roman" w:hint="default"/>
        </w:rPr>
        <w:t>2</w:t>
      </w:r>
      <w:r>
        <w:rPr/>
        <w:t>）截至</w:t>
      </w:r>
      <w:r>
        <w:rPr>
          <w:spacing w:val="-47"/>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日，银行存款余额中募投资金账户余额</w:t>
      </w:r>
      <w:r>
        <w:rPr>
          <w:spacing w:val="-46"/>
        </w:rPr>
        <w:t> </w:t>
      </w:r>
      <w:r>
        <w:rPr>
          <w:rFonts w:ascii="Times New Roman" w:hAnsi="Times New Roman" w:cs="Times New Roman" w:eastAsia="Times New Roman" w:hint="default"/>
        </w:rPr>
        <w:t>103,278,739.74</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2、交易性金融资产" w:id="221"/>
      <w:bookmarkEnd w:id="221"/>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139,188,679.25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251,224,993.54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139,188,679.25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251,224,993.54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139,188,679.25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251,224,993.54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3、应收票据" w:id="222"/>
      <w:bookmarkEnd w:id="22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w:t>
            </w:r>
          </w:p>
        </w:tc>
      </w:tr>
    </w:tbl>
    <w:p>
      <w:pPr>
        <w:spacing w:line="240" w:lineRule="auto" w:before="3"/>
        <w:rPr>
          <w:rFonts w:ascii="宋体" w:hAnsi="宋体" w:cs="宋体" w:eastAsia="宋体" w:hint="default"/>
          <w:b/>
          <w:bCs/>
          <w:sz w:val="19"/>
          <w:szCs w:val="19"/>
        </w:rPr>
      </w:pPr>
    </w:p>
    <w:p>
      <w:pPr>
        <w:pStyle w:val="Heading3"/>
        <w:spacing w:line="240" w:lineRule="auto" w:before="36"/>
        <w:ind w:right="3827"/>
        <w:jc w:val="left"/>
        <w:rPr>
          <w:b w:val="0"/>
          <w:bCs w:val="0"/>
        </w:rPr>
      </w:pPr>
      <w:bookmarkStart w:name="4、应收账款" w:id="223"/>
      <w:bookmarkEnd w:id="223"/>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1,967,34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6,440.73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39,090,7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1,928,255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,691.20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1,637,912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,062.10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19,989,10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1,617,922,9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54.88</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：按照账龄分</w:t>
            </w:r>
            <w:r>
              <w:rPr>
                <w:rFonts w:ascii="宋体" w:hAnsi="宋体" w:cs="宋体" w:eastAsia="宋体" w:hint="default"/>
                <w:sz w:val="18"/>
                <w:szCs w:val="18"/>
              </w:rPr>
              <w:t> 析法计提坏账的应 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1,567,13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7,676.21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35,246,6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1,531,890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,982.75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1,174,695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,801.51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16,388,47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1,158,307,3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29.74</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2"/>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：款项性质组</w:t>
            </w:r>
            <w:r>
              <w:rPr>
                <w:rFonts w:ascii="宋体" w:hAnsi="宋体" w:cs="宋体" w:eastAsia="宋体" w:hint="default"/>
                <w:sz w:val="18"/>
                <w:szCs w:val="18"/>
              </w:rPr>
              <w:t> 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398,857,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653.85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2,492,94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396,364,7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08.45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461,865,1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2,249,524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459,615,62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5.14</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2"/>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：特定资产组</w:t>
            </w:r>
            <w:r>
              <w:rPr>
                <w:rFonts w:ascii="宋体" w:hAnsi="宋体" w:cs="宋体" w:eastAsia="宋体" w:hint="default"/>
                <w:sz w:val="18"/>
                <w:szCs w:val="18"/>
              </w:rPr>
              <w:t> 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1,351,11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1,351,11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1,351,110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1,351,110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1,967,34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6,440.73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39,090,7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49.53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1,928,255</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,691.20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1,637,912</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,062.10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19,989,10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1,617,922,9</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54.88</w:t>
            </w:r>
          </w:p>
        </w:tc>
      </w:tr>
    </w:tbl>
    <w:p>
      <w:pPr>
        <w:spacing w:line="240" w:lineRule="auto" w:before="2"/>
        <w:rPr>
          <w:rFonts w:ascii="宋体" w:hAnsi="宋体" w:cs="宋体" w:eastAsia="宋体" w:hint="default"/>
          <w:sz w:val="27"/>
          <w:szCs w:val="27"/>
        </w:rPr>
      </w:pPr>
    </w:p>
    <w:p>
      <w:pPr>
        <w:pStyle w:val="BodyText"/>
        <w:spacing w:line="240" w:lineRule="auto" w:before="44"/>
        <w:ind w:right="3827"/>
        <w:jc w:val="left"/>
      </w:pPr>
      <w:r>
        <w:rPr/>
        <w:t>按组合计提坏账准备：</w:t>
      </w:r>
      <w:r>
        <w:rPr>
          <w:u w:val="single" w:color="000000"/>
        </w:rPr>
        <w:t>组合</w:t>
      </w:r>
      <w:r>
        <w:rPr>
          <w:spacing w:val="-1"/>
          <w:u w:val="single" w:color="000000"/>
        </w:rPr>
        <w:t> </w:t>
      </w:r>
      <w:r>
        <w:rPr>
          <w:rFonts w:ascii="Times New Roman" w:hAnsi="Times New Roman" w:cs="Times New Roman" w:eastAsia="Times New Roman" w:hint="default"/>
          <w:u w:val="single" w:color="000000"/>
        </w:rPr>
        <w:t>1</w:t>
      </w:r>
      <w:r>
        <w:rPr>
          <w:u w:val="single" w:color="000000"/>
        </w:rPr>
        <w:t>：按照账龄分析法计提坏账的应收账款</w:t>
      </w:r>
      <w:r>
        <w:rPr/>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1,430,230,795.17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19,671,468.06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个月（坏账计提比 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774,515,193.06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655,715,602.11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19,671,468.06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131,998,272.42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13,199,827.24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2,390,819.07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717,245.72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1,639,140.68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819,570.34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200,333.87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160,267.10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678,315.00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678,315.00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1,567,137,676.21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35,246,693.46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3827"/>
        <w:jc w:val="left"/>
      </w:pPr>
      <w:r>
        <w:rPr/>
        <w:t>按组合计提坏账准备：</w:t>
      </w:r>
      <w:r>
        <w:rPr>
          <w:u w:val="single" w:color="000000"/>
        </w:rPr>
        <w:t>组合 </w:t>
      </w:r>
      <w:r>
        <w:rPr>
          <w:rFonts w:ascii="Times New Roman" w:hAnsi="Times New Roman" w:cs="Times New Roman" w:eastAsia="Times New Roman" w:hint="default"/>
          <w:u w:val="single" w:color="000000"/>
        </w:rPr>
        <w:t>2</w:t>
      </w:r>
      <w:r>
        <w:rPr>
          <w:u w:val="single" w:color="000000"/>
        </w:rPr>
        <w:t>：款项性质组合、组合</w:t>
      </w:r>
      <w:r>
        <w:rPr>
          <w:spacing w:val="-2"/>
          <w:u w:val="single" w:color="000000"/>
        </w:rPr>
        <w:t> </w:t>
      </w:r>
      <w:r>
        <w:rPr>
          <w:rFonts w:ascii="Times New Roman" w:hAnsi="Times New Roman" w:cs="Times New Roman" w:eastAsia="Times New Roman" w:hint="default"/>
          <w:u w:val="single" w:color="000000"/>
        </w:rPr>
        <w:t>3</w:t>
      </w:r>
      <w:r>
        <w:rPr>
          <w:u w:val="single" w:color="000000"/>
        </w:rPr>
        <w:t>：特定资产组合</w:t>
      </w:r>
      <w:r>
        <w:rPr/>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398,857,653.85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2,492,945.40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特定资产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1,351,110.67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1,351,110.67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400,208,764.52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3,844,056.07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left="513" w:right="3013" w:hanging="361"/>
        <w:jc w:val="left"/>
      </w:pPr>
      <w:r>
        <w:rPr/>
        <w:t>确定该组合依据的说明： 款项性质组合：该组合中按风险余额对应账龄法计提坏账准备，当期风险余额全部为一年内。 特定资产组合：有确凿证据表明无法收回或收回可能性不大的款项，全额计提坏账准备</w:t>
      </w:r>
    </w:p>
    <w:p>
      <w:pPr>
        <w:spacing w:line="240" w:lineRule="auto" w:before="0"/>
        <w:rPr>
          <w:rFonts w:ascii="宋体" w:hAnsi="宋体" w:cs="宋体" w:eastAsia="宋体" w:hint="default"/>
          <w:sz w:val="18"/>
          <w:szCs w:val="18"/>
        </w:rPr>
      </w:pPr>
    </w:p>
    <w:p>
      <w:pPr>
        <w:pStyle w:val="BodyText"/>
        <w:spacing w:line="240" w:lineRule="auto" w:before="161"/>
        <w:ind w:right="1112"/>
        <w:jc w:val="left"/>
      </w:pPr>
      <w:r>
        <w:rPr/>
        <w:t>如是按照预期信用损失一般模型计提应收账款坏账准备，请参照其他应收款的披露方式披露坏账准备的相关信息：</w:t>
      </w:r>
    </w:p>
    <w:p>
      <w:pPr>
        <w:pStyle w:val="BodyText"/>
        <w:spacing w:line="240" w:lineRule="auto" w:before="115"/>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3827"/>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1,829,088,449.02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131,998,272.42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2,390,819.07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3,868,900.22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1,598,763.32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1,211,264.03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1,058,872.87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1,967,346,440.73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t>本期计提坏账准备情况：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19,989,107.22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19,101,642.31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39,090,749.53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19,989,107.22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19,101,642.31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39,090,749.53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按欠款方归集的期末余额前五名的应收账款情况" w:id="226"/>
      <w:bookmarkEnd w:id="22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6"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207,387,499.41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6,221,624.98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153,682,926.45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94,251,381.39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6,318,128.64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75,754,598.76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70,822,074.20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601,898,480.21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30.59%</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其他说明" w:id="227"/>
      <w:bookmarkEnd w:id="22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50"/>
        <w:jc w:val="right"/>
      </w:pPr>
      <w:r>
        <w:rPr/>
        <w:t>应收账款质押情况：子公司北京无双科技有限公司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日全部应收账款已设定质押，详见“本节七</w:t>
      </w:r>
      <w:r>
        <w:rPr>
          <w:spacing w:val="-2"/>
        </w:rPr>
        <w:t> </w:t>
      </w:r>
      <w:r>
        <w:rPr>
          <w:rFonts w:ascii="Times New Roman" w:hAnsi="Times New Roman" w:cs="Times New Roman" w:eastAsia="Times New Roman" w:hint="default"/>
          <w:spacing w:val="-11"/>
        </w:rPr>
        <w:t>18</w:t>
      </w:r>
      <w:r>
        <w:rPr>
          <w:spacing w:val="-11"/>
        </w:rPr>
        <w:t>、短</w:t>
      </w:r>
      <w:r>
        <w:rPr/>
      </w:r>
    </w:p>
    <w:p>
      <w:pPr>
        <w:pStyle w:val="BodyText"/>
        <w:spacing w:line="240" w:lineRule="auto" w:before="63"/>
        <w:ind w:right="986"/>
        <w:jc w:val="left"/>
      </w:pPr>
      <w:r>
        <w:rPr/>
        <w:t>期借款</w:t>
      </w:r>
      <w:r>
        <w:rPr>
          <w:spacing w:val="-92"/>
        </w:rPr>
        <w:t>”</w:t>
      </w:r>
      <w:r>
        <w:rPr/>
        <w:t>。子公司北京中金云</w:t>
      </w:r>
      <w:r>
        <w:rPr>
          <w:spacing w:val="2"/>
        </w:rPr>
        <w:t>网</w:t>
      </w:r>
      <w:r>
        <w:rPr/>
        <w:t>科技有限公司</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日部分应收账款已设定质押，详见“本节七</w:t>
      </w:r>
      <w:r>
        <w:rPr>
          <w:spacing w:val="2"/>
        </w:rPr>
        <w:t> </w:t>
      </w:r>
      <w:r>
        <w:rPr>
          <w:rFonts w:ascii="Times New Roman" w:hAnsi="Times New Roman" w:cs="Times New Roman" w:eastAsia="Times New Roman" w:hint="default"/>
          <w:spacing w:val="1"/>
        </w:rPr>
        <w:t>24</w:t>
      </w:r>
      <w:r>
        <w:rPr/>
        <w:t>、长期借款</w:t>
      </w:r>
      <w:r>
        <w:rPr>
          <w:spacing w:val="-89"/>
        </w:rPr>
        <w:t>”</w:t>
      </w:r>
      <w:r>
        <w:rPr/>
        <w:t>。</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5、预付款项" w:id="228"/>
      <w:bookmarkEnd w:id="22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296,418,185.70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287,488,817.20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9,692,198.84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14,531,347.10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5,573,032.97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303,541.43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128,541.43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2"/>
                <w:sz w:val="18"/>
              </w:rPr>
              <w:t>311,811,958.94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302,353,705.73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3827"/>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247"/>
        <w:gridCol w:w="1712"/>
        <w:gridCol w:w="1255"/>
        <w:gridCol w:w="2446"/>
      </w:tblGrid>
      <w:tr>
        <w:trPr>
          <w:trHeight w:val="348" w:hRule="exact"/>
        </w:trPr>
        <w:tc>
          <w:tcPr>
            <w:tcW w:w="4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7" w:right="0"/>
              <w:jc w:val="left"/>
              <w:rPr>
                <w:rFonts w:ascii="宋体" w:hAnsi="宋体" w:cs="宋体" w:eastAsia="宋体" w:hint="default"/>
                <w:sz w:val="18"/>
                <w:szCs w:val="18"/>
              </w:rPr>
            </w:pPr>
            <w:r>
              <w:rPr>
                <w:rFonts w:ascii="宋体" w:hAnsi="宋体" w:cs="宋体" w:eastAsia="宋体" w:hint="default"/>
                <w:sz w:val="18"/>
                <w:szCs w:val="18"/>
              </w:rPr>
              <w:t>未结算的原因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247"/>
        <w:gridCol w:w="1712"/>
        <w:gridCol w:w="1255"/>
        <w:gridCol w:w="2446"/>
      </w:tblGrid>
      <w:tr>
        <w:trPr>
          <w:trHeight w:val="348" w:hRule="exact"/>
        </w:trPr>
        <w:tc>
          <w:tcPr>
            <w:tcW w:w="4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北京首信圆方机电设备有限公司</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4,845,593.74</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设备采购未验收</w:t>
            </w:r>
          </w:p>
        </w:tc>
      </w:tr>
      <w:tr>
        <w:trPr>
          <w:trHeight w:val="346" w:hRule="exact"/>
        </w:trPr>
        <w:tc>
          <w:tcPr>
            <w:tcW w:w="4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北京品众互动网络营销技术有限公司</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1,737,728.07</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8" w:hRule="exact"/>
        </w:trPr>
        <w:tc>
          <w:tcPr>
            <w:tcW w:w="4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益盟股份有限公司</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1,421,038.78</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6" w:hRule="exact"/>
        </w:trPr>
        <w:tc>
          <w:tcPr>
            <w:tcW w:w="4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海南亿科思奇科技有限公司</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641,503.27</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8" w:hRule="exact"/>
        </w:trPr>
        <w:tc>
          <w:tcPr>
            <w:tcW w:w="4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绿樱桃（北京）科技有限公司</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629,298.81</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8" w:hRule="exact"/>
        </w:trPr>
        <w:tc>
          <w:tcPr>
            <w:tcW w:w="4247"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9,275,162.67</w:t>
            </w:r>
          </w:p>
        </w:tc>
        <w:tc>
          <w:tcPr>
            <w:tcW w:w="1255" w:type="dxa"/>
            <w:tcBorders>
              <w:top w:val="single" w:sz="6" w:space="0" w:color="000000"/>
              <w:left w:val="single" w:sz="6" w:space="0" w:color="000000"/>
              <w:bottom w:val="single" w:sz="6" w:space="0" w:color="000000"/>
              <w:right w:val="single" w:sz="6" w:space="0" w:color="000000"/>
            </w:tcBorders>
          </w:tcPr>
          <w:p>
            <w:pPr/>
          </w:p>
        </w:tc>
        <w:tc>
          <w:tcPr>
            <w:tcW w:w="24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本公司按预付对象归集的期末余额前五名预付账款汇总金额为</w:t>
      </w:r>
      <w:r>
        <w:rPr>
          <w:spacing w:val="-41"/>
        </w:rPr>
        <w:t> </w:t>
      </w:r>
      <w:r>
        <w:rPr>
          <w:rFonts w:ascii="Times New Roman" w:hAnsi="Times New Roman" w:cs="Times New Roman" w:eastAsia="Times New Roman" w:hint="default"/>
        </w:rPr>
        <w:t>246,604,796.89</w:t>
      </w:r>
      <w:r>
        <w:rPr>
          <w:rFonts w:ascii="Times New Roman" w:hAnsi="Times New Roman" w:cs="Times New Roman" w:eastAsia="Times New Roman" w:hint="default"/>
          <w:spacing w:val="7"/>
        </w:rPr>
        <w:t> </w:t>
      </w:r>
      <w:r>
        <w:rPr>
          <w:spacing w:val="-3"/>
        </w:rPr>
        <w:t>元，占预付账款期末余额合计数的比例为</w:t>
      </w:r>
    </w:p>
    <w:p>
      <w:pPr>
        <w:pStyle w:val="BodyText"/>
        <w:spacing w:line="240" w:lineRule="auto" w:before="63"/>
        <w:ind w:right="3827"/>
        <w:jc w:val="left"/>
      </w:pPr>
      <w:r>
        <w:rPr>
          <w:rFonts w:ascii="Times New Roman" w:hAnsi="Times New Roman" w:cs="Times New Roman" w:eastAsia="Times New Roman" w:hint="default"/>
        </w:rPr>
        <w:t>79.09%</w:t>
      </w:r>
      <w:r>
        <w:rPr/>
        <w:t>。</w:t>
      </w:r>
    </w:p>
    <w:p>
      <w:pPr>
        <w:spacing w:line="240" w:lineRule="auto" w:before="3"/>
        <w:rPr>
          <w:rFonts w:ascii="宋体" w:hAnsi="宋体" w:cs="宋体" w:eastAsia="宋体" w:hint="default"/>
          <w:sz w:val="26"/>
          <w:szCs w:val="26"/>
        </w:rPr>
      </w:pPr>
    </w:p>
    <w:p>
      <w:pPr>
        <w:pStyle w:val="Heading3"/>
        <w:spacing w:line="240" w:lineRule="auto"/>
        <w:ind w:right="3827"/>
        <w:jc w:val="left"/>
        <w:rPr>
          <w:b w:val="0"/>
          <w:bCs w:val="0"/>
        </w:rPr>
      </w:pPr>
      <w:bookmarkStart w:name="6、其他应收款" w:id="231"/>
      <w:bookmarkEnd w:id="23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392,894,670.59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220,135,025.46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392,894,670.59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220,135,025.46</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其他应收款" w:id="232"/>
      <w:bookmarkEnd w:id="232"/>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其他应收款按款项性质分类情况" w:id="233"/>
      <w:bookmarkEnd w:id="23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28,952,874.91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10,351,563.05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347,742,770.60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188,115,950.17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28,356,908.37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26,179,287.31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41,625.42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405,094,179.30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224,646,800.53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坏账准备计提情况" w:id="234"/>
      <w:bookmarkEnd w:id="23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7"/>
        <w:gridCol w:w="1651"/>
        <w:gridCol w:w="2098"/>
        <w:gridCol w:w="2101"/>
        <w:gridCol w:w="1805"/>
      </w:tblGrid>
      <w:tr>
        <w:trPr>
          <w:trHeight w:val="403" w:hRule="exact"/>
        </w:trPr>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7" w:right="0"/>
              <w:jc w:val="left"/>
              <w:rPr>
                <w:rFonts w:ascii="Times New Roman" w:hAnsi="Times New Roman" w:cs="Times New Roman" w:eastAsia="Times New Roman" w:hint="default"/>
                <w:sz w:val="18"/>
                <w:szCs w:val="18"/>
              </w:rPr>
            </w:pPr>
            <w:r>
              <w:rPr>
                <w:rFonts w:ascii="Times New Roman"/>
                <w:sz w:val="18"/>
              </w:rPr>
              <w:t>4,511,775.07</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2" w:right="0"/>
              <w:jc w:val="left"/>
              <w:rPr>
                <w:rFonts w:ascii="Times New Roman" w:hAnsi="Times New Roman" w:cs="Times New Roman" w:eastAsia="Times New Roman" w:hint="default"/>
                <w:sz w:val="18"/>
                <w:szCs w:val="18"/>
              </w:rPr>
            </w:pPr>
            <w:r>
              <w:rPr>
                <w:rFonts w:ascii="Times New Roman"/>
                <w:sz w:val="18"/>
              </w:rPr>
              <w:t>4,511,775.07</w:t>
            </w:r>
          </w:p>
        </w:tc>
      </w:tr>
      <w:tr>
        <w:trPr>
          <w:trHeight w:val="161" w:hRule="exact"/>
        </w:trPr>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17"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17"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7,687,733.64</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7,687,733.64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12,199,508.71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12,199,508.71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351,537,540.49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27,727,183.13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22,269,058.95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3,560,396.73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1,709,421.89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189,422.00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1,661,552.84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405,094,179.30</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本期计提、收回或转回的坏账准备情况" w:id="235"/>
      <w:bookmarkEnd w:id="23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4,511,775.07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7,687,733.64</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12,199,508.71</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4,511,775.07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7,687,733.64</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12,199,508.71</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按欠款方归集的期末余额前五名的其他应收款情况" w:id="236"/>
      <w:bookmarkEnd w:id="236"/>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百度时代网络技术</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121,757,900.32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天津小鱼天成网络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110,873,424.61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智达云创（三河）科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82"/>
                <w:sz w:val="18"/>
                <w:szCs w:val="18"/>
              </w:rPr>
              <w:t>金</w:t>
            </w:r>
            <w:r>
              <w:rPr>
                <w:rFonts w:ascii="宋体" w:hAnsi="宋体" w:cs="宋体" w:eastAsia="宋体" w:hint="default"/>
                <w:sz w:val="18"/>
                <w:szCs w:val="18"/>
              </w:rPr>
              <w:t>（详见本节十</w:t>
            </w:r>
            <w:r>
              <w:rPr>
                <w:rFonts w:ascii="宋体" w:hAnsi="宋体" w:cs="宋体" w:eastAsia="宋体" w:hint="default"/>
                <w:sz w:val="18"/>
                <w:szCs w:val="18"/>
              </w:rPr>
              <w:t> 五、</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北京阳光童梦教育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20,266,258.29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5,986,198.70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淮安爱德康赛广告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352,897,583.22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7,986,198.70</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t>是否已执行新收入准则</w:t>
      </w:r>
    </w:p>
    <w:p>
      <w:pPr>
        <w:pStyle w:val="BodyText"/>
        <w:spacing w:line="240" w:lineRule="auto" w:before="117"/>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3827"/>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7,204,935.41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7,204,935.41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7,797,536.13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7,797,536.13</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1,517,411.09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1,517,411.09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1,534,043.09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1,534,043.09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8,722,346.50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8,722,346.50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9,331,579.22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9,331,579.22</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8、其他流动资产" w:id="239"/>
      <w:bookmarkEnd w:id="239"/>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137,729,928.49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116,331,943.29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碳排放指标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276,756.00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7,784,131.18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145,790,815.67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116,331,943.29</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9、长期股权投资" w:id="240"/>
      <w:bookmarkEnd w:id="240"/>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0、其他权益工具投资" w:id="241"/>
      <w:bookmarkEnd w:id="241"/>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北京亚太中立信息技术有限公司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天津新动金鼎万众体育资产管理合伙企 业（有限合伙）</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北京柘量投资中心（有限合伙）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上海开域信息科技有限公司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1,302,267.47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56,592,267.47</w:t>
            </w:r>
          </w:p>
        </w:tc>
      </w:tr>
    </w:tbl>
    <w:p>
      <w:pPr>
        <w:pStyle w:val="BodyText"/>
        <w:spacing w:line="240" w:lineRule="auto" w:before="49"/>
        <w:ind w:right="3827"/>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北京亚太中立信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644,328.03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644,328.03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天津新动金鼎万 众体育资产管理 合伙企业（有限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6,170,758.25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6,170,758.25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北京柘量投资中 心（有限合伙）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上海开域信息科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528,394.74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528,394.74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不以出售为目的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r>
    </w:tbl>
    <w:p>
      <w:pPr>
        <w:pStyle w:val="BodyText"/>
        <w:spacing w:line="240" w:lineRule="auto" w:before="49"/>
        <w:ind w:right="3827"/>
        <w:jc w:val="left"/>
      </w:pPr>
      <w:r>
        <w:rPr/>
        <w:t>其他说明：</w:t>
      </w:r>
    </w:p>
    <w:p>
      <w:pPr>
        <w:pStyle w:val="BodyText"/>
        <w:spacing w:line="316" w:lineRule="auto" w:before="115"/>
        <w:ind w:right="1112" w:firstLine="360"/>
        <w:jc w:val="left"/>
      </w:pPr>
      <w:r>
        <w:rPr>
          <w:spacing w:val="-2"/>
        </w:rPr>
        <w:t>公司持有的上述非上市公司股权，不符合本金加利息的合同现金流量特征，持有目的是非交易性的，因此公司将其指定</w:t>
      </w:r>
      <w:r>
        <w:rPr/>
        <w:t> 为以公允价值计量且其变动计入其他综合收益的金融资产。</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11、固定资产" w:id="242"/>
      <w:bookmarkEnd w:id="242"/>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4,485,976,205.01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4,040,067,130.95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4,485,976,205.01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4,040,067,130.95</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固定资产情况" w:id="243"/>
      <w:bookmarkEnd w:id="24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2,239,082,071.24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1,742,641,915.94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968,110,056.35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11,945,862.98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22,440,796.40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4,984,220,702.91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325,547,902.73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511,326,839.53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16,909,199.46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645,906.19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10,050,512.72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864,480,360.63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117,645,536.61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25,811,986.63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9,240,855.57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645,906.19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8,163,575.35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161,507,860.35</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189,705,152.12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485,514,852.90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7,668,343.89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1,886,937.37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684,775,286.28</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18,197,214.00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18,197,214.00</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11,919,016.92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2,725,803.16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842,324.28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15,487,144.36</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11,919,016.92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2,725,803.16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842,324.28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15,487,144.36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2,564,629,973.97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2,242,049,738.55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982,293,452.65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12,591,769.17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31,648,984.84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5,833,213,919.18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243,444,104.08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450,101,263.50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230,983,280.85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5,083,574.48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14,541,349.05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944,153,571.96</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58,565,417.15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179,158,035.59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172,927,597.93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1,393,363.42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2,669,127.02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414,713,541.11</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58,565,417.15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179,158,035.59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172,927,597.93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1,393,363.42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2,669,127.02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414,713,541.11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9,484,819.57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1,923,219.85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221,359.48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11,629,398.90</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9,484,819.57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1,923,219.85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221,359.48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11,629,398.90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302,009,521.23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619,774,479.52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401,987,658.93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6,476,937.90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16,989,116.59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1,347,237,714.17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2,262,620,452.74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1,622,275,259.03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580,305,793.72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6,114,831.27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14,659,868.25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4,485,976,205.01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1,995,637,967.16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1,292,540,652.44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737,126,775.50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6,862,288.50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7,899,447.35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4,040,067,130.95</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通过融资租赁租入的固定资产情况" w:id="244"/>
      <w:bookmarkEnd w:id="244"/>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6,156,237.65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779,789.64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5,376,448.01</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未办妥产权证书的固定资产情况" w:id="245"/>
      <w:bookmarkEnd w:id="245"/>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房山绿色云计算基地（一期）</w:t>
            </w:r>
            <w:r>
              <w:rPr>
                <w:rFonts w:ascii="Times New Roman" w:hAnsi="Times New Roman" w:cs="Times New Roman" w:eastAsia="Times New Roman" w:hint="default"/>
                <w:sz w:val="18"/>
                <w:szCs w:val="18"/>
              </w:rPr>
              <w:t>1#</w:t>
            </w:r>
            <w:r>
              <w:rPr>
                <w:rFonts w:ascii="宋体" w:hAnsi="宋体" w:cs="宋体" w:eastAsia="宋体" w:hint="default"/>
                <w:sz w:val="18"/>
                <w:szCs w:val="18"/>
              </w:rPr>
              <w:t>云计算 中心等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项房屋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5" w:right="0"/>
              <w:jc w:val="left"/>
              <w:rPr>
                <w:rFonts w:ascii="Times New Roman" w:hAnsi="Times New Roman" w:cs="Times New Roman" w:eastAsia="Times New Roman" w:hint="default"/>
                <w:sz w:val="18"/>
                <w:szCs w:val="18"/>
              </w:rPr>
            </w:pPr>
            <w:r>
              <w:rPr>
                <w:rFonts w:ascii="Times New Roman"/>
                <w:sz w:val="18"/>
              </w:rPr>
              <w:t>186,173,698.75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正在按照不动产登记程序办理</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固定资产清理" w:id="246"/>
      <w:bookmarkEnd w:id="246"/>
      <w:r>
        <w:rPr>
          <w:b w:val="0"/>
          <w:bCs w:val="0"/>
        </w:rPr>
      </w:r>
      <w:r>
        <w:rPr/>
        <w:t>（</w:t>
      </w:r>
      <w:r>
        <w:rPr>
          <w:rFonts w:ascii="Times New Roman" w:hAnsi="Times New Roman" w:cs="Times New Roman" w:eastAsia="Times New Roman" w:hint="default"/>
        </w:rPr>
        <w:t>4</w:t>
      </w:r>
      <w:r>
        <w:rPr/>
        <w:t>）固定资产清理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3827"/>
        <w:jc w:val="left"/>
      </w:pPr>
      <w:r>
        <w:rPr>
          <w:rFonts w:ascii="Times New Roman" w:hAnsi="Times New Roman" w:cs="Times New Roman" w:eastAsia="Times New Roman" w:hint="default"/>
        </w:rPr>
        <w:t>1</w:t>
      </w:r>
      <w:r>
        <w:rPr/>
        <w:t>）截止</w:t>
      </w:r>
      <w:r>
        <w:rPr>
          <w:spacing w:val="-46"/>
        </w:rPr>
        <w:t> </w:t>
      </w: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日，无暂时闲置的固定资产。</w:t>
      </w:r>
    </w:p>
    <w:p>
      <w:pPr>
        <w:pStyle w:val="BodyText"/>
        <w:spacing w:line="240" w:lineRule="auto" w:before="63"/>
        <w:ind w:left="513" w:right="3827"/>
        <w:jc w:val="left"/>
      </w:pPr>
      <w:r>
        <w:rPr>
          <w:rFonts w:ascii="Times New Roman" w:hAnsi="Times New Roman" w:cs="Times New Roman" w:eastAsia="Times New Roman" w:hint="default"/>
        </w:rPr>
        <w:t>2</w:t>
      </w:r>
      <w:r>
        <w:rPr/>
        <w:t>）截至</w:t>
      </w:r>
      <w:r>
        <w:rPr>
          <w:spacing w:val="-46"/>
        </w:rPr>
        <w:t> </w:t>
      </w: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日，固定资产抵押和所有权受限情况：</w:t>
      </w:r>
    </w:p>
    <w:p>
      <w:pPr>
        <w:pStyle w:val="BodyText"/>
        <w:spacing w:line="240" w:lineRule="auto" w:before="62"/>
        <w:ind w:left="513" w:right="986"/>
        <w:jc w:val="left"/>
      </w:pPr>
      <w:r>
        <w:rPr/>
        <w:t>子公司北京中金云网科技有限公司以其坐落于北京经济技术开发区博兴八路</w:t>
      </w:r>
      <w:r>
        <w:rPr>
          <w:spacing w:val="-45"/>
        </w:rPr>
        <w:t> </w:t>
      </w:r>
      <w:r>
        <w:rPr>
          <w:rFonts w:ascii="Times New Roman" w:hAnsi="Times New Roman" w:cs="Times New Roman" w:eastAsia="Times New Roman" w:hint="default"/>
        </w:rPr>
        <w:t>1 </w:t>
      </w:r>
      <w:r>
        <w:rPr/>
        <w:t>号</w:t>
      </w:r>
      <w:r>
        <w:rPr>
          <w:spacing w:val="-48"/>
        </w:rPr>
        <w:t> </w:t>
      </w:r>
      <w:r>
        <w:rPr>
          <w:rFonts w:ascii="Times New Roman" w:hAnsi="Times New Roman" w:cs="Times New Roman" w:eastAsia="Times New Roman" w:hint="default"/>
        </w:rPr>
        <w:t>1 </w:t>
      </w:r>
      <w:r>
        <w:rPr>
          <w:spacing w:val="-13"/>
        </w:rPr>
        <w:t>幢、</w:t>
      </w:r>
      <w:r>
        <w:rPr>
          <w:rFonts w:ascii="Times New Roman" w:hAnsi="Times New Roman" w:cs="Times New Roman" w:eastAsia="Times New Roman" w:hint="default"/>
          <w:spacing w:val="-13"/>
        </w:rPr>
        <w:t>2</w:t>
      </w:r>
      <w:r>
        <w:rPr>
          <w:rFonts w:ascii="Times New Roman" w:hAnsi="Times New Roman" w:cs="Times New Roman" w:eastAsia="Times New Roman" w:hint="default"/>
        </w:rPr>
        <w:t> </w:t>
      </w:r>
      <w:r>
        <w:rPr/>
        <w:t>幢和</w:t>
      </w:r>
      <w:r>
        <w:rPr>
          <w:spacing w:val="-45"/>
        </w:rPr>
        <w:t> </w:t>
      </w:r>
      <w:r>
        <w:rPr>
          <w:rFonts w:ascii="Times New Roman" w:hAnsi="Times New Roman" w:cs="Times New Roman" w:eastAsia="Times New Roman" w:hint="default"/>
        </w:rPr>
        <w:t>3 </w:t>
      </w:r>
      <w:r>
        <w:rPr/>
        <w:t>幢房屋所有权及对应国</w:t>
      </w:r>
    </w:p>
    <w:p>
      <w:pPr>
        <w:pStyle w:val="BodyText"/>
        <w:spacing w:line="240" w:lineRule="auto" w:before="63"/>
        <w:ind w:right="1112"/>
        <w:jc w:val="left"/>
      </w:pPr>
      <w:r>
        <w:rPr/>
        <w:t>有土地使用权（不动产权证书编号：京</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t>）开发区不</w:t>
      </w:r>
      <w:r>
        <w:rPr>
          <w:spacing w:val="-3"/>
        </w:rPr>
        <w:t>动</w:t>
      </w:r>
      <w:r>
        <w:rPr/>
        <w:t>产权第</w:t>
      </w:r>
      <w:r>
        <w:rPr>
          <w:spacing w:val="-45"/>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00</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号</w:t>
      </w:r>
      <w:r>
        <w:rPr>
          <w:spacing w:val="-92"/>
        </w:rPr>
        <w:t>）</w:t>
      </w:r>
      <w:r>
        <w:rPr/>
        <w:t>、北京经济技术开发区博兴八路</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号院</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楼</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至</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层</w:t>
      </w:r>
      <w:r>
        <w:rPr>
          <w:spacing w:val="-55"/>
        </w:rPr>
        <w:t> </w:t>
      </w:r>
      <w:r>
        <w:rPr>
          <w:rFonts w:ascii="Times New Roman" w:hAnsi="Times New Roman" w:cs="Times New Roman" w:eastAsia="Times New Roman" w:hint="default"/>
        </w:rPr>
        <w:t>101</w:t>
      </w:r>
      <w:r>
        <w:rPr>
          <w:rFonts w:ascii="Times New Roman" w:hAnsi="Times New Roman" w:cs="Times New Roman" w:eastAsia="Times New Roman" w:hint="default"/>
          <w:spacing w:val="-7"/>
        </w:rPr>
        <w:t> </w:t>
      </w:r>
      <w:r>
        <w:rPr/>
        <w:t>等</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套房屋所有权及对应国有土地使用权（不动产权证书编号：京（</w:t>
      </w:r>
      <w:r>
        <w:rPr>
          <w:rFonts w:ascii="Times New Roman" w:hAnsi="Times New Roman" w:cs="Times New Roman" w:eastAsia="Times New Roman" w:hint="default"/>
        </w:rPr>
        <w:t>2018</w:t>
      </w:r>
      <w:r>
        <w:rPr/>
        <w:t>）开不动产权第</w:t>
      </w:r>
      <w:r>
        <w:rPr>
          <w:spacing w:val="-52"/>
        </w:rPr>
        <w:t> </w:t>
      </w:r>
      <w:r>
        <w:rPr>
          <w:rFonts w:ascii="Times New Roman" w:hAnsi="Times New Roman" w:cs="Times New Roman" w:eastAsia="Times New Roman" w:hint="default"/>
        </w:rPr>
        <w:t>0013938</w:t>
      </w:r>
      <w:r>
        <w:rPr>
          <w:rFonts w:ascii="Times New Roman" w:hAnsi="Times New Roman" w:cs="Times New Roman" w:eastAsia="Times New Roman" w:hint="default"/>
          <w:spacing w:val="-6"/>
        </w:rPr>
        <w:t> </w:t>
      </w:r>
      <w:r>
        <w:rPr>
          <w:spacing w:val="-5"/>
        </w:rPr>
        <w:t>号）设定</w:t>
      </w:r>
    </w:p>
    <w:p>
      <w:pPr>
        <w:pStyle w:val="BodyText"/>
        <w:spacing w:line="240" w:lineRule="auto" w:before="63"/>
        <w:ind w:right="3827"/>
        <w:jc w:val="left"/>
      </w:pPr>
      <w:r>
        <w:rPr/>
        <w:t>抵押，抵押期限</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29 </w:t>
      </w:r>
      <w:r>
        <w:rPr/>
        <w:t>日至</w:t>
      </w:r>
      <w:r>
        <w:rPr>
          <w:spacing w:val="-45"/>
        </w:rPr>
        <w:t> </w:t>
      </w:r>
      <w:r>
        <w:rPr>
          <w:rFonts w:ascii="Times New Roman" w:hAnsi="Times New Roman" w:cs="Times New Roman" w:eastAsia="Times New Roman" w:hint="default"/>
        </w:rPr>
        <w:t>2034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30 </w:t>
      </w:r>
      <w:r>
        <w:rPr/>
        <w:t>日。详见</w:t>
      </w:r>
      <w:r>
        <w:rPr>
          <w:rFonts w:ascii="Times New Roman" w:hAnsi="Times New Roman" w:cs="Times New Roman" w:eastAsia="Times New Roman" w:hint="default"/>
        </w:rPr>
        <w:t>“</w:t>
      </w:r>
      <w:r>
        <w:rPr/>
        <w:t>本节</w:t>
      </w:r>
      <w:r>
        <w:rPr>
          <w:spacing w:val="-45"/>
        </w:rPr>
        <w:t> </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pStyle w:val="BodyText"/>
        <w:spacing w:line="240" w:lineRule="auto" w:before="63"/>
        <w:ind w:left="513" w:right="986"/>
        <w:jc w:val="left"/>
      </w:pPr>
      <w:r>
        <w:rPr/>
        <w:t>子公司北京科信盛彩云计算有限公司以其所有的位于北京经济技术开发区瑞合西二路</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号院</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号楼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至</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层等</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套房屋</w:t>
      </w:r>
    </w:p>
    <w:p>
      <w:pPr>
        <w:pStyle w:val="BodyText"/>
        <w:spacing w:line="240" w:lineRule="auto" w:before="63"/>
        <w:ind w:right="986"/>
        <w:jc w:val="left"/>
      </w:pPr>
      <w:r>
        <w:rPr/>
        <w:t>所有权及对应国有土地使用权（不动产权证书编号：京</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t>）开发区不动产权第</w:t>
      </w:r>
      <w:r>
        <w:rPr>
          <w:spacing w:val="-44"/>
        </w:rPr>
        <w:t> </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6</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spacing w:val="-92"/>
        </w:rPr>
        <w:t>）</w:t>
      </w:r>
      <w:r>
        <w:rPr/>
        <w:t>、位于北京经济技术开发区</w:t>
      </w:r>
    </w:p>
    <w:p>
      <w:pPr>
        <w:pStyle w:val="BodyText"/>
        <w:spacing w:line="240" w:lineRule="auto" w:before="63"/>
        <w:ind w:right="986"/>
        <w:jc w:val="left"/>
      </w:pPr>
      <w:r>
        <w:rPr/>
        <w:t>瑞合西二路</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号院</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号楼等</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幢楼的房屋所有权及对应国有土地使用权（不动产权证书编号：京（</w:t>
      </w:r>
      <w:r>
        <w:rPr>
          <w:rFonts w:ascii="Times New Roman" w:hAnsi="Times New Roman" w:cs="Times New Roman" w:eastAsia="Times New Roman" w:hint="default"/>
        </w:rPr>
        <w:t>2016</w:t>
      </w:r>
      <w:r>
        <w:rPr/>
        <w:t>）开发区不动产权第</w:t>
      </w:r>
    </w:p>
    <w:p>
      <w:pPr>
        <w:pStyle w:val="BodyText"/>
        <w:spacing w:line="240" w:lineRule="auto" w:before="63"/>
        <w:ind w:right="3827"/>
        <w:jc w:val="left"/>
      </w:pPr>
      <w:r>
        <w:rPr>
          <w:rFonts w:ascii="Times New Roman" w:hAnsi="Times New Roman" w:cs="Times New Roman" w:eastAsia="Times New Roman" w:hint="default"/>
        </w:rPr>
        <w:t>0019668 </w:t>
      </w:r>
      <w:r>
        <w:rPr/>
        <w:t>号）设定抵押，详见</w:t>
      </w:r>
      <w:r>
        <w:rPr>
          <w:rFonts w:ascii="Times New Roman" w:hAnsi="Times New Roman" w:cs="Times New Roman" w:eastAsia="Times New Roman" w:hint="default"/>
        </w:rPr>
        <w:t>“</w:t>
      </w:r>
      <w:r>
        <w:rPr/>
        <w:t>本节</w:t>
      </w:r>
      <w:r>
        <w:rPr>
          <w:spacing w:val="-46"/>
        </w:rPr>
        <w:t> </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pStyle w:val="BodyText"/>
        <w:spacing w:line="240" w:lineRule="auto" w:before="63"/>
        <w:ind w:left="513" w:right="3827"/>
        <w:jc w:val="left"/>
      </w:pPr>
      <w:r>
        <w:rPr>
          <w:rFonts w:ascii="Times New Roman" w:hAnsi="Times New Roman" w:cs="Times New Roman" w:eastAsia="Times New Roman" w:hint="default"/>
        </w:rPr>
        <w:t>3</w:t>
      </w:r>
      <w:r>
        <w:rPr/>
        <w:t>）本公司期末对固定资产进行检查，未发现减值迹象，故未计提减值准备。</w:t>
      </w:r>
    </w:p>
    <w:p>
      <w:pPr>
        <w:pStyle w:val="BodyText"/>
        <w:spacing w:line="300" w:lineRule="auto" w:before="63"/>
        <w:ind w:left="513" w:right="1119"/>
        <w:jc w:val="left"/>
      </w:pPr>
      <w:r>
        <w:rPr>
          <w:rFonts w:ascii="Times New Roman" w:hAnsi="Times New Roman" w:cs="Times New Roman" w:eastAsia="Times New Roman" w:hint="default"/>
        </w:rPr>
        <w:t>4</w:t>
      </w:r>
      <w:r>
        <w:rPr/>
        <w:t>）通过融资租赁租入的固定资产情况 子公司光环云数据有限与尚阳科技股份签订了融资租赁合同，租赁物为办公设备，开展融资租赁的固定产截至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p>
    <w:p>
      <w:pPr>
        <w:pStyle w:val="BodyText"/>
        <w:spacing w:line="240" w:lineRule="auto" w:before="13"/>
        <w:ind w:right="1112"/>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t>日账面价值</w:t>
      </w:r>
      <w:r>
        <w:rPr>
          <w:spacing w:val="-46"/>
        </w:rPr>
        <w:t> </w:t>
      </w:r>
      <w:r>
        <w:rPr>
          <w:rFonts w:ascii="Times New Roman" w:hAnsi="Times New Roman" w:cs="Times New Roman" w:eastAsia="Times New Roman" w:hint="default"/>
        </w:rPr>
        <w:t>5,376,448.01</w:t>
      </w:r>
      <w:r>
        <w:rPr>
          <w:rFonts w:ascii="Times New Roman" w:hAnsi="Times New Roman" w:cs="Times New Roman" w:eastAsia="Times New Roman" w:hint="default"/>
          <w:spacing w:val="1"/>
        </w:rPr>
        <w:t> </w:t>
      </w:r>
      <w:r>
        <w:rPr>
          <w:spacing w:val="-4"/>
        </w:rPr>
        <w:t>元，融资金额</w:t>
      </w:r>
      <w:r>
        <w:rPr>
          <w:spacing w:val="-48"/>
        </w:rPr>
        <w:t> </w:t>
      </w:r>
      <w:r>
        <w:rPr>
          <w:rFonts w:ascii="Times New Roman" w:hAnsi="Times New Roman" w:cs="Times New Roman" w:eastAsia="Times New Roman" w:hint="default"/>
        </w:rPr>
        <w:t>7,984,344.08</w:t>
      </w:r>
      <w:r>
        <w:rPr>
          <w:rFonts w:ascii="Times New Roman" w:hAnsi="Times New Roman" w:cs="Times New Roman" w:eastAsia="Times New Roman" w:hint="default"/>
          <w:spacing w:val="-1"/>
        </w:rPr>
        <w:t> </w:t>
      </w:r>
      <w:r>
        <w:rPr>
          <w:spacing w:val="-4"/>
        </w:rPr>
        <w:t>元，租赁期自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15 </w:t>
      </w:r>
      <w:r>
        <w:rPr/>
        <w:t>日融资期限</w:t>
      </w:r>
    </w:p>
    <w:p>
      <w:pPr>
        <w:pStyle w:val="BodyText"/>
        <w:spacing w:line="240" w:lineRule="auto" w:before="63"/>
        <w:ind w:right="1112"/>
        <w:jc w:val="left"/>
      </w:pPr>
      <w:r>
        <w:rPr/>
        <w:t>为三年，租赁期满。公司以留购价格</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元回购该部分租赁物所有权，光环云数据限公司董事长杨宇航为连带责任保证人。</w:t>
      </w:r>
    </w:p>
    <w:p>
      <w:pPr>
        <w:pStyle w:val="BodyText"/>
        <w:spacing w:line="314" w:lineRule="auto" w:before="63"/>
        <w:ind w:right="1130" w:firstLine="360"/>
        <w:jc w:val="both"/>
      </w:pPr>
      <w:r>
        <w:rPr>
          <w:rFonts w:ascii="Times New Roman" w:hAnsi="Times New Roman" w:cs="Times New Roman" w:eastAsia="Times New Roman" w:hint="default"/>
          <w:spacing w:val="-4"/>
        </w:rPr>
        <w:t>5</w:t>
      </w:r>
      <w:r>
        <w:rPr>
          <w:spacing w:val="-4"/>
        </w:rPr>
        <w:t>）子公司光环新网（上海）信息服务有限公司与上海环川实业投资有限公司签订了《土地及房屋租赁协议》，约定上海</w:t>
      </w:r>
      <w:r>
        <w:rPr/>
        <w:t> </w:t>
      </w:r>
      <w:r>
        <w:rPr>
          <w:spacing w:val="-2"/>
        </w:rPr>
        <w:t>环川实业投资有限公司投资建设的三联供系统相关的房屋及构筑物的所有权由光环新网（上海）信息服务有限公司享有，光</w:t>
      </w:r>
      <w:r>
        <w:rPr>
          <w:spacing w:val="-63"/>
        </w:rPr>
        <w:t> </w:t>
      </w:r>
      <w:r>
        <w:rPr>
          <w:spacing w:val="-63"/>
        </w:rPr>
      </w:r>
      <w:r>
        <w:rPr>
          <w:spacing w:val="-2"/>
        </w:rPr>
        <w:t>环新网（上海）信息服务有限公司同意并确保由上海环川实业投资有限公司在合作期及延长期内无偿租赁并使用其投资建设</w:t>
      </w:r>
      <w:r>
        <w:rPr>
          <w:spacing w:val="-64"/>
        </w:rPr>
        <w:t> </w:t>
      </w:r>
      <w:r>
        <w:rPr>
          <w:spacing w:val="-64"/>
        </w:rPr>
      </w:r>
      <w:r>
        <w:rPr>
          <w:spacing w:val="-2"/>
        </w:rPr>
        <w:t>的三联供系统相关的房屋及构筑物。光环新网（上海）信息服务有限公司取得相关不动产权证书，按照相关房屋及构筑物建</w:t>
      </w:r>
      <w:r>
        <w:rPr>
          <w:spacing w:val="-66"/>
        </w:rPr>
        <w:t> </w:t>
      </w:r>
      <w:r>
        <w:rPr>
          <w:spacing w:val="-66"/>
        </w:rPr>
      </w:r>
      <w:r>
        <w:rPr/>
        <w:t>造成本计入固定资产，按照相关资产使用年限进行摊销。</w:t>
      </w:r>
    </w:p>
    <w:p>
      <w:pPr>
        <w:spacing w:line="240" w:lineRule="auto" w:before="12"/>
        <w:rPr>
          <w:rFonts w:ascii="宋体" w:hAnsi="宋体" w:cs="宋体" w:eastAsia="宋体" w:hint="default"/>
          <w:sz w:val="22"/>
          <w:szCs w:val="22"/>
        </w:rPr>
      </w:pPr>
    </w:p>
    <w:p>
      <w:pPr>
        <w:pStyle w:val="Heading3"/>
        <w:spacing w:line="240" w:lineRule="auto"/>
        <w:ind w:right="3827"/>
        <w:jc w:val="left"/>
        <w:rPr>
          <w:b w:val="0"/>
          <w:bCs w:val="0"/>
        </w:rPr>
      </w:pPr>
      <w:bookmarkStart w:name="12、在建工程" w:id="247"/>
      <w:bookmarkEnd w:id="247"/>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844,514,622.15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938,491,735.17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844,514,622.15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938,491,735.17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酒仙桥机房三期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593,835.87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593,835.87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1,444,329.05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1,444,329.05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燕郊绿色云计算 基地一期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1,036,582.89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1,036,582.89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290,598.29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290,598.29</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燕郊绿色云计算 基地二期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29,926,715.10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29,926,715.10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25,553,396.94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25,553,396.94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17,399,643.97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17,399,643.97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上海嘉定绿色云 计算基地一期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152,455,599.85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152,455,599.85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上海嘉定绿色云 计算基地二期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39,432,282.00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39,432,282.00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房山绿色云计算 基地一期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429,994,483.61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429,994,483.61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513,937,096.07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513,937,096.07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房山绿色云计算 基地二期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122,362,750.78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122,362,750.78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15,302,251.42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15,302,251.42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亦庄绿色云计算 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211,150,233.39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211,150,233.39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179,602,321.09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179,602,321.09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4,887,969.85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4,887,969.85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5,962,494.28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5,962,494.28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中金云网数据中 心二期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5,129,768.66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5,129,768.66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26,544,004.21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26,544,004.21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844,514,622.15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844,514,622.15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938,491,735.17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938,491,735.17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酒仙桥 机房三 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149,050,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1,444,32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1,497,14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2,136,36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211,272.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燕郊绿 色云计 算基地 一期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209,000,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9,563,77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8,550,65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267,137.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1,036,58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燕郊绿 色云计 算基地 二期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228,440,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25,553,3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96.94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36,318,7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21,775,9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99.74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10,169,3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29,926,7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总部装 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17,399,6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29,897,5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10,066,4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37,230,7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上海嘉 定绿色 云计算 基地一 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635,420,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152,455,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599.85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48,221,2</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96.11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198,619,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867.60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2,057,02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上海嘉 定绿色 云计算 基地二 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1,160,20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39,432,2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39,432,2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房山绿 色云计 算基地 一期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1,401,28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513,937,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096.07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314,596,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866.29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397,810,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237.65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729,241.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429,994,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483.61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68.93%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68.93%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房山绿 色云计 算基地 二期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1,178,14</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7,500.00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15,302,2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107,060,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499.36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122,362,</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750.78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10.39%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10.39%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1,408,42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1,408,42</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0.06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亦庄绿 色云计 算基地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1,170,55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179,602,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321.09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41,406,1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9,858,20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211,150,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233.39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78.87%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78.87%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17,644,2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3,882,20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6"/>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5,962,49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7,382,19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7,560,16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896,548.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4,887,96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中金云 网数据 中心二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26,544,0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10,967,3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28,397,3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3,984,25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5,129,76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6,132,09</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2,900.00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938,491,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735.17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646,343,</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789.37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684,775,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286.28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55,545,6</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16.11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844,514,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622.15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19,052,6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5,290,62</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2.39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3、无形资产" w:id="250"/>
      <w:bookmarkEnd w:id="250"/>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无形资产情况" w:id="251"/>
      <w:bookmarkEnd w:id="25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400,124,255.74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960,700.00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8,149,434.55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30,774,759.79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440,009,150.08</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105,310,128.45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9,765.52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1,379,233.86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106,699,127.83</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9,765.52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1,379,233.86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1,388,999.38</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105,310,128.45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105,310,128.45</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505,434,384.19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970,465.52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9,528,668.41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30,774,759.79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546,708,277.91</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36,756,932.90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420,306.25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4,387,710.19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1,850,913.63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43,415,862.97</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11,593,927.22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148,174.00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1,281,718.93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651,832.20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13,675,652.35</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9,419,847.22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148,174.00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1,281,718.93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651,832.20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11,501,572.35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2,174,080.00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2,174,080.00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48,350,860.12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568,480.25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5,669,429.12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2,502,745.83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57,091,515.32</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457,083,524.07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401,985.27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3,859,239.29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28,272,013.96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489,616,762.59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363,367,322.84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540,393.75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3,761,724.36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28,923,846.16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396,593,287.11</w:t>
            </w:r>
          </w:p>
        </w:tc>
      </w:tr>
    </w:tbl>
    <w:p>
      <w:pPr>
        <w:pStyle w:val="BodyText"/>
        <w:spacing w:line="338" w:lineRule="auto" w:before="49"/>
        <w:ind w:left="513" w:right="5024" w:hanging="361"/>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 其他说明：</w:t>
      </w:r>
    </w:p>
    <w:p>
      <w:pPr>
        <w:pStyle w:val="BodyText"/>
        <w:spacing w:line="300" w:lineRule="auto" w:before="2"/>
        <w:ind w:right="1139" w:firstLine="360"/>
        <w:jc w:val="left"/>
      </w:pPr>
      <w:r>
        <w:rPr/>
        <w:t>子公司北京中金云网科技有限公司位于北京经济技术开发区博兴八路</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5"/>
        </w:rPr>
        <w:t>号的土地使用权（不动产权证号：京【</w:t>
      </w:r>
      <w:r>
        <w:rPr>
          <w:rFonts w:ascii="Times New Roman" w:hAnsi="Times New Roman" w:cs="Times New Roman" w:eastAsia="Times New Roman" w:hint="default"/>
          <w:spacing w:val="-5"/>
        </w:rPr>
        <w:t>2016</w:t>
      </w:r>
      <w:r>
        <w:rPr>
          <w:spacing w:val="-5"/>
        </w:rPr>
        <w:t>】开</w:t>
      </w:r>
      <w:r>
        <w:rPr>
          <w:spacing w:val="-22"/>
        </w:rPr>
        <w:t> </w:t>
      </w:r>
      <w:r>
        <w:rPr/>
        <w:t>发区不动产权第</w:t>
      </w:r>
      <w:r>
        <w:rPr>
          <w:spacing w:val="-50"/>
        </w:rPr>
        <w:t> </w:t>
      </w:r>
      <w:r>
        <w:rPr>
          <w:rFonts w:ascii="Times New Roman" w:hAnsi="Times New Roman" w:cs="Times New Roman" w:eastAsia="Times New Roman" w:hint="default"/>
        </w:rPr>
        <w:t>0011007</w:t>
      </w:r>
      <w:r>
        <w:rPr>
          <w:rFonts w:ascii="Times New Roman" w:hAnsi="Times New Roman" w:cs="Times New Roman" w:eastAsia="Times New Roman" w:hint="default"/>
          <w:spacing w:val="-4"/>
        </w:rPr>
        <w:t> </w:t>
      </w:r>
      <w:r>
        <w:rPr/>
        <w:t>号）已设定抵押，详见</w:t>
      </w:r>
      <w:r>
        <w:rPr>
          <w:rFonts w:ascii="Times New Roman" w:hAnsi="Times New Roman" w:cs="Times New Roman" w:eastAsia="Times New Roman" w:hint="default"/>
        </w:rPr>
        <w:t>“</w:t>
      </w:r>
      <w:r>
        <w:rPr/>
        <w:t>本节</w:t>
      </w:r>
      <w:r>
        <w:rPr>
          <w:spacing w:val="-51"/>
        </w:rPr>
        <w:t> </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pStyle w:val="BodyText"/>
        <w:spacing w:line="240" w:lineRule="auto" w:before="13"/>
        <w:ind w:left="513" w:right="986"/>
        <w:jc w:val="left"/>
      </w:pPr>
      <w:r>
        <w:rPr/>
        <w:t>子公司北京科信盛彩云计算有限公司以其所有的位于北京经济技术开发区瑞合西二路</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号院</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号楼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至</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层等</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套房屋</w:t>
      </w:r>
    </w:p>
    <w:p>
      <w:pPr>
        <w:pStyle w:val="BodyText"/>
        <w:spacing w:line="240" w:lineRule="auto" w:before="63"/>
        <w:ind w:right="986"/>
        <w:jc w:val="left"/>
      </w:pPr>
      <w:r>
        <w:rPr/>
        <w:t>所有权及对应国有土地使用权（不动产权证书编号：京</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t>）开发区不动产权第</w:t>
      </w:r>
      <w:r>
        <w:rPr>
          <w:spacing w:val="-44"/>
        </w:rPr>
        <w:t> </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6</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spacing w:val="-92"/>
        </w:rPr>
        <w:t>）</w:t>
      </w:r>
      <w:r>
        <w:rPr/>
        <w:t>、位于北京经济技术开发区</w:t>
      </w:r>
    </w:p>
    <w:p>
      <w:pPr>
        <w:pStyle w:val="BodyText"/>
        <w:spacing w:line="240" w:lineRule="auto" w:before="63"/>
        <w:ind w:right="986"/>
        <w:jc w:val="left"/>
      </w:pPr>
      <w:r>
        <w:rPr/>
        <w:t>瑞合西二路</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号院</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号楼等</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幢楼的房屋所有权及对应国有土地使用权（不动产权证书编号：京（</w:t>
      </w:r>
      <w:r>
        <w:rPr>
          <w:rFonts w:ascii="Times New Roman" w:hAnsi="Times New Roman" w:cs="Times New Roman" w:eastAsia="Times New Roman" w:hint="default"/>
        </w:rPr>
        <w:t>2016</w:t>
      </w:r>
      <w:r>
        <w:rPr/>
        <w:t>）开发区不动产权第</w:t>
      </w:r>
    </w:p>
    <w:p>
      <w:pPr>
        <w:pStyle w:val="BodyText"/>
        <w:spacing w:line="240" w:lineRule="auto" w:before="63"/>
        <w:ind w:right="3827"/>
        <w:jc w:val="left"/>
      </w:pPr>
      <w:r>
        <w:rPr>
          <w:rFonts w:ascii="Times New Roman" w:hAnsi="Times New Roman" w:cs="Times New Roman" w:eastAsia="Times New Roman" w:hint="default"/>
        </w:rPr>
        <w:t>0019668 </w:t>
      </w:r>
      <w:r>
        <w:rPr/>
        <w:t>号）设定抵押，详见</w:t>
      </w:r>
      <w:r>
        <w:rPr>
          <w:rFonts w:ascii="Times New Roman" w:hAnsi="Times New Roman" w:cs="Times New Roman" w:eastAsia="Times New Roman" w:hint="default"/>
        </w:rPr>
        <w:t>“</w:t>
      </w:r>
      <w:r>
        <w:rPr/>
        <w:t>本节</w:t>
      </w:r>
      <w:r>
        <w:rPr>
          <w:spacing w:val="-46"/>
        </w:rPr>
        <w:t> </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14、商誉" w:id="252"/>
      <w:bookmarkEnd w:id="252"/>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商誉账面原值" w:id="253"/>
      <w:bookmarkEnd w:id="25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443,868,682.22</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443,868,682.22</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1,952,342,340.17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1,952,342,340.17</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1,693,240.00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1,693,240.00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2,397,904,262.39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2,397,904,262.39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2）商誉减值准备" w:id="254"/>
      <w:bookmarkEnd w:id="25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商誉所在资产组或资产组组合的相关信息</w:t>
      </w:r>
    </w:p>
    <w:p>
      <w:pPr>
        <w:pStyle w:val="BodyText"/>
        <w:spacing w:line="240" w:lineRule="auto" w:before="117"/>
        <w:ind w:left="513" w:right="986"/>
        <w:jc w:val="left"/>
      </w:pPr>
      <w:r>
        <w:rPr/>
        <w:t>与并购中金云网形成的商誉相关的资产组账面价值</w:t>
      </w:r>
      <w:r>
        <w:rPr>
          <w:spacing w:val="-45"/>
        </w:rPr>
        <w:t> </w:t>
      </w:r>
      <w:r>
        <w:rPr>
          <w:rFonts w:ascii="Times New Roman" w:hAnsi="Times New Roman" w:cs="Times New Roman" w:eastAsia="Times New Roman" w:hint="default"/>
        </w:rPr>
        <w:t>188,678.46</w:t>
      </w:r>
      <w:r>
        <w:rPr>
          <w:rFonts w:ascii="Times New Roman" w:hAnsi="Times New Roman" w:cs="Times New Roman" w:eastAsia="Times New Roman" w:hint="default"/>
          <w:spacing w:val="2"/>
        </w:rPr>
        <w:t> </w:t>
      </w:r>
      <w:r>
        <w:rPr>
          <w:spacing w:val="-4"/>
        </w:rPr>
        <w:t>万元，包含商誉资产组金额为</w:t>
      </w:r>
      <w:r>
        <w:rPr>
          <w:spacing w:val="-46"/>
        </w:rPr>
        <w:t> </w:t>
      </w:r>
      <w:r>
        <w:rPr>
          <w:rFonts w:ascii="Times New Roman" w:hAnsi="Times New Roman" w:cs="Times New Roman" w:eastAsia="Times New Roman" w:hint="default"/>
        </w:rPr>
        <w:t>383,912.69</w:t>
      </w:r>
      <w:r>
        <w:rPr>
          <w:rFonts w:ascii="Times New Roman" w:hAnsi="Times New Roman" w:cs="Times New Roman" w:eastAsia="Times New Roman" w:hint="default"/>
          <w:spacing w:val="2"/>
        </w:rPr>
        <w:t> </w:t>
      </w:r>
      <w:r>
        <w:rPr>
          <w:spacing w:val="-6"/>
        </w:rPr>
        <w:t>万元。与并购无</w:t>
      </w:r>
    </w:p>
    <w:p>
      <w:pPr>
        <w:pStyle w:val="BodyText"/>
        <w:spacing w:line="309" w:lineRule="auto" w:before="63"/>
        <w:ind w:right="1133"/>
        <w:jc w:val="both"/>
      </w:pPr>
      <w:r>
        <w:rPr/>
        <w:t>双科技形成的商誉相关的资产组账面价值</w:t>
      </w:r>
      <w:r>
        <w:rPr>
          <w:spacing w:val="-46"/>
        </w:rPr>
        <w:t> </w:t>
      </w:r>
      <w:r>
        <w:rPr>
          <w:rFonts w:ascii="Times New Roman" w:hAnsi="Times New Roman" w:cs="Times New Roman" w:eastAsia="Times New Roman" w:hint="default"/>
        </w:rPr>
        <w:t>87,202.20 </w:t>
      </w:r>
      <w:r>
        <w:rPr/>
        <w:t>万元，包含商誉的资产组金额为</w:t>
      </w:r>
      <w:r>
        <w:rPr>
          <w:spacing w:val="-47"/>
        </w:rPr>
        <w:t> </w:t>
      </w:r>
      <w:r>
        <w:rPr>
          <w:rFonts w:ascii="Times New Roman" w:hAnsi="Times New Roman" w:cs="Times New Roman" w:eastAsia="Times New Roman" w:hint="default"/>
        </w:rPr>
        <w:t>131,589.07 </w:t>
      </w:r>
      <w:r>
        <w:rPr/>
        <w:t>万元。公司商誉减值测试时 </w:t>
      </w:r>
      <w:r>
        <w:rPr>
          <w:spacing w:val="-5"/>
        </w:rPr>
        <w:t>所使用的资产组与购买日及以前年度商誉减值测试时所使用的资产组一致，范围包括流动资产、固定资产、无形资产、商誉、</w:t>
      </w:r>
      <w:r>
        <w:rPr>
          <w:spacing w:val="-78"/>
        </w:rPr>
        <w:t> </w:t>
      </w:r>
      <w:r>
        <w:rPr>
          <w:spacing w:val="-78"/>
        </w:rPr>
      </w:r>
      <w:r>
        <w:rPr>
          <w:spacing w:val="-4"/>
        </w:rPr>
        <w:t>其他资产（除递延所得税资产外）、流动负债等经营性资产。</w:t>
      </w:r>
    </w:p>
    <w:p>
      <w:pPr>
        <w:spacing w:line="240" w:lineRule="auto" w:before="9"/>
        <w:rPr>
          <w:rFonts w:ascii="宋体" w:hAnsi="宋体" w:cs="宋体" w:eastAsia="宋体" w:hint="default"/>
          <w:sz w:val="25"/>
          <w:szCs w:val="25"/>
        </w:rPr>
      </w:pPr>
    </w:p>
    <w:p>
      <w:pPr>
        <w:pStyle w:val="BodyText"/>
        <w:spacing w:line="316" w:lineRule="auto"/>
        <w:ind w:right="1112" w:firstLine="360"/>
        <w:jc w:val="left"/>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240" w:lineRule="auto" w:before="19"/>
        <w:ind w:left="513" w:right="3827"/>
        <w:jc w:val="left"/>
      </w:pPr>
      <w:r>
        <w:rPr/>
        <w:t>（</w:t>
      </w:r>
      <w:r>
        <w:rPr>
          <w:rFonts w:ascii="Times New Roman" w:hAnsi="Times New Roman" w:cs="Times New Roman" w:eastAsia="Times New Roman" w:hint="default"/>
        </w:rPr>
        <w:t>1</w:t>
      </w:r>
      <w:r>
        <w:rPr/>
        <w:t>）中金云网减值判断</w:t>
      </w:r>
    </w:p>
    <w:p>
      <w:pPr>
        <w:pStyle w:val="BodyText"/>
        <w:spacing w:line="240" w:lineRule="auto" w:before="63"/>
        <w:ind w:left="513" w:right="3827"/>
        <w:jc w:val="left"/>
      </w:pP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年，中金云网已完成重大资产重组业绩承诺，实际完成情况如下：</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834"/>
        <w:gridCol w:w="1957"/>
        <w:gridCol w:w="1959"/>
        <w:gridCol w:w="1957"/>
        <w:gridCol w:w="1954"/>
      </w:tblGrid>
      <w:tr>
        <w:trPr>
          <w:trHeight w:val="34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业绩承诺数</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10"/>
              <w:jc w:val="right"/>
              <w:rPr>
                <w:rFonts w:ascii="Times New Roman" w:hAnsi="Times New Roman" w:cs="Times New Roman" w:eastAsia="Times New Roman" w:hint="default"/>
                <w:sz w:val="18"/>
                <w:szCs w:val="18"/>
              </w:rPr>
            </w:pPr>
            <w:r>
              <w:rPr>
                <w:rFonts w:ascii="Times New Roman"/>
                <w:spacing w:val="-1"/>
                <w:sz w:val="18"/>
              </w:rPr>
              <w:t>13,000.00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21,000.00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12"/>
              <w:jc w:val="right"/>
              <w:rPr>
                <w:rFonts w:ascii="Times New Roman" w:hAnsi="Times New Roman" w:cs="Times New Roman" w:eastAsia="Times New Roman" w:hint="default"/>
                <w:sz w:val="18"/>
                <w:szCs w:val="18"/>
              </w:rPr>
            </w:pPr>
            <w:r>
              <w:rPr>
                <w:rFonts w:ascii="Times New Roman"/>
                <w:spacing w:val="-1"/>
                <w:sz w:val="18"/>
              </w:rPr>
              <w:t>29,000.00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63,000.00</w:t>
            </w:r>
          </w:p>
        </w:tc>
      </w:tr>
      <w:tr>
        <w:trPr>
          <w:trHeight w:val="34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实际盈利数</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10"/>
              <w:jc w:val="right"/>
              <w:rPr>
                <w:rFonts w:ascii="Times New Roman" w:hAnsi="Times New Roman" w:cs="Times New Roman" w:eastAsia="Times New Roman" w:hint="default"/>
                <w:sz w:val="18"/>
                <w:szCs w:val="18"/>
              </w:rPr>
            </w:pPr>
            <w:r>
              <w:rPr>
                <w:rFonts w:ascii="Times New Roman"/>
                <w:spacing w:val="-1"/>
                <w:sz w:val="18"/>
              </w:rPr>
              <w:t>15,058.01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22,037.22</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12"/>
              <w:jc w:val="right"/>
              <w:rPr>
                <w:rFonts w:ascii="Times New Roman" w:hAnsi="Times New Roman" w:cs="Times New Roman" w:eastAsia="Times New Roman" w:hint="default"/>
                <w:sz w:val="18"/>
                <w:szCs w:val="18"/>
              </w:rPr>
            </w:pPr>
            <w:r>
              <w:rPr>
                <w:rFonts w:ascii="Times New Roman"/>
                <w:spacing w:val="-1"/>
                <w:sz w:val="18"/>
              </w:rPr>
              <w:t>28,158.69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65,253.92</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834"/>
        <w:gridCol w:w="1957"/>
        <w:gridCol w:w="1959"/>
        <w:gridCol w:w="1957"/>
        <w:gridCol w:w="1954"/>
      </w:tblGrid>
      <w:tr>
        <w:trPr>
          <w:trHeight w:val="34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6" w:right="0"/>
              <w:jc w:val="left"/>
              <w:rPr>
                <w:rFonts w:ascii="宋体" w:hAnsi="宋体" w:cs="宋体" w:eastAsia="宋体" w:hint="default"/>
                <w:sz w:val="18"/>
                <w:szCs w:val="18"/>
              </w:rPr>
            </w:pPr>
            <w:r>
              <w:rPr>
                <w:rFonts w:ascii="宋体" w:hAnsi="宋体" w:cs="宋体" w:eastAsia="宋体" w:hint="default"/>
                <w:sz w:val="18"/>
                <w:szCs w:val="18"/>
              </w:rPr>
              <w:t>完成率（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115.83%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104.94%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97.10%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50" w:right="0"/>
              <w:jc w:val="left"/>
              <w:rPr>
                <w:rFonts w:ascii="Times New Roman" w:hAnsi="Times New Roman" w:cs="Times New Roman" w:eastAsia="Times New Roman" w:hint="default"/>
                <w:sz w:val="18"/>
                <w:szCs w:val="18"/>
              </w:rPr>
            </w:pPr>
            <w:r>
              <w:rPr>
                <w:rFonts w:ascii="Times New Roman"/>
                <w:sz w:val="18"/>
              </w:rPr>
              <w:t>103.58%</w:t>
            </w:r>
          </w:p>
        </w:tc>
      </w:tr>
    </w:tbl>
    <w:p>
      <w:pPr>
        <w:pStyle w:val="BodyText"/>
        <w:spacing w:line="316" w:lineRule="auto" w:before="8"/>
        <w:ind w:right="1131" w:firstLine="360"/>
        <w:jc w:val="both"/>
      </w:pPr>
      <w:r>
        <w:rPr>
          <w:spacing w:val="-2"/>
        </w:rPr>
        <w:t>本公司对并购中金云网形成的商誉在期末进行了减值测试，公司确定了与商誉相关的资产组，以全部资产负债剔除非经</w:t>
      </w:r>
      <w:r>
        <w:rPr/>
        <w:t> </w:t>
      </w:r>
      <w:r>
        <w:rPr>
          <w:spacing w:val="-2"/>
        </w:rPr>
        <w:t>营性资产、非经营性负债和负息负债做为与商誉相关的资产组，资产组与商誉的初始确认及以后年度进行减值测试时的资产</w:t>
      </w:r>
      <w:r>
        <w:rPr>
          <w:spacing w:val="-64"/>
        </w:rPr>
        <w:t> </w:t>
      </w:r>
      <w:r>
        <w:rPr>
          <w:spacing w:val="-64"/>
        </w:rPr>
      </w:r>
      <w:r>
        <w:rPr>
          <w:spacing w:val="-2"/>
        </w:rPr>
        <w:t>组业务内涵相同，保持了一致性。公司聘请中铭国际资产评估（北京）有限责任公司对该资产组可收回金额进行了评估并出</w:t>
      </w:r>
      <w:r>
        <w:rPr>
          <w:spacing w:val="-64"/>
        </w:rPr>
        <w:t> </w:t>
      </w:r>
      <w:r>
        <w:rPr>
          <w:spacing w:val="-64"/>
        </w:rPr>
      </w:r>
      <w:r>
        <w:rPr/>
        <w:t>具了中铭评报字</w:t>
      </w:r>
      <w:r>
        <w:rPr>
          <w:rFonts w:ascii="Times New Roman" w:hAnsi="Times New Roman" w:cs="Times New Roman" w:eastAsia="Times New Roman" w:hint="default"/>
        </w:rPr>
        <w:t>[2020]</w:t>
      </w:r>
      <w:r>
        <w:rPr/>
        <w:t>第</w:t>
      </w:r>
      <w:r>
        <w:rPr>
          <w:spacing w:val="-48"/>
        </w:rPr>
        <w:t> </w:t>
      </w:r>
      <w:r>
        <w:rPr>
          <w:rFonts w:ascii="Times New Roman" w:hAnsi="Times New Roman" w:cs="Times New Roman" w:eastAsia="Times New Roman" w:hint="default"/>
        </w:rPr>
        <w:t>1002</w:t>
      </w:r>
      <w:r>
        <w:rPr>
          <w:rFonts w:ascii="Times New Roman" w:hAnsi="Times New Roman" w:cs="Times New Roman" w:eastAsia="Times New Roman" w:hint="default"/>
          <w:spacing w:val="-2"/>
        </w:rPr>
        <w:t> </w:t>
      </w:r>
      <w:r>
        <w:rPr/>
        <w:t>号评估报告，在本期对商誉进行减值测试时，可收回金额按照评估结果确定。</w:t>
      </w:r>
    </w:p>
    <w:p>
      <w:pPr>
        <w:pStyle w:val="BodyText"/>
        <w:spacing w:line="248" w:lineRule="exact"/>
        <w:ind w:left="513" w:right="986"/>
        <w:jc w:val="left"/>
      </w:pPr>
      <w:r>
        <w:rPr/>
        <w:t>评估报告基于该资产组过去的业绩、公司对市场发展的预期估计等预测该资产组未来现金流量，将</w:t>
      </w:r>
      <w:r>
        <w:rPr>
          <w:spacing w:val="-6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1"/>
        </w:rPr>
        <w:t> </w:t>
      </w:r>
      <w:r>
        <w:rPr/>
        <w:t>年至</w:t>
      </w:r>
      <w:r>
        <w:rPr>
          <w:spacing w:val="-67"/>
        </w:rPr>
        <w:t> </w:t>
      </w:r>
      <w:r>
        <w:rPr>
          <w:rFonts w:ascii="Times New Roman" w:hAnsi="Times New Roman" w:cs="Times New Roman" w:eastAsia="Times New Roman" w:hint="default"/>
        </w:rPr>
        <w:t>2024</w:t>
      </w:r>
      <w:r>
        <w:rPr>
          <w:rFonts w:ascii="Times New Roman" w:hAnsi="Times New Roman" w:cs="Times New Roman" w:eastAsia="Times New Roman" w:hint="default"/>
          <w:spacing w:val="-21"/>
        </w:rPr>
        <w:t> </w:t>
      </w:r>
      <w:r>
        <w:rPr/>
        <w:t>年确</w:t>
      </w:r>
    </w:p>
    <w:p>
      <w:pPr>
        <w:pStyle w:val="BodyText"/>
        <w:spacing w:line="300" w:lineRule="auto" w:before="63"/>
        <w:ind w:right="1175"/>
        <w:jc w:val="left"/>
      </w:pPr>
      <w:r>
        <w:rPr/>
        <w:t>定为明确的预测期，</w:t>
      </w:r>
      <w:r>
        <w:rPr>
          <w:rFonts w:ascii="Times New Roman" w:hAnsi="Times New Roman" w:cs="Times New Roman" w:eastAsia="Times New Roman" w:hint="default"/>
        </w:rPr>
        <w:t>2024 </w:t>
      </w:r>
      <w:r>
        <w:rPr/>
        <w:t>年后为永续预测期，本次评估永续期增长率谨慎考虑按</w:t>
      </w:r>
      <w:r>
        <w:rPr>
          <w:spacing w:val="-46"/>
        </w:rPr>
        <w:t> </w:t>
      </w:r>
      <w:r>
        <w:rPr>
          <w:rFonts w:ascii="Times New Roman" w:hAnsi="Times New Roman" w:cs="Times New Roman" w:eastAsia="Times New Roman" w:hint="default"/>
        </w:rPr>
        <w:t>2023</w:t>
      </w:r>
      <w:r>
        <w:rPr>
          <w:rFonts w:ascii="Times New Roman" w:hAnsi="Times New Roman" w:cs="Times New Roman" w:eastAsia="Times New Roman" w:hint="default"/>
          <w:spacing w:val="-3"/>
        </w:rPr>
        <w:t> </w:t>
      </w:r>
      <w:r>
        <w:rPr/>
        <w:t>至</w:t>
      </w:r>
      <w:r>
        <w:rPr>
          <w:spacing w:val="-47"/>
        </w:rPr>
        <w:t> </w:t>
      </w:r>
      <w:r>
        <w:rPr>
          <w:rFonts w:ascii="Times New Roman" w:hAnsi="Times New Roman" w:cs="Times New Roman" w:eastAsia="Times New Roman" w:hint="default"/>
        </w:rPr>
        <w:t>2024 </w:t>
      </w:r>
      <w:r>
        <w:rPr/>
        <w:t>年的增长水平计取，即永续 期增长率取</w:t>
      </w:r>
      <w:r>
        <w:rPr>
          <w:spacing w:val="-49"/>
        </w:rPr>
        <w:t> </w:t>
      </w:r>
      <w:r>
        <w:rPr>
          <w:rFonts w:ascii="Times New Roman" w:hAnsi="Times New Roman" w:cs="Times New Roman" w:eastAsia="Times New Roman" w:hint="default"/>
        </w:rPr>
        <w:t>1.4%</w:t>
      </w:r>
      <w:r>
        <w:rPr/>
        <w:t>，折现率为</w:t>
      </w:r>
      <w:r>
        <w:rPr>
          <w:spacing w:val="-49"/>
        </w:rPr>
        <w:t> </w:t>
      </w:r>
      <w:r>
        <w:rPr>
          <w:rFonts w:ascii="Times New Roman" w:hAnsi="Times New Roman" w:cs="Times New Roman" w:eastAsia="Times New Roman" w:hint="default"/>
        </w:rPr>
        <w:t>11.81%</w:t>
      </w:r>
      <w:r>
        <w:rPr/>
        <w:t>。</w:t>
      </w:r>
    </w:p>
    <w:p>
      <w:pPr>
        <w:pStyle w:val="BodyText"/>
        <w:spacing w:line="240" w:lineRule="auto" w:before="13"/>
        <w:ind w:left="513" w:right="986"/>
        <w:jc w:val="left"/>
      </w:pPr>
      <w:r>
        <w:rPr/>
        <w:t>根据该评估报告，北京中金云网科技有限公司的与商誉相关的资产组预计可收回金额为</w:t>
      </w:r>
      <w:r>
        <w:rPr>
          <w:spacing w:val="-65"/>
        </w:rPr>
        <w:t> </w:t>
      </w:r>
      <w:r>
        <w:rPr>
          <w:rFonts w:ascii="Times New Roman" w:hAnsi="Times New Roman" w:cs="Times New Roman" w:eastAsia="Times New Roman" w:hint="default"/>
        </w:rPr>
        <w:t>437,627.33</w:t>
      </w:r>
      <w:r>
        <w:rPr>
          <w:rFonts w:ascii="Times New Roman" w:hAnsi="Times New Roman" w:cs="Times New Roman" w:eastAsia="Times New Roman" w:hint="default"/>
          <w:spacing w:val="-18"/>
        </w:rPr>
        <w:t> </w:t>
      </w:r>
      <w:r>
        <w:rPr>
          <w:spacing w:val="-5"/>
        </w:rPr>
        <w:t>万元，高于相关的资</w:t>
      </w:r>
    </w:p>
    <w:p>
      <w:pPr>
        <w:pStyle w:val="BodyText"/>
        <w:spacing w:line="240" w:lineRule="auto" w:before="63"/>
        <w:ind w:right="3827"/>
        <w:jc w:val="left"/>
      </w:pPr>
      <w:r>
        <w:rPr/>
        <w:t>产组公允价值和商誉的合计数</w:t>
      </w:r>
      <w:r>
        <w:rPr>
          <w:spacing w:val="-48"/>
        </w:rPr>
        <w:t> </w:t>
      </w:r>
      <w:r>
        <w:rPr>
          <w:rFonts w:ascii="Times New Roman" w:hAnsi="Times New Roman" w:cs="Times New Roman" w:eastAsia="Times New Roman" w:hint="default"/>
        </w:rPr>
        <w:t>383,912.69</w:t>
      </w:r>
      <w:r>
        <w:rPr>
          <w:rFonts w:ascii="Times New Roman" w:hAnsi="Times New Roman" w:cs="Times New Roman" w:eastAsia="Times New Roman" w:hint="default"/>
          <w:spacing w:val="-1"/>
        </w:rPr>
        <w:t> </w:t>
      </w:r>
      <w:r>
        <w:rPr/>
        <w:t>万元，未发生减值，故期末未计提减值准备。</w:t>
      </w:r>
    </w:p>
    <w:p>
      <w:pPr>
        <w:pStyle w:val="BodyText"/>
        <w:spacing w:line="240" w:lineRule="auto" w:before="63"/>
        <w:ind w:left="513" w:right="3827"/>
        <w:jc w:val="left"/>
      </w:pPr>
      <w:r>
        <w:rPr/>
        <w:t>（</w:t>
      </w:r>
      <w:r>
        <w:rPr>
          <w:rFonts w:ascii="Times New Roman" w:hAnsi="Times New Roman" w:cs="Times New Roman" w:eastAsia="Times New Roman" w:hint="default"/>
        </w:rPr>
        <w:t>2</w:t>
      </w:r>
      <w:r>
        <w:rPr/>
        <w:t>）无双科技减值判断</w:t>
      </w:r>
    </w:p>
    <w:p>
      <w:pPr>
        <w:pStyle w:val="BodyText"/>
        <w:spacing w:line="240" w:lineRule="auto" w:before="63"/>
        <w:ind w:left="513" w:right="1112"/>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年，北京无双科技有限公司已完成重大资产重组业绩承诺，实际完成情况如下：</w:t>
      </w:r>
    </w:p>
    <w:p>
      <w:pPr>
        <w:spacing w:line="240" w:lineRule="auto" w:before="2"/>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836"/>
        <w:gridCol w:w="1954"/>
        <w:gridCol w:w="1954"/>
        <w:gridCol w:w="1957"/>
        <w:gridCol w:w="1958"/>
      </w:tblGrid>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业绩承诺数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3,500.00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4,550.00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5,915.00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13,965.00</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实际盈利数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3,607.91</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4,840.47</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8,445.68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16,894.06</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完成率（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103.08%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106.38%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142.78%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120.97%</w:t>
            </w:r>
          </w:p>
        </w:tc>
      </w:tr>
    </w:tbl>
    <w:p>
      <w:pPr>
        <w:pStyle w:val="BodyText"/>
        <w:spacing w:line="316" w:lineRule="auto" w:before="8"/>
        <w:ind w:right="1131" w:firstLine="360"/>
        <w:jc w:val="both"/>
      </w:pPr>
      <w:r>
        <w:rPr>
          <w:spacing w:val="-2"/>
        </w:rPr>
        <w:t>本公司对并购无双科技形成的商誉在期末进行了减值测试，公司确定了与商誉相关的资产组，以全部资产负债剔除非经</w:t>
      </w:r>
      <w:r>
        <w:rPr/>
        <w:t> </w:t>
      </w:r>
      <w:r>
        <w:rPr>
          <w:spacing w:val="-2"/>
        </w:rPr>
        <w:t>营性资产、非经营性负债和负息负债做为与商誉相关的资产组，资产组与商誉的初始确认及以后年度进行减值测试时的资产</w:t>
      </w:r>
      <w:r>
        <w:rPr>
          <w:spacing w:val="-64"/>
        </w:rPr>
        <w:t> </w:t>
      </w:r>
      <w:r>
        <w:rPr>
          <w:spacing w:val="-64"/>
        </w:rPr>
      </w:r>
      <w:r>
        <w:rPr>
          <w:spacing w:val="-2"/>
        </w:rPr>
        <w:t>组业务内涵相同，保持了一致性。公司聘请中铭国际资产评估（北京）有限责任公司对该资产组可收回金额进行了评估并出</w:t>
      </w:r>
      <w:r>
        <w:rPr>
          <w:spacing w:val="-64"/>
        </w:rPr>
        <w:t> </w:t>
      </w:r>
      <w:r>
        <w:rPr>
          <w:spacing w:val="-64"/>
        </w:rPr>
      </w:r>
      <w:r>
        <w:rPr/>
        <w:t>具了中铭评报字</w:t>
      </w:r>
      <w:r>
        <w:rPr>
          <w:rFonts w:ascii="Times New Roman" w:hAnsi="Times New Roman" w:cs="Times New Roman" w:eastAsia="Times New Roman" w:hint="default"/>
        </w:rPr>
        <w:t>[2020]</w:t>
      </w:r>
      <w:r>
        <w:rPr/>
        <w:t>第</w:t>
      </w:r>
      <w:r>
        <w:rPr>
          <w:spacing w:val="-48"/>
        </w:rPr>
        <w:t> </w:t>
      </w:r>
      <w:r>
        <w:rPr>
          <w:rFonts w:ascii="Times New Roman" w:hAnsi="Times New Roman" w:cs="Times New Roman" w:eastAsia="Times New Roman" w:hint="default"/>
        </w:rPr>
        <w:t>1003</w:t>
      </w:r>
      <w:r>
        <w:rPr>
          <w:rFonts w:ascii="Times New Roman" w:hAnsi="Times New Roman" w:cs="Times New Roman" w:eastAsia="Times New Roman" w:hint="default"/>
          <w:spacing w:val="-2"/>
        </w:rPr>
        <w:t> </w:t>
      </w:r>
      <w:r>
        <w:rPr/>
        <w:t>号评估报告，在本期对商誉进行减值测试时，可收回金额按照评估结果确定。</w:t>
      </w:r>
    </w:p>
    <w:p>
      <w:pPr>
        <w:pStyle w:val="BodyText"/>
        <w:spacing w:line="300" w:lineRule="auto"/>
        <w:ind w:right="1128" w:firstLine="360"/>
        <w:jc w:val="both"/>
      </w:pPr>
      <w:r>
        <w:rPr/>
        <w:t>评估报告基于该资产组过去的业绩、公司对市场发展的预期估计等预测该资产组未来现金流量，将</w:t>
      </w:r>
      <w:r>
        <w:rPr>
          <w:spacing w:val="-6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9"/>
        </w:rPr>
        <w:t> </w:t>
      </w:r>
      <w:r>
        <w:rPr/>
        <w:t>年至</w:t>
      </w:r>
      <w:r>
        <w:rPr>
          <w:spacing w:val="-65"/>
        </w:rPr>
        <w:t> </w:t>
      </w:r>
      <w:r>
        <w:rPr>
          <w:rFonts w:ascii="Times New Roman" w:hAnsi="Times New Roman" w:cs="Times New Roman" w:eastAsia="Times New Roman" w:hint="default"/>
        </w:rPr>
        <w:t>2024</w:t>
      </w:r>
      <w:r>
        <w:rPr>
          <w:rFonts w:ascii="Times New Roman" w:hAnsi="Times New Roman" w:cs="Times New Roman" w:eastAsia="Times New Roman" w:hint="default"/>
          <w:spacing w:val="-19"/>
        </w:rPr>
        <w:t> </w:t>
      </w:r>
      <w:r>
        <w:rPr/>
        <w:t>年确 定为明确的预测期，</w:t>
      </w:r>
      <w:r>
        <w:rPr>
          <w:rFonts w:ascii="Times New Roman" w:hAnsi="Times New Roman" w:cs="Times New Roman" w:eastAsia="Times New Roman" w:hint="default"/>
        </w:rPr>
        <w:t>2024 </w:t>
      </w:r>
      <w:r>
        <w:rPr/>
        <w:t>年后为永续预测期，永续期增长率参照近十年平均</w:t>
      </w:r>
      <w:r>
        <w:rPr>
          <w:spacing w:val="-46"/>
        </w:rPr>
        <w:t> </w:t>
      </w:r>
      <w:r>
        <w:rPr>
          <w:rFonts w:ascii="Times New Roman" w:hAnsi="Times New Roman" w:cs="Times New Roman" w:eastAsia="Times New Roman" w:hint="default"/>
        </w:rPr>
        <w:t>CPI</w:t>
      </w:r>
      <w:r>
        <w:rPr>
          <w:rFonts w:ascii="Times New Roman" w:hAnsi="Times New Roman" w:cs="Times New Roman" w:eastAsia="Times New Roman" w:hint="default"/>
          <w:spacing w:val="-2"/>
        </w:rPr>
        <w:t> </w:t>
      </w:r>
      <w:r>
        <w:rPr/>
        <w:t>水平取</w:t>
      </w:r>
      <w:r>
        <w:rPr>
          <w:spacing w:val="-47"/>
        </w:rPr>
        <w:t> </w:t>
      </w:r>
      <w:r>
        <w:rPr>
          <w:rFonts w:ascii="Times New Roman" w:hAnsi="Times New Roman" w:cs="Times New Roman" w:eastAsia="Times New Roman" w:hint="default"/>
        </w:rPr>
        <w:t>2.6%</w:t>
      </w:r>
      <w:r>
        <w:rPr/>
        <w:t>，折现率为</w:t>
      </w:r>
      <w:r>
        <w:rPr>
          <w:spacing w:val="-46"/>
        </w:rPr>
        <w:t> </w:t>
      </w:r>
      <w:r>
        <w:rPr>
          <w:rFonts w:ascii="Times New Roman" w:hAnsi="Times New Roman" w:cs="Times New Roman" w:eastAsia="Times New Roman" w:hint="default"/>
        </w:rPr>
        <w:t>17.48%</w:t>
      </w:r>
      <w:r>
        <w:rPr/>
        <w:t>。</w:t>
      </w:r>
    </w:p>
    <w:p>
      <w:pPr>
        <w:pStyle w:val="BodyText"/>
        <w:spacing w:line="240" w:lineRule="auto" w:before="13"/>
        <w:ind w:left="513" w:right="986"/>
        <w:jc w:val="left"/>
      </w:pPr>
      <w:r>
        <w:rPr/>
        <w:t>根据该评估报告，北京无双科技有限公司的与商誉相关的资产组预计可收回金额为</w:t>
      </w:r>
      <w:r>
        <w:rPr>
          <w:spacing w:val="-65"/>
        </w:rPr>
        <w:t> </w:t>
      </w:r>
      <w:r>
        <w:rPr>
          <w:rFonts w:ascii="Times New Roman" w:hAnsi="Times New Roman" w:cs="Times New Roman" w:eastAsia="Times New Roman" w:hint="default"/>
        </w:rPr>
        <w:t>134,348.96</w:t>
      </w:r>
      <w:r>
        <w:rPr>
          <w:rFonts w:ascii="Times New Roman" w:hAnsi="Times New Roman" w:cs="Times New Roman" w:eastAsia="Times New Roman" w:hint="default"/>
          <w:spacing w:val="-19"/>
        </w:rPr>
        <w:t> </w:t>
      </w:r>
      <w:r>
        <w:rPr>
          <w:spacing w:val="-4"/>
        </w:rPr>
        <w:t>万元，高于相关的资产组</w:t>
      </w:r>
    </w:p>
    <w:p>
      <w:pPr>
        <w:pStyle w:val="BodyText"/>
        <w:spacing w:line="240" w:lineRule="auto" w:before="63"/>
        <w:ind w:right="3827"/>
        <w:jc w:val="left"/>
      </w:pPr>
      <w:r>
        <w:rPr/>
        <w:t>公允价值和商誉的合计数</w:t>
      </w:r>
      <w:r>
        <w:rPr>
          <w:spacing w:val="-46"/>
        </w:rPr>
        <w:t> </w:t>
      </w:r>
      <w:r>
        <w:rPr>
          <w:rFonts w:ascii="Times New Roman" w:hAnsi="Times New Roman" w:cs="Times New Roman" w:eastAsia="Times New Roman" w:hint="default"/>
        </w:rPr>
        <w:t>131,589.07 </w:t>
      </w:r>
      <w:r>
        <w:rPr/>
        <w:t>万元，未发生减值，故期末未计提减值准备。</w:t>
      </w:r>
    </w:p>
    <w:p>
      <w:pPr>
        <w:pStyle w:val="BodyText"/>
        <w:spacing w:line="300" w:lineRule="auto" w:before="63"/>
        <w:ind w:left="513" w:right="1112"/>
        <w:jc w:val="left"/>
      </w:pPr>
      <w:r>
        <w:rPr/>
        <w:t>（</w:t>
      </w:r>
      <w:r>
        <w:rPr>
          <w:rFonts w:ascii="Times New Roman" w:hAnsi="Times New Roman" w:cs="Times New Roman" w:eastAsia="Times New Roman" w:hint="default"/>
        </w:rPr>
        <w:t>3</w:t>
      </w:r>
      <w:r>
        <w:rPr/>
        <w:t>）瑞科新网商誉减值判断 </w:t>
      </w:r>
      <w:r>
        <w:rPr>
          <w:spacing w:val="-2"/>
        </w:rPr>
        <w:t>将非同一控制企业合并北京瑞科新网科技有限公司形成的商誉的账面价值，按照合理的方法分摊至相关的资产，与商誉</w:t>
      </w:r>
    </w:p>
    <w:p>
      <w:pPr>
        <w:pStyle w:val="BodyText"/>
        <w:spacing w:line="300" w:lineRule="auto" w:before="31"/>
        <w:ind w:right="1123"/>
        <w:jc w:val="left"/>
      </w:pPr>
      <w:r>
        <w:rPr>
          <w:spacing w:val="-2"/>
        </w:rPr>
        <w:t>相关的资产为房屋建筑物，账面金额</w:t>
      </w:r>
      <w:r>
        <w:rPr>
          <w:spacing w:val="-36"/>
        </w:rPr>
        <w:t> </w:t>
      </w:r>
      <w:r>
        <w:rPr>
          <w:rFonts w:ascii="Times New Roman" w:hAnsi="Times New Roman" w:cs="Times New Roman" w:eastAsia="Times New Roman" w:hint="default"/>
          <w:spacing w:val="-1"/>
        </w:rPr>
        <w:t>2,333.64</w:t>
      </w:r>
      <w:r>
        <w:rPr>
          <w:rFonts w:ascii="Times New Roman" w:hAnsi="Times New Roman" w:cs="Times New Roman" w:eastAsia="Times New Roman" w:hint="default"/>
          <w:spacing w:val="10"/>
        </w:rPr>
        <w:t> </w:t>
      </w:r>
      <w:r>
        <w:rPr>
          <w:spacing w:val="-2"/>
        </w:rPr>
        <w:t>万元。先对该房屋建筑物进行减值测试，可回收金额高于账面价值，未发生减</w:t>
      </w:r>
      <w:r>
        <w:rPr>
          <w:spacing w:val="-88"/>
        </w:rPr>
        <w:t> </w:t>
      </w:r>
      <w:r>
        <w:rPr>
          <w:spacing w:val="-88"/>
        </w:rPr>
      </w:r>
      <w:r>
        <w:rPr/>
        <w:t>值损失。再对包含商誉的资产组进行减值测试，相关资产组的可收回金额高于其账面价值，因此未发生商誉的减值损失。</w:t>
      </w:r>
    </w:p>
    <w:p>
      <w:pPr>
        <w:spacing w:line="240" w:lineRule="auto" w:before="10"/>
        <w:rPr>
          <w:rFonts w:ascii="宋体" w:hAnsi="宋体" w:cs="宋体" w:eastAsia="宋体" w:hint="default"/>
          <w:sz w:val="23"/>
          <w:szCs w:val="23"/>
        </w:rPr>
      </w:pPr>
    </w:p>
    <w:p>
      <w:pPr>
        <w:pStyle w:val="Heading3"/>
        <w:spacing w:line="240" w:lineRule="auto"/>
        <w:ind w:right="3827"/>
        <w:jc w:val="left"/>
        <w:rPr>
          <w:b w:val="0"/>
          <w:bCs w:val="0"/>
        </w:rPr>
      </w:pPr>
      <w:bookmarkStart w:name="15、长期待摊费用" w:id="255"/>
      <w:bookmarkEnd w:id="255"/>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机房装修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136,215,937.29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16,077,849.31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8,969,829.02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143,323,957.58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38,788,927.00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36,893,092.85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3,684,678.51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71,997,341.34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管井租赁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8,730,129.78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1,106,514.07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7,647,165.71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中金云网数据中心 改造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25,405,379.30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37,592,965.11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18,419,253.41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44,579,091.00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酒仙桥机房外电源 改造工程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3,799,500.85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206,027.28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3,593,473.57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212,939,874.22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90,587,457.27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32,386,302.29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271,141,029.20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16、递延所得税资产/递延所得税负债" w:id="256"/>
      <w:bookmarkEnd w:id="256"/>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未经抵销的递延所得税资产" w:id="257"/>
      <w:bookmarkEnd w:id="25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52,101,304.31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9,599,408.94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25,311,928.36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3,725,689.60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9,997,004.40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2,499,371.10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4,865,227.00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1,216,306.75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85,565,031.44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21,641,257.86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89,708,164.65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13,456,224.70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147,663,340.15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33,740,037.90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119,885,320.01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18,398,221.05</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未经抵销的递延所得税负债" w:id="258"/>
      <w:bookmarkEnd w:id="25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107,289,125.00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19,407,273.08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111,030,887.31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17,359,485.10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54,946,816.73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8,242,022.51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33,474,185.40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5,021,127.81</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162,235,941.73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27,649,295.59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144,505,072.71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22,380,612.91</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以抵销后净额列示的递延所得税资产或负债" w:id="259"/>
      <w:bookmarkEnd w:id="25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33,740,037.90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18,398,221.05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27,649,295.59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22,380,612.91</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7、其他非流动资产" w:id="260"/>
      <w:bookmarkEnd w:id="260"/>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70,948,062.72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73,015,270.28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70,948,062.72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73,015,270.28</w:t>
            </w:r>
          </w:p>
        </w:tc>
      </w:tr>
    </w:tbl>
    <w:p>
      <w:pPr>
        <w:pStyle w:val="BodyText"/>
        <w:spacing w:line="240" w:lineRule="auto" w:before="49"/>
        <w:ind w:right="3827"/>
        <w:jc w:val="left"/>
      </w:pPr>
      <w:r>
        <w:rPr/>
        <w:t>其他说明：</w:t>
      </w:r>
    </w:p>
    <w:p>
      <w:pPr>
        <w:spacing w:after="0" w:line="240" w:lineRule="auto"/>
        <w:jc w:val="left"/>
        <w:sectPr>
          <w:type w:val="continuous"/>
          <w:pgSz w:w="11910" w:h="16840"/>
          <w:pgMar w:top="1060" w:bottom="70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firstLine="360"/>
        <w:jc w:val="both"/>
      </w:pPr>
      <w:r>
        <w:rPr/>
        <w:t>（</w:t>
      </w:r>
      <w:r>
        <w:rPr>
          <w:rFonts w:ascii="Times New Roman" w:hAnsi="Times New Roman" w:cs="Times New Roman" w:eastAsia="Times New Roman" w:hint="default"/>
        </w:rPr>
        <w:t>1</w:t>
      </w:r>
      <w:r>
        <w:rPr/>
        <w:t>）光环新网公司分别在</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9 </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13 </w:t>
      </w:r>
      <w:r>
        <w:rPr/>
        <w:t>日与德信智能手机技术（北京）有限 </w:t>
      </w:r>
      <w:r>
        <w:rPr>
          <w:spacing w:val="-9"/>
        </w:rPr>
        <w:t>公司签订了《房屋买卖合同》、《</w:t>
      </w:r>
      <w:r>
        <w:rPr>
          <w:rFonts w:ascii="Times New Roman" w:hAnsi="Times New Roman" w:cs="Times New Roman" w:eastAsia="Times New Roman" w:hint="default"/>
          <w:spacing w:val="-9"/>
        </w:rPr>
        <w:t>&lt;</w:t>
      </w:r>
      <w:r>
        <w:rPr>
          <w:spacing w:val="-9"/>
        </w:rPr>
        <w:t>房屋买卖合同</w:t>
      </w:r>
      <w:r>
        <w:rPr>
          <w:rFonts w:ascii="Times New Roman" w:hAnsi="Times New Roman" w:cs="Times New Roman" w:eastAsia="Times New Roman" w:hint="default"/>
          <w:spacing w:val="-9"/>
        </w:rPr>
        <w:t>&gt;</w:t>
      </w:r>
      <w:r>
        <w:rPr>
          <w:spacing w:val="-9"/>
        </w:rPr>
        <w:t>之补充合同》、《</w:t>
      </w:r>
      <w:r>
        <w:rPr>
          <w:rFonts w:ascii="Times New Roman" w:hAnsi="Times New Roman" w:cs="Times New Roman" w:eastAsia="Times New Roman" w:hint="default"/>
          <w:spacing w:val="-9"/>
        </w:rPr>
        <w:t>&lt;</w:t>
      </w:r>
      <w:r>
        <w:rPr>
          <w:spacing w:val="-9"/>
        </w:rPr>
        <w:t>房屋买卖合同</w:t>
      </w:r>
      <w:r>
        <w:rPr>
          <w:rFonts w:ascii="Times New Roman" w:hAnsi="Times New Roman" w:cs="Times New Roman" w:eastAsia="Times New Roman" w:hint="default"/>
          <w:spacing w:val="-9"/>
        </w:rPr>
        <w:t>&gt;</w:t>
      </w:r>
      <w:r>
        <w:rPr>
          <w:spacing w:val="-9"/>
        </w:rPr>
        <w:t>之补充合同二》约定其向公司出售房屋（朝</w:t>
      </w:r>
      <w:r>
        <w:rPr>
          <w:spacing w:val="-60"/>
        </w:rPr>
        <w:t> </w:t>
      </w:r>
      <w:r>
        <w:rPr>
          <w:spacing w:val="-60"/>
        </w:rPr>
      </w:r>
      <w:r>
        <w:rPr/>
        <w:t>阳区酒仙桥北路甲</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号院</w:t>
      </w:r>
      <w:r>
        <w:rPr>
          <w:spacing w:val="-47"/>
        </w:rPr>
        <w:t> </w:t>
      </w:r>
      <w:r>
        <w:rPr>
          <w:rFonts w:ascii="Times New Roman" w:hAnsi="Times New Roman" w:cs="Times New Roman" w:eastAsia="Times New Roman" w:hint="default"/>
        </w:rPr>
        <w:t>402</w:t>
      </w:r>
      <w:r>
        <w:rPr>
          <w:rFonts w:ascii="Times New Roman" w:hAnsi="Times New Roman" w:cs="Times New Roman" w:eastAsia="Times New Roman" w:hint="default"/>
          <w:spacing w:val="-3"/>
        </w:rPr>
        <w:t> </w:t>
      </w:r>
      <w:r>
        <w:rPr/>
        <w:t>号楼</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层）作为数据机房使用，交易价格为</w:t>
      </w:r>
      <w:r>
        <w:rPr>
          <w:spacing w:val="-47"/>
        </w:rPr>
        <w:t> </w:t>
      </w:r>
      <w:r>
        <w:rPr>
          <w:rFonts w:ascii="Times New Roman" w:hAnsi="Times New Roman" w:cs="Times New Roman" w:eastAsia="Times New Roman" w:hint="default"/>
        </w:rPr>
        <w:t>41,634,880.00 </w:t>
      </w:r>
      <w:r>
        <w:rPr/>
        <w:t>元，公司已累计支付交易价款</w:t>
      </w:r>
    </w:p>
    <w:p>
      <w:pPr>
        <w:pStyle w:val="BodyText"/>
        <w:spacing w:line="240" w:lineRule="auto" w:before="13"/>
        <w:ind w:right="1112"/>
        <w:jc w:val="left"/>
      </w:pPr>
      <w:r>
        <w:rPr>
          <w:rFonts w:ascii="Times New Roman" w:hAnsi="Times New Roman" w:cs="Times New Roman" w:eastAsia="Times New Roman" w:hint="default"/>
        </w:rPr>
        <w:t>41,634,880.00 </w:t>
      </w:r>
      <w:r>
        <w:rPr/>
        <w:t>元，截至报告日房屋产权证尚在办理中，未过户至本公司；</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月，公司在标的房屋建设的酒仙桥机房</w:t>
      </w:r>
    </w:p>
    <w:p>
      <w:pPr>
        <w:pStyle w:val="BodyText"/>
        <w:spacing w:line="240" w:lineRule="auto" w:before="63"/>
        <w:ind w:right="986"/>
        <w:jc w:val="left"/>
      </w:pPr>
      <w:r>
        <w:rPr/>
        <w:t>二期已投入使用并结转固定资产，出于谨慎性和配比原则考虑，公司比照房屋建筑物折旧政策进行摊销，摊销年限</w:t>
      </w:r>
      <w:r>
        <w:rPr>
          <w:spacing w:val="-43"/>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spacing w:val="-3"/>
        </w:rPr>
        <w:t>年，</w:t>
      </w:r>
      <w:r>
        <w:rPr/>
      </w:r>
    </w:p>
    <w:p>
      <w:pPr>
        <w:pStyle w:val="BodyText"/>
        <w:spacing w:line="240" w:lineRule="auto" w:before="63"/>
        <w:ind w:right="1112"/>
        <w:jc w:val="left"/>
      </w:pPr>
      <w:r>
        <w:rPr/>
        <w:t>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日累计摊销</w:t>
      </w:r>
      <w:r>
        <w:rPr>
          <w:spacing w:val="-46"/>
        </w:rPr>
        <w:t> </w:t>
      </w:r>
      <w:r>
        <w:rPr>
          <w:rFonts w:ascii="Times New Roman" w:hAnsi="Times New Roman" w:cs="Times New Roman" w:eastAsia="Times New Roman" w:hint="default"/>
        </w:rPr>
        <w:t>88</w:t>
      </w:r>
      <w:r>
        <w:rPr>
          <w:rFonts w:ascii="Times New Roman" w:hAnsi="Times New Roman" w:cs="Times New Roman" w:eastAsia="Times New Roman" w:hint="default"/>
          <w:spacing w:val="-1"/>
        </w:rPr>
        <w:t> </w:t>
      </w:r>
      <w:r>
        <w:rPr/>
        <w:t>个月，累计摊销金额</w:t>
      </w:r>
      <w:r>
        <w:rPr>
          <w:spacing w:val="-47"/>
        </w:rPr>
        <w:t> </w:t>
      </w:r>
      <w:r>
        <w:rPr>
          <w:rFonts w:ascii="Times New Roman" w:hAnsi="Times New Roman" w:cs="Times New Roman" w:eastAsia="Times New Roman" w:hint="default"/>
        </w:rPr>
        <w:t>7,615,070.08</w:t>
      </w:r>
      <w:r>
        <w:rPr>
          <w:rFonts w:ascii="Times New Roman" w:hAnsi="Times New Roman" w:cs="Times New Roman" w:eastAsia="Times New Roman" w:hint="default"/>
          <w:spacing w:val="-1"/>
        </w:rPr>
        <w:t> </w:t>
      </w:r>
      <w:r>
        <w:rPr/>
        <w:t>元，摊销后余额</w:t>
      </w:r>
      <w:r>
        <w:rPr>
          <w:spacing w:val="-47"/>
        </w:rPr>
        <w:t> </w:t>
      </w:r>
      <w:r>
        <w:rPr>
          <w:rFonts w:ascii="Times New Roman" w:hAnsi="Times New Roman" w:cs="Times New Roman" w:eastAsia="Times New Roman" w:hint="default"/>
        </w:rPr>
        <w:t>34,019,809.92</w:t>
      </w:r>
      <w:r>
        <w:rPr>
          <w:rFonts w:ascii="Times New Roman" w:hAnsi="Times New Roman" w:cs="Times New Roman" w:eastAsia="Times New Roman" w:hint="default"/>
          <w:spacing w:val="1"/>
        </w:rPr>
        <w:t> </w:t>
      </w:r>
      <w:r>
        <w:rPr/>
        <w:t>元。</w:t>
      </w:r>
    </w:p>
    <w:p>
      <w:pPr>
        <w:pStyle w:val="BodyText"/>
        <w:spacing w:line="240" w:lineRule="auto" w:before="63"/>
        <w:ind w:left="0" w:right="1131"/>
        <w:jc w:val="right"/>
      </w:pPr>
      <w:r>
        <w:rPr/>
        <w:t>（</w:t>
      </w:r>
      <w:r>
        <w:rPr>
          <w:rFonts w:ascii="Times New Roman" w:hAnsi="Times New Roman" w:cs="Times New Roman" w:eastAsia="Times New Roman" w:hint="default"/>
        </w:rPr>
        <w:t>2</w:t>
      </w:r>
      <w:r>
        <w:rPr/>
        <w:t>）本公司</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日与德信智能手机技术（北京）有限公司签订了《</w:t>
      </w:r>
      <w:r>
        <w:rPr>
          <w:rFonts w:ascii="Times New Roman" w:hAnsi="Times New Roman" w:cs="Times New Roman" w:eastAsia="Times New Roman" w:hint="default"/>
        </w:rPr>
        <w:t>&lt;</w:t>
      </w:r>
      <w:r>
        <w:rPr/>
        <w:t>房屋买卖合同</w:t>
      </w:r>
      <w:r>
        <w:rPr>
          <w:rFonts w:ascii="Times New Roman" w:hAnsi="Times New Roman" w:cs="Times New Roman" w:eastAsia="Times New Roman" w:hint="default"/>
        </w:rPr>
        <w:t>&gt;</w:t>
      </w:r>
      <w:r>
        <w:rPr/>
        <w:t>之补充合同三》约定其</w:t>
      </w:r>
    </w:p>
    <w:p>
      <w:pPr>
        <w:pStyle w:val="BodyText"/>
        <w:spacing w:line="240" w:lineRule="auto" w:before="63"/>
        <w:ind w:right="1112"/>
        <w:jc w:val="left"/>
        <w:rPr>
          <w:rFonts w:ascii="Times New Roman" w:hAnsi="Times New Roman" w:cs="Times New Roman" w:eastAsia="Times New Roman" w:hint="default"/>
        </w:rPr>
      </w:pPr>
      <w:r>
        <w:rPr/>
        <w:t>向公司出售房屋（朝阳区酒仙桥北路甲</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号院</w:t>
      </w:r>
      <w:r>
        <w:rPr>
          <w:spacing w:val="-49"/>
        </w:rPr>
        <w:t> </w:t>
      </w:r>
      <w:r>
        <w:rPr>
          <w:rFonts w:ascii="Times New Roman" w:hAnsi="Times New Roman" w:cs="Times New Roman" w:eastAsia="Times New Roman" w:hint="default"/>
        </w:rPr>
        <w:t>402</w:t>
      </w:r>
      <w:r>
        <w:rPr>
          <w:rFonts w:ascii="Times New Roman" w:hAnsi="Times New Roman" w:cs="Times New Roman" w:eastAsia="Times New Roman" w:hint="default"/>
          <w:spacing w:val="-3"/>
        </w:rPr>
        <w:t> </w:t>
      </w:r>
      <w:r>
        <w:rPr/>
        <w:t>号楼</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3"/>
        </w:rPr>
        <w:t>层）作为数据机房使用，交易价格为</w:t>
      </w:r>
      <w:r>
        <w:rPr>
          <w:spacing w:val="-48"/>
        </w:rPr>
        <w:t> </w:t>
      </w:r>
      <w:r>
        <w:rPr>
          <w:rFonts w:ascii="Times New Roman" w:hAnsi="Times New Roman" w:cs="Times New Roman" w:eastAsia="Times New Roman" w:hint="default"/>
        </w:rPr>
        <w:t>41,034,880.00</w:t>
      </w:r>
      <w:r>
        <w:rPr>
          <w:rFonts w:ascii="Times New Roman" w:hAnsi="Times New Roman" w:cs="Times New Roman" w:eastAsia="Times New Roman" w:hint="default"/>
          <w:spacing w:val="-1"/>
        </w:rPr>
        <w:t> </w:t>
      </w:r>
      <w:r>
        <w:rPr>
          <w:spacing w:val="-6"/>
        </w:rPr>
        <w:t>元，截止</w:t>
      </w:r>
      <w:r>
        <w:rPr>
          <w:spacing w:val="-49"/>
        </w:rPr>
        <w:t> </w:t>
      </w:r>
      <w:r>
        <w:rPr>
          <w:rFonts w:ascii="Times New Roman" w:hAnsi="Times New Roman" w:cs="Times New Roman" w:eastAsia="Times New Roman" w:hint="default"/>
        </w:rPr>
        <w:t>2018</w:t>
      </w:r>
    </w:p>
    <w:p>
      <w:pPr>
        <w:pStyle w:val="BodyText"/>
        <w:spacing w:line="240" w:lineRule="auto" w:before="63"/>
        <w:ind w:right="1112"/>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日，公司已累计支付交易价款</w:t>
      </w:r>
      <w:r>
        <w:rPr>
          <w:spacing w:val="-46"/>
        </w:rPr>
        <w:t> </w:t>
      </w:r>
      <w:r>
        <w:rPr>
          <w:rFonts w:ascii="Times New Roman" w:hAnsi="Times New Roman" w:cs="Times New Roman" w:eastAsia="Times New Roman" w:hint="default"/>
        </w:rPr>
        <w:t>41,031,392.00 </w:t>
      </w:r>
      <w:r>
        <w:rPr/>
        <w:t>元，截至报告日房屋产权证尚在办理中，未过户至本公司，</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p>
    <w:p>
      <w:pPr>
        <w:pStyle w:val="BodyText"/>
        <w:spacing w:line="240" w:lineRule="auto" w:before="63"/>
        <w:ind w:right="1112"/>
        <w:jc w:val="left"/>
      </w:pPr>
      <w:r>
        <w:rPr>
          <w:rFonts w:ascii="Times New Roman" w:hAnsi="Times New Roman" w:cs="Times New Roman" w:eastAsia="Times New Roman" w:hint="default"/>
        </w:rPr>
        <w:t>12 </w:t>
      </w:r>
      <w:r>
        <w:rPr/>
        <w:t>月四层机房已经建设完工，投入使用</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出于谨慎性和配比原则考虑，公司比照房屋建筑物折旧政策进行摊销，摊销年限</w:t>
      </w:r>
    </w:p>
    <w:p>
      <w:pPr>
        <w:pStyle w:val="BodyText"/>
        <w:spacing w:line="240" w:lineRule="auto" w:before="63"/>
        <w:ind w:right="1112"/>
        <w:jc w:val="left"/>
      </w:pPr>
      <w:r>
        <w:rPr>
          <w:rFonts w:ascii="Times New Roman" w:hAnsi="Times New Roman" w:cs="Times New Roman" w:eastAsia="Times New Roman" w:hint="default"/>
        </w:rPr>
        <w:t>40 </w:t>
      </w:r>
      <w:r>
        <w:rPr/>
        <w:t>年，截至</w:t>
      </w:r>
      <w:r>
        <w:rPr>
          <w:spacing w:val="-49"/>
        </w:rPr>
        <w:t> </w:t>
      </w:r>
      <w:r>
        <w:rPr>
          <w:rFonts w:ascii="Times New Roman" w:hAnsi="Times New Roman" w:cs="Times New Roman" w:eastAsia="Times New Roman" w:hint="default"/>
        </w:rPr>
        <w:t>2019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日累计摊销</w:t>
      </w:r>
      <w:r>
        <w:rPr>
          <w:spacing w:val="-46"/>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个月，摊销金额</w:t>
      </w:r>
      <w:r>
        <w:rPr>
          <w:spacing w:val="-47"/>
        </w:rPr>
        <w:t> </w:t>
      </w:r>
      <w:r>
        <w:rPr>
          <w:rFonts w:ascii="Times New Roman" w:hAnsi="Times New Roman" w:cs="Times New Roman" w:eastAsia="Times New Roman" w:hint="default"/>
        </w:rPr>
        <w:t>4,103,139.20</w:t>
      </w:r>
      <w:r>
        <w:rPr>
          <w:rFonts w:ascii="Times New Roman" w:hAnsi="Times New Roman" w:cs="Times New Roman" w:eastAsia="Times New Roman" w:hint="default"/>
          <w:spacing w:val="1"/>
        </w:rPr>
        <w:t> </w:t>
      </w:r>
      <w:r>
        <w:rPr/>
        <w:t>元，摊销后余额</w:t>
      </w:r>
      <w:r>
        <w:rPr>
          <w:spacing w:val="-47"/>
        </w:rPr>
        <w:t> </w:t>
      </w:r>
      <w:r>
        <w:rPr>
          <w:rFonts w:ascii="Times New Roman" w:hAnsi="Times New Roman" w:cs="Times New Roman" w:eastAsia="Times New Roman" w:hint="default"/>
        </w:rPr>
        <w:t>36,928,252.80</w:t>
      </w:r>
      <w:r>
        <w:rPr>
          <w:rFonts w:ascii="Times New Roman" w:hAnsi="Times New Roman" w:cs="Times New Roman" w:eastAsia="Times New Roman" w:hint="default"/>
          <w:spacing w:val="1"/>
        </w:rPr>
        <w:t> </w:t>
      </w:r>
      <w:r>
        <w:rPr/>
        <w:t>元。</w:t>
      </w:r>
    </w:p>
    <w:p>
      <w:pPr>
        <w:pStyle w:val="BodyText"/>
        <w:spacing w:line="240" w:lineRule="auto" w:before="63"/>
        <w:ind w:left="0" w:right="1132"/>
        <w:jc w:val="right"/>
      </w:pPr>
      <w:r>
        <w:rPr>
          <w:spacing w:val="-4"/>
        </w:rPr>
        <w:t>（</w:t>
      </w:r>
      <w:r>
        <w:rPr>
          <w:rFonts w:ascii="Times New Roman" w:hAnsi="Times New Roman" w:cs="Times New Roman" w:eastAsia="Times New Roman" w:hint="default"/>
          <w:spacing w:val="-4"/>
        </w:rPr>
        <w:t>3</w:t>
      </w:r>
      <w:r>
        <w:rPr>
          <w:spacing w:val="-4"/>
        </w:rPr>
        <w:t>）为保证公司权益，公司已与德信智能手机技术（北京）有限公司签订不动产抵押合同，将上述房屋抵押给本公司。</w:t>
      </w:r>
    </w:p>
    <w:p>
      <w:pPr>
        <w:spacing w:line="240" w:lineRule="auto" w:before="3"/>
        <w:rPr>
          <w:rFonts w:ascii="宋体" w:hAnsi="宋体" w:cs="宋体" w:eastAsia="宋体" w:hint="default"/>
          <w:sz w:val="26"/>
          <w:szCs w:val="26"/>
        </w:rPr>
      </w:pPr>
    </w:p>
    <w:p>
      <w:pPr>
        <w:pStyle w:val="Heading3"/>
        <w:spacing w:line="240" w:lineRule="auto"/>
        <w:ind w:right="3827"/>
        <w:jc w:val="left"/>
        <w:rPr>
          <w:b w:val="0"/>
          <w:bCs w:val="0"/>
        </w:rPr>
      </w:pPr>
      <w:bookmarkStart w:name="18、短期借款" w:id="261"/>
      <w:bookmarkEnd w:id="261"/>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短期借款分类" w:id="262"/>
      <w:bookmarkEnd w:id="26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384,797,664.69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424,797,664.69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w:t>
            </w:r>
          </w:p>
        </w:tc>
      </w:tr>
    </w:tbl>
    <w:p>
      <w:pPr>
        <w:pStyle w:val="BodyText"/>
        <w:spacing w:line="240" w:lineRule="auto" w:before="49"/>
        <w:ind w:right="3827"/>
        <w:jc w:val="left"/>
      </w:pPr>
      <w:r>
        <w:rPr/>
        <w:t>短期借款分类的说明：</w:t>
      </w:r>
    </w:p>
    <w:p>
      <w:pPr>
        <w:pStyle w:val="BodyText"/>
        <w:spacing w:line="280" w:lineRule="auto" w:before="94"/>
        <w:ind w:right="1123" w:firstLine="420"/>
        <w:jc w:val="left"/>
        <w:rPr>
          <w:rFonts w:ascii="Times New Roman" w:hAnsi="Times New Roman" w:cs="Times New Roman" w:eastAsia="Times New Roman" w:hint="default"/>
        </w:rPr>
      </w:pPr>
      <w:r>
        <w:rPr>
          <w:sz w:val="21"/>
          <w:szCs w:val="21"/>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w:t>
      </w:r>
      <w:r>
        <w:rPr>
          <w:spacing w:val="-18"/>
        </w:rPr>
        <w:t> </w:t>
      </w:r>
      <w:r>
        <w:rPr/>
        <w:t>北京无双科技有限公司与浦发硅谷银行签订《流动资金借款合同》借款肆仟万元整，借款期</w:t>
      </w:r>
      <w:r>
        <w:rPr/>
        <w:t> 限</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7"/>
        </w:rPr>
        <w:t>年，同时签订《应收账款质押协议（最高额）》以全部应收账款作为该借款合同的质押，期间为</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日至</w:t>
      </w:r>
      <w:r>
        <w:rPr>
          <w:spacing w:val="3"/>
        </w:rPr>
        <w:t> </w:t>
      </w:r>
      <w:r>
        <w:rPr>
          <w:rFonts w:ascii="Times New Roman" w:hAnsi="Times New Roman" w:cs="Times New Roman" w:eastAsia="Times New Roman" w:hint="default"/>
          <w:spacing w:val="-1"/>
        </w:rPr>
        <w:t>2020</w:t>
      </w:r>
    </w:p>
    <w:p>
      <w:pPr>
        <w:pStyle w:val="BodyText"/>
        <w:spacing w:line="240" w:lineRule="auto" w:before="29"/>
        <w:ind w:right="1112"/>
        <w:jc w:val="left"/>
      </w:pPr>
      <w:r>
        <w:rPr/>
        <w:t>年</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日止，并签订了《</w:t>
      </w:r>
      <w:r>
        <w:rPr>
          <w:spacing w:val="-3"/>
        </w:rPr>
        <w:t>应</w:t>
      </w:r>
      <w:r>
        <w:rPr/>
        <w:t>收账款质押登记协议</w:t>
      </w:r>
      <w:r>
        <w:rPr>
          <w:spacing w:val="-92"/>
        </w:rPr>
        <w:t>》</w:t>
      </w:r>
      <w:r>
        <w:rPr/>
        <w:t>，对应</w:t>
      </w:r>
      <w:r>
        <w:rPr>
          <w:spacing w:val="2"/>
        </w:rPr>
        <w:t>收</w:t>
      </w:r>
      <w:r>
        <w:rPr/>
        <w:t>账款进行质押登记。截至</w:t>
      </w:r>
      <w:r>
        <w:rPr>
          <w:spacing w:val="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日，贷款余额为</w:t>
      </w:r>
    </w:p>
    <w:p>
      <w:pPr>
        <w:pStyle w:val="BodyText"/>
        <w:spacing w:line="240" w:lineRule="auto" w:before="63"/>
        <w:ind w:right="3827"/>
        <w:jc w:val="left"/>
      </w:pPr>
      <w:r>
        <w:rPr>
          <w:rFonts w:ascii="Times New Roman" w:hAnsi="Times New Roman" w:cs="Times New Roman" w:eastAsia="Times New Roman" w:hint="default"/>
        </w:rPr>
        <w:t>40,000,000.00</w:t>
      </w:r>
      <w:r>
        <w:rPr>
          <w:rFonts w:ascii="Times New Roman" w:hAnsi="Times New Roman" w:cs="Times New Roman" w:eastAsia="Times New Roman" w:hint="default"/>
          <w:spacing w:val="-2"/>
        </w:rPr>
        <w:t> </w:t>
      </w:r>
      <w:r>
        <w:rPr/>
        <w:t>元。</w:t>
      </w:r>
    </w:p>
    <w:p>
      <w:pPr>
        <w:pStyle w:val="BodyText"/>
        <w:spacing w:line="240" w:lineRule="auto" w:before="63"/>
        <w:ind w:left="513" w:right="111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日，公司与招商银行股份有限北京建国路支签订授信协议，由耿殿根作为连带责任保证人，授信</w:t>
      </w:r>
    </w:p>
    <w:p>
      <w:pPr>
        <w:pStyle w:val="BodyText"/>
        <w:spacing w:line="240" w:lineRule="auto" w:before="63"/>
        <w:ind w:right="1112"/>
        <w:jc w:val="left"/>
      </w:pPr>
      <w:r>
        <w:rPr/>
        <w:t>额度为人民币壹亿元，期限</w:t>
      </w:r>
      <w:r>
        <w:rPr>
          <w:spacing w:val="-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日，贷款余额为</w:t>
      </w:r>
      <w:r>
        <w:rPr>
          <w:spacing w:val="-1"/>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1"/>
        </w:rPr>
        <w:t> </w:t>
      </w:r>
      <w:r>
        <w:rPr/>
        <w:t>元。</w:t>
      </w:r>
    </w:p>
    <w:p>
      <w:pPr>
        <w:pStyle w:val="BodyText"/>
        <w:spacing w:line="240" w:lineRule="auto" w:before="63"/>
        <w:ind w:left="513" w:right="986"/>
        <w:jc w:val="left"/>
      </w:pPr>
      <w:r>
        <w:rPr>
          <w:spacing w:val="-7"/>
        </w:rPr>
        <w:t>（</w:t>
      </w: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7"/>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36"/>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3"/>
        </w:rPr>
        <w:t>日，公司与华夏银行股份有限北京长安支行签订最高额融资合同，由耿殿根作为连带责任保证人，</w:t>
      </w:r>
    </w:p>
    <w:p>
      <w:pPr>
        <w:pStyle w:val="BodyText"/>
        <w:spacing w:line="240" w:lineRule="auto" w:before="63"/>
        <w:ind w:right="1112"/>
        <w:jc w:val="left"/>
      </w:pPr>
      <w:r>
        <w:rPr/>
        <w:t>最高融资额度为人民币贰亿元，期限</w:t>
      </w:r>
      <w:r>
        <w:rPr>
          <w:spacing w:val="-45"/>
        </w:rPr>
        <w:t> </w:t>
      </w:r>
      <w:r>
        <w:rPr>
          <w:rFonts w:ascii="Times New Roman" w:hAnsi="Times New Roman" w:cs="Times New Roman" w:eastAsia="Times New Roman" w:hint="default"/>
        </w:rPr>
        <w:t>1 </w:t>
      </w:r>
      <w:r>
        <w:rPr/>
        <w:t>年。截至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日，贷款余额为</w:t>
      </w:r>
      <w:r>
        <w:rPr>
          <w:spacing w:val="-3"/>
        </w:rPr>
        <w:t> </w:t>
      </w:r>
      <w:r>
        <w:rPr>
          <w:rFonts w:ascii="Times New Roman" w:hAnsi="Times New Roman" w:cs="Times New Roman" w:eastAsia="Times New Roman" w:hint="default"/>
        </w:rPr>
        <w:t>130,000,000.00</w:t>
      </w:r>
      <w:r>
        <w:rPr>
          <w:rFonts w:ascii="Times New Roman" w:hAnsi="Times New Roman" w:cs="Times New Roman" w:eastAsia="Times New Roman" w:hint="default"/>
          <w:spacing w:val="2"/>
        </w:rPr>
        <w:t> </w:t>
      </w:r>
      <w:r>
        <w:rPr/>
        <w:t>元。</w:t>
      </w:r>
    </w:p>
    <w:p>
      <w:pPr>
        <w:pStyle w:val="BodyText"/>
        <w:spacing w:line="240" w:lineRule="auto" w:before="63"/>
        <w:ind w:left="513" w:right="1112"/>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日，公司与工商银行北京经济技术开发区支行签订借款合同，由耿殿根作为连带责任保证人，最</w:t>
      </w:r>
    </w:p>
    <w:p>
      <w:pPr>
        <w:pStyle w:val="BodyText"/>
        <w:spacing w:line="240" w:lineRule="auto" w:before="63"/>
        <w:ind w:right="1112"/>
        <w:jc w:val="left"/>
      </w:pPr>
      <w:r>
        <w:rPr/>
        <w:t>高授信额度为壹亿元整，期限</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年。截至</w:t>
      </w:r>
      <w:r>
        <w:rPr>
          <w:spacing w:val="-46"/>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日，贷款余额为</w:t>
      </w:r>
      <w:r>
        <w:rPr>
          <w:spacing w:val="-47"/>
        </w:rPr>
        <w:t> </w:t>
      </w:r>
      <w:r>
        <w:rPr>
          <w:rFonts w:ascii="Times New Roman" w:hAnsi="Times New Roman" w:cs="Times New Roman" w:eastAsia="Times New Roman" w:hint="default"/>
        </w:rPr>
        <w:t>4,797,664.69</w:t>
      </w:r>
      <w:r>
        <w:rPr>
          <w:rFonts w:ascii="Times New Roman" w:hAnsi="Times New Roman" w:cs="Times New Roman" w:eastAsia="Times New Roman" w:hint="default"/>
          <w:spacing w:val="1"/>
        </w:rPr>
        <w:t> </w:t>
      </w:r>
      <w:r>
        <w:rPr>
          <w:spacing w:val="-3"/>
        </w:rPr>
        <w:t>元。</w:t>
      </w:r>
      <w:r>
        <w:rPr/>
      </w:r>
    </w:p>
    <w:p>
      <w:pPr>
        <w:pStyle w:val="BodyText"/>
        <w:spacing w:line="240" w:lineRule="auto" w:before="63"/>
        <w:ind w:left="513" w:right="1112"/>
        <w:jc w:val="left"/>
      </w:pPr>
      <w:r>
        <w:rPr/>
        <w:t>（</w:t>
      </w:r>
      <w:r>
        <w:rPr>
          <w:rFonts w:ascii="Times New Roman" w:hAnsi="Times New Roman" w:cs="Times New Roman" w:eastAsia="Times New Roman" w:hint="default"/>
        </w:rPr>
        <w:t>5</w:t>
      </w:r>
      <w:r>
        <w:rPr/>
        <w:t>）子公司光环云谷科技有限公司贷款</w:t>
      </w:r>
      <w:r>
        <w:rPr>
          <w:spacing w:val="-49"/>
        </w:rPr>
        <w:t> </w:t>
      </w:r>
      <w:r>
        <w:rPr>
          <w:rFonts w:ascii="Times New Roman" w:hAnsi="Times New Roman" w:cs="Times New Roman" w:eastAsia="Times New Roman" w:hint="default"/>
        </w:rPr>
        <w:t>200,000,000.00</w:t>
      </w:r>
      <w:r>
        <w:rPr>
          <w:rFonts w:ascii="Times New Roman" w:hAnsi="Times New Roman" w:cs="Times New Roman" w:eastAsia="Times New Roman" w:hint="default"/>
          <w:spacing w:val="-2"/>
        </w:rPr>
        <w:t> </w:t>
      </w:r>
      <w:r>
        <w:rPr/>
        <w:t>元，其中宁波银行股份有限公司北京中关村支行贷款</w:t>
      </w:r>
    </w:p>
    <w:p>
      <w:pPr>
        <w:pStyle w:val="BodyText"/>
        <w:spacing w:line="240" w:lineRule="auto" w:before="63"/>
        <w:ind w:right="1112"/>
        <w:jc w:val="left"/>
      </w:pPr>
      <w:r>
        <w:rPr>
          <w:rFonts w:ascii="Times New Roman" w:hAnsi="Times New Roman" w:cs="Times New Roman" w:eastAsia="Times New Roman" w:hint="default"/>
        </w:rPr>
        <w:t>100,000,000.00</w:t>
      </w:r>
      <w:r>
        <w:rPr>
          <w:rFonts w:ascii="Times New Roman" w:hAnsi="Times New Roman" w:cs="Times New Roman" w:eastAsia="Times New Roman" w:hint="default"/>
          <w:spacing w:val="-2"/>
        </w:rPr>
        <w:t> </w:t>
      </w:r>
      <w:r>
        <w:rPr/>
        <w:t>元，中国民生银行股份有限公司北京东四支行贷款</w:t>
      </w:r>
      <w:r>
        <w:rPr>
          <w:spacing w:val="-49"/>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2"/>
        </w:rPr>
        <w:t> </w:t>
      </w:r>
      <w:r>
        <w:rPr>
          <w:spacing w:val="-5"/>
        </w:rPr>
        <w:t>元。</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4"/>
        </w:rPr>
        <w:t>日，公司与宁波银行股</w:t>
      </w:r>
    </w:p>
    <w:p>
      <w:pPr>
        <w:pStyle w:val="BodyText"/>
        <w:spacing w:line="240" w:lineRule="auto" w:before="63"/>
        <w:ind w:right="986"/>
        <w:jc w:val="left"/>
        <w:rPr>
          <w:rFonts w:ascii="Times New Roman" w:hAnsi="Times New Roman" w:cs="Times New Roman" w:eastAsia="Times New Roman" w:hint="default"/>
        </w:rPr>
      </w:pPr>
      <w:r>
        <w:rPr/>
        <w:t>份有限公司北京中关村支行办理了电子银行承兑汇票业务，贴现金额</w:t>
      </w:r>
      <w:r>
        <w:rPr>
          <w:spacing w:val="-51"/>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5"/>
        </w:rPr>
        <w:t> </w:t>
      </w:r>
      <w:r>
        <w:rPr>
          <w:spacing w:val="-8"/>
        </w:rPr>
        <w:t>元，票据到期日为</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spacing w:val="-10"/>
        </w:rPr>
        <w:t>日；</w:t>
      </w:r>
      <w:r>
        <w:rPr>
          <w:rFonts w:ascii="Times New Roman" w:hAnsi="Times New Roman" w:cs="Times New Roman" w:eastAsia="Times New Roman" w:hint="default"/>
          <w:spacing w:val="-10"/>
        </w:rPr>
        <w:t>2019</w:t>
      </w:r>
    </w:p>
    <w:p>
      <w:pPr>
        <w:pStyle w:val="BodyText"/>
        <w:spacing w:line="240" w:lineRule="auto" w:before="63"/>
        <w:ind w:right="986"/>
        <w:jc w:val="left"/>
      </w:pP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日，公司与中国民生银行股份有限公司北京东四支行办理了商业承兑汇票业务，贴现金额</w:t>
      </w:r>
      <w:r>
        <w:rPr>
          <w:spacing w:val="-45"/>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
        </w:rPr>
        <w:t> </w:t>
      </w:r>
      <w:r>
        <w:rPr/>
        <w:t>元，票据到</w:t>
      </w:r>
    </w:p>
    <w:p>
      <w:pPr>
        <w:pStyle w:val="BodyText"/>
        <w:spacing w:line="240" w:lineRule="auto" w:before="63"/>
        <w:ind w:right="3827"/>
        <w:jc w:val="left"/>
      </w:pPr>
      <w:r>
        <w:rPr/>
        <w:t>期日</w:t>
      </w:r>
      <w:r>
        <w:rPr>
          <w:spacing w:val="-4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p>
    <w:p>
      <w:pPr>
        <w:spacing w:after="0" w:line="240" w:lineRule="auto"/>
        <w:jc w:val="left"/>
        <w:sectPr>
          <w:footerReference w:type="default" r:id="rId22"/>
          <w:pgSz w:w="11910" w:h="16840"/>
          <w:pgMar w:footer="980" w:header="745" w:top="1060" w:bottom="1160" w:left="980" w:right="0"/>
          <w:pgNumType w:start="173"/>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19、应付账款" w:id="263"/>
      <w:bookmarkEnd w:id="263"/>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应付账款列示" w:id="264"/>
      <w:bookmarkEnd w:id="26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1,042,612,830.60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1,090,791,527.02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50,868,732.55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69,008,381.07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10,017,205.31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3,672,964.72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2,926,379.87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1,614,082.93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1,106,425,148.33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1,165,086,955.74</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账龄超过1年的重要应付账款" w:id="265"/>
      <w:bookmarkEnd w:id="265"/>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北京博威能源科技股份有限公司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4,776,026.28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北京国电天昱建设工程有限公司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4,183,241.56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江苏启安建设集团有限公司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3,082,000.26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北京市第三建筑工程有限公司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1,920,133.37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北京明珠盛兴格力中央空调销售有限公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1,609,432.06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北京弘高建筑装饰设计工程有限公司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1,018,123.74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16,588,957.27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0、预收款项" w:id="266"/>
      <w:bookmarkEnd w:id="266"/>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t>是否已执行新收入准则</w:t>
      </w:r>
    </w:p>
    <w:p>
      <w:pPr>
        <w:pStyle w:val="BodyText"/>
        <w:spacing w:line="240" w:lineRule="auto" w:before="115"/>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1）预收款项列示" w:id="267"/>
      <w:bookmarkEnd w:id="26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107,283,579.48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148,725,117.26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8,848,837.04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2,570,365.10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708,773.92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623,782.27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817,215.54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685,940.26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117,658,405.98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152,605,204.89</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账龄超过1年的重要预收款项" w:id="268"/>
      <w:bookmarkEnd w:id="268"/>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北京派瑞威行互联技术有限公司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961,787.25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北京品众互动网络营销技术有限公司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786,031.59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江苏五星电器有限公司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699,792.45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同道精英（天津）信息技术有限公司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2"/>
                <w:sz w:val="18"/>
              </w:rPr>
              <w:t>3,111,592.29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1、应付职工薪酬" w:id="269"/>
      <w:bookmarkEnd w:id="269"/>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应付职工薪酬列示" w:id="270"/>
      <w:bookmarkEnd w:id="27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18,238,685.95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209,684,391.31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206,621,753.60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21,301,323.66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1,404,716.07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22,887,865.14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22,793,265.31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1,499,315.90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19,643,402.02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232,572,256.45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229,415,018.91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22,800,639.56</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短期薪酬列示" w:id="271"/>
      <w:bookmarkEnd w:id="27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16,627,673.22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175,685,468.77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172,981,885.94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19,331,256.05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2,542,269.28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2,531,646.78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194,027.50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801,704.18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14,142,689.45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13,944,858.32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999,535.31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709,839.25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12,672,158.29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12,452,208.75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929,788.79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36,407.11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182,214.88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182,214.88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340,761.48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331,878.42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45,290.17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215,142.00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15,261,591.84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15,276,349.84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200,384.00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410,761.55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2,052,371.97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1,887,012.72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576,120.80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18,238,685.95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209,684,391.31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206,621,753.60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21,301,323.66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3）设定提存计划列示" w:id="272"/>
      <w:bookmarkEnd w:id="27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1,349,450.57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21,923,404.92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21,840,623.33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1,432,232.16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964,460.22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952,641.98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67,083.74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1,404,716.07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22,887,865.14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22,793,265.31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1,499,315.90</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2、应交税费" w:id="273"/>
      <w:bookmarkEnd w:id="273"/>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37,527,909.26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47,923,797.30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49,356,397.86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33,071,415.86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1,351,144.31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441,089.60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2,976,399.63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3,834,093.13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1,288,127.84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1,643,054.27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860,508.98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1,095,369.45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246,286.81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62,009.31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93,606,774.69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88,070,828.92</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3、其他应付款" w:id="274"/>
      <w:bookmarkEnd w:id="274"/>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2,206,836.79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2,432,039.28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201,502,667.35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185,640,932.56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203,709,504.14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188,072,971.84</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应付利息" w:id="275"/>
      <w:bookmarkEnd w:id="27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2,094,273.17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2,218,655.92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112,563.62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213,383.36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2,206,836.79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2,432,039.28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2）其他应付款" w:id="276"/>
      <w:bookmarkEnd w:id="276"/>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按款项性质列示其他应付款" w:id="277"/>
      <w:bookmarkEnd w:id="277"/>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2,036,206.53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687,571.95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181,101,312.56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178,232,992.05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913,823.23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514,511.54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1,471,325.03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4,205,857.02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201,502,667.35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185,640,932.56</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账龄超过1年的重要其他应付款" w:id="278"/>
      <w:bookmarkEnd w:id="278"/>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香奈儿（中国）贸易有限公司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瑞庭网络技术（上海）有限公司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德信无线通讯科技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股权收购尾款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北京齐欣互动科技有限公司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北京我爱我家房地产经纪有限公司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欧时电子元件（上海）有限公司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优估（上海）信息科技有限公司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保证金未退</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23,980,000.00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4、长期借款" w:id="279"/>
      <w:bookmarkEnd w:id="279"/>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长期借款分类" w:id="280"/>
      <w:bookmarkEnd w:id="28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1,380,848,063.24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1,488,332,103.61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1,380,848,063.24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1,488,332,103.61</w:t>
            </w:r>
          </w:p>
        </w:tc>
      </w:tr>
    </w:tbl>
    <w:p>
      <w:pPr>
        <w:pStyle w:val="BodyText"/>
        <w:spacing w:line="240" w:lineRule="auto" w:before="49"/>
        <w:ind w:right="3827"/>
        <w:jc w:val="left"/>
      </w:pPr>
      <w:r>
        <w:rPr/>
        <w:t>长期借款分类的说明：</w:t>
      </w:r>
    </w:p>
    <w:p>
      <w:pPr>
        <w:pStyle w:val="BodyText"/>
        <w:spacing w:line="240" w:lineRule="auto" w:before="115"/>
        <w:ind w:left="513" w:right="111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日，本公司与子公司北京中金云网科技有限公司作为共同借款人，与工商银行经济开发区支行签</w:t>
      </w:r>
    </w:p>
    <w:p>
      <w:pPr>
        <w:pStyle w:val="BodyText"/>
        <w:spacing w:line="300" w:lineRule="auto" w:before="63"/>
        <w:ind w:right="1128"/>
        <w:jc w:val="left"/>
      </w:pPr>
      <w:r>
        <w:rPr/>
        <w:t>订</w:t>
      </w:r>
      <w:r>
        <w:rPr>
          <w:spacing w:val="-45"/>
        </w:rPr>
        <w:t> </w:t>
      </w:r>
      <w:r>
        <w:rPr>
          <w:rFonts w:ascii="Times New Roman" w:hAnsi="Times New Roman" w:cs="Times New Roman" w:eastAsia="Times New Roman" w:hint="default"/>
        </w:rPr>
        <w:t>2019</w:t>
      </w:r>
      <w:r>
        <w:rPr/>
        <w:t>（亦庄）字</w:t>
      </w:r>
      <w:r>
        <w:rPr>
          <w:spacing w:val="-48"/>
        </w:rPr>
        <w:t> </w:t>
      </w:r>
      <w:r>
        <w:rPr>
          <w:rFonts w:ascii="Times New Roman" w:hAnsi="Times New Roman" w:cs="Times New Roman" w:eastAsia="Times New Roman" w:hint="default"/>
        </w:rPr>
        <w:t>00156</w:t>
      </w:r>
      <w:r>
        <w:rPr>
          <w:rFonts w:ascii="Times New Roman" w:hAnsi="Times New Roman" w:cs="Times New Roman" w:eastAsia="Times New Roman" w:hint="default"/>
          <w:spacing w:val="1"/>
        </w:rPr>
        <w:t> </w:t>
      </w:r>
      <w:r>
        <w:rPr/>
        <w:t>号经营性物业支持借款合同，该借款合同项下总贷款金额</w:t>
      </w:r>
      <w:r>
        <w:rPr>
          <w:spacing w:val="-45"/>
        </w:rPr>
        <w:t> </w:t>
      </w:r>
      <w:r>
        <w:rPr>
          <w:rFonts w:ascii="Times New Roman" w:hAnsi="Times New Roman" w:cs="Times New Roman" w:eastAsia="Times New Roman" w:hint="default"/>
        </w:rPr>
        <w:t>15 </w:t>
      </w:r>
      <w:r>
        <w:rPr/>
        <w:t>亿元，借款期限</w:t>
      </w:r>
      <w:r>
        <w:rPr>
          <w:spacing w:val="-45"/>
        </w:rPr>
        <w:t> </w:t>
      </w:r>
      <w:r>
        <w:rPr>
          <w:rFonts w:ascii="Times New Roman" w:hAnsi="Times New Roman" w:cs="Times New Roman" w:eastAsia="Times New Roman" w:hint="default"/>
        </w:rPr>
        <w:t>15 </w:t>
      </w:r>
      <w:r>
        <w:rPr/>
        <w:t>年。以北京中金 云网科技有限公司位于北京经济技术开发区博兴八路</w:t>
      </w:r>
      <w:r>
        <w:rPr>
          <w:spacing w:val="-45"/>
        </w:rPr>
        <w:t> </w:t>
      </w:r>
      <w:r>
        <w:rPr>
          <w:rFonts w:ascii="Times New Roman" w:hAnsi="Times New Roman" w:cs="Times New Roman" w:eastAsia="Times New Roman" w:hint="default"/>
        </w:rPr>
        <w:t>1 </w:t>
      </w:r>
      <w:r>
        <w:rPr/>
        <w:t>号</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幢、</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幢、</w:t>
      </w:r>
      <w:r>
        <w:rPr>
          <w:rFonts w:ascii="Times New Roman" w:hAnsi="Times New Roman" w:cs="Times New Roman" w:eastAsia="Times New Roman" w:hint="default"/>
        </w:rPr>
        <w:t>3 </w:t>
      </w:r>
      <w:r>
        <w:rPr/>
        <w:t>幢房产（不动产权编号：京（</w:t>
      </w:r>
      <w:r>
        <w:rPr>
          <w:rFonts w:ascii="Times New Roman" w:hAnsi="Times New Roman" w:cs="Times New Roman" w:eastAsia="Times New Roman" w:hint="default"/>
        </w:rPr>
        <w:t>2016</w:t>
      </w:r>
      <w:r>
        <w:rPr/>
        <w:t>）开发区不动产</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6"/>
        <w:jc w:val="left"/>
      </w:pPr>
      <w:r>
        <w:rPr/>
        <w:t>权第</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号</w:t>
      </w:r>
      <w:r>
        <w:rPr>
          <w:spacing w:val="-92"/>
        </w:rPr>
        <w:t>）</w:t>
      </w:r>
      <w:r>
        <w:rPr/>
        <w:t>、北京经济技术开发区博兴八路</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号院</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号</w:t>
      </w:r>
      <w:r>
        <w:rPr/>
        <w:t>楼</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至</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层</w:t>
      </w:r>
      <w:r>
        <w:rPr>
          <w:spacing w:val="-45"/>
        </w:rPr>
        <w:t> </w:t>
      </w:r>
      <w:r>
        <w:rPr>
          <w:rFonts w:ascii="Times New Roman" w:hAnsi="Times New Roman" w:cs="Times New Roman" w:eastAsia="Times New Roman" w:hint="default"/>
          <w:spacing w:val="-2"/>
        </w:rPr>
        <w:t>10</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等</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套（不</w:t>
      </w:r>
      <w:r>
        <w:rPr>
          <w:spacing w:val="-3"/>
        </w:rPr>
        <w:t>动</w:t>
      </w:r>
      <w:r>
        <w:rPr/>
        <w:t>产权编号：京（</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t>）开不</w:t>
      </w:r>
      <w:r>
        <w:rPr>
          <w:spacing w:val="-3"/>
        </w:rPr>
        <w:t>动</w:t>
      </w:r>
      <w:r>
        <w:rPr/>
        <w:t>产</w:t>
      </w:r>
    </w:p>
    <w:p>
      <w:pPr>
        <w:pStyle w:val="BodyText"/>
        <w:spacing w:line="240" w:lineRule="auto" w:before="63"/>
        <w:ind w:right="986"/>
        <w:jc w:val="left"/>
      </w:pPr>
      <w:r>
        <w:rPr/>
        <w:t>权第</w:t>
      </w:r>
      <w:r>
        <w:rPr>
          <w:spacing w:val="-38"/>
        </w:rPr>
        <w:t> </w:t>
      </w:r>
      <w:r>
        <w:rPr>
          <w:rFonts w:ascii="Times New Roman" w:hAnsi="Times New Roman" w:cs="Times New Roman" w:eastAsia="Times New Roman" w:hint="default"/>
          <w:spacing w:val="-1"/>
        </w:rPr>
        <w:t>0013938</w:t>
      </w:r>
      <w:r>
        <w:rPr>
          <w:rFonts w:ascii="Times New Roman" w:hAnsi="Times New Roman" w:cs="Times New Roman" w:eastAsia="Times New Roman" w:hint="default"/>
          <w:spacing w:val="9"/>
        </w:rPr>
        <w:t> </w:t>
      </w:r>
      <w:r>
        <w:rPr>
          <w:spacing w:val="-2"/>
        </w:rPr>
        <w:t>号）设定抵押，以融资期内中金云网数据中心项目实现的经营收入设定质押，并由耿殿根个人承担无限连带责</w:t>
      </w:r>
    </w:p>
    <w:p>
      <w:pPr>
        <w:pStyle w:val="BodyText"/>
        <w:spacing w:line="240" w:lineRule="auto" w:before="63"/>
        <w:ind w:right="3827"/>
        <w:jc w:val="left"/>
      </w:pPr>
      <w:r>
        <w:rPr/>
        <w:t>任保证担保。截止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 </w:t>
      </w:r>
      <w:r>
        <w:rPr/>
        <w:t>日贷款本金余额</w:t>
      </w:r>
      <w:r>
        <w:rPr>
          <w:spacing w:val="-47"/>
        </w:rPr>
        <w:t> </w:t>
      </w:r>
      <w:r>
        <w:rPr>
          <w:rFonts w:ascii="Times New Roman" w:hAnsi="Times New Roman" w:cs="Times New Roman" w:eastAsia="Times New Roman" w:hint="default"/>
        </w:rPr>
        <w:t>926,788,439.42</w:t>
      </w:r>
      <w:r>
        <w:rPr>
          <w:rFonts w:ascii="Times New Roman" w:hAnsi="Times New Roman" w:cs="Times New Roman" w:eastAsia="Times New Roman" w:hint="default"/>
          <w:spacing w:val="1"/>
        </w:rPr>
        <w:t> </w:t>
      </w:r>
      <w:r>
        <w:rPr/>
        <w:t>元。</w:t>
      </w:r>
    </w:p>
    <w:p>
      <w:pPr>
        <w:pStyle w:val="BodyText"/>
        <w:spacing w:line="300" w:lineRule="auto" w:before="63"/>
        <w:ind w:right="1131"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日，子公司北京科信盛彩云计算有限公司与中国工商银行股份有限公司北京经济技术开发区支行 </w:t>
      </w:r>
      <w:r>
        <w:rPr>
          <w:spacing w:val="-3"/>
        </w:rPr>
        <w:t>签订《固定资产支持融资借款合同》（编号：</w:t>
      </w:r>
      <w:r>
        <w:rPr>
          <w:rFonts w:ascii="Times New Roman" w:hAnsi="Times New Roman" w:cs="Times New Roman" w:eastAsia="Times New Roman" w:hint="default"/>
          <w:spacing w:val="-3"/>
        </w:rPr>
        <w:t>0020000094-2018</w:t>
      </w:r>
      <w:r>
        <w:rPr>
          <w:rFonts w:ascii="Times New Roman" w:hAnsi="Times New Roman" w:cs="Times New Roman" w:eastAsia="Times New Roman" w:hint="default"/>
          <w:spacing w:val="8"/>
        </w:rPr>
        <w:t> </w:t>
      </w:r>
      <w:r>
        <w:rPr>
          <w:spacing w:val="-1"/>
        </w:rPr>
        <w:t>年（亦庄）字</w:t>
      </w:r>
      <w:r>
        <w:rPr>
          <w:spacing w:val="-39"/>
        </w:rPr>
        <w:t> </w:t>
      </w:r>
      <w:r>
        <w:rPr>
          <w:rFonts w:ascii="Times New Roman" w:hAnsi="Times New Roman" w:cs="Times New Roman" w:eastAsia="Times New Roman" w:hint="default"/>
          <w:spacing w:val="-1"/>
        </w:rPr>
        <w:t>00093</w:t>
      </w:r>
      <w:r>
        <w:rPr>
          <w:rFonts w:ascii="Times New Roman" w:hAnsi="Times New Roman" w:cs="Times New Roman" w:eastAsia="Times New Roman" w:hint="default"/>
          <w:spacing w:val="8"/>
        </w:rPr>
        <w:t> </w:t>
      </w:r>
      <w:r>
        <w:rPr>
          <w:spacing w:val="-6"/>
        </w:rPr>
        <w:t>号），公司以位于北京经济技术开发区瑞</w:t>
      </w:r>
      <w:r>
        <w:rPr>
          <w:spacing w:val="-88"/>
        </w:rPr>
        <w:t> </w:t>
      </w:r>
      <w:r>
        <w:rPr>
          <w:spacing w:val="-88"/>
        </w:rPr>
      </w:r>
      <w:r>
        <w:rPr/>
        <w:t>合西二路</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号院的房屋所有权及对应的土地使用权（不动产权号：京（</w:t>
      </w:r>
      <w:r>
        <w:rPr>
          <w:rFonts w:ascii="Times New Roman" w:hAnsi="Times New Roman" w:cs="Times New Roman" w:eastAsia="Times New Roman" w:hint="default"/>
        </w:rPr>
        <w:t>2016</w:t>
      </w:r>
      <w:r>
        <w:rPr/>
        <w:t>）开发区不动产第</w:t>
      </w:r>
      <w:r>
        <w:rPr>
          <w:spacing w:val="-60"/>
        </w:rPr>
        <w:t> </w:t>
      </w:r>
      <w:r>
        <w:rPr>
          <w:rFonts w:ascii="Times New Roman" w:hAnsi="Times New Roman" w:cs="Times New Roman" w:eastAsia="Times New Roman" w:hint="default"/>
        </w:rPr>
        <w:t>0019466</w:t>
      </w:r>
      <w:r>
        <w:rPr>
          <w:rFonts w:ascii="Times New Roman" w:hAnsi="Times New Roman" w:cs="Times New Roman" w:eastAsia="Times New Roman" w:hint="default"/>
          <w:spacing w:val="-14"/>
        </w:rPr>
        <w:t> </w:t>
      </w:r>
      <w:r>
        <w:rPr>
          <w:spacing w:val="-4"/>
        </w:rPr>
        <w:t>号、京（</w:t>
      </w:r>
      <w:r>
        <w:rPr>
          <w:rFonts w:ascii="Times New Roman" w:hAnsi="Times New Roman" w:cs="Times New Roman" w:eastAsia="Times New Roman" w:hint="default"/>
          <w:spacing w:val="-4"/>
        </w:rPr>
        <w:t>2016</w:t>
      </w:r>
      <w:r>
        <w:rPr>
          <w:spacing w:val="-4"/>
        </w:rPr>
        <w:t>）开发</w:t>
      </w:r>
    </w:p>
    <w:p>
      <w:pPr>
        <w:pStyle w:val="BodyText"/>
        <w:spacing w:line="240" w:lineRule="auto" w:before="13"/>
        <w:ind w:right="986"/>
        <w:jc w:val="left"/>
        <w:rPr>
          <w:rFonts w:ascii="Times New Roman" w:hAnsi="Times New Roman" w:cs="Times New Roman" w:eastAsia="Times New Roman" w:hint="default"/>
        </w:rPr>
      </w:pPr>
      <w:r>
        <w:rPr/>
        <w:t>区不动产权第</w:t>
      </w:r>
      <w:r>
        <w:rPr>
          <w:spacing w:val="-45"/>
        </w:rPr>
        <w:t> </w:t>
      </w:r>
      <w:r>
        <w:rPr>
          <w:rFonts w:ascii="Times New Roman" w:hAnsi="Times New Roman" w:cs="Times New Roman" w:eastAsia="Times New Roman" w:hint="default"/>
        </w:rPr>
        <w:t>0019668 </w:t>
      </w:r>
      <w:r>
        <w:rPr/>
        <w:t>号）为抵押，保证人为本公司及自然人耿殿根，合同项下借款金额为</w:t>
      </w:r>
      <w:r>
        <w:rPr>
          <w:spacing w:val="-45"/>
        </w:rPr>
        <w:t> </w:t>
      </w:r>
      <w:r>
        <w:rPr>
          <w:rFonts w:ascii="Times New Roman" w:hAnsi="Times New Roman" w:cs="Times New Roman" w:eastAsia="Times New Roman" w:hint="default"/>
        </w:rPr>
        <w:t>62,000 </w:t>
      </w:r>
      <w:r>
        <w:rPr/>
        <w:t>万元整，借款期限为</w:t>
      </w:r>
      <w:r>
        <w:rPr>
          <w:spacing w:val="-48"/>
        </w:rPr>
        <w:t> </w:t>
      </w:r>
      <w:r>
        <w:rPr>
          <w:rFonts w:ascii="Times New Roman" w:hAnsi="Times New Roman" w:cs="Times New Roman" w:eastAsia="Times New Roman" w:hint="default"/>
        </w:rPr>
        <w:t>10</w:t>
      </w:r>
    </w:p>
    <w:p>
      <w:pPr>
        <w:pStyle w:val="BodyText"/>
        <w:spacing w:line="240" w:lineRule="auto" w:before="63"/>
        <w:ind w:right="3827"/>
        <w:jc w:val="left"/>
      </w:pPr>
      <w:r>
        <w:rPr/>
        <w:t>年，截止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日，该公司贷款余额</w:t>
      </w:r>
      <w:r>
        <w:rPr>
          <w:spacing w:val="-46"/>
        </w:rPr>
        <w:t> </w:t>
      </w:r>
      <w:r>
        <w:rPr>
          <w:rFonts w:ascii="Times New Roman" w:hAnsi="Times New Roman" w:cs="Times New Roman" w:eastAsia="Times New Roman" w:hint="default"/>
        </w:rPr>
        <w:t>454,059,623.82</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ind w:left="513" w:right="5713" w:hanging="361"/>
        <w:jc w:val="left"/>
      </w:pPr>
      <w:r>
        <w:rPr/>
        <w:t>其他说明，包括利率区间： 上述长期借款利率均为中国人民银行同期限贷款基准利率。</w:t>
      </w:r>
    </w:p>
    <w:p>
      <w:pPr>
        <w:spacing w:line="240" w:lineRule="auto" w:before="6"/>
        <w:rPr>
          <w:rFonts w:ascii="宋体" w:hAnsi="宋体" w:cs="宋体" w:eastAsia="宋体" w:hint="default"/>
          <w:sz w:val="20"/>
          <w:szCs w:val="20"/>
        </w:rPr>
      </w:pPr>
    </w:p>
    <w:p>
      <w:pPr>
        <w:pStyle w:val="Heading3"/>
        <w:spacing w:line="240" w:lineRule="auto"/>
        <w:ind w:right="3827"/>
        <w:jc w:val="left"/>
        <w:rPr>
          <w:b w:val="0"/>
          <w:bCs w:val="0"/>
        </w:rPr>
      </w:pPr>
      <w:bookmarkStart w:name="25、长期应付款" w:id="281"/>
      <w:bookmarkEnd w:id="281"/>
      <w:r>
        <w:rPr>
          <w:b w:val="0"/>
          <w:bCs w:val="0"/>
        </w:rPr>
      </w:r>
      <w:r>
        <w:rPr>
          <w:rFonts w:ascii="Times New Roman" w:hAnsi="Times New Roman" w:cs="Times New Roman" w:eastAsia="Times New Roman" w:hint="default"/>
        </w:rPr>
        <w:t>25</w:t>
      </w:r>
      <w:r>
        <w:rPr/>
        <w:t>、长期应付款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491,726,199.15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617,043,821.52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491,726,199.15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617,043,821.52</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按款项性质列示长期应付款" w:id="282"/>
      <w:bookmarkEnd w:id="28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108,025,927.89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3,077,067.09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分期付款购买固定资产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383,700,271.26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613,966,754.43</w:t>
            </w:r>
          </w:p>
        </w:tc>
      </w:tr>
    </w:tbl>
    <w:p>
      <w:pPr>
        <w:pStyle w:val="BodyText"/>
        <w:spacing w:line="240" w:lineRule="auto" w:before="49"/>
        <w:ind w:right="3827"/>
        <w:jc w:val="left"/>
      </w:pPr>
      <w:r>
        <w:rPr/>
        <w:t>其他说明：</w:t>
      </w:r>
    </w:p>
    <w:p>
      <w:pPr>
        <w:pStyle w:val="BodyText"/>
        <w:spacing w:line="240" w:lineRule="auto" w:before="115"/>
        <w:ind w:left="513" w:right="986"/>
        <w:jc w:val="left"/>
      </w:pPr>
      <w:r>
        <w:rPr>
          <w:spacing w:val="-4"/>
        </w:rPr>
        <w:t>（</w:t>
      </w:r>
      <w:r>
        <w:rPr>
          <w:rFonts w:ascii="Times New Roman" w:hAnsi="Times New Roman" w:cs="Times New Roman" w:eastAsia="Times New Roman" w:hint="default"/>
          <w:spacing w:val="-4"/>
        </w:rPr>
        <w:t>1</w:t>
      </w:r>
      <w:r>
        <w:rPr>
          <w:spacing w:val="-4"/>
        </w:rPr>
        <w:t>）公司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日与亚马逊通技术服务（北京）有限公司签署了分期资产出售主协议，拟向亚马逊通技术服</w:t>
      </w:r>
    </w:p>
    <w:p>
      <w:pPr>
        <w:pStyle w:val="BodyText"/>
        <w:spacing w:line="240" w:lineRule="auto" w:before="63"/>
        <w:ind w:right="986"/>
        <w:jc w:val="left"/>
      </w:pPr>
      <w:r>
        <w:rPr/>
        <w:t>务（北京）有限公司购买不超过</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亿元的基于亚马逊云技术的云服务相关的特定经营性资产。</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日亚马逊出</w:t>
      </w:r>
    </w:p>
    <w:p>
      <w:pPr>
        <w:pStyle w:val="BodyText"/>
        <w:spacing w:line="240" w:lineRule="auto" w:before="63"/>
        <w:ind w:right="1112"/>
        <w:jc w:val="left"/>
      </w:pPr>
      <w:r>
        <w:rPr/>
        <w:t>具了购买确认函，公司向亚马逊通技术服务（北京）有限公司已购买设备不含税金额</w:t>
      </w:r>
      <w:r>
        <w:rPr>
          <w:spacing w:val="-46"/>
        </w:rPr>
        <w:t> </w:t>
      </w:r>
      <w:r>
        <w:rPr>
          <w:rFonts w:ascii="Times New Roman" w:hAnsi="Times New Roman" w:cs="Times New Roman" w:eastAsia="Times New Roman" w:hint="default"/>
        </w:rPr>
        <w:t>845,834,318.98 </w:t>
      </w:r>
      <w:r>
        <w:rPr/>
        <w:t>元，并分为</w:t>
      </w:r>
      <w:r>
        <w:rPr>
          <w:spacing w:val="-50"/>
        </w:rPr>
        <w:t> </w:t>
      </w:r>
      <w:r>
        <w:rPr>
          <w:rFonts w:ascii="Times New Roman" w:hAnsi="Times New Roman" w:cs="Times New Roman" w:eastAsia="Times New Roman" w:hint="default"/>
        </w:rPr>
        <w:t>84</w:t>
      </w:r>
      <w:r>
        <w:rPr>
          <w:rFonts w:ascii="Times New Roman" w:hAnsi="Times New Roman" w:cs="Times New Roman" w:eastAsia="Times New Roman" w:hint="default"/>
          <w:spacing w:val="-2"/>
        </w:rPr>
        <w:t> </w:t>
      </w:r>
      <w:r>
        <w:rPr/>
        <w:t>期（每</w:t>
      </w:r>
    </w:p>
    <w:p>
      <w:pPr>
        <w:pStyle w:val="BodyText"/>
        <w:spacing w:line="240" w:lineRule="auto" w:before="63"/>
        <w:ind w:right="1112"/>
        <w:jc w:val="left"/>
      </w:pPr>
      <w:r>
        <w:rPr/>
        <w:t>月为一期）分期支付给亚马逊通，期限为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47"/>
        </w:rPr>
        <w:t> </w:t>
      </w:r>
      <w:r>
        <w:rPr>
          <w:rFonts w:ascii="Times New Roman" w:hAnsi="Times New Roman" w:cs="Times New Roman" w:eastAsia="Times New Roman" w:hint="default"/>
        </w:rPr>
        <w:t>2024 </w:t>
      </w:r>
      <w:r>
        <w:rPr/>
        <w:t>年</w:t>
      </w:r>
      <w:r>
        <w:rPr>
          <w:spacing w:val="-47"/>
        </w:rPr>
        <w:t> </w:t>
      </w:r>
      <w:r>
        <w:rPr>
          <w:rFonts w:ascii="Times New Roman" w:hAnsi="Times New Roman" w:cs="Times New Roman" w:eastAsia="Times New Roman" w:hint="default"/>
        </w:rPr>
        <w:t>12 </w:t>
      </w:r>
      <w:r>
        <w:rPr/>
        <w:t>月，并按期计算支付相应的利息费用，利息费用合计</w:t>
      </w:r>
    </w:p>
    <w:p>
      <w:pPr>
        <w:pStyle w:val="BodyText"/>
        <w:spacing w:line="240" w:lineRule="auto" w:before="63"/>
        <w:ind w:right="3827"/>
        <w:jc w:val="left"/>
      </w:pPr>
      <w:r>
        <w:rPr>
          <w:rFonts w:ascii="Times New Roman" w:hAnsi="Times New Roman" w:cs="Times New Roman" w:eastAsia="Times New Roman" w:hint="default"/>
        </w:rPr>
        <w:t>132,864,819.71 </w:t>
      </w:r>
      <w:r>
        <w:rPr/>
        <w:t>元。</w:t>
      </w:r>
    </w:p>
    <w:p>
      <w:pPr>
        <w:pStyle w:val="BodyText"/>
        <w:spacing w:line="300" w:lineRule="auto" w:before="63"/>
        <w:ind w:right="1126" w:firstLine="360"/>
        <w:jc w:val="both"/>
      </w:pPr>
      <w:r>
        <w:rPr/>
        <w:t>（</w:t>
      </w:r>
      <w:r>
        <w:rPr>
          <w:rFonts w:ascii="Times New Roman" w:hAnsi="Times New Roman" w:cs="Times New Roman" w:eastAsia="Times New Roman" w:hint="default"/>
        </w:rPr>
        <w:t>2</w:t>
      </w:r>
      <w:r>
        <w:rPr/>
        <w:t>）公司全资子公司光环云谷科技有限公司承租智达云创（三河）科技有限公司厂房及场地用于燕郊光环云谷一期项 目，合同总金额</w:t>
      </w:r>
      <w:r>
        <w:rPr>
          <w:spacing w:val="-48"/>
        </w:rPr>
        <w:t> </w:t>
      </w:r>
      <w:r>
        <w:rPr>
          <w:rFonts w:ascii="Times New Roman" w:hAnsi="Times New Roman" w:cs="Times New Roman" w:eastAsia="Times New Roman" w:hint="default"/>
        </w:rPr>
        <w:t>60,713,917.50</w:t>
      </w:r>
      <w:r>
        <w:rPr>
          <w:rFonts w:ascii="Times New Roman" w:hAnsi="Times New Roman" w:cs="Times New Roman" w:eastAsia="Times New Roman" w:hint="default"/>
          <w:spacing w:val="-3"/>
        </w:rPr>
        <w:t> </w:t>
      </w:r>
      <w:r>
        <w:rPr/>
        <w:t>元，租赁期间自</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48"/>
        </w:rPr>
        <w:t> </w:t>
      </w:r>
      <w:r>
        <w:rPr>
          <w:rFonts w:ascii="Times New Roman" w:hAnsi="Times New Roman" w:cs="Times New Roman" w:eastAsia="Times New Roman" w:hint="default"/>
        </w:rPr>
        <w:t>2022</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日，每半年支付一次租金。截至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p>
    <w:p>
      <w:pPr>
        <w:pStyle w:val="BodyText"/>
        <w:spacing w:line="240" w:lineRule="auto" w:before="13"/>
        <w:ind w:right="3827"/>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日，剩余租赁付款额（不含税）</w:t>
      </w:r>
      <w:r>
        <w:rPr>
          <w:rFonts w:ascii="Times New Roman" w:hAnsi="Times New Roman" w:cs="Times New Roman" w:eastAsia="Times New Roman" w:hint="default"/>
        </w:rPr>
        <w:t>17,281,374.06 </w:t>
      </w:r>
      <w:r>
        <w:rPr/>
        <w:t>元。</w:t>
      </w:r>
    </w:p>
    <w:p>
      <w:pPr>
        <w:pStyle w:val="BodyText"/>
        <w:spacing w:line="300" w:lineRule="auto" w:before="63"/>
        <w:ind w:right="1139" w:firstLine="360"/>
        <w:jc w:val="both"/>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）公司全资子公司光环云谷科技有限公司承租智达云创（三河）科技有限公司厂房及场地用于燕郊光环云谷二期项 目，合同总金额</w:t>
      </w:r>
      <w:r>
        <w:rPr>
          <w:spacing w:val="-46"/>
        </w:rPr>
        <w:t> </w:t>
      </w:r>
      <w:r>
        <w:rPr>
          <w:rFonts w:ascii="Times New Roman" w:hAnsi="Times New Roman" w:cs="Times New Roman" w:eastAsia="Times New Roman" w:hint="default"/>
        </w:rPr>
        <w:t>151,408,606.60</w:t>
      </w:r>
      <w:r>
        <w:rPr>
          <w:rFonts w:ascii="Times New Roman" w:hAnsi="Times New Roman" w:cs="Times New Roman" w:eastAsia="Times New Roman" w:hint="default"/>
          <w:spacing w:val="1"/>
        </w:rPr>
        <w:t> </w:t>
      </w:r>
      <w:r>
        <w:rPr/>
        <w:t>元，租赁期间自</w:t>
      </w:r>
      <w:r>
        <w:rPr>
          <w:spacing w:val="-46"/>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2026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日，每半年支付一次租金。截至</w:t>
      </w:r>
      <w:r>
        <w:rPr>
          <w:spacing w:val="-46"/>
        </w:rPr>
        <w:t> </w:t>
      </w:r>
      <w:r>
        <w:rPr>
          <w:rFonts w:ascii="Times New Roman" w:hAnsi="Times New Roman" w:cs="Times New Roman" w:eastAsia="Times New Roman" w:hint="default"/>
        </w:rPr>
        <w:t>2019</w:t>
      </w:r>
    </w:p>
    <w:p>
      <w:pPr>
        <w:pStyle w:val="BodyText"/>
        <w:spacing w:line="240" w:lineRule="auto" w:before="13"/>
        <w:ind w:right="3827"/>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日，剩余租赁付款额（不含税）</w:t>
      </w:r>
      <w:r>
        <w:rPr>
          <w:rFonts w:ascii="Times New Roman" w:hAnsi="Times New Roman" w:cs="Times New Roman" w:eastAsia="Times New Roman" w:hint="default"/>
        </w:rPr>
        <w:t>100,558,168.91</w:t>
      </w:r>
      <w:r>
        <w:rPr>
          <w:rFonts w:ascii="Times New Roman" w:hAnsi="Times New Roman" w:cs="Times New Roman" w:eastAsia="Times New Roman" w:hint="default"/>
          <w:spacing w:val="1"/>
        </w:rPr>
        <w:t> </w:t>
      </w:r>
      <w:r>
        <w:rPr>
          <w:spacing w:val="-3"/>
        </w:rPr>
        <w:t>元。</w:t>
      </w:r>
      <w:r>
        <w:rPr/>
      </w:r>
    </w:p>
    <w:p>
      <w:pPr>
        <w:pStyle w:val="BodyText"/>
        <w:spacing w:line="300" w:lineRule="auto" w:before="63"/>
        <w:ind w:right="1139" w:firstLine="360"/>
        <w:jc w:val="both"/>
      </w:pPr>
      <w:r>
        <w:rPr/>
        <w:t>（</w:t>
      </w:r>
      <w:r>
        <w:rPr>
          <w:rFonts w:ascii="Times New Roman" w:hAnsi="Times New Roman" w:cs="Times New Roman" w:eastAsia="Times New Roman" w:hint="default"/>
        </w:rPr>
        <w:t>4</w:t>
      </w:r>
      <w:r>
        <w:rPr/>
        <w:t>）控股子公司光环云数据有限与尚阳科技股份签订了融资租赁合同，租赁物为办公设备，开展融资租赁的固定产截 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日账面价值</w:t>
      </w:r>
      <w:r>
        <w:rPr>
          <w:spacing w:val="-47"/>
        </w:rPr>
        <w:t> </w:t>
      </w:r>
      <w:r>
        <w:rPr>
          <w:rFonts w:ascii="Times New Roman" w:hAnsi="Times New Roman" w:cs="Times New Roman" w:eastAsia="Times New Roman" w:hint="default"/>
        </w:rPr>
        <w:t>5,376,448.01</w:t>
      </w:r>
      <w:r>
        <w:rPr>
          <w:rFonts w:ascii="Times New Roman" w:hAnsi="Times New Roman" w:cs="Times New Roman" w:eastAsia="Times New Roman" w:hint="default"/>
          <w:spacing w:val="1"/>
        </w:rPr>
        <w:t> </w:t>
      </w:r>
      <w:r>
        <w:rPr/>
        <w:t>元，融资金额</w:t>
      </w:r>
      <w:r>
        <w:rPr>
          <w:spacing w:val="-47"/>
        </w:rPr>
        <w:t> </w:t>
      </w:r>
      <w:r>
        <w:rPr>
          <w:rFonts w:ascii="Times New Roman" w:hAnsi="Times New Roman" w:cs="Times New Roman" w:eastAsia="Times New Roman" w:hint="default"/>
        </w:rPr>
        <w:t>7,984,344.08</w:t>
      </w:r>
      <w:r>
        <w:rPr>
          <w:rFonts w:ascii="Times New Roman" w:hAnsi="Times New Roman" w:cs="Times New Roman" w:eastAsia="Times New Roman" w:hint="default"/>
          <w:spacing w:val="1"/>
        </w:rPr>
        <w:t> </w:t>
      </w:r>
      <w:r>
        <w:rPr/>
        <w:t>元，租赁期自</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2021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日融资期限为三年。</w:t>
      </w:r>
    </w:p>
    <w:p>
      <w:pPr>
        <w:spacing w:after="0" w:line="30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26、递延收益" w:id="283"/>
      <w:bookmarkEnd w:id="283"/>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见说明（</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上海环川冷热电三 联供项目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18,197,214.00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18,197,214.00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见说明（</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18,197,214.00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18,485,214.00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3827"/>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互联网数据 服务一体化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480,000.00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192,000.00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288,000.00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3827"/>
        <w:jc w:val="left"/>
      </w:pPr>
      <w:r>
        <w:rPr/>
        <w:t>其他说明：</w:t>
      </w:r>
    </w:p>
    <w:p>
      <w:pPr>
        <w:pStyle w:val="BodyText"/>
        <w:spacing w:line="240" w:lineRule="auto" w:before="115"/>
        <w:ind w:left="513" w:right="1112"/>
        <w:jc w:val="left"/>
      </w:pPr>
      <w:r>
        <w:rPr/>
        <w:t>（</w:t>
      </w:r>
      <w:r>
        <w:rPr>
          <w:rFonts w:ascii="Times New Roman" w:hAnsi="Times New Roman" w:cs="Times New Roman" w:eastAsia="Times New Roman" w:hint="default"/>
          <w:spacing w:val="1"/>
        </w:rPr>
        <w:t>1</w:t>
      </w:r>
      <w:r>
        <w:rPr/>
        <w:t>）依据《北京市经济和信息化委员会关于下达</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年度</w:t>
      </w:r>
      <w:r>
        <w:rPr>
          <w:spacing w:val="-3"/>
        </w:rPr>
        <w:t>第</w:t>
      </w:r>
      <w:r>
        <w:rPr/>
        <w:t>二批中小企业发展专项资金计划的通知</w:t>
      </w:r>
      <w:r>
        <w:rPr>
          <w:spacing w:val="-92"/>
        </w:rPr>
        <w:t>》</w:t>
      </w:r>
      <w:r>
        <w:rPr/>
        <w:t>（京经信委发</w:t>
      </w:r>
    </w:p>
    <w:p>
      <w:pPr>
        <w:pStyle w:val="BodyText"/>
        <w:spacing w:line="240" w:lineRule="auto" w:before="63"/>
        <w:ind w:right="986"/>
        <w:jc w:val="left"/>
      </w:pP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w w:val="99"/>
        </w:rPr>
        <w:t>0</w:t>
      </w:r>
      <w:r>
        <w:rPr>
          <w:rFonts w:ascii="Times New Roman" w:hAnsi="Times New Roman" w:cs="Times New Roman" w:eastAsia="Times New Roman" w:hint="default"/>
          <w:spacing w:val="-14"/>
          <w:w w:val="99"/>
        </w:rPr>
        <w:t> </w:t>
      </w:r>
      <w:r>
        <w:rPr>
          <w:w w:val="99"/>
        </w:rPr>
        <w:t>号</w:t>
      </w:r>
      <w:r>
        <w:rPr>
          <w:spacing w:val="-92"/>
          <w:w w:val="99"/>
        </w:rPr>
        <w:t>），</w:t>
      </w:r>
      <w:r>
        <w:rPr>
          <w:w w:val="99"/>
        </w:rPr>
        <w:t>本公司</w:t>
      </w:r>
      <w:r>
        <w:rPr>
          <w:spacing w:val="-62"/>
          <w:w w:val="99"/>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5"/>
          <w:w w:val="99"/>
        </w:rPr>
        <w:t> </w:t>
      </w:r>
      <w:r>
        <w:rPr>
          <w:w w:val="99"/>
        </w:rPr>
        <w:t>年</w:t>
      </w:r>
      <w:r>
        <w:rPr>
          <w:spacing w:val="-64"/>
          <w:w w:val="99"/>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5"/>
          <w:w w:val="99"/>
        </w:rPr>
        <w:t> </w:t>
      </w:r>
      <w:r>
        <w:rPr>
          <w:w w:val="99"/>
        </w:rPr>
        <w:t>月收到北京市经济和信息化委员会拨付的互联网数据服务一体化财政资金</w:t>
      </w:r>
      <w:r>
        <w:rPr>
          <w:spacing w:val="-60"/>
          <w:w w:val="99"/>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9</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4"/>
          <w:w w:val="99"/>
        </w:rPr>
        <w:t> </w:t>
      </w:r>
      <w:r>
        <w:rPr>
          <w:spacing w:val="-3"/>
          <w:w w:val="99"/>
        </w:rPr>
        <w:t>元，</w:t>
      </w:r>
      <w:r>
        <w:rPr/>
      </w:r>
    </w:p>
    <w:p>
      <w:pPr>
        <w:pStyle w:val="BodyText"/>
        <w:spacing w:line="240" w:lineRule="auto" w:before="63"/>
        <w:ind w:right="1112"/>
        <w:jc w:val="left"/>
      </w:pPr>
      <w:r>
        <w:rPr/>
        <w:t>属于与资产相关的政府补助，从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月起按</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年结转递延收益，本期结转营业外收入</w:t>
      </w:r>
      <w:r>
        <w:rPr>
          <w:spacing w:val="-48"/>
        </w:rPr>
        <w:t> </w:t>
      </w:r>
      <w:r>
        <w:rPr>
          <w:rFonts w:ascii="Times New Roman" w:hAnsi="Times New Roman" w:cs="Times New Roman" w:eastAsia="Times New Roman" w:hint="default"/>
        </w:rPr>
        <w:t>192,000.00 </w:t>
      </w:r>
      <w:r>
        <w:rPr/>
        <w:t>元。</w:t>
      </w:r>
    </w:p>
    <w:p>
      <w:pPr>
        <w:pStyle w:val="BodyText"/>
        <w:spacing w:line="314" w:lineRule="auto" w:before="63"/>
        <w:ind w:right="1034" w:firstLine="360"/>
        <w:jc w:val="left"/>
      </w:pPr>
      <w:r>
        <w:rPr>
          <w:spacing w:val="-4"/>
        </w:rPr>
        <w:t>（</w:t>
      </w:r>
      <w:r>
        <w:rPr>
          <w:rFonts w:ascii="Times New Roman" w:hAnsi="Times New Roman" w:cs="Times New Roman" w:eastAsia="Times New Roman" w:hint="default"/>
          <w:spacing w:val="-4"/>
        </w:rPr>
        <w:t>2</w:t>
      </w:r>
      <w:r>
        <w:rPr>
          <w:spacing w:val="-4"/>
        </w:rPr>
        <w:t>）子公司光环新网（上海）信息服务有限公司与上海环川实业投资有限公司签订了《土地及房屋租赁协议》，约定上</w:t>
      </w:r>
      <w:r>
        <w:rPr/>
        <w:t> 海环川实业投资有限公司投资建设的三联供系统相关的房屋及构筑物的所有权由光环新网（上海）信息服务有限公司享有，</w:t>
      </w:r>
      <w:r>
        <w:rPr>
          <w:spacing w:val="-86"/>
        </w:rPr>
        <w:t> </w:t>
      </w:r>
      <w:r>
        <w:rPr>
          <w:spacing w:val="-86"/>
        </w:rPr>
      </w:r>
      <w:r>
        <w:rPr>
          <w:spacing w:val="-2"/>
        </w:rPr>
        <w:t>光环新网（上海）信息服务有限公司同意并确保由上海环川实业投资有限公司在合作期及延长期内无偿租赁并使用其投资建</w:t>
      </w:r>
      <w:r>
        <w:rPr>
          <w:spacing w:val="-64"/>
        </w:rPr>
        <w:t> </w:t>
      </w:r>
      <w:r>
        <w:rPr>
          <w:spacing w:val="-64"/>
        </w:rPr>
      </w:r>
      <w:r>
        <w:rPr>
          <w:spacing w:val="-2"/>
        </w:rPr>
        <w:t>设的三联供系统相关的房屋及构筑物。光环新网（上海）信息服务有限公司取得相关不动产权证书，按照相关房屋及构筑物</w:t>
      </w:r>
      <w:r>
        <w:rPr>
          <w:spacing w:val="-66"/>
        </w:rPr>
        <w:t> </w:t>
      </w:r>
      <w:r>
        <w:rPr>
          <w:spacing w:val="-66"/>
        </w:rPr>
      </w:r>
      <w:r>
        <w:rPr/>
        <w:t>建造成本计入递延收益，按照相关资产使用年限进行摊销。</w:t>
      </w:r>
    </w:p>
    <w:p>
      <w:pPr>
        <w:spacing w:line="240" w:lineRule="auto" w:before="12"/>
        <w:rPr>
          <w:rFonts w:ascii="宋体" w:hAnsi="宋体" w:cs="宋体" w:eastAsia="宋体" w:hint="default"/>
          <w:sz w:val="22"/>
          <w:szCs w:val="22"/>
        </w:rPr>
      </w:pPr>
    </w:p>
    <w:p>
      <w:pPr>
        <w:pStyle w:val="Heading3"/>
        <w:spacing w:line="240" w:lineRule="auto"/>
        <w:ind w:right="3827"/>
        <w:jc w:val="left"/>
        <w:rPr>
          <w:b w:val="0"/>
          <w:bCs w:val="0"/>
        </w:rPr>
      </w:pPr>
      <w:bookmarkStart w:name="27、股本" w:id="284"/>
      <w:bookmarkEnd w:id="284"/>
      <w:r>
        <w:rPr>
          <w:b w:val="0"/>
          <w:bCs w:val="0"/>
        </w:rPr>
      </w:r>
      <w:r>
        <w:rPr>
          <w:rFonts w:ascii="Times New Roman" w:hAnsi="Times New Roman" w:cs="Times New Roman" w:eastAsia="Times New Roman" w:hint="default"/>
        </w:rPr>
        <w:t>27</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1,539,675,821.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2,951,358.00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2,951,358.00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1,542,627,179.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3827"/>
        <w:jc w:val="left"/>
      </w:pPr>
      <w:r>
        <w:rPr/>
        <w:t>其他说明：</w:t>
      </w:r>
    </w:p>
    <w:p>
      <w:pPr>
        <w:pStyle w:val="BodyText"/>
        <w:spacing w:line="240" w:lineRule="auto" w:before="115"/>
        <w:ind w:left="513" w:right="986"/>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年</w:t>
      </w:r>
      <w:r>
        <w:rPr>
          <w:spacing w:val="-55"/>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日至</w:t>
      </w:r>
      <w:r>
        <w:rPr>
          <w:spacing w:val="-5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w:t>
      </w:r>
      <w:r>
        <w:rPr>
          <w:spacing w:val="-92"/>
        </w:rPr>
        <w:t>，</w:t>
      </w:r>
      <w:r>
        <w:rPr/>
        <w:t>公司首期股票期权</w:t>
      </w:r>
      <w:r>
        <w:rPr>
          <w:spacing w:val="-3"/>
        </w:rPr>
        <w:t>激</w:t>
      </w:r>
      <w:r>
        <w:rPr/>
        <w:t>励计划第二个行权期内激励对象共自主行权</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份，</w:t>
      </w:r>
    </w:p>
    <w:p>
      <w:pPr>
        <w:pStyle w:val="BodyText"/>
        <w:spacing w:line="240" w:lineRule="auto" w:before="63"/>
        <w:ind w:right="1112"/>
        <w:jc w:val="left"/>
      </w:pPr>
      <w:r>
        <w:rPr/>
        <w:t>公司总股本由</w:t>
      </w:r>
      <w:r>
        <w:rPr>
          <w:spacing w:val="-47"/>
        </w:rPr>
        <w:t> </w:t>
      </w:r>
      <w:r>
        <w:rPr>
          <w:rFonts w:ascii="Times New Roman" w:hAnsi="Times New Roman" w:cs="Times New Roman" w:eastAsia="Times New Roman" w:hint="default"/>
        </w:rPr>
        <w:t>1,539,675,821 </w:t>
      </w:r>
      <w:r>
        <w:rPr/>
        <w:t>股增加至</w:t>
      </w:r>
      <w:r>
        <w:rPr>
          <w:spacing w:val="-47"/>
        </w:rPr>
        <w:t> </w:t>
      </w:r>
      <w:r>
        <w:rPr>
          <w:rFonts w:ascii="Times New Roman" w:hAnsi="Times New Roman" w:cs="Times New Roman" w:eastAsia="Times New Roman" w:hint="default"/>
        </w:rPr>
        <w:t>1,541,195,921 </w:t>
      </w:r>
      <w:r>
        <w:rPr/>
        <w:t>股，本公司于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日办理了工商变更登记。</w:t>
      </w:r>
    </w:p>
    <w:p>
      <w:pPr>
        <w:pStyle w:val="BodyText"/>
        <w:spacing w:line="240" w:lineRule="auto" w:before="63"/>
        <w:ind w:left="513" w:right="1112"/>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日，公司首期股票期权激励计划第三个行权期内激励对象共自主行权</w:t>
      </w:r>
      <w:r>
        <w:rPr>
          <w:spacing w:val="-49"/>
        </w:rPr>
        <w:t> </w:t>
      </w:r>
      <w:r>
        <w:rPr>
          <w:rFonts w:ascii="Times New Roman" w:hAnsi="Times New Roman" w:cs="Times New Roman" w:eastAsia="Times New Roman" w:hint="default"/>
        </w:rPr>
        <w:t>1,431,258.00</w:t>
      </w:r>
    </w:p>
    <w:p>
      <w:pPr>
        <w:pStyle w:val="BodyText"/>
        <w:spacing w:line="240" w:lineRule="auto" w:before="63"/>
        <w:ind w:right="1112"/>
        <w:jc w:val="left"/>
        <w:rPr>
          <w:rFonts w:ascii="Times New Roman" w:hAnsi="Times New Roman" w:cs="Times New Roman" w:eastAsia="Times New Roman" w:hint="default"/>
        </w:rPr>
      </w:pPr>
      <w:r>
        <w:rPr/>
        <w:t>份，总股本由</w:t>
      </w:r>
      <w:r>
        <w:rPr>
          <w:spacing w:val="-47"/>
        </w:rPr>
        <w:t> </w:t>
      </w:r>
      <w:r>
        <w:rPr>
          <w:rFonts w:ascii="Times New Roman" w:hAnsi="Times New Roman" w:cs="Times New Roman" w:eastAsia="Times New Roman" w:hint="default"/>
        </w:rPr>
        <w:t>1,541,195,921 </w:t>
      </w:r>
      <w:r>
        <w:rPr/>
        <w:t>股增加至</w:t>
      </w:r>
      <w:r>
        <w:rPr>
          <w:spacing w:val="-47"/>
        </w:rPr>
        <w:t> </w:t>
      </w:r>
      <w:r>
        <w:rPr>
          <w:rFonts w:ascii="Times New Roman" w:hAnsi="Times New Roman" w:cs="Times New Roman" w:eastAsia="Times New Roman" w:hint="default"/>
        </w:rPr>
        <w:t>1,542,627,179 </w:t>
      </w:r>
      <w:r>
        <w:rPr/>
        <w:t>股。其中，</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日激励对象行权</w:t>
      </w:r>
      <w:r>
        <w:rPr>
          <w:spacing w:val="-4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份，股本增加</w:t>
      </w:r>
      <w:r>
        <w:rPr>
          <w:spacing w:val="-48"/>
        </w:rPr>
        <w:t> </w:t>
      </w:r>
      <w:r>
        <w:rPr>
          <w:rFonts w:ascii="Times New Roman" w:hAnsi="Times New Roman" w:cs="Times New Roman" w:eastAsia="Times New Roman" w:hint="default"/>
        </w:rPr>
        <w:t>2,000</w:t>
      </w:r>
    </w:p>
    <w:p>
      <w:pPr>
        <w:pStyle w:val="BodyText"/>
        <w:spacing w:line="240" w:lineRule="auto" w:before="63"/>
        <w:ind w:right="1112"/>
        <w:jc w:val="left"/>
      </w:pPr>
      <w:r>
        <w:rPr/>
        <w:t>股，增加股份于下一交易日在中国证券登记结算有限责任公司深圳分公司登记到账。该增资尚未办理工商变更登记。</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28、资本公积" w:id="285"/>
      <w:bookmarkEnd w:id="285"/>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4,398,406,404.46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75,964,551.16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4,474,332,266.95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30,949,851.69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25,702,036.00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5,537,822.60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4,429,356,256.15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76,254,558.07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25,740,724.67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4,479,870,089.55</w:t>
            </w:r>
          </w:p>
        </w:tc>
      </w:tr>
    </w:tbl>
    <w:p>
      <w:pPr>
        <w:pStyle w:val="BodyText"/>
        <w:spacing w:line="240" w:lineRule="auto" w:before="49"/>
        <w:ind w:right="3827"/>
        <w:jc w:val="left"/>
      </w:pPr>
      <w:r>
        <w:rPr/>
        <w:t>其他说明，包括本期增减变动情况、变动原因说明：</w:t>
      </w:r>
    </w:p>
    <w:p>
      <w:pPr>
        <w:pStyle w:val="BodyText"/>
        <w:spacing w:line="240" w:lineRule="auto" w:before="117"/>
        <w:ind w:left="513" w:right="3827"/>
        <w:jc w:val="left"/>
      </w:pPr>
      <w:r>
        <w:rPr/>
        <w:t>（</w:t>
      </w:r>
      <w:r>
        <w:rPr>
          <w:rFonts w:ascii="Times New Roman" w:hAnsi="Times New Roman" w:cs="Times New Roman" w:eastAsia="Times New Roman" w:hint="default"/>
        </w:rPr>
        <w:t>1</w:t>
      </w:r>
      <w:r>
        <w:rPr/>
        <w:t>）股本溢价变动原因：</w:t>
      </w:r>
    </w:p>
    <w:p>
      <w:pPr>
        <w:pStyle w:val="BodyText"/>
        <w:spacing w:line="240" w:lineRule="auto" w:before="63"/>
        <w:ind w:left="513" w:right="986"/>
        <w:jc w:val="left"/>
        <w:rPr>
          <w:rFonts w:ascii="Times New Roman" w:hAnsi="Times New Roman" w:cs="Times New Roman" w:eastAsia="Times New Roman" w:hint="default"/>
        </w:rPr>
      </w:pPr>
      <w:r>
        <w:rPr/>
        <w:t>①报告期公司首期股票期权激励计划激励对象累计行权</w:t>
      </w:r>
      <w:r>
        <w:rPr>
          <w:spacing w:val="-5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51</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份</w:t>
      </w:r>
      <w:r>
        <w:rPr>
          <w:spacing w:val="-92"/>
        </w:rPr>
        <w:t>，</w:t>
      </w:r>
      <w:r>
        <w:rPr/>
        <w:t>累计注销已授予</w:t>
      </w:r>
      <w:r>
        <w:rPr>
          <w:spacing w:val="-3"/>
        </w:rPr>
        <w:t>未</w:t>
      </w:r>
      <w:r>
        <w:rPr/>
        <w:t>行权的股票期权</w:t>
      </w:r>
      <w:r>
        <w:rPr>
          <w:spacing w:val="-56"/>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right="3827"/>
        <w:jc w:val="left"/>
      </w:pPr>
      <w:r>
        <w:rPr/>
        <w:t>份，合计增加资本公积（股本溢价）</w:t>
      </w:r>
      <w:r>
        <w:rPr>
          <w:rFonts w:ascii="Times New Roman" w:hAnsi="Times New Roman" w:cs="Times New Roman" w:eastAsia="Times New Roman" w:hint="default"/>
        </w:rPr>
        <w:t>75,964,551.16</w:t>
      </w:r>
      <w:r>
        <w:rPr>
          <w:rFonts w:ascii="Times New Roman" w:hAnsi="Times New Roman" w:cs="Times New Roman" w:eastAsia="Times New Roman" w:hint="default"/>
          <w:spacing w:val="-1"/>
        </w:rPr>
        <w:t> </w:t>
      </w:r>
      <w:r>
        <w:rPr/>
        <w:t>元。</w:t>
      </w:r>
    </w:p>
    <w:p>
      <w:pPr>
        <w:pStyle w:val="BodyText"/>
        <w:spacing w:line="300" w:lineRule="auto" w:before="63"/>
        <w:ind w:right="1200" w:firstLine="360"/>
        <w:jc w:val="left"/>
      </w:pPr>
      <w:r>
        <w:rPr/>
        <w:t>②报告期内公司收购子北京光环金网科技有限少数股东</w:t>
      </w:r>
      <w:r>
        <w:rPr>
          <w:spacing w:val="-46"/>
        </w:rPr>
        <w:t> </w:t>
      </w:r>
      <w:r>
        <w:rPr>
          <w:rFonts w:ascii="Times New Roman" w:hAnsi="Times New Roman" w:cs="Times New Roman" w:eastAsia="Times New Roman" w:hint="default"/>
        </w:rPr>
        <w:t>49%</w:t>
      </w:r>
      <w:r>
        <w:rPr/>
        <w:t>股权，收购价款高于北京光环金网科技有限公司少数股东 权益的部分减少资本公积 </w:t>
      </w:r>
      <w:r>
        <w:rPr>
          <w:rFonts w:ascii="Times New Roman" w:hAnsi="Times New Roman" w:cs="Times New Roman" w:eastAsia="Times New Roman" w:hint="default"/>
        </w:rPr>
        <w:t>38,688.67</w:t>
      </w:r>
      <w:r>
        <w:rPr>
          <w:rFonts w:ascii="Times New Roman" w:hAnsi="Times New Roman" w:cs="Times New Roman" w:eastAsia="Times New Roman" w:hint="default"/>
          <w:spacing w:val="2"/>
        </w:rPr>
        <w:t> </w:t>
      </w:r>
      <w:r>
        <w:rPr/>
        <w:t>元。</w:t>
      </w:r>
    </w:p>
    <w:p>
      <w:pPr>
        <w:pStyle w:val="BodyText"/>
        <w:spacing w:line="240" w:lineRule="auto" w:before="13"/>
        <w:ind w:left="513" w:right="3827"/>
        <w:jc w:val="left"/>
      </w:pPr>
      <w:r>
        <w:rPr/>
        <w:t>（</w:t>
      </w:r>
      <w:r>
        <w:rPr>
          <w:rFonts w:ascii="Times New Roman" w:hAnsi="Times New Roman" w:cs="Times New Roman" w:eastAsia="Times New Roman" w:hint="default"/>
        </w:rPr>
        <w:t>2</w:t>
      </w:r>
      <w:r>
        <w:rPr/>
        <w:t>）其他资本公积变动原因：</w:t>
      </w:r>
    </w:p>
    <w:p>
      <w:pPr>
        <w:pStyle w:val="BodyText"/>
        <w:spacing w:line="240" w:lineRule="auto" w:before="63"/>
        <w:ind w:left="513" w:right="3827"/>
        <w:jc w:val="left"/>
      </w:pPr>
      <w:r>
        <w:rPr/>
        <w:t>①本期增加其他资本公积为当期股权激励费用，详见本节十三、股份支付。</w:t>
      </w:r>
    </w:p>
    <w:p>
      <w:pPr>
        <w:pStyle w:val="BodyText"/>
        <w:spacing w:line="240" w:lineRule="auto" w:before="76"/>
        <w:ind w:left="513" w:right="986"/>
        <w:jc w:val="left"/>
        <w:rPr>
          <w:rFonts w:ascii="Times New Roman" w:hAnsi="Times New Roman" w:cs="Times New Roman" w:eastAsia="Times New Roman" w:hint="default"/>
        </w:rPr>
      </w:pPr>
      <w:r>
        <w:rPr/>
        <w:t>②报告期公司首期股票期权激励计划激励对象累计行权</w:t>
      </w:r>
      <w:r>
        <w:rPr>
          <w:spacing w:val="-5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51</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份</w:t>
      </w:r>
      <w:r>
        <w:rPr>
          <w:spacing w:val="-92"/>
        </w:rPr>
        <w:t>，</w:t>
      </w:r>
      <w:r>
        <w:rPr/>
        <w:t>累计注销已授予</w:t>
      </w:r>
      <w:r>
        <w:rPr>
          <w:spacing w:val="-3"/>
        </w:rPr>
        <w:t>未</w:t>
      </w:r>
      <w:r>
        <w:rPr/>
        <w:t>行权的股票期权</w:t>
      </w:r>
      <w:r>
        <w:rPr>
          <w:spacing w:val="-56"/>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right="3827"/>
        <w:jc w:val="left"/>
      </w:pPr>
      <w:r>
        <w:rPr/>
        <w:t>份，累计减少其他资本公积</w:t>
      </w:r>
      <w:r>
        <w:rPr>
          <w:spacing w:val="-47"/>
        </w:rPr>
        <w:t> </w:t>
      </w:r>
      <w:r>
        <w:rPr>
          <w:rFonts w:ascii="Times New Roman" w:hAnsi="Times New Roman" w:cs="Times New Roman" w:eastAsia="Times New Roman" w:hint="default"/>
        </w:rPr>
        <w:t>25,702,036.00 </w:t>
      </w:r>
      <w:r>
        <w:rPr/>
        <w:t>元。</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29、盈余公积" w:id="286"/>
      <w:bookmarkEnd w:id="286"/>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78,275,273.37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15,115,880.99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93,391,154.36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78,275,273.37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15,115,880.99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93,391,154.36</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0、未分配利润" w:id="287"/>
      <w:bookmarkEnd w:id="287"/>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1,453,336,132.25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831,929,868.93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1,453,336,132.25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831,929,868.93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824,590,767.43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667,452,385.34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处置非交易性权益工具投资利得</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528,394.74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15,115,880.99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17,119,852.41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30,823,918.42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28,926,269.61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2,232,515,495.01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1,453,336,132.25</w:t>
            </w:r>
          </w:p>
        </w:tc>
      </w:tr>
    </w:tbl>
    <w:p>
      <w:pPr>
        <w:pStyle w:val="BodyText"/>
        <w:spacing w:line="240" w:lineRule="auto" w:before="49"/>
        <w:ind w:right="3827"/>
        <w:jc w:val="left"/>
      </w:pPr>
      <w:r>
        <w:rPr/>
        <w:t>调整期初未分配利润明细：</w:t>
      </w:r>
    </w:p>
    <w:p>
      <w:pPr>
        <w:pStyle w:val="BodyText"/>
        <w:spacing w:line="240" w:lineRule="auto" w:before="117"/>
        <w:ind w:left="513" w:right="3827"/>
        <w:jc w:val="left"/>
      </w:pPr>
      <w:r>
        <w:rPr>
          <w:rFonts w:ascii="Times New Roman" w:hAnsi="Times New Roman" w:cs="Times New Roman" w:eastAsia="Times New Roman" w:hint="default"/>
        </w:rPr>
        <w:t>1)</w:t>
      </w:r>
      <w:r>
        <w:rPr/>
        <w:t>由于《企业会计准则》及其相关新规定进行追溯调整，不影响期初未分配利润。</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3827"/>
        <w:jc w:val="left"/>
      </w:pPr>
      <w:r>
        <w:rPr>
          <w:rFonts w:ascii="Times New Roman" w:hAnsi="Times New Roman" w:cs="Times New Roman" w:eastAsia="Times New Roman" w:hint="default"/>
        </w:rPr>
        <w:t>2)</w:t>
      </w:r>
      <w:r>
        <w:rPr/>
        <w:t>由于会计政策变更，不影响期初未分配利润。</w:t>
      </w:r>
    </w:p>
    <w:p>
      <w:pPr>
        <w:pStyle w:val="BodyText"/>
        <w:spacing w:line="240" w:lineRule="auto" w:before="63"/>
        <w:ind w:left="513" w:right="3827"/>
        <w:jc w:val="left"/>
      </w:pPr>
      <w:r>
        <w:rPr>
          <w:rFonts w:ascii="Times New Roman" w:hAnsi="Times New Roman" w:cs="Times New Roman" w:eastAsia="Times New Roman" w:hint="default"/>
        </w:rPr>
        <w:t>3)</w:t>
      </w:r>
      <w:r>
        <w:rPr/>
        <w:t>由于重大会计差错更正，不影响期初未分配利润。</w:t>
      </w:r>
    </w:p>
    <w:p>
      <w:pPr>
        <w:pStyle w:val="BodyText"/>
        <w:spacing w:line="240" w:lineRule="auto" w:before="63"/>
        <w:ind w:left="513" w:right="3827"/>
        <w:jc w:val="left"/>
      </w:pPr>
      <w:r>
        <w:rPr>
          <w:rFonts w:ascii="Times New Roman" w:hAnsi="Times New Roman" w:cs="Times New Roman" w:eastAsia="Times New Roman" w:hint="default"/>
        </w:rPr>
        <w:t>4)</w:t>
      </w:r>
      <w:r>
        <w:rPr/>
        <w:t>由于同一控制导致的合并范围变更，不影响期初未分配利润。</w:t>
      </w:r>
    </w:p>
    <w:p>
      <w:pPr>
        <w:pStyle w:val="BodyText"/>
        <w:spacing w:line="340" w:lineRule="auto" w:before="63"/>
        <w:ind w:right="7184" w:firstLine="360"/>
        <w:jc w:val="left"/>
      </w:pPr>
      <w:r>
        <w:rPr>
          <w:rFonts w:ascii="Times New Roman" w:hAnsi="Times New Roman" w:cs="Times New Roman" w:eastAsia="Times New Roman" w:hint="default"/>
        </w:rPr>
        <w:t>5)</w:t>
      </w:r>
      <w:r>
        <w:rPr/>
        <w:t>其他调整合计不影响期初未分配利润。</w:t>
      </w:r>
      <w:r>
        <w:rPr>
          <w:w w:val="99"/>
        </w:rPr>
        <w:t> </w:t>
      </w:r>
      <w:r>
        <w:rPr/>
        <w:t>其他说明：</w:t>
      </w:r>
    </w:p>
    <w:p>
      <w:pPr>
        <w:pStyle w:val="BodyText"/>
        <w:spacing w:line="300" w:lineRule="auto" w:before="39"/>
        <w:ind w:right="1034"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月，公司控股子公司北京光环凯旋管理咨询有限公司与</w:t>
      </w:r>
      <w:r>
        <w:rPr>
          <w:spacing w:val="-47"/>
        </w:rPr>
        <w:t> </w:t>
      </w:r>
      <w:r>
        <w:rPr>
          <w:rFonts w:ascii="Times New Roman" w:hAnsi="Times New Roman" w:cs="Times New Roman" w:eastAsia="Times New Roman" w:hint="default"/>
        </w:rPr>
        <w:t>SINO</w:t>
      </w:r>
      <w:r>
        <w:rPr>
          <w:rFonts w:ascii="Times New Roman" w:hAnsi="Times New Roman" w:cs="Times New Roman" w:eastAsia="Times New Roman" w:hint="default"/>
          <w:spacing w:val="10"/>
        </w:rPr>
        <w:t> </w:t>
      </w:r>
      <w:r>
        <w:rPr>
          <w:rFonts w:ascii="Times New Roman" w:hAnsi="Times New Roman" w:cs="Times New Roman" w:eastAsia="Times New Roman" w:hint="default"/>
        </w:rPr>
        <w:t>AD</w:t>
      </w:r>
      <w:r>
        <w:rPr>
          <w:rFonts w:ascii="Times New Roman" w:hAnsi="Times New Roman" w:cs="Times New Roman" w:eastAsia="Times New Roman" w:hint="default"/>
          <w:spacing w:val="10"/>
        </w:rPr>
        <w:t> </w:t>
      </w:r>
      <w:r>
        <w:rPr>
          <w:rFonts w:ascii="Times New Roman" w:hAnsi="Times New Roman" w:cs="Times New Roman" w:eastAsia="Times New Roman" w:hint="default"/>
        </w:rPr>
        <w:t>IVESTMENT</w:t>
      </w:r>
      <w:r>
        <w:rPr>
          <w:rFonts w:ascii="Times New Roman" w:hAnsi="Times New Roman" w:cs="Times New Roman" w:eastAsia="Times New Roman" w:hint="default"/>
          <w:spacing w:val="6"/>
        </w:rPr>
        <w:t> </w:t>
      </w:r>
      <w:r>
        <w:rPr>
          <w:rFonts w:ascii="Times New Roman" w:hAnsi="Times New Roman" w:cs="Times New Roman" w:eastAsia="Times New Roman" w:hint="default"/>
        </w:rPr>
        <w:t>PTE.LTD.</w:t>
      </w:r>
      <w:r>
        <w:rPr/>
        <w:t>签订股权转让协议， 将其持有的上海开域信息科技有限公司全部股份转让给</w:t>
      </w:r>
      <w:r>
        <w:rPr>
          <w:spacing w:val="-48"/>
        </w:rPr>
        <w:t> </w:t>
      </w:r>
      <w:r>
        <w:rPr>
          <w:rFonts w:ascii="Times New Roman" w:hAnsi="Times New Roman" w:cs="Times New Roman" w:eastAsia="Times New Roman" w:hint="default"/>
        </w:rPr>
        <w:t>SINO</w:t>
      </w:r>
      <w:r>
        <w:rPr>
          <w:rFonts w:ascii="Times New Roman" w:hAnsi="Times New Roman" w:cs="Times New Roman" w:eastAsia="Times New Roman" w:hint="default"/>
          <w:spacing w:val="-5"/>
        </w:rPr>
        <w:t> </w:t>
      </w:r>
      <w:r>
        <w:rPr>
          <w:rFonts w:ascii="Times New Roman" w:hAnsi="Times New Roman" w:cs="Times New Roman" w:eastAsia="Times New Roman" w:hint="default"/>
        </w:rPr>
        <w:t>AD</w:t>
      </w:r>
      <w:r>
        <w:rPr>
          <w:rFonts w:ascii="Times New Roman" w:hAnsi="Times New Roman" w:cs="Times New Roman" w:eastAsia="Times New Roman" w:hint="default"/>
          <w:spacing w:val="-4"/>
        </w:rPr>
        <w:t> </w:t>
      </w:r>
      <w:r>
        <w:rPr>
          <w:rFonts w:ascii="Times New Roman" w:hAnsi="Times New Roman" w:cs="Times New Roman" w:eastAsia="Times New Roman" w:hint="default"/>
        </w:rPr>
        <w:t>IVESTMENT</w:t>
      </w:r>
      <w:r>
        <w:rPr>
          <w:rFonts w:ascii="Times New Roman" w:hAnsi="Times New Roman" w:cs="Times New Roman" w:eastAsia="Times New Roman" w:hint="default"/>
          <w:spacing w:val="-8"/>
        </w:rPr>
        <w:t> </w:t>
      </w:r>
      <w:r>
        <w:rPr>
          <w:rFonts w:ascii="Times New Roman" w:hAnsi="Times New Roman" w:cs="Times New Roman" w:eastAsia="Times New Roman" w:hint="default"/>
        </w:rPr>
        <w:t>PTE.LTD.</w:t>
      </w:r>
      <w:r>
        <w:rPr/>
        <w:t>，该项投资指定为以公允价值计量 且其变动计入其他综合收益的非交易性权益工具投资，处置利得结转留存收益</w:t>
      </w:r>
      <w:r>
        <w:rPr>
          <w:spacing w:val="-46"/>
        </w:rPr>
        <w:t> </w:t>
      </w:r>
      <w:r>
        <w:rPr>
          <w:rFonts w:ascii="Times New Roman" w:hAnsi="Times New Roman" w:cs="Times New Roman" w:eastAsia="Times New Roman" w:hint="default"/>
        </w:rPr>
        <w:t>528,394.74</w:t>
      </w:r>
      <w:r>
        <w:rPr>
          <w:rFonts w:ascii="Times New Roman" w:hAnsi="Times New Roman" w:cs="Times New Roman" w:eastAsia="Times New Roman" w:hint="default"/>
          <w:spacing w:val="-3"/>
        </w:rPr>
        <w:t> </w:t>
      </w:r>
      <w:r>
        <w:rPr/>
        <w:t>元。</w:t>
      </w:r>
    </w:p>
    <w:p>
      <w:pPr>
        <w:spacing w:line="240" w:lineRule="auto" w:before="4"/>
        <w:rPr>
          <w:rFonts w:ascii="宋体" w:hAnsi="宋体" w:cs="宋体" w:eastAsia="宋体" w:hint="default"/>
          <w:sz w:val="22"/>
          <w:szCs w:val="22"/>
        </w:rPr>
      </w:pPr>
    </w:p>
    <w:p>
      <w:pPr>
        <w:pStyle w:val="Heading3"/>
        <w:spacing w:line="240" w:lineRule="auto"/>
        <w:ind w:right="3827"/>
        <w:jc w:val="left"/>
        <w:rPr>
          <w:b w:val="0"/>
          <w:bCs w:val="0"/>
        </w:rPr>
      </w:pPr>
      <w:bookmarkStart w:name="31、营业收入和营业成本" w:id="288"/>
      <w:bookmarkEnd w:id="288"/>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5"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7,083,526,577.15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5,566,953,322.51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6,002,391,891.36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4,739,874,583.97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13,646,033.08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1,502,507.16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20,772,649.92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1,603,886.64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7,097,172,610.23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5,568,455,829.67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6,023,164,541.28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4,741,478,470.61</w:t>
            </w:r>
          </w:p>
        </w:tc>
      </w:tr>
    </w:tbl>
    <w:p>
      <w:pPr>
        <w:pStyle w:val="BodyText"/>
        <w:spacing w:line="240" w:lineRule="auto" w:before="49"/>
        <w:ind w:right="3827"/>
        <w:jc w:val="left"/>
      </w:pPr>
      <w:r>
        <w:rPr/>
        <w:t>是否已执行新收入准则</w:t>
      </w:r>
    </w:p>
    <w:p>
      <w:pPr>
        <w:pStyle w:val="BodyText"/>
        <w:spacing w:line="240" w:lineRule="auto" w:before="117"/>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3827"/>
        <w:jc w:val="left"/>
        <w:rPr>
          <w:b w:val="0"/>
          <w:bCs w:val="0"/>
        </w:rPr>
      </w:pPr>
      <w:bookmarkStart w:name="32、税金及附加" w:id="289"/>
      <w:bookmarkEnd w:id="289"/>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2,281,709.89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3,279,148.62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996,466.12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1,407,050.94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20,697,474.59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20,166,055.05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594,900.90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27,735.00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1,343,917.40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1,436,865.60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664,310.71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938,033.92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26,594,390.42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27,849,790.03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3、销售费用" w:id="290"/>
      <w:bookmarkEnd w:id="290"/>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40,436,503.97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33,224,433.90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362,305.14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1,386,792.42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1,759,109.37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1,292,300.02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136,683.25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571,198.24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1,373,001.85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1,231,740.67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19,275.74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21,004,973.28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6,274,019.92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977,963.35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985,315.45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66,065,987.50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44,985,076.36</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4、管理费用" w:id="291"/>
      <w:bookmarkEnd w:id="291"/>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77,798,815.21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57,286,768.69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13,151,113.57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14,424,136.65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13,771,699.26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8,218,164.55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18,089,596.50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14,972,130.37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5,450,818.59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8,974,991.79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20,584,377.81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15,348,330.98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259,847.82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75,823.43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914,851.45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4,281,825.53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2,920,226.59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12,684,646.86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6,003,015.58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4,489,529.94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5,565,188.99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3,701,738.90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172,313,546.37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137,617,708.92</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5、研发费用" w:id="292"/>
      <w:bookmarkEnd w:id="292"/>
      <w:r>
        <w:rPr>
          <w:b w:val="0"/>
          <w:bCs w:val="0"/>
        </w:rPr>
      </w:r>
      <w:r>
        <w:rPr>
          <w:rFonts w:ascii="Times New Roman" w:hAnsi="Times New Roman" w:cs="Times New Roman" w:eastAsia="Times New Roman" w:hint="default"/>
        </w:rPr>
        <w:t>35</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81,888,766.03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73,910,121.31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32,659,513.56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22,764,919.60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宽带使用费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80,870,394.30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64,714,392.47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31,744,613.84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20,649,331.49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9,735,622.10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1,288,982.40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236,898,909.83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183,327,747.27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6、财务费用" w:id="293"/>
      <w:bookmarkEnd w:id="293"/>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117,129,925.21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124,360,855.14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5,404,595.88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4,748,000.90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111,725,329.33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119,612,854.24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5,583.23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5,583.23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959,282.87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168,453.08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112,685,563.81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119,786,890.55</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7、其他收益" w:id="294"/>
      <w:bookmarkEnd w:id="294"/>
      <w:r>
        <w:rPr>
          <w:b w:val="0"/>
          <w:bCs w:val="0"/>
        </w:rPr>
      </w:r>
      <w:r>
        <w:rPr>
          <w:rFonts w:ascii="Times New Roman" w:hAnsi="Times New Roman" w:cs="Times New Roman" w:eastAsia="Times New Roman" w:hint="default"/>
        </w:rPr>
        <w:t>37</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241,315.43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360,107.86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门头沟财政局总部战略提升奖励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东城区发改委节能奖励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中关村企业信用促进会信用评级认证补 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16,025,377.57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廊坊市科技局对小巨人企业的资金奖励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廊坊市科技局对</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年度新认定高新技 术企业资金奖励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北京市用能单位节能改造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255,704.00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17,180,150.09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1,090,423.29</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8、投资收益" w:id="295"/>
      <w:bookmarkEnd w:id="295"/>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-402,773.86</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3,142,491.31</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6,017,280.25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6,815,086.28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22,869,618.62</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12,832,366.53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25,609,336.07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9、公允价值变动收益" w:id="296"/>
      <w:bookmarkEnd w:id="296"/>
      <w:r>
        <w:rPr>
          <w:b w:val="0"/>
          <w:bCs w:val="0"/>
        </w:rPr>
      </w:r>
      <w:r>
        <w:rPr>
          <w:rFonts w:ascii="Times New Roman" w:hAnsi="Times New Roman" w:cs="Times New Roman" w:eastAsia="Times New Roman" w:hint="default"/>
        </w:rPr>
        <w:t>39</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188,679.25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0、信用减值损失" w:id="297"/>
      <w:bookmarkEnd w:id="297"/>
      <w:r>
        <w:rPr>
          <w:b w:val="0"/>
          <w:bCs w:val="0"/>
        </w:rPr>
      </w:r>
      <w:r>
        <w:rPr>
          <w:rFonts w:ascii="Times New Roman" w:hAnsi="Times New Roman" w:cs="Times New Roman" w:eastAsia="Times New Roman" w:hint="default"/>
        </w:rPr>
        <w:t>40</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-7,687,733.64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-19,101,642.31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-26,789,375.95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1、资产减值损失" w:id="298"/>
      <w:bookmarkEnd w:id="298"/>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-9,211,269.97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-9,211,269.97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2、资产处置收益" w:id="299"/>
      <w:bookmarkEnd w:id="299"/>
      <w:r>
        <w:rPr>
          <w:b w:val="0"/>
          <w:bCs w:val="0"/>
        </w:rPr>
      </w:r>
      <w:r>
        <w:rPr>
          <w:rFonts w:ascii="Times New Roman" w:hAnsi="Times New Roman" w:cs="Times New Roman" w:eastAsia="Times New Roman" w:hint="default"/>
        </w:rPr>
        <w:t>42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-643,463.39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-120,675.85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43、营业外收入" w:id="300"/>
      <w:bookmarkEnd w:id="300"/>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3,180,660.00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108,624.12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32,396.41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3,289,284.12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3,844,396.41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827"/>
        <w:jc w:val="left"/>
      </w:pPr>
      <w:r>
        <w:rPr/>
        <w:t>计入当期损益的政府补助：</w:t>
      </w:r>
    </w:p>
    <w:p>
      <w:pPr>
        <w:pStyle w:val="BodyText"/>
        <w:spacing w:line="240" w:lineRule="auto" w:before="117"/>
        <w:ind w:left="0" w:right="1131"/>
        <w:jc w:val="right"/>
      </w:pPr>
      <w:r>
        <w:rPr/>
        <w:pict>
          <v:group style="position:absolute;margin-left:269.690002pt;margin-top:59.231735pt;width:52.75pt;height:23.4pt;mso-position-horizontal-relative:page;mso-position-vertical-relative:paragraph;z-index:-1238704" coordorigin="5394,1185" coordsize="1055,468">
            <v:shape style="position:absolute;left:5394;top:1185;width:1055;height:468" coordorigin="5394,1185" coordsize="1055,468" path="m5394,1653l6448,1653,6448,1185,5394,1185,5394,1653xe" filled="true" fillcolor="#ffffff" stroked="false">
              <v:path arrowok="t"/>
              <v:fill type="solid"/>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互联网数据 服务一体化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30"/>
              <w:jc w:val="both"/>
              <w:rPr>
                <w:rFonts w:ascii="宋体" w:hAnsi="宋体" w:cs="宋体" w:eastAsia="宋体" w:hint="default"/>
                <w:sz w:val="18"/>
                <w:szCs w:val="18"/>
              </w:rPr>
            </w:pPr>
            <w:r>
              <w:rPr>
                <w:rFonts w:ascii="宋体" w:hAnsi="宋体" w:cs="宋体" w:eastAsia="宋体" w:hint="default"/>
                <w:sz w:val="18"/>
                <w:szCs w:val="18"/>
              </w:rPr>
              <w:t>创新创业和 产业发展专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7"/>
              <w:jc w:val="both"/>
              <w:rPr>
                <w:rFonts w:ascii="宋体" w:hAnsi="宋体" w:cs="宋体" w:eastAsia="宋体" w:hint="default"/>
                <w:sz w:val="18"/>
                <w:szCs w:val="18"/>
              </w:rPr>
            </w:pPr>
            <w:r>
              <w:rPr>
                <w:rFonts w:ascii="宋体" w:hAnsi="宋体" w:cs="宋体" w:eastAsia="宋体" w:hint="default"/>
                <w:sz w:val="18"/>
                <w:szCs w:val="18"/>
              </w:rPr>
              <w:t>北京石龙经 济开发区管 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企业并购支 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7"/>
              <w:jc w:val="both"/>
              <w:rPr>
                <w:rFonts w:ascii="宋体" w:hAnsi="宋体" w:cs="宋体" w:eastAsia="宋体" w:hint="default"/>
                <w:sz w:val="18"/>
                <w:szCs w:val="18"/>
              </w:rPr>
            </w:pPr>
            <w:r>
              <w:rPr>
                <w:rFonts w:ascii="宋体" w:hAnsi="宋体" w:cs="宋体" w:eastAsia="宋体" w:hint="default"/>
                <w:sz w:val="18"/>
                <w:szCs w:val="18"/>
              </w:rPr>
              <w:t>中关村股权 交易服务集 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398,660.00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4、营业外支出" w:id="301"/>
      <w:bookmarkEnd w:id="301"/>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碳排放交易费用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1,019,512.87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210,575.21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741,478.00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397,417.59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242,966.44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1,416,930.46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1,195,019.65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45、所得税费用" w:id="302"/>
      <w:bookmarkEnd w:id="302"/>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所得税费用表" w:id="303"/>
      <w:bookmarkEnd w:id="3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132,620,743.60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108,416,069.23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-10,073,134.17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-4,250,960.62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122,547,609.43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104,165,108.61</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会计利润与所得税费用调整过程" w:id="304"/>
      <w:bookmarkEnd w:id="3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918,799,092.82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7,515,919.96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41,193.78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1,677,896.90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-3,626,616.90</w:t>
            </w:r>
          </w:p>
        </w:tc>
      </w:tr>
      <w:tr>
        <w:trPr>
          <w:trHeight w:val="71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9,576,830.57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境外所得的影响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-35,980.10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-7,208,310.28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加速折旧、加计扣除费用的影响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-23,213,188.42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122,547,609.43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6、现金流量表项目" w:id="305"/>
      <w:bookmarkEnd w:id="305"/>
      <w:r>
        <w:rPr>
          <w:b w:val="0"/>
          <w:bCs w:val="0"/>
        </w:rPr>
      </w:r>
      <w:r>
        <w:rPr>
          <w:rFonts w:ascii="Times New Roman" w:hAnsi="Times New Roman" w:cs="Times New Roman" w:eastAsia="Times New Roman" w:hint="default"/>
        </w:rPr>
        <w:t>46</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收到的其他与经营活动有关的现金" w:id="306"/>
      <w:bookmarkEnd w:id="30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5,404,595.88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4,748,000.90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2,559,115.93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1,245,721.76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收回保证金、押金、备用金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209,406,459.55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307,061,704.35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10,045,368.95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4,185,654.13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2,549,426.52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6,104,833.00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229,964,966.83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323,345,914.14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2）支付的其他与经营活动有关的现金" w:id="307"/>
      <w:bookmarkEnd w:id="30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138,471,451.73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105,547,101.44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3,594,945.00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659,960.74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支付押金、保证金、备用金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277,166,052.45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355,211,680.41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148,384.22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347,095.54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419,380,833.40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461,765,838.13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支付的其他与筹资活动有关的现金" w:id="308"/>
      <w:bookmarkEnd w:id="308"/>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24,400,192.41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6,630,632.00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分期付款购买资产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27,602,492.58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9,067,074.33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59,400,192.41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43,300,198.91</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7、现金流量表补充资料" w:id="309"/>
      <w:bookmarkEnd w:id="309"/>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现金流量表补充资料" w:id="310"/>
      <w:bookmarkEnd w:id="31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796,251,483.39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683,970,939.23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26,789,375.95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9,211,269.97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416,780,748.67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357,640,186.90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7,928,242.03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6,698,084.90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32,386,302.29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24,558,434.25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643,463.39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862,153.85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-188,679.25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117,129,925.21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124,360,855.14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-12,832,366.53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-25,609,336.07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143.359985pt;width:151.25pt;height:20.65pt;mso-position-horizontal-relative:page;mso-position-vertical-relative:page;z-index:-1238680" coordorigin="4467,2867" coordsize="3025,413">
            <v:group style="position:absolute;left:4478;top:2878;width:2;height:392" coordorigin="4478,2878" coordsize="2,392">
              <v:shape style="position:absolute;left:4478;top:2878;width:2;height:392" coordorigin="4478,2878" coordsize="0,392" path="m4478,2878l4478,3269e" filled="false" stroked="true" strokeweight="1.08pt" strokecolor="#ffffff">
                <v:path arrowok="t"/>
              </v:shape>
            </v:group>
            <v:group style="position:absolute;left:4489;top:2878;width:3003;height:392" coordorigin="4489,2878" coordsize="3003,392">
              <v:shape style="position:absolute;left:4489;top:2878;width:3003;height:392" coordorigin="4489,2878" coordsize="3003,392" path="m4489,3269l7492,3269,7492,2878,4489,2878,4489,326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51"/>
        <w:gridCol w:w="1918"/>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-15,341,816.85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-6,102,635.23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5,268,682.68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1,851,674.61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609,232.72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-4,599,440.34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-527,102,780.63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-641,096,299.15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-245,354,875.67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55,185,379.06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602,966,937.40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586,931,267.12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677,411,424.95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730,991,207.45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730,991,207.45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494,246,688.16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-53,579,782.50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236,744,519.29</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本期支付的取得子公司的现金净额" w:id="311"/>
      <w:bookmarkEnd w:id="31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125,820,000.00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上海中可企业发展有限公司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125,820,000.00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58.97</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上海中可企业发展有限公司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58.97</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125,819,941.03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现金和现金等价物的构成" w:id="312"/>
      <w:bookmarkEnd w:id="312"/>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677,411,424.95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730,991,207.45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13,544.05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32,866.64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677,397,880.90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730,958,340.81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6" w:right="0"/>
              <w:jc w:val="left"/>
              <w:rPr>
                <w:rFonts w:ascii="Times New Roman" w:hAnsi="Times New Roman" w:cs="Times New Roman" w:eastAsia="Times New Roman" w:hint="default"/>
                <w:sz w:val="18"/>
                <w:szCs w:val="18"/>
              </w:rPr>
            </w:pPr>
            <w:r>
              <w:rPr>
                <w:rFonts w:ascii="Times New Roman"/>
                <w:sz w:val="18"/>
              </w:rPr>
              <w:t>677,411,424.95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730,991,207.45</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8、所有权或使用权受到限制的资产" w:id="313"/>
      <w:bookmarkEnd w:id="313"/>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1,722,763,136.33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154,871,620.00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贷款抵押担保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767,004,489.68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贷款质押担保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2,644,639,246.01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3827"/>
        <w:jc w:val="left"/>
      </w:pPr>
      <w:r>
        <w:rPr/>
        <w:t>其他说明：</w:t>
      </w:r>
    </w:p>
    <w:p>
      <w:pPr>
        <w:pStyle w:val="BodyText"/>
        <w:spacing w:line="240" w:lineRule="auto" w:before="115"/>
        <w:ind w:left="513" w:right="3827"/>
        <w:jc w:val="left"/>
      </w:pPr>
      <w:r>
        <w:rPr/>
        <w:t>（</w:t>
      </w:r>
      <w:r>
        <w:rPr>
          <w:rFonts w:ascii="Times New Roman" w:hAnsi="Times New Roman" w:cs="Times New Roman" w:eastAsia="Times New Roman" w:hint="default"/>
        </w:rPr>
        <w:t>1</w:t>
      </w:r>
      <w:r>
        <w:rPr/>
        <w:t>）贷款质押担保情况详见</w:t>
      </w:r>
      <w:r>
        <w:rPr>
          <w:rFonts w:ascii="Times New Roman" w:hAnsi="Times New Roman" w:cs="Times New Roman" w:eastAsia="Times New Roman" w:hint="default"/>
        </w:rPr>
        <w:t>“</w:t>
      </w:r>
      <w:r>
        <w:rPr/>
        <w:t>本节七、</w:t>
      </w:r>
      <w:r>
        <w:rPr>
          <w:rFonts w:ascii="Times New Roman" w:hAnsi="Times New Roman" w:cs="Times New Roman" w:eastAsia="Times New Roman" w:hint="default"/>
        </w:rPr>
        <w:t>4</w:t>
      </w:r>
      <w:r>
        <w:rPr/>
        <w:t>、应收账款、应收账款质押情况</w:t>
      </w:r>
      <w:r>
        <w:rPr>
          <w:rFonts w:ascii="Times New Roman" w:hAnsi="Times New Roman" w:cs="Times New Roman" w:eastAsia="Times New Roman" w:hint="default"/>
        </w:rPr>
        <w:t>”</w:t>
      </w:r>
      <w:r>
        <w:rPr/>
        <w:t>。</w:t>
      </w:r>
    </w:p>
    <w:p>
      <w:pPr>
        <w:pStyle w:val="BodyText"/>
        <w:spacing w:line="240" w:lineRule="auto" w:before="63"/>
        <w:ind w:left="513" w:right="1112"/>
        <w:jc w:val="left"/>
      </w:pPr>
      <w:r>
        <w:rPr/>
        <w:t>（</w:t>
      </w:r>
      <w:r>
        <w:rPr>
          <w:rFonts w:ascii="Times New Roman" w:hAnsi="Times New Roman" w:cs="Times New Roman" w:eastAsia="Times New Roman" w:hint="default"/>
        </w:rPr>
        <w:t>2</w:t>
      </w:r>
      <w:r>
        <w:rPr/>
        <w:t>）贷款抵押担保情况详见</w:t>
      </w:r>
      <w:r>
        <w:rPr>
          <w:rFonts w:ascii="Times New Roman" w:hAnsi="Times New Roman" w:cs="Times New Roman" w:eastAsia="Times New Roman" w:hint="default"/>
        </w:rPr>
        <w:t>“</w:t>
      </w:r>
      <w:r>
        <w:rPr/>
        <w:t>本节七、</w:t>
      </w:r>
      <w:r>
        <w:rPr>
          <w:rFonts w:ascii="Times New Roman" w:hAnsi="Times New Roman" w:cs="Times New Roman" w:eastAsia="Times New Roman" w:hint="default"/>
        </w:rPr>
        <w:t>11</w:t>
      </w:r>
      <w:r>
        <w:rPr/>
        <w:t>、固定资产，</w:t>
      </w:r>
      <w:r>
        <w:rPr>
          <w:rFonts w:ascii="Times New Roman" w:hAnsi="Times New Roman" w:cs="Times New Roman" w:eastAsia="Times New Roman" w:hint="default"/>
        </w:rPr>
        <w:t>13</w:t>
      </w:r>
      <w:r>
        <w:rPr/>
        <w:t>、无形资产，</w:t>
      </w:r>
      <w:r>
        <w:rPr>
          <w:rFonts w:ascii="Times New Roman" w:hAnsi="Times New Roman" w:cs="Times New Roman" w:eastAsia="Times New Roman" w:hint="default"/>
        </w:rPr>
        <w:t>24</w:t>
      </w:r>
      <w:r>
        <w:rPr/>
        <w:t>、长期借款</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49、政府补助" w:id="314"/>
      <w:bookmarkEnd w:id="314"/>
      <w:r>
        <w:rPr>
          <w:b w:val="0"/>
          <w:bCs w:val="0"/>
        </w:rPr>
      </w:r>
      <w:r>
        <w:rPr>
          <w:rFonts w:ascii="Times New Roman" w:hAnsi="Times New Roman" w:cs="Times New Roman" w:eastAsia="Times New Roman" w:hint="default"/>
        </w:rPr>
        <w:t>49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政府补助基本情况" w:id="315"/>
      <w:bookmarkEnd w:id="31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52,924.84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146,143.68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廊坊市科技局对小巨人企业 的资金奖励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廊坊市科技局对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年度新 认定高新技术企业资金奖励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北京市用能单位节能改造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255,704.00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16,025,377.57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16,025,377.57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互联网数据服务一体化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创新创业和产业发展专项资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企业并购支持资金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398,660.00</w:t>
            </w:r>
          </w:p>
        </w:tc>
      </w:tr>
    </w:tbl>
    <w:p>
      <w:pPr>
        <w:spacing w:line="240" w:lineRule="auto" w:before="1"/>
        <w:rPr>
          <w:rFonts w:ascii="宋体" w:hAnsi="宋体" w:cs="宋体" w:eastAsia="宋体" w:hint="default"/>
          <w:sz w:val="18"/>
          <w:szCs w:val="18"/>
        </w:rPr>
      </w:pPr>
    </w:p>
    <w:p>
      <w:pPr>
        <w:pStyle w:val="Heading2"/>
        <w:spacing w:line="240" w:lineRule="auto" w:before="26"/>
        <w:ind w:right="3827"/>
        <w:jc w:val="left"/>
        <w:rPr>
          <w:b w:val="0"/>
          <w:bCs w:val="0"/>
        </w:rPr>
      </w:pPr>
      <w:bookmarkStart w:name="八、合并范围的变更" w:id="316"/>
      <w:bookmarkEnd w:id="316"/>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其他原因的合并范围变动" w:id="317"/>
      <w:bookmarkEnd w:id="317"/>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t>说明其他原因导致的合并范围变动（如，新设子公司、清算子公司等）及其相关情况：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r>
        <w:rPr/>
        <w:pict>
          <v:shape style="position:absolute;margin-left:92.279999pt;margin-top:458.22998pt;width:101.1pt;height:15.6pt;mso-position-horizontal-relative:page;mso-position-vertical-relative:page;z-index:-1238632" type="#_x0000_t202" filled="false" stroked="false">
            <v:textbox inset="0,0,0,0">
              <w:txbxContent>
                <w:p>
                  <w:pPr>
                    <w:pStyle w:val="BodyText"/>
                    <w:spacing w:line="240" w:lineRule="auto" w:before="49"/>
                    <w:ind w:left="0" w:right="0"/>
                    <w:jc w:val="left"/>
                  </w:pPr>
                  <w:r>
                    <w:rPr/>
                    <w:t>（上海）</w:t>
                  </w:r>
                </w:p>
              </w:txbxContent>
            </v:textbox>
            <w10:wrap type="none"/>
          </v:shape>
        </w:pict>
      </w:r>
    </w:p>
    <w:p>
      <w:pPr>
        <w:pStyle w:val="BodyText"/>
        <w:spacing w:line="240" w:lineRule="auto" w:before="44"/>
        <w:ind w:left="513" w:right="1112"/>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年度合并范围共增加三户，分别是二级子公司上海无双企业发展有限公司、上海中可企业发展有限公司和光环云</w:t>
      </w:r>
    </w:p>
    <w:p>
      <w:pPr>
        <w:pStyle w:val="BodyText"/>
        <w:spacing w:line="240" w:lineRule="auto" w:before="63"/>
        <w:ind w:right="3827"/>
        <w:jc w:val="left"/>
      </w:pPr>
      <w:r>
        <w:rPr/>
        <w:t>（上海）数据科技有限公司。具体如下：</w:t>
      </w:r>
    </w:p>
    <w:p>
      <w:pPr>
        <w:pStyle w:val="BodyText"/>
        <w:spacing w:line="240" w:lineRule="auto" w:before="76"/>
        <w:ind w:left="513" w:right="3827"/>
        <w:jc w:val="left"/>
      </w:pPr>
      <w:r>
        <w:rPr>
          <w:rFonts w:ascii="Times New Roman" w:hAnsi="Times New Roman" w:cs="Times New Roman" w:eastAsia="Times New Roman" w:hint="default"/>
        </w:rPr>
        <w:t>1</w:t>
      </w:r>
      <w:r>
        <w:rPr/>
        <w:t>、二级子公司上海无双企业发展有限公司</w:t>
      </w:r>
    </w:p>
    <w:p>
      <w:pPr>
        <w:pStyle w:val="BodyText"/>
        <w:spacing w:line="300" w:lineRule="auto" w:before="63"/>
        <w:ind w:right="1122"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日，全资子公司北京无双科技有限公司出资设立上海无双企业发展有限公司，北京无双科技有限公司认 缴</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万元，持股比例</w:t>
      </w:r>
      <w:r>
        <w:rPr>
          <w:spacing w:val="-48"/>
        </w:rPr>
        <w:t> </w:t>
      </w:r>
      <w:r>
        <w:rPr>
          <w:rFonts w:ascii="Times New Roman" w:hAnsi="Times New Roman" w:cs="Times New Roman" w:eastAsia="Times New Roman" w:hint="default"/>
        </w:rPr>
        <w:t>100%</w:t>
      </w:r>
      <w:r>
        <w:rPr/>
        <w:t>，并纳入合并范围。</w:t>
      </w:r>
    </w:p>
    <w:p>
      <w:pPr>
        <w:pStyle w:val="BodyText"/>
        <w:spacing w:line="240" w:lineRule="auto" w:before="13"/>
        <w:ind w:left="513" w:right="3827"/>
        <w:jc w:val="left"/>
      </w:pPr>
      <w:r>
        <w:rPr>
          <w:rFonts w:ascii="Times New Roman" w:hAnsi="Times New Roman" w:cs="Times New Roman" w:eastAsia="Times New Roman" w:hint="default"/>
        </w:rPr>
        <w:t>2</w:t>
      </w:r>
      <w:r>
        <w:rPr/>
        <w:t>、二级子公司上海中可企业发展有限公司</w:t>
      </w:r>
    </w:p>
    <w:p>
      <w:pPr>
        <w:pStyle w:val="BodyText"/>
        <w:spacing w:line="300" w:lineRule="auto" w:before="63"/>
        <w:ind w:right="1131"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3"/>
        </w:rPr>
        <w:t>日，全资子公司光环新网（上海）信息服务有限公司以</w:t>
      </w:r>
      <w:r>
        <w:rPr>
          <w:spacing w:val="-47"/>
        </w:rPr>
        <w:t> </w:t>
      </w:r>
      <w:r>
        <w:rPr>
          <w:rFonts w:ascii="Times New Roman" w:hAnsi="Times New Roman" w:cs="Times New Roman" w:eastAsia="Times New Roman" w:hint="default"/>
        </w:rPr>
        <w:t>13,980</w:t>
      </w:r>
      <w:r>
        <w:rPr>
          <w:rFonts w:ascii="Times New Roman" w:hAnsi="Times New Roman" w:cs="Times New Roman" w:eastAsia="Times New Roman" w:hint="default"/>
          <w:spacing w:val="-1"/>
        </w:rPr>
        <w:t> </w:t>
      </w:r>
      <w:r>
        <w:rPr/>
        <w:t>万元收购张辉、上海步拉维企业管理咨询 事务所以及上海番塔西企业管理咨询事务所合计持有的上海中可企业发展有限公司</w:t>
      </w:r>
      <w:r>
        <w:rPr>
          <w:spacing w:val="-45"/>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21 </w:t>
      </w:r>
      <w:r>
        <w:rPr/>
        <w:t>日完成工商 变更，上海中可成为光环新网（上海）信息服务有限公司的全资子公司并纳入合并范围。</w:t>
      </w:r>
    </w:p>
    <w:p>
      <w:pPr>
        <w:pStyle w:val="BodyText"/>
        <w:spacing w:line="240" w:lineRule="auto" w:before="31"/>
        <w:ind w:left="513" w:right="3827"/>
        <w:jc w:val="left"/>
      </w:pPr>
      <w:r>
        <w:rPr>
          <w:rFonts w:ascii="Times New Roman" w:hAnsi="Times New Roman" w:cs="Times New Roman" w:eastAsia="Times New Roman" w:hint="default"/>
        </w:rPr>
        <w:t>3</w:t>
      </w:r>
      <w:r>
        <w:rPr/>
        <w:t>、二级子公司光环云（上海）数据科技有限公司</w:t>
      </w:r>
    </w:p>
    <w:p>
      <w:pPr>
        <w:pStyle w:val="BodyText"/>
        <w:spacing w:line="300" w:lineRule="auto" w:before="63"/>
        <w:ind w:right="1124"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日，控股子公司光环云数据有限公司出资设立光环云（上海）数据科技有限公司，光环云数据有限公司 认缴</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万元，持股比例</w:t>
      </w:r>
      <w:r>
        <w:rPr>
          <w:spacing w:val="-48"/>
        </w:rPr>
        <w:t> </w:t>
      </w:r>
      <w:r>
        <w:rPr>
          <w:rFonts w:ascii="Times New Roman" w:hAnsi="Times New Roman" w:cs="Times New Roman" w:eastAsia="Times New Roman" w:hint="default"/>
        </w:rPr>
        <w:t>100%</w:t>
      </w:r>
      <w:r>
        <w:rPr/>
        <w:t>，并纳入合并范围。</w:t>
      </w:r>
    </w:p>
    <w:p>
      <w:pPr>
        <w:spacing w:line="240" w:lineRule="auto" w:before="6"/>
        <w:rPr>
          <w:rFonts w:ascii="宋体" w:hAnsi="宋体" w:cs="宋体" w:eastAsia="宋体" w:hint="default"/>
          <w:sz w:val="20"/>
          <w:szCs w:val="20"/>
        </w:rPr>
      </w:pPr>
    </w:p>
    <w:p>
      <w:pPr>
        <w:pStyle w:val="Heading2"/>
        <w:spacing w:line="240" w:lineRule="auto"/>
        <w:ind w:right="3827"/>
        <w:jc w:val="left"/>
        <w:rPr>
          <w:b w:val="0"/>
          <w:bCs w:val="0"/>
        </w:rPr>
      </w:pPr>
      <w:bookmarkStart w:name="九、在其他主体中的权益" w:id="318"/>
      <w:bookmarkEnd w:id="318"/>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在子公司中的权益" w:id="319"/>
      <w:bookmarkEnd w:id="31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企业集团的构成" w:id="320"/>
      <w:bookmarkEnd w:id="32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光环云谷科技有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河北三河市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河北三河市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软件和信息技术 服务业、互联网 和相关服务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光环新网 信息服务有限公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北京德信致远科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北京光环金网科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西安博凯创达数 字科技有限公司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北京瑞科新网科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北京科信盛彩云 计算有限公司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光环新网国际有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226.459976pt;width:101.1pt;height:15.6pt;mso-position-horizontal-relative:page;mso-position-vertical-relative:page;z-index:-1238560" type="#_x0000_t202" filled="false" stroked="false">
            <v:textbox inset="0,0,0,0">
              <w:txbxContent>
                <w:p>
                  <w:pPr>
                    <w:pStyle w:val="BodyText"/>
                    <w:spacing w:line="240" w:lineRule="auto" w:before="49"/>
                    <w:ind w:left="0" w:right="0"/>
                    <w:jc w:val="left"/>
                  </w:pPr>
                  <w:r>
                    <w:rPr/>
                    <w:t>（香港）</w:t>
                  </w:r>
                </w:p>
              </w:txbxContent>
            </v:textbox>
            <w10:wrap type="none"/>
          </v:shape>
        </w:pict>
      </w:r>
      <w:r>
        <w:rPr/>
        <w:pict>
          <v:shape style="position:absolute;margin-left:92.279999pt;margin-top:277.72998pt;width:101.1pt;height:15.6pt;mso-position-horizontal-relative:page;mso-position-vertical-relative:page;z-index:-1238536" type="#_x0000_t202" filled="false" stroked="false">
            <v:textbox inset="0,0,0,0">
              <w:txbxContent>
                <w:p>
                  <w:pPr>
                    <w:pStyle w:val="BodyText"/>
                    <w:spacing w:line="240" w:lineRule="auto" w:before="49"/>
                    <w:ind w:left="0" w:right="0"/>
                    <w:jc w:val="left"/>
                  </w:pPr>
                  <w:r>
                    <w:rPr/>
                    <w:t>（北京）</w:t>
                  </w:r>
                </w:p>
              </w:txbxContent>
            </v:textbox>
            <w10:wrap type="none"/>
          </v:shape>
        </w:pict>
      </w:r>
      <w:r>
        <w:rPr/>
        <w:pict>
          <v:group style="position:absolute;margin-left:330.670013pt;margin-top:123.859985pt;width:67.8pt;height:27.9pt;mso-position-horizontal-relative:page;mso-position-vertical-relative:page;z-index:-1238512" coordorigin="6613,2477" coordsize="1356,558">
            <v:group style="position:absolute;left:6613;top:2477;width:1356;height:156" coordorigin="6613,2477" coordsize="1356,156">
              <v:shape style="position:absolute;left:6613;top:2477;width:1356;height:156" coordorigin="6613,2477" coordsize="1356,156" path="m6613,2633l7969,2633,7969,2477,6613,2477,6613,2633xe" filled="true" fillcolor="#ffffff" stroked="false">
                <v:path arrowok="t"/>
                <v:fill type="solid"/>
              </v:shape>
            </v:group>
            <v:group style="position:absolute;left:6624;top:2633;width:2;height:392" coordorigin="6624,2633" coordsize="2,392">
              <v:shape style="position:absolute;left:6624;top:2633;width:2;height:392" coordorigin="6624,2633" coordsize="0,392" path="m6624,2633l6624,3024e" filled="false" stroked="true" strokeweight="1.08pt" strokecolor="#ffffff">
                <v:path arrowok="t"/>
              </v:shape>
            </v:group>
            <v:group style="position:absolute;left:6635;top:2633;width:1311;height:392" coordorigin="6635,2633" coordsize="1311,392">
              <v:shape style="position:absolute;left:6635;top:2633;width:1311;height:392" coordorigin="6635,2633" coordsize="1311,392" path="m6635,3024l7945,3024,7945,2633,6635,2633,6635,3024xe" filled="true" fillcolor="#ffffff" stroked="false">
                <v:path arrowok="t"/>
                <v:fill type="solid"/>
              </v:shape>
            </v:group>
            <w10:wrap type="none"/>
          </v:group>
        </w:pict>
      </w:r>
      <w:r>
        <w:rPr/>
        <w:pict>
          <v:group style="position:absolute;margin-left:125.540001pt;margin-top:395.929993pt;width:67.850pt;height:43.5pt;mso-position-horizontal-relative:page;mso-position-vertical-relative:page;z-index:-1238488" coordorigin="2511,7919" coordsize="1357,870">
            <v:group style="position:absolute;left:2511;top:7919;width:1357;height:468" coordorigin="2511,7919" coordsize="1357,468">
              <v:shape style="position:absolute;left:2511;top:7919;width:1357;height:468" coordorigin="2511,7919" coordsize="1357,468" path="m2511,8387l3867,8387,3867,7919,2511,7919,2511,8387xe" filled="true" fillcolor="#ffffff" stroked="false">
                <v:path arrowok="t"/>
                <v:fill type="solid"/>
              </v:shape>
            </v:group>
            <v:group style="position:absolute;left:2522;top:8387;width:2;height:392" coordorigin="2522,8387" coordsize="2,392">
              <v:shape style="position:absolute;left:2522;top:8387;width:2;height:392" coordorigin="2522,8387" coordsize="0,392" path="m2522,8387l2522,8778e" filled="false" stroked="true" strokeweight="1.08pt" strokecolor="#ffffff">
                <v:path arrowok="t"/>
              </v:shape>
            </v:group>
            <v:group style="position:absolute;left:2532;top:8387;width:1314;height:392" coordorigin="2532,8387" coordsize="1314,392">
              <v:shape style="position:absolute;left:2532;top:8387;width:1314;height:392" coordorigin="2532,8387" coordsize="1314,392" path="m2532,8778l3846,8778,3846,8387,2532,8387,2532,8778xe" filled="true" fillcolor="#ffffff" stroked="false">
                <v:path arrowok="t"/>
                <v:fill type="solid"/>
              </v:shape>
            </v:group>
            <w10:wrap type="none"/>
          </v:group>
        </w:pict>
      </w:r>
      <w:r>
        <w:rPr/>
        <w:pict>
          <v:group style="position:absolute;margin-left:330.670013pt;margin-top:683.73999pt;width:67.8pt;height:27.9pt;mso-position-horizontal-relative:page;mso-position-vertical-relative:page;z-index:-1238464" coordorigin="6613,13675" coordsize="1356,558">
            <v:group style="position:absolute;left:6613;top:13675;width:1356;height:156" coordorigin="6613,13675" coordsize="1356,156">
              <v:shape style="position:absolute;left:6613;top:13675;width:1356;height:156" coordorigin="6613,13675" coordsize="1356,156" path="m6613,13831l7969,13831,7969,13675,6613,13675,6613,13831xe" filled="true" fillcolor="#ffffff" stroked="false">
                <v:path arrowok="t"/>
                <v:fill type="solid"/>
              </v:shape>
            </v:group>
            <v:group style="position:absolute;left:6624;top:13831;width:2;height:392" coordorigin="6624,13831" coordsize="2,392">
              <v:shape style="position:absolute;left:6624;top:13831;width:2;height:392" coordorigin="6624,13831" coordsize="0,392" path="m6624,13831l6624,14222e" filled="false" stroked="true" strokeweight="1.08pt" strokecolor="#ffffff">
                <v:path arrowok="t"/>
              </v:shape>
            </v:group>
            <v:group style="position:absolute;left:6635;top:13831;width:1311;height:392" coordorigin="6635,13831" coordsize="1311,392">
              <v:shape style="position:absolute;left:6635;top:13831;width:1311;height:392" coordorigin="6635,13831" coordsize="1311,392" path="m6635,14222l7945,14222,7945,13831,6635,13831,6635,1422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北京中金云网科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技术服务；计算 机系统服务、数 据处理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北京无双科技有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08"/>
              <w:jc w:val="left"/>
              <w:rPr>
                <w:rFonts w:ascii="宋体" w:hAnsi="宋体" w:cs="宋体" w:eastAsia="宋体" w:hint="default"/>
                <w:sz w:val="18"/>
                <w:szCs w:val="18"/>
              </w:rPr>
            </w:pPr>
            <w:r>
              <w:rPr>
                <w:rFonts w:ascii="宋体" w:hAnsi="宋体" w:cs="宋体" w:eastAsia="宋体" w:hint="default"/>
                <w:spacing w:val="-6"/>
                <w:sz w:val="18"/>
                <w:szCs w:val="18"/>
              </w:rPr>
              <w:t>代理、发布广告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业合并购买</w:t>
            </w: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北京光环凯旋管 理咨询有限公司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设计、代理、发 布广告；技术服</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光环有云</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技术服务，云计</w:t>
            </w:r>
          </w:p>
        </w:tc>
        <w:tc>
          <w:tcPr>
            <w:tcW w:w="1368" w:type="dxa"/>
            <w:gridSpan w:val="2"/>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网络科技有限公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算，计算机系统</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7"/>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4"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光环有云</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850pt;height:15.6pt;mso-position-horizontal-relative:char;mso-position-vertical-relative:line" coordorigin="0,0" coordsize="1357,312">
                  <v:group style="position:absolute;left:0;top:0;width:1357;height:312" coordorigin="0,0" coordsize="1357,312">
                    <v:shape style="position:absolute;left:0;top:0;width:1357;height:312" coordorigin="0,0" coordsize="1357,312" path="m0,312l1356,312,135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技术服务，云计</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网络服务有限公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算，计算机系统</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79" w:right="0"/>
              <w:jc w:val="left"/>
              <w:rPr>
                <w:rFonts w:ascii="Times New Roman" w:hAnsi="Times New Roman" w:cs="Times New Roman" w:eastAsia="Times New Roman" w:hint="default"/>
                <w:sz w:val="18"/>
                <w:szCs w:val="18"/>
              </w:rPr>
            </w:pPr>
            <w:r>
              <w:rPr>
                <w:rFonts w:ascii="Times New Roman"/>
                <w:sz w:val="18"/>
              </w:rPr>
              <w:t>50.00%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技术推广；计算</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75"/>
              <w:jc w:val="left"/>
              <w:rPr>
                <w:rFonts w:ascii="宋体" w:hAnsi="宋体" w:cs="宋体" w:eastAsia="宋体" w:hint="default"/>
                <w:sz w:val="18"/>
                <w:szCs w:val="18"/>
              </w:rPr>
            </w:pPr>
            <w:r>
              <w:rPr>
                <w:rFonts w:ascii="宋体" w:hAnsi="宋体" w:cs="宋体" w:eastAsia="宋体" w:hint="default"/>
                <w:sz w:val="18"/>
                <w:szCs w:val="18"/>
              </w:rPr>
              <w:t>北京亚逊新网科 技有限公司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6" w:right="70"/>
              <w:jc w:val="left"/>
              <w:rPr>
                <w:rFonts w:ascii="宋体" w:hAnsi="宋体" w:cs="宋体" w:eastAsia="宋体" w:hint="default"/>
                <w:sz w:val="18"/>
                <w:szCs w:val="18"/>
              </w:rPr>
            </w:pPr>
            <w:r>
              <w:rPr>
                <w:rFonts w:ascii="宋体" w:hAnsi="宋体" w:cs="宋体" w:eastAsia="宋体" w:hint="default"/>
                <w:sz w:val="18"/>
                <w:szCs w:val="18"/>
              </w:rPr>
              <w:t>机系统服务；软 件开发；出租商</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业用房。</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云平台服务、云</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pacing w:val="-6"/>
                <w:sz w:val="18"/>
                <w:szCs w:val="18"/>
              </w:rPr>
              <w:t>光环新网（宁夏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云服务有限公司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196" w:lineRule="exact"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宁夏中卫市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宁夏中卫市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基础设施服务、 云软件服务；软</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件技术开发</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光环云数据有限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北京无双尚链科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企业管理咨询、 技术咨询、技术 服务、技术开发</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技术推广服务；</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75"/>
              <w:jc w:val="left"/>
              <w:rPr>
                <w:rFonts w:ascii="宋体" w:hAnsi="宋体" w:cs="宋体" w:eastAsia="宋体" w:hint="default"/>
                <w:sz w:val="18"/>
                <w:szCs w:val="18"/>
              </w:rPr>
            </w:pPr>
            <w:r>
              <w:rPr>
                <w:rFonts w:ascii="宋体" w:hAnsi="宋体" w:cs="宋体" w:eastAsia="宋体" w:hint="default"/>
                <w:sz w:val="18"/>
                <w:szCs w:val="18"/>
              </w:rPr>
              <w:t>北京弘丰科华科 技发展有限公司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6" w:right="70"/>
              <w:jc w:val="left"/>
              <w:rPr>
                <w:rFonts w:ascii="宋体" w:hAnsi="宋体" w:cs="宋体" w:eastAsia="宋体" w:hint="default"/>
                <w:sz w:val="18"/>
                <w:szCs w:val="18"/>
              </w:rPr>
            </w:pPr>
            <w:r>
              <w:rPr>
                <w:rFonts w:ascii="宋体" w:hAnsi="宋体" w:cs="宋体" w:eastAsia="宋体" w:hint="default"/>
                <w:sz w:val="18"/>
                <w:szCs w:val="18"/>
              </w:rPr>
              <w:t>计算机信息系统 集成；委托加工</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服务器、交换机</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云计算软硬件、</w:t>
            </w:r>
          </w:p>
        </w:tc>
        <w:tc>
          <w:tcPr>
            <w:tcW w:w="1368" w:type="dxa"/>
            <w:gridSpan w:val="2"/>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杭州光环云数据 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大数据技术、信 息化技术的技术</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8"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北京新光环无双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08"/>
              <w:jc w:val="left"/>
              <w:rPr>
                <w:rFonts w:ascii="宋体" w:hAnsi="宋体" w:cs="宋体" w:eastAsia="宋体" w:hint="default"/>
                <w:sz w:val="18"/>
                <w:szCs w:val="18"/>
              </w:rPr>
            </w:pPr>
            <w:r>
              <w:rPr>
                <w:rFonts w:ascii="宋体" w:hAnsi="宋体" w:cs="宋体" w:eastAsia="宋体" w:hint="default"/>
                <w:spacing w:val="-6"/>
                <w:sz w:val="18"/>
                <w:szCs w:val="18"/>
              </w:rPr>
              <w:t>代理、发布广告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3299pt;margin-top:139.459976pt;width:109.95pt;height:54.6pt;mso-position-horizontal-relative:page;mso-position-vertical-relative:page;z-index:-123841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技术咨询、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设计、制作、代</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上海无双企业发 展有限公司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理各类广告，利 用自有媒体发布</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8" w:type="dxa"/>
            <w:vMerge w:val="restart"/>
            <w:tcBorders>
              <w:top w:val="single" w:sz="4" w:space="0" w:color="000000"/>
              <w:left w:val="single" w:sz="4" w:space="0" w:color="000000"/>
              <w:right w:val="single" w:sz="4" w:space="0" w:color="000000"/>
            </w:tcBorders>
          </w:tcPr>
          <w:p>
            <w:pPr>
              <w:pStyle w:val="TableParagraph"/>
              <w:spacing w:line="1092"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67.8pt;height:54.6pt;mso-position-horizontal-relative:char;mso-position-vertical-relative:line" coordorigin="0,0" coordsize="1356,1092">
                  <v:group style="position:absolute;left:0;top:0;width:1356;height:1092" coordorigin="0,0" coordsize="1356,1092">
                    <v:shape style="position:absolute;left:0;top:0;width:1356;height:1092" coordorigin="0,0" coordsize="1356,1092" path="m0,1092l1356,1092,135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技术服务，云平</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75"/>
              <w:jc w:val="left"/>
              <w:rPr>
                <w:rFonts w:ascii="宋体" w:hAnsi="宋体" w:cs="宋体" w:eastAsia="宋体" w:hint="default"/>
                <w:sz w:val="18"/>
                <w:szCs w:val="18"/>
              </w:rPr>
            </w:pPr>
            <w:r>
              <w:rPr>
                <w:rFonts w:ascii="宋体" w:hAnsi="宋体" w:cs="宋体" w:eastAsia="宋体" w:hint="default"/>
                <w:sz w:val="18"/>
                <w:szCs w:val="18"/>
              </w:rPr>
              <w:t>上海中可企业发 展有限公司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台服务，云基础 设施服务，云软</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件服务，网络工</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程，计算机系统</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光环云（上海） 数据科技有限公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数据科技领域内 的技术开发、技 术咨询、技术服 务、技术转让。</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3827"/>
        <w:jc w:val="left"/>
      </w:pPr>
      <w:r>
        <w:rPr/>
        <w:t>在子公司的持股比例不同于表决权比例的说明：</w:t>
      </w:r>
    </w:p>
    <w:p>
      <w:pPr>
        <w:pStyle w:val="BodyText"/>
        <w:spacing w:line="240" w:lineRule="auto" w:before="115"/>
        <w:ind w:left="513" w:right="1112"/>
        <w:jc w:val="left"/>
      </w:pPr>
      <w:r>
        <w:rPr/>
        <w:t>①公司在光环有云（北京）网络服务有限公司的</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名董事中占有</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名成员，具有实质控制权。</w:t>
      </w:r>
    </w:p>
    <w:p>
      <w:pPr>
        <w:pStyle w:val="BodyText"/>
        <w:spacing w:line="309" w:lineRule="auto" w:before="103"/>
        <w:ind w:right="986" w:firstLine="360"/>
        <w:jc w:val="left"/>
      </w:pPr>
      <w:r>
        <w:rPr/>
        <w:t>②</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月，公司与百汇达、天津若水企业管理合伙企业（有限合伙）共同投资设立光环云数据有限公司，其中公 司认缴</w:t>
      </w:r>
      <w:r>
        <w:rPr>
          <w:spacing w:val="-38"/>
        </w:rPr>
        <w:t> </w:t>
      </w:r>
      <w:r>
        <w:rPr>
          <w:rFonts w:ascii="Times New Roman" w:hAnsi="Times New Roman" w:cs="Times New Roman" w:eastAsia="Times New Roman" w:hint="default"/>
        </w:rPr>
        <w:t>1,500</w:t>
      </w:r>
      <w:r>
        <w:rPr>
          <w:rFonts w:ascii="Times New Roman" w:hAnsi="Times New Roman" w:cs="Times New Roman" w:eastAsia="Times New Roman" w:hint="default"/>
          <w:spacing w:val="8"/>
        </w:rPr>
        <w:t> </w:t>
      </w:r>
      <w:r>
        <w:rPr/>
        <w:t>万元，持股比例为</w:t>
      </w:r>
      <w:r>
        <w:rPr>
          <w:spacing w:val="-39"/>
        </w:rPr>
        <w:t> </w:t>
      </w:r>
      <w:r>
        <w:rPr>
          <w:rFonts w:ascii="Times New Roman" w:hAnsi="Times New Roman" w:cs="Times New Roman" w:eastAsia="Times New Roman" w:hint="default"/>
        </w:rPr>
        <w:t>30%</w:t>
      </w:r>
      <w:r>
        <w:rPr/>
        <w:t>，百汇达认缴</w:t>
      </w:r>
      <w:r>
        <w:rPr>
          <w:spacing w:val="-39"/>
        </w:rPr>
        <w:t> </w:t>
      </w:r>
      <w:r>
        <w:rPr>
          <w:rFonts w:ascii="Times New Roman" w:hAnsi="Times New Roman" w:cs="Times New Roman" w:eastAsia="Times New Roman" w:hint="default"/>
        </w:rPr>
        <w:t>1,500</w:t>
      </w:r>
      <w:r>
        <w:rPr>
          <w:rFonts w:ascii="Times New Roman" w:hAnsi="Times New Roman" w:cs="Times New Roman" w:eastAsia="Times New Roman" w:hint="default"/>
          <w:spacing w:val="8"/>
        </w:rPr>
        <w:t> </w:t>
      </w:r>
      <w:r>
        <w:rPr/>
        <w:t>万元，持股比例为</w:t>
      </w:r>
      <w:r>
        <w:rPr>
          <w:spacing w:val="-35"/>
        </w:rPr>
        <w:t> </w:t>
      </w:r>
      <w:r>
        <w:rPr>
          <w:rFonts w:ascii="Times New Roman" w:hAnsi="Times New Roman" w:cs="Times New Roman" w:eastAsia="Times New Roman" w:hint="default"/>
        </w:rPr>
        <w:t>30%</w:t>
      </w:r>
      <w:r>
        <w:rPr/>
        <w:t>，天津若水企业管理合伙企业（有限合伙）</w:t>
      </w:r>
      <w:r>
        <w:rPr>
          <w:spacing w:val="-88"/>
        </w:rPr>
        <w:t> </w:t>
      </w:r>
      <w:r>
        <w:rPr>
          <w:spacing w:val="-88"/>
        </w:rPr>
      </w:r>
      <w:r>
        <w:rPr/>
        <w:t>认缴</w:t>
      </w:r>
      <w:r>
        <w:rPr>
          <w:spacing w:val="-39"/>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7"/>
        </w:rPr>
        <w:t> </w:t>
      </w:r>
      <w:r>
        <w:rPr/>
        <w:t>万元，持股比例为</w:t>
      </w:r>
      <w:r>
        <w:rPr>
          <w:spacing w:val="-40"/>
        </w:rPr>
        <w:t> </w:t>
      </w:r>
      <w:r>
        <w:rPr>
          <w:rFonts w:ascii="Times New Roman" w:hAnsi="Times New Roman" w:cs="Times New Roman" w:eastAsia="Times New Roman" w:hint="default"/>
          <w:spacing w:val="-3"/>
        </w:rPr>
        <w:t>40%</w:t>
      </w:r>
      <w:r>
        <w:rPr>
          <w:spacing w:val="-3"/>
        </w:rPr>
        <w:t>。同时，公司与百汇达签署了《关于光环云数据有限公司之一致行动协议》，约定：自本</w:t>
      </w:r>
      <w:r>
        <w:rPr>
          <w:spacing w:val="-74"/>
        </w:rPr>
        <w:t> </w:t>
      </w:r>
      <w:r>
        <w:rPr>
          <w:spacing w:val="-74"/>
        </w:rPr>
      </w:r>
      <w:r>
        <w:rPr>
          <w:spacing w:val="-2"/>
        </w:rPr>
        <w:t>次投资完成之日起，在决定标的公司有关经营发展、且需经标的公司股东会审议批准的重大事项时，百汇达将跟随公司行使</w:t>
      </w:r>
      <w:r>
        <w:rPr>
          <w:spacing w:val="-63"/>
        </w:rPr>
        <w:t> </w:t>
      </w:r>
      <w:r>
        <w:rPr>
          <w:spacing w:val="-63"/>
        </w:rPr>
      </w:r>
      <w:r>
        <w:rPr>
          <w:spacing w:val="-2"/>
        </w:rPr>
        <w:t>股东权利，与公司保持一致。特别是行使股东会召集权、提案权、表决权时采取一致行动；如一方拟就协议约定的重大事项</w:t>
      </w:r>
      <w:r>
        <w:rPr>
          <w:spacing w:val="-67"/>
        </w:rPr>
        <w:t> </w:t>
      </w:r>
      <w:r>
        <w:rPr>
          <w:spacing w:val="-67"/>
        </w:rPr>
      </w:r>
      <w:r>
        <w:rPr>
          <w:spacing w:val="-5"/>
        </w:rPr>
        <w:t>向股东会提出议案时，须事先与另一方进行充分的沟通、协商，最终按照公司决定的意见以双方名义共同向股东会提出提案；</w:t>
      </w:r>
      <w:r>
        <w:rPr>
          <w:spacing w:val="-78"/>
        </w:rPr>
        <w:t> </w:t>
      </w:r>
      <w:r>
        <w:rPr>
          <w:spacing w:val="-78"/>
        </w:rPr>
      </w:r>
      <w:r>
        <w:rPr>
          <w:spacing w:val="-2"/>
        </w:rPr>
        <w:t>双方在标的公司召开股东会审议协议约定的重大事项前须进行充分沟通协商，最终按照公司决定的意见在股东会上对该等事</w:t>
      </w:r>
      <w:r>
        <w:rPr>
          <w:spacing w:val="-64"/>
        </w:rPr>
        <w:t> </w:t>
      </w:r>
      <w:r>
        <w:rPr>
          <w:spacing w:val="-64"/>
        </w:rPr>
      </w:r>
      <w:r>
        <w:rPr/>
        <w:t>项行使表决权。</w:t>
      </w:r>
    </w:p>
    <w:p>
      <w:pPr>
        <w:spacing w:line="240" w:lineRule="auto" w:before="9"/>
        <w:rPr>
          <w:rFonts w:ascii="宋体" w:hAnsi="宋体" w:cs="宋体" w:eastAsia="宋体" w:hint="default"/>
          <w:sz w:val="25"/>
          <w:szCs w:val="25"/>
        </w:rPr>
      </w:pPr>
    </w:p>
    <w:p>
      <w:pPr>
        <w:pStyle w:val="BodyText"/>
        <w:spacing w:line="240" w:lineRule="auto"/>
        <w:ind w:left="513" w:right="1112"/>
        <w:jc w:val="left"/>
      </w:pPr>
      <w:r>
        <w:rPr/>
        <w:t>持有半数或以下表决权但仍控制被投资单位、以及持有半数以上表决权但不控制被投资单位的依据：</w:t>
      </w:r>
    </w:p>
    <w:p>
      <w:pPr>
        <w:pStyle w:val="BodyText"/>
        <w:spacing w:line="240" w:lineRule="auto" w:before="76"/>
        <w:ind w:left="513" w:right="1112"/>
        <w:jc w:val="left"/>
      </w:pPr>
      <w:r>
        <w:rPr/>
        <w:t>①公司在光环有云（北京）网络服务有限公司的</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名董事中占有</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名成员，具有实质控制权。</w:t>
      </w:r>
    </w:p>
    <w:p>
      <w:pPr>
        <w:pStyle w:val="BodyText"/>
        <w:spacing w:line="309" w:lineRule="auto" w:before="63"/>
        <w:ind w:right="986" w:firstLine="360"/>
        <w:jc w:val="left"/>
      </w:pPr>
      <w:r>
        <w:rPr/>
        <w:t>②</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月，公司与百汇达、天津若水企业管理合伙企业（有限合伙）共同投资设立光环云数据有限公司，其中公 司认缴</w:t>
      </w:r>
      <w:r>
        <w:rPr>
          <w:spacing w:val="-38"/>
        </w:rPr>
        <w:t> </w:t>
      </w:r>
      <w:r>
        <w:rPr>
          <w:rFonts w:ascii="Times New Roman" w:hAnsi="Times New Roman" w:cs="Times New Roman" w:eastAsia="Times New Roman" w:hint="default"/>
        </w:rPr>
        <w:t>1,500</w:t>
      </w:r>
      <w:r>
        <w:rPr>
          <w:rFonts w:ascii="Times New Roman" w:hAnsi="Times New Roman" w:cs="Times New Roman" w:eastAsia="Times New Roman" w:hint="default"/>
          <w:spacing w:val="8"/>
        </w:rPr>
        <w:t> </w:t>
      </w:r>
      <w:r>
        <w:rPr/>
        <w:t>万元，持股比例为</w:t>
      </w:r>
      <w:r>
        <w:rPr>
          <w:spacing w:val="-39"/>
        </w:rPr>
        <w:t> </w:t>
      </w:r>
      <w:r>
        <w:rPr>
          <w:rFonts w:ascii="Times New Roman" w:hAnsi="Times New Roman" w:cs="Times New Roman" w:eastAsia="Times New Roman" w:hint="default"/>
        </w:rPr>
        <w:t>30%</w:t>
      </w:r>
      <w:r>
        <w:rPr/>
        <w:t>，百汇达认缴</w:t>
      </w:r>
      <w:r>
        <w:rPr>
          <w:spacing w:val="-39"/>
        </w:rPr>
        <w:t> </w:t>
      </w:r>
      <w:r>
        <w:rPr>
          <w:rFonts w:ascii="Times New Roman" w:hAnsi="Times New Roman" w:cs="Times New Roman" w:eastAsia="Times New Roman" w:hint="default"/>
        </w:rPr>
        <w:t>1,500</w:t>
      </w:r>
      <w:r>
        <w:rPr>
          <w:rFonts w:ascii="Times New Roman" w:hAnsi="Times New Roman" w:cs="Times New Roman" w:eastAsia="Times New Roman" w:hint="default"/>
          <w:spacing w:val="8"/>
        </w:rPr>
        <w:t> </w:t>
      </w:r>
      <w:r>
        <w:rPr/>
        <w:t>万元，持股比例为</w:t>
      </w:r>
      <w:r>
        <w:rPr>
          <w:spacing w:val="-35"/>
        </w:rPr>
        <w:t> </w:t>
      </w:r>
      <w:r>
        <w:rPr>
          <w:rFonts w:ascii="Times New Roman" w:hAnsi="Times New Roman" w:cs="Times New Roman" w:eastAsia="Times New Roman" w:hint="default"/>
        </w:rPr>
        <w:t>30%</w:t>
      </w:r>
      <w:r>
        <w:rPr/>
        <w:t>，天津若水企业管理合伙企业（有限合伙）</w:t>
      </w:r>
      <w:r>
        <w:rPr>
          <w:spacing w:val="-88"/>
        </w:rPr>
        <w:t> </w:t>
      </w:r>
      <w:r>
        <w:rPr>
          <w:spacing w:val="-88"/>
        </w:rPr>
      </w:r>
      <w:r>
        <w:rPr/>
        <w:t>认缴</w:t>
      </w:r>
      <w:r>
        <w:rPr>
          <w:spacing w:val="-39"/>
        </w:rPr>
        <w:t> </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7"/>
        </w:rPr>
        <w:t> </w:t>
      </w:r>
      <w:r>
        <w:rPr/>
        <w:t>万元，持股比例为</w:t>
      </w:r>
      <w:r>
        <w:rPr>
          <w:spacing w:val="-40"/>
        </w:rPr>
        <w:t> </w:t>
      </w:r>
      <w:r>
        <w:rPr>
          <w:rFonts w:ascii="Times New Roman" w:hAnsi="Times New Roman" w:cs="Times New Roman" w:eastAsia="Times New Roman" w:hint="default"/>
          <w:spacing w:val="-3"/>
        </w:rPr>
        <w:t>40%</w:t>
      </w:r>
      <w:r>
        <w:rPr>
          <w:spacing w:val="-3"/>
        </w:rPr>
        <w:t>。同时，公司与百汇达签署了《关于光环云数据有限公司之一致行动协议》，约定：自本</w:t>
      </w:r>
      <w:r>
        <w:rPr>
          <w:spacing w:val="-74"/>
        </w:rPr>
        <w:t> </w:t>
      </w:r>
      <w:r>
        <w:rPr>
          <w:spacing w:val="-74"/>
        </w:rPr>
      </w:r>
      <w:r>
        <w:rPr>
          <w:spacing w:val="-2"/>
        </w:rPr>
        <w:t>次投资完成之日起，在决定标的公司有关经营发展、且需经标的公司股东会审议批准的重大事项时，百汇达将跟随公司行使</w:t>
      </w:r>
      <w:r>
        <w:rPr>
          <w:spacing w:val="-63"/>
        </w:rPr>
        <w:t> </w:t>
      </w:r>
      <w:r>
        <w:rPr>
          <w:spacing w:val="-63"/>
        </w:rPr>
      </w:r>
      <w:r>
        <w:rPr>
          <w:spacing w:val="-2"/>
        </w:rPr>
        <w:t>股东权利，与公司保持一致。特别是行使股东会召集权、提案权、表决权时采取一致行动；如一方拟就协议约定的重大事项</w:t>
      </w:r>
      <w:r>
        <w:rPr>
          <w:spacing w:val="-67"/>
        </w:rPr>
        <w:t> </w:t>
      </w:r>
      <w:r>
        <w:rPr>
          <w:spacing w:val="-67"/>
        </w:rPr>
      </w:r>
      <w:r>
        <w:rPr>
          <w:spacing w:val="-5"/>
        </w:rPr>
        <w:t>向股东会提出议案时，须事先与另一方进行充分的沟通、协商，最终按照公司决定的意见以双方名义共同向股东会提出提案；</w:t>
      </w:r>
      <w:r>
        <w:rPr>
          <w:spacing w:val="-78"/>
        </w:rPr>
        <w:t> </w:t>
      </w:r>
      <w:r>
        <w:rPr>
          <w:spacing w:val="-78"/>
        </w:rPr>
      </w:r>
      <w:r>
        <w:rPr>
          <w:spacing w:val="-2"/>
        </w:rPr>
        <w:t>双方在标的公司召开股东会审议协议约定的重大事项前须进行充分沟通协商，最终按照公司决定的意见在股东会上对该等事</w:t>
      </w:r>
      <w:r>
        <w:rPr>
          <w:spacing w:val="-64"/>
        </w:rPr>
        <w:t> </w:t>
      </w:r>
      <w:r>
        <w:rPr>
          <w:spacing w:val="-64"/>
        </w:rPr>
      </w:r>
      <w:r>
        <w:rPr/>
        <w:t>项行使表决权。</w:t>
      </w:r>
    </w:p>
    <w:p>
      <w:pPr>
        <w:spacing w:line="240" w:lineRule="auto" w:before="3"/>
        <w:rPr>
          <w:rFonts w:ascii="宋体" w:hAnsi="宋体" w:cs="宋体" w:eastAsia="宋体" w:hint="default"/>
          <w:sz w:val="23"/>
          <w:szCs w:val="23"/>
        </w:rPr>
      </w:pPr>
    </w:p>
    <w:p>
      <w:pPr>
        <w:pStyle w:val="Heading3"/>
        <w:spacing w:line="240" w:lineRule="auto"/>
        <w:ind w:right="3827"/>
        <w:jc w:val="left"/>
        <w:rPr>
          <w:b w:val="0"/>
          <w:bCs w:val="0"/>
        </w:rPr>
      </w:pPr>
      <w:bookmarkStart w:name="（2）重要的非全资子公司" w:id="321"/>
      <w:bookmarkEnd w:id="32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7"/>
        <w:gridCol w:w="1912"/>
        <w:gridCol w:w="1913"/>
        <w:gridCol w:w="1916"/>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光环有云（北京）网络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-2,686,035.47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-5,512,754.13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北京光环凯旋管理咨询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-65,514.47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2,166,548.27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光环云数据有限公司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-25,371,291.87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615,536.60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北京无双尚链科技有限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-173,588.97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-173,588.97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北京光环金网科技有限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-42,853.26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重要非全资子公司的主要财务信息" w:id="322"/>
      <w:bookmarkEnd w:id="32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北京光 环金网 科技有 限公司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1,008,46</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3.33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1,008,46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-35.84</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光环有 云（北 </w:t>
            </w:r>
            <w:r>
              <w:rPr>
                <w:rFonts w:ascii="宋体" w:hAnsi="宋体" w:cs="宋体" w:eastAsia="宋体" w:hint="default"/>
                <w:spacing w:val="-11"/>
                <w:sz w:val="18"/>
                <w:szCs w:val="18"/>
              </w:rPr>
              <w:t>京）网络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19,398,3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187,458.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19,585,7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18,611,2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18,611,2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11,718,3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144,798.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11,863,1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5,516,62</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5,516,62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6.02</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北京光 环凯旋 管理咨 询有限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4,425,17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15,673.5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4,440,84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24,476.6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24,476.6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2,757,52</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9.42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1,306,96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4,064,49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光环云 数据有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7,385,58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7,376,15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14,761,7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8,465,68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5,416,72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13,882,4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12,272,2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2,432,74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14,704,9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7,580,91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7,580,91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2.70</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北京无 双尚链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1,003,29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1,003,29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4254"/>
        <w:gridCol w:w="4245"/>
      </w:tblGrid>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71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北京光环金 网科技有限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2,532.33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2,532.33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2,039.39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3"/>
                <w:sz w:val="18"/>
                <w:szCs w:val="18"/>
              </w:rPr>
              <w:t>光环有云（北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京）网络服务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43,484,815.4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-5,372,070.94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-1,793,097.49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6,640,099.26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-7,451,737.62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-7,451,737.62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-4,545,294.52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北京光环凯 旋管理咨询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-163,786.18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-1,727,400.16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-300,501.04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-300,501.04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-700,371.74</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光环云数据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11,879,985.2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-36,244,702.6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-29,197,761.8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3,946,281.39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-12,875,959.3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-12,875,959.3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-14,442,449.3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北京无双尚 链科技有限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-294,218.60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-1,243,752.43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4）使用企业集团资产和清偿企业集团债务的重大限制" w:id="323"/>
      <w:bookmarkEnd w:id="32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3827"/>
        <w:jc w:val="left"/>
      </w:pPr>
      <w:r>
        <w:rPr/>
        <w:t>本公司使用企业集团资产和清偿企业集团债务不存在重大限制。</w:t>
      </w:r>
    </w:p>
    <w:p>
      <w:pPr>
        <w:spacing w:line="240" w:lineRule="auto" w:before="0"/>
        <w:rPr>
          <w:rFonts w:ascii="宋体" w:hAnsi="宋体" w:cs="宋体" w:eastAsia="宋体" w:hint="default"/>
          <w:sz w:val="18"/>
          <w:szCs w:val="18"/>
        </w:rPr>
      </w:pPr>
    </w:p>
    <w:p>
      <w:pPr>
        <w:pStyle w:val="Heading3"/>
        <w:spacing w:line="240" w:lineRule="auto" w:before="120"/>
        <w:ind w:right="3827"/>
        <w:jc w:val="left"/>
        <w:rPr>
          <w:b w:val="0"/>
          <w:bCs w:val="0"/>
        </w:rPr>
      </w:pPr>
      <w:bookmarkStart w:name="（5）向纳入合并财务报表范围的结构化主体提供的财务支持或其他支持" w:id="324"/>
      <w:bookmarkEnd w:id="32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3827"/>
        <w:jc w:val="left"/>
      </w:pPr>
      <w:r>
        <w:rPr/>
        <w:t>本公司未向纳入合并财务报表范围的结构化主体提供重大财务支持或其他支持。</w:t>
      </w:r>
    </w:p>
    <w:p>
      <w:pPr>
        <w:spacing w:line="240" w:lineRule="auto" w:before="0"/>
        <w:rPr>
          <w:rFonts w:ascii="宋体" w:hAnsi="宋体" w:cs="宋体" w:eastAsia="宋体" w:hint="default"/>
          <w:sz w:val="18"/>
          <w:szCs w:val="18"/>
        </w:rPr>
      </w:pPr>
    </w:p>
    <w:p>
      <w:pPr>
        <w:pStyle w:val="Heading3"/>
        <w:spacing w:line="240" w:lineRule="auto" w:before="120"/>
        <w:ind w:right="3827"/>
        <w:jc w:val="left"/>
        <w:rPr>
          <w:b w:val="0"/>
          <w:bCs w:val="0"/>
        </w:rPr>
      </w:pPr>
      <w:bookmarkStart w:name="2、在子公司的所有者权益份额发生变化且仍控制子公司的交易" w:id="325"/>
      <w:bookmarkEnd w:id="32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在子公司所有者权益份额发生变化的情况说明" w:id="326"/>
      <w:bookmarkEnd w:id="32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月，公司与北京金房房地产开发有限签订股权转让协议，将其持的北京光环金网科技有限公司股权</w:t>
      </w:r>
      <w:r>
        <w:rPr>
          <w:rFonts w:ascii="Times New Roman" w:hAnsi="Times New Roman" w:cs="Times New Roman" w:eastAsia="Times New Roman" w:hint="default"/>
        </w:rPr>
        <w:t>49</w:t>
      </w:r>
      <w:r>
        <w:rPr/>
        <w:t>万元股份 转让给公司，转让后持股比例由</w:t>
      </w:r>
      <w:r>
        <w:rPr>
          <w:rFonts w:ascii="Times New Roman" w:hAnsi="Times New Roman" w:cs="Times New Roman" w:eastAsia="Times New Roman" w:hint="default"/>
        </w:rPr>
        <w:t>51%</w:t>
      </w:r>
      <w:r>
        <w:rPr/>
        <w:t>变更为</w:t>
      </w:r>
      <w:r>
        <w:rPr>
          <w:rFonts w:ascii="Times New Roman" w:hAnsi="Times New Roman" w:cs="Times New Roman" w:eastAsia="Times New Roman" w:hint="default"/>
        </w:rPr>
        <w:t>100%</w:t>
      </w:r>
      <w:r>
        <w:rPr/>
        <w:t>。北京光环金网科技有限公司于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月完成工商变更。</w:t>
      </w:r>
    </w:p>
    <w:p>
      <w:pPr>
        <w:spacing w:line="240" w:lineRule="auto" w:before="4"/>
        <w:rPr>
          <w:rFonts w:ascii="宋体" w:hAnsi="宋体" w:cs="宋体" w:eastAsia="宋体" w:hint="default"/>
          <w:sz w:val="22"/>
          <w:szCs w:val="22"/>
        </w:rPr>
      </w:pPr>
    </w:p>
    <w:p>
      <w:pPr>
        <w:pStyle w:val="Heading3"/>
        <w:spacing w:line="240" w:lineRule="auto"/>
        <w:ind w:right="3827"/>
        <w:jc w:val="left"/>
        <w:rPr>
          <w:b w:val="0"/>
          <w:bCs w:val="0"/>
        </w:rPr>
      </w:pPr>
      <w:bookmarkStart w:name="（2）交易对于少数股东权益及归属于母公司所有者权益的影响" w:id="327"/>
      <w:bookmarkEnd w:id="32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38,688.67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447,146.73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-38,688.67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3、在合营安排或联营企业中的权益" w:id="328"/>
      <w:bookmarkEnd w:id="32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重要的合营企业或联营企业" w:id="329"/>
      <w:bookmarkEnd w:id="32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北京长城光环宽 带网络技术有限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49"/>
        <w:ind w:left="513" w:right="2203" w:hanging="361"/>
        <w:jc w:val="left"/>
      </w:pPr>
      <w:r>
        <w:rPr/>
        <w:t>在合营企业或联营企业的持股比例不同于表决权比例的说明： 北京长城光环宽带网络技术有限公司于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月已经开始清算，在</w:t>
      </w:r>
      <w:r>
        <w:rPr>
          <w:rFonts w:ascii="Times New Roman" w:hAnsi="Times New Roman" w:cs="Times New Roman" w:eastAsia="Times New Roman" w:hint="default"/>
        </w:rPr>
        <w:t>2013</w:t>
      </w:r>
      <w:r>
        <w:rPr/>
        <w:t>年以前已经全额计提减值准备。</w:t>
      </w:r>
    </w:p>
    <w:p>
      <w:pPr>
        <w:spacing w:line="240" w:lineRule="auto" w:before="8"/>
        <w:rPr>
          <w:rFonts w:ascii="宋体" w:hAnsi="宋体" w:cs="宋体" w:eastAsia="宋体" w:hint="default"/>
          <w:sz w:val="16"/>
          <w:szCs w:val="16"/>
        </w:rPr>
      </w:pPr>
    </w:p>
    <w:p>
      <w:pPr>
        <w:pStyle w:val="Heading2"/>
        <w:spacing w:line="240" w:lineRule="auto"/>
        <w:ind w:right="3827"/>
        <w:jc w:val="left"/>
        <w:rPr>
          <w:b w:val="0"/>
          <w:bCs w:val="0"/>
        </w:rPr>
      </w:pPr>
      <w:bookmarkStart w:name="十、与金融工具相关的风险" w:id="330"/>
      <w:bookmarkEnd w:id="330"/>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2" w:firstLine="360"/>
        <w:jc w:val="left"/>
      </w:pPr>
      <w:r>
        <w:rPr>
          <w:spacing w:val="-2"/>
        </w:rPr>
        <w:t>本公司具有多种因经营而直接产生的其他金融资产和负债，如应收账款和应付账款等。各项金融工具的详细情况说明见</w:t>
      </w:r>
      <w:r>
        <w:rPr/>
        <w:t> 附注</w:t>
      </w:r>
      <w:r>
        <w:rPr>
          <w:rFonts w:ascii="Times New Roman" w:hAnsi="Times New Roman" w:cs="Times New Roman" w:eastAsia="Times New Roman" w:hint="default"/>
        </w:rPr>
        <w:t>“</w:t>
      </w:r>
      <w:r>
        <w:rPr/>
        <w:t>七、合并财务报表主要项目注释</w:t>
      </w:r>
      <w:r>
        <w:rPr>
          <w:rFonts w:ascii="Times New Roman" w:hAnsi="Times New Roman" w:cs="Times New Roman" w:eastAsia="Times New Roman" w:hint="default"/>
        </w:rPr>
        <w:t>”</w:t>
      </w:r>
      <w:r>
        <w:rPr/>
        <w:t>。公司在经营过程中面临各种金融风险：信用风险、市场风险和流动性风险。</w:t>
      </w:r>
    </w:p>
    <w:p>
      <w:pPr>
        <w:pStyle w:val="BodyText"/>
        <w:spacing w:line="300" w:lineRule="auto"/>
        <w:ind w:left="513" w:right="1112"/>
        <w:jc w:val="left"/>
      </w:pPr>
      <w:r>
        <w:rPr>
          <w:rFonts w:ascii="Times New Roman" w:hAnsi="Times New Roman" w:cs="Times New Roman" w:eastAsia="Times New Roman" w:hint="default"/>
        </w:rPr>
        <w:t>1</w:t>
      </w:r>
      <w:r>
        <w:rPr/>
        <w:t>、各类风险管理目标和政策 </w:t>
      </w:r>
      <w:r>
        <w:rPr>
          <w:spacing w:val="-2"/>
        </w:rPr>
        <w:t>公司经营管理层全面负责风险管理目标和政策的确定，并对风险管理目标和政策承担最终责任。公司风险管理的总体目</w:t>
      </w:r>
    </w:p>
    <w:p>
      <w:pPr>
        <w:pStyle w:val="BodyText"/>
        <w:spacing w:line="240" w:lineRule="auto" w:before="31"/>
        <w:ind w:right="1112"/>
        <w:jc w:val="left"/>
      </w:pPr>
      <w:r>
        <w:rPr/>
        <w:t>标是在不过度影响公司竞争力和应变力的情况下，制定尽可能降低风险的风险管理政策。</w:t>
      </w:r>
    </w:p>
    <w:p>
      <w:pPr>
        <w:pStyle w:val="BodyText"/>
        <w:spacing w:line="240" w:lineRule="auto" w:before="76"/>
        <w:ind w:left="513" w:right="3827"/>
        <w:jc w:val="left"/>
      </w:pPr>
      <w:r>
        <w:rPr>
          <w:rFonts w:ascii="Times New Roman" w:hAnsi="Times New Roman" w:cs="Times New Roman" w:eastAsia="Times New Roman" w:hint="default"/>
        </w:rPr>
        <w:t>2</w:t>
      </w:r>
      <w:r>
        <w:rPr/>
        <w:t>、风险管理</w:t>
      </w:r>
    </w:p>
    <w:p>
      <w:pPr>
        <w:pStyle w:val="BodyText"/>
        <w:spacing w:line="300" w:lineRule="auto" w:before="63"/>
        <w:ind w:left="513" w:right="1112"/>
        <w:jc w:val="left"/>
      </w:pPr>
      <w:r>
        <w:rPr/>
        <w:t>（</w:t>
      </w:r>
      <w:r>
        <w:rPr>
          <w:rFonts w:ascii="Times New Roman" w:hAnsi="Times New Roman" w:cs="Times New Roman" w:eastAsia="Times New Roman" w:hint="default"/>
        </w:rPr>
        <w:t>1</w:t>
      </w:r>
      <w:r>
        <w:rPr/>
        <w:t>）信用风险 信用风险是指金融工具的一方不履行义务，造成另一方发生财务损失的风险</w:t>
      </w:r>
      <w:r>
        <w:rPr>
          <w:rFonts w:ascii="Times New Roman" w:hAnsi="Times New Roman" w:cs="Times New Roman" w:eastAsia="Times New Roman" w:hint="default"/>
        </w:rPr>
        <w:t>,</w:t>
      </w:r>
      <w:r>
        <w:rPr/>
        <w:t>本公司对信用风险按组合分类进行管理，</w:t>
      </w:r>
    </w:p>
    <w:p>
      <w:pPr>
        <w:pStyle w:val="BodyText"/>
        <w:spacing w:line="316" w:lineRule="auto" w:before="13"/>
        <w:ind w:left="513" w:right="1112" w:hanging="361"/>
        <w:jc w:val="left"/>
      </w:pPr>
      <w:r>
        <w:rPr/>
        <w:t>信用风险主要产生于银行存款、应收账款和其他应收款等。 本公司的流动资金存放在信用评级较高的银行，故流动资金的信用风险较低。 </w:t>
      </w:r>
      <w:r>
        <w:rPr>
          <w:spacing w:val="-2"/>
        </w:rPr>
        <w:t>对于应收账款本公司采用了必要的政策确保所有销售客户均具有良好的信用记录。本公司基于对客户的财务状况、从第</w:t>
      </w:r>
    </w:p>
    <w:p>
      <w:pPr>
        <w:pStyle w:val="BodyText"/>
        <w:spacing w:line="316" w:lineRule="auto" w:before="19"/>
        <w:ind w:right="1133"/>
        <w:jc w:val="both"/>
      </w:pPr>
      <w:r>
        <w:rPr>
          <w:spacing w:val="-2"/>
        </w:rPr>
        <w:t>三方获取担保的可能性、信用记录及其它因素诸如目前市场状况等评估客户的信用资质并设置相应信用期。本公司的其他应</w:t>
      </w:r>
      <w:r>
        <w:rPr>
          <w:spacing w:val="-64"/>
        </w:rPr>
        <w:t> </w:t>
      </w:r>
      <w:r>
        <w:rPr>
          <w:spacing w:val="-64"/>
        </w:rPr>
      </w:r>
      <w:r>
        <w:rPr>
          <w:spacing w:val="-2"/>
        </w:rPr>
        <w:t>收款，主要为保证金、押金及备用金等，预计可以收回，为防范其他应收款不发生坏账风险提供了合理保证，另根据报告期</w:t>
      </w:r>
      <w:r>
        <w:rPr>
          <w:spacing w:val="-66"/>
        </w:rPr>
        <w:t> </w:t>
      </w:r>
      <w:r>
        <w:rPr>
          <w:spacing w:val="-66"/>
        </w:rPr>
      </w:r>
      <w:r>
        <w:rPr/>
        <w:t>内保证金回收等历史信息，不存在坏账情况。</w:t>
      </w:r>
    </w:p>
    <w:p>
      <w:pPr>
        <w:pStyle w:val="BodyText"/>
        <w:spacing w:line="316" w:lineRule="auto" w:before="19"/>
        <w:ind w:right="1112" w:firstLine="360"/>
        <w:jc w:val="left"/>
      </w:pPr>
      <w:r>
        <w:rPr>
          <w:spacing w:val="-2"/>
        </w:rPr>
        <w:t>同时公司采用了必要的政策确保所有销售客户均具有良好的信用记录。除应收账款单独计提坏账准备的客户欠款外，公</w:t>
      </w:r>
      <w:r>
        <w:rPr/>
        <w:t> 司无其他重大信用集中风险。因此，本公司管理层认为本公司所承担的信用风险已经大为降低。</w:t>
      </w:r>
    </w:p>
    <w:p>
      <w:pPr>
        <w:pStyle w:val="BodyText"/>
        <w:spacing w:line="300" w:lineRule="auto" w:before="19"/>
        <w:ind w:left="513" w:right="1112"/>
        <w:jc w:val="left"/>
      </w:pPr>
      <w:r>
        <w:rPr/>
        <w:t>（</w:t>
      </w:r>
      <w:r>
        <w:rPr>
          <w:rFonts w:ascii="Times New Roman" w:hAnsi="Times New Roman" w:cs="Times New Roman" w:eastAsia="Times New Roman" w:hint="default"/>
        </w:rPr>
        <w:t>2</w:t>
      </w:r>
      <w:r>
        <w:rPr/>
        <w:t>）流动风险 </w:t>
      </w:r>
      <w:r>
        <w:rPr>
          <w:spacing w:val="-2"/>
        </w:rPr>
        <w:t>流动风险，是指本公司在到期日无法履行其财务义务的风险。本公司的政策是确保拥有充足的现金以偿还到期债务。流</w:t>
      </w:r>
    </w:p>
    <w:p>
      <w:pPr>
        <w:pStyle w:val="BodyText"/>
        <w:spacing w:line="300" w:lineRule="auto" w:before="31"/>
        <w:ind w:right="1112"/>
        <w:jc w:val="left"/>
      </w:pPr>
      <w:r>
        <w:rPr>
          <w:spacing w:val="-2"/>
        </w:rPr>
        <w:t>动性风险由本公司的财务部门集中控制。财务部门通过监控现金余额以及对未来</w:t>
      </w:r>
      <w:r>
        <w:rPr>
          <w:rFonts w:ascii="Times New Roman" w:hAnsi="Times New Roman" w:cs="Times New Roman" w:eastAsia="Times New Roman" w:hint="default"/>
          <w:spacing w:val="-2"/>
        </w:rPr>
        <w:t>12</w:t>
      </w:r>
      <w:r>
        <w:rPr>
          <w:spacing w:val="-2"/>
        </w:rPr>
        <w:t>个月现金流量的滚动预测，确保公司在所</w:t>
      </w:r>
      <w:r>
        <w:rPr>
          <w:spacing w:val="-62"/>
        </w:rPr>
        <w:t> </w:t>
      </w:r>
      <w:r>
        <w:rPr>
          <w:spacing w:val="-62"/>
        </w:rPr>
      </w:r>
      <w:r>
        <w:rPr/>
        <w:t>有合理预测的情况下拥有充足的资金偿还债务。</w:t>
      </w:r>
    </w:p>
    <w:p>
      <w:pPr>
        <w:pStyle w:val="BodyText"/>
        <w:spacing w:line="300" w:lineRule="auto" w:before="31"/>
        <w:ind w:left="513" w:right="1112"/>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金融工具的市场风险，是指金融工具的公允价值或未来现金流量因市场价格变动而发生波动的风险，包括利率风险、外</w:t>
      </w:r>
    </w:p>
    <w:p>
      <w:pPr>
        <w:pStyle w:val="BodyText"/>
        <w:spacing w:line="240" w:lineRule="auto" w:before="31"/>
        <w:ind w:right="3827"/>
        <w:jc w:val="left"/>
      </w:pPr>
      <w:r>
        <w:rPr/>
        <w:t>汇风险和其他价格风险。</w:t>
      </w:r>
    </w:p>
    <w:p>
      <w:pPr>
        <w:pStyle w:val="BodyText"/>
        <w:spacing w:line="240" w:lineRule="auto" w:before="76"/>
        <w:ind w:left="513" w:right="3827"/>
        <w:jc w:val="left"/>
      </w:pPr>
      <w:r>
        <w:rPr/>
        <w:t>①利率风险</w:t>
      </w:r>
    </w:p>
    <w:p>
      <w:pPr>
        <w:pStyle w:val="BodyText"/>
        <w:spacing w:line="316" w:lineRule="auto" w:before="76"/>
        <w:ind w:right="1119" w:firstLine="360"/>
        <w:jc w:val="left"/>
      </w:pPr>
      <w:r>
        <w:rPr/>
        <w:t>利率风险，是指金融工具的公允价值或未来现金流量因市场利率变动而发生波动的风险。</w:t>
      </w:r>
      <w:r>
        <w:rPr>
          <w:spacing w:val="5"/>
        </w:rPr>
        <w:t> </w:t>
      </w:r>
      <w:r>
        <w:rPr/>
        <w:t>本公司的银行贷款均为固定</w:t>
      </w:r>
      <w:r>
        <w:rPr/>
        <w:t> 利率，不存在利率风险。</w:t>
      </w:r>
    </w:p>
    <w:p>
      <w:pPr>
        <w:pStyle w:val="BodyText"/>
        <w:spacing w:line="316" w:lineRule="auto" w:before="19"/>
        <w:ind w:left="513" w:right="1112"/>
        <w:jc w:val="left"/>
      </w:pPr>
      <w:r>
        <w:rPr/>
        <w:t>②外汇风险 </w:t>
      </w:r>
      <w:r>
        <w:rPr>
          <w:spacing w:val="-2"/>
        </w:rPr>
        <w:t>外汇风险，是指金融工具的公允价值或未来现金流量因外汇汇率变动而发生波动的风险。本公司外币金融资产和负债占</w:t>
      </w:r>
    </w:p>
    <w:p>
      <w:pPr>
        <w:pStyle w:val="BodyText"/>
        <w:spacing w:line="240" w:lineRule="auto" w:before="19"/>
        <w:ind w:right="3827"/>
        <w:jc w:val="left"/>
      </w:pPr>
      <w:r>
        <w:rPr/>
        <w:t>总资产比重极小。</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8863"/>
        <w:jc w:val="left"/>
      </w:pPr>
      <w:r>
        <w:rPr/>
        <w:t>（</w:t>
      </w:r>
      <w:r>
        <w:rPr>
          <w:rFonts w:ascii="Times New Roman" w:hAnsi="Times New Roman" w:cs="Times New Roman" w:eastAsia="Times New Roman" w:hint="default"/>
        </w:rPr>
        <w:t>4</w:t>
      </w:r>
      <w:r>
        <w:rPr/>
        <w:t>）金融资产转移 无。</w:t>
      </w:r>
    </w:p>
    <w:p>
      <w:pPr>
        <w:pStyle w:val="BodyText"/>
        <w:spacing w:line="300" w:lineRule="auto" w:before="31"/>
        <w:ind w:left="513" w:right="7783"/>
        <w:jc w:val="left"/>
      </w:pPr>
      <w:r>
        <w:rPr/>
        <w:t>（</w:t>
      </w:r>
      <w:r>
        <w:rPr>
          <w:rFonts w:ascii="Times New Roman" w:hAnsi="Times New Roman" w:cs="Times New Roman" w:eastAsia="Times New Roman" w:hint="default"/>
        </w:rPr>
        <w:t>5</w:t>
      </w:r>
      <w:r>
        <w:rPr/>
        <w:t>）金融资产与金融负债的抵销 无。</w:t>
      </w:r>
    </w:p>
    <w:p>
      <w:pPr>
        <w:spacing w:line="240" w:lineRule="auto" w:before="11"/>
        <w:rPr>
          <w:rFonts w:ascii="宋体" w:hAnsi="宋体" w:cs="宋体" w:eastAsia="宋体" w:hint="default"/>
          <w:sz w:val="21"/>
          <w:szCs w:val="21"/>
        </w:rPr>
      </w:pPr>
    </w:p>
    <w:p>
      <w:pPr>
        <w:pStyle w:val="Heading2"/>
        <w:spacing w:line="240" w:lineRule="auto"/>
        <w:ind w:right="3827"/>
        <w:jc w:val="left"/>
        <w:rPr>
          <w:b w:val="0"/>
          <w:bCs w:val="0"/>
        </w:rPr>
      </w:pPr>
      <w:bookmarkStart w:name="十一、公允价值的披露" w:id="331"/>
      <w:bookmarkEnd w:id="331"/>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以公允价值计量的资产和负债的期末公允价值" w:id="332"/>
      <w:bookmarkEnd w:id="33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139,188,679.25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139,188,679.25</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139,188,679.25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139,188,679.25</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139,188,679.25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139,188,679.25</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35,290,000.00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35,290,000.00</w:t>
            </w:r>
          </w:p>
        </w:tc>
      </w:tr>
      <w:tr>
        <w:trPr>
          <w:trHeight w:val="716"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139,188,679.25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35,290,000.00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174,478,679.25</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持续和非持续第一层次公允价值计量项目市价的确定依据" w:id="333"/>
      <w:bookmarkEnd w:id="33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12"/>
        <w:jc w:val="left"/>
      </w:pPr>
      <w:r>
        <w:rPr/>
        <w:t>交易性金融资产为理财产品，能够获得该理财产品的报价，以该报价为依据确定公允价值。</w:t>
      </w:r>
    </w:p>
    <w:p>
      <w:pPr>
        <w:spacing w:line="240" w:lineRule="auto" w:before="0"/>
        <w:rPr>
          <w:rFonts w:ascii="宋体" w:hAnsi="宋体" w:cs="宋体" w:eastAsia="宋体" w:hint="default"/>
          <w:sz w:val="18"/>
          <w:szCs w:val="18"/>
        </w:rPr>
      </w:pPr>
    </w:p>
    <w:p>
      <w:pPr>
        <w:pStyle w:val="Heading3"/>
        <w:spacing w:line="240" w:lineRule="auto" w:before="120"/>
        <w:ind w:right="1112"/>
        <w:jc w:val="left"/>
        <w:rPr>
          <w:b w:val="0"/>
          <w:bCs w:val="0"/>
        </w:rPr>
      </w:pPr>
      <w:bookmarkStart w:name="3、持续和非持续第三层次公允价值计量项目，采用的估值技术和重要参数的定性及定量信" w:id="334"/>
      <w:bookmarkEnd w:id="334"/>
      <w:r>
        <w:rPr>
          <w:b w:val="0"/>
          <w:bCs w:val="0"/>
        </w:rPr>
      </w:r>
      <w:r>
        <w:rPr>
          <w:rFonts w:ascii="Times New Roman" w:hAnsi="Times New Roman" w:cs="Times New Roman" w:eastAsia="Times New Roman" w:hint="default"/>
        </w:rPr>
        <w:t>3</w:t>
      </w:r>
      <w:r>
        <w:rPr/>
        <w:t>、持续和非持续第三层次公允价值计量项目，采用的估值技术和重要参数的定性及定量信息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2" w:firstLine="360"/>
        <w:jc w:val="left"/>
      </w:pPr>
      <w:r>
        <w:rPr>
          <w:spacing w:val="-2"/>
        </w:rPr>
        <w:t>相关资产几乎很少存在市场交易活动，不存在公开市场，无法取得公开市场报价，导致相关可观察输入值无法取得，故</w:t>
      </w:r>
      <w:r>
        <w:rPr/>
        <w:t> 采用投资成本做为公允价值的最佳估计。</w:t>
      </w:r>
    </w:p>
    <w:p>
      <w:pPr>
        <w:spacing w:line="240" w:lineRule="auto" w:before="12"/>
        <w:rPr>
          <w:rFonts w:ascii="宋体" w:hAnsi="宋体" w:cs="宋体" w:eastAsia="宋体" w:hint="default"/>
          <w:sz w:val="20"/>
          <w:szCs w:val="20"/>
        </w:rPr>
      </w:pPr>
    </w:p>
    <w:p>
      <w:pPr>
        <w:pStyle w:val="Heading2"/>
        <w:spacing w:line="240" w:lineRule="auto"/>
        <w:ind w:right="3827"/>
        <w:jc w:val="left"/>
        <w:rPr>
          <w:b w:val="0"/>
          <w:bCs w:val="0"/>
        </w:rPr>
      </w:pPr>
      <w:bookmarkStart w:name="十二、关联方及关联交易" w:id="335"/>
      <w:bookmarkEnd w:id="335"/>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本企业的母公司情况" w:id="336"/>
      <w:bookmarkEnd w:id="33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舟山百汇达股权投 </w:t>
            </w:r>
            <w:r>
              <w:rPr>
                <w:rFonts w:ascii="宋体" w:hAnsi="宋体" w:cs="宋体" w:eastAsia="宋体" w:hint="default"/>
                <w:spacing w:val="-10"/>
                <w:sz w:val="18"/>
                <w:szCs w:val="18"/>
              </w:rPr>
              <w:t>资管理合伙企业（有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32.21%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32.21%</w:t>
            </w:r>
          </w:p>
        </w:tc>
      </w:tr>
    </w:tbl>
    <w:p>
      <w:pPr>
        <w:pStyle w:val="BodyText"/>
        <w:spacing w:line="240" w:lineRule="auto" w:before="49"/>
        <w:ind w:right="3827"/>
        <w:jc w:val="left"/>
      </w:pPr>
      <w:r>
        <w:rPr/>
        <w:t>本企业最终控制方是</w:t>
      </w:r>
      <w:r>
        <w:rPr>
          <w:u w:val="single" w:color="000000"/>
        </w:rPr>
        <w:t>耿殿根</w:t>
      </w:r>
      <w:r>
        <w:rPr/>
        <w:t>。</w:t>
      </w:r>
    </w:p>
    <w:p>
      <w:pPr>
        <w:spacing w:line="240" w:lineRule="auto" w:before="0"/>
        <w:rPr>
          <w:rFonts w:ascii="宋体" w:hAnsi="宋体" w:cs="宋体" w:eastAsia="宋体" w:hint="default"/>
          <w:sz w:val="18"/>
          <w:szCs w:val="18"/>
        </w:rPr>
      </w:pPr>
    </w:p>
    <w:p>
      <w:pPr>
        <w:pStyle w:val="Heading3"/>
        <w:spacing w:line="240" w:lineRule="auto" w:before="118"/>
        <w:ind w:right="3827"/>
        <w:jc w:val="left"/>
        <w:rPr>
          <w:b w:val="0"/>
          <w:bCs w:val="0"/>
        </w:rPr>
      </w:pPr>
      <w:bookmarkStart w:name="2、本企业的子公司情况" w:id="337"/>
      <w:bookmarkEnd w:id="33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3827"/>
        <w:jc w:val="left"/>
      </w:pPr>
      <w:r>
        <w:rPr/>
        <w:t>本企业子公司的情况详见本节九、在其他主体中的权益</w:t>
      </w:r>
      <w:r>
        <w:rPr>
          <w:rFonts w:ascii="Times New Roman" w:hAnsi="Times New Roman" w:cs="Times New Roman" w:eastAsia="Times New Roman" w:hint="default"/>
        </w:rPr>
        <w:t>1</w:t>
      </w:r>
      <w:r>
        <w:rPr/>
        <w:t>、在子公司中的权益。</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3、本企业合营和联营企业情况" w:id="338"/>
      <w:bookmarkEnd w:id="33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679" w:lineRule="auto"/>
        <w:ind w:right="2294" w:firstLine="360"/>
        <w:jc w:val="left"/>
      </w:pPr>
      <w:r>
        <w:rPr/>
        <w:pict>
          <v:shape style="position:absolute;margin-left:56.400002pt;margin-top:52.48172pt;width:479.3pt;height:40.75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北京长城光环宽带网络技术有限公司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
              </w:txbxContent>
            </v:textbox>
            <w10:wrap type="none"/>
          </v:shape>
        </w:pict>
      </w:r>
      <w:r>
        <w:rPr/>
        <w:t>本企业重要的合营或联营企业详见本节九、在其他主体中的权益</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36"/>
        <w:ind w:right="3827"/>
        <w:jc w:val="left"/>
        <w:rPr>
          <w:b w:val="0"/>
          <w:bCs w:val="0"/>
        </w:rPr>
      </w:pPr>
      <w:bookmarkStart w:name="4、其他关联方情况" w:id="339"/>
      <w:bookmarkEnd w:id="3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郑善伟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宋健尔</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郭莉莉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侯成训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副总裁、耿殿根之侄子</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董事、人事行政部总监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庞宝光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原监事会主席、人事行政部副总监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王军辉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监事会主席、总裁助理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监事、运营总监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郭晓玉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汝书伟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研发中心总经理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刘吉衡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系统集成部总监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吴国雄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酒仙桥数据中心运营总监</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韩冠华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燕郊数据中心运营总监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董事、北京科信盛彩云计算有限公司副董事长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金福沈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北京科信盛彩云计算有限公司董事，耿殿根之外甥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北京科信盛彩云计算有限公司总经理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北京中金云网科技有限公司董事长</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北京中金云网科技有限公司董事、总裁，杨洁之配偶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原北京中金云网科技有限公司董事、总裁，杨洁之子</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王绪生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北京中金云网科技有限公司副总裁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北京无双科技有限公司董事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陈晓媛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北京无双科技有限公司董事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光环有云（北京）网络服务有限公司副董事长、经理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光环云数据有限公司董事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王志飞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光环云数据有限公司董事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光环云数据有限公司原董事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北京蓝沧科技有限公司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与本公司受同一控制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中金云金融（北京）大数据科技股份有限公司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中金慈云健康科技有限公司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北京亦庄国际产业互联网研究院股份公司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中金数据（武汉）超算技术有限公司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中金花桥数据系统有限公司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北京首信圆方机电设备有限公司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子公司关键管理人员控制的企业</w:t>
            </w:r>
          </w:p>
        </w:tc>
      </w:tr>
    </w:tbl>
    <w:p>
      <w:pPr>
        <w:spacing w:line="240" w:lineRule="auto" w:before="3"/>
        <w:rPr>
          <w:rFonts w:ascii="宋体" w:hAnsi="宋体" w:cs="宋体" w:eastAsia="宋体" w:hint="default"/>
          <w:b/>
          <w:bCs/>
          <w:sz w:val="19"/>
          <w:szCs w:val="19"/>
        </w:rPr>
      </w:pPr>
    </w:p>
    <w:p>
      <w:pPr>
        <w:pStyle w:val="Heading3"/>
        <w:spacing w:line="240" w:lineRule="auto" w:before="36"/>
        <w:ind w:right="3827"/>
        <w:jc w:val="left"/>
        <w:rPr>
          <w:b w:val="0"/>
          <w:bCs w:val="0"/>
        </w:rPr>
      </w:pPr>
      <w:bookmarkStart w:name="5、关联交易情况" w:id="340"/>
      <w:bookmarkEnd w:id="3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购销商品、提供和接受劳务的关联交易" w:id="341"/>
      <w:bookmarkEnd w:id="34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北京蓝沧科技有限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951,345.23</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中金慈云健康科技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78,460.00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127,283.00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北京亦庄国际产业 互联网研究院股份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1,621,622.60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北京首信圆方机电 设备有限公司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7,978,827.35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中金花桥数据系统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11,630.65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中金数据系统有限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10,167,538.11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4,690,374.15</w:t>
            </w:r>
          </w:p>
        </w:tc>
      </w:tr>
    </w:tbl>
    <w:p>
      <w:pPr>
        <w:pStyle w:val="BodyText"/>
        <w:spacing w:line="240" w:lineRule="auto" w:before="49"/>
        <w:ind w:right="382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4,311,792.39</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中金云金融（北京）大数据科 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7,892,207.52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14,049,415.16</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烟台中金数据系统有限公司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1,415,094.30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北京亦庄国际产业互联网研究 院股份公司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618,203.78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632,848.44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中金数据（武汉）超算技术有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24,339,622.64</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关联租赁情况" w:id="342"/>
      <w:bookmarkEnd w:id="34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13,574,902.74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18,452,175.27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关联担保情况" w:id="343"/>
      <w:bookmarkEnd w:id="343"/>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3827"/>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耿殿根及舟山百汇达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耿殿根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杨宇航</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7,984,344.08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both"/>
      </w:pPr>
      <w:r>
        <w:rPr/>
        <w:t>关联担保情况说明</w:t>
      </w:r>
    </w:p>
    <w:p>
      <w:pPr>
        <w:pStyle w:val="BodyText"/>
        <w:spacing w:line="240" w:lineRule="auto" w:before="115"/>
        <w:ind w:left="573" w:right="1112"/>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日，本公司与子公司北京中金云网科技有限公司作为共同借款人，与工商银行经济开发区支行签订</w:t>
      </w:r>
      <w:r>
        <w:rPr>
          <w:rFonts w:ascii="Times New Roman" w:hAnsi="Times New Roman" w:cs="Times New Roman" w:eastAsia="Times New Roman" w:hint="default"/>
          <w:spacing w:val="-3"/>
        </w:rPr>
        <w:t>2019</w:t>
      </w:r>
    </w:p>
    <w:p>
      <w:pPr>
        <w:pStyle w:val="BodyText"/>
        <w:spacing w:line="300" w:lineRule="auto" w:before="63"/>
        <w:ind w:right="1128"/>
        <w:jc w:val="both"/>
      </w:pPr>
      <w:r>
        <w:rPr/>
        <w:t>（亦庄）字</w:t>
      </w:r>
      <w:r>
        <w:rPr>
          <w:rFonts w:ascii="Times New Roman" w:hAnsi="Times New Roman" w:cs="Times New Roman" w:eastAsia="Times New Roman" w:hint="default"/>
        </w:rPr>
        <w:t>00156</w:t>
      </w:r>
      <w:r>
        <w:rPr/>
        <w:t>号经营性物业支持借款合同，该借款合同项下总贷款金额</w:t>
      </w:r>
      <w:r>
        <w:rPr>
          <w:rFonts w:ascii="Times New Roman" w:hAnsi="Times New Roman" w:cs="Times New Roman" w:eastAsia="Times New Roman" w:hint="default"/>
        </w:rPr>
        <w:t>15</w:t>
      </w:r>
      <w:r>
        <w:rPr/>
        <w:t>亿元，借款期限</w:t>
      </w:r>
      <w:r>
        <w:rPr>
          <w:rFonts w:ascii="Times New Roman" w:hAnsi="Times New Roman" w:cs="Times New Roman" w:eastAsia="Times New Roman" w:hint="default"/>
        </w:rPr>
        <w:t>15</w:t>
      </w:r>
      <w:r>
        <w:rPr/>
        <w:t>年。以北京中金云网科技有</w:t>
      </w:r>
      <w:r>
        <w:rPr>
          <w:spacing w:val="-85"/>
        </w:rPr>
        <w:t> </w:t>
      </w:r>
      <w:r>
        <w:rPr>
          <w:spacing w:val="-6"/>
        </w:rPr>
        <w:t>限公司位于北京经济技术开发区博兴八路</w:t>
      </w:r>
      <w:r>
        <w:rPr>
          <w:rFonts w:ascii="Times New Roman" w:hAnsi="Times New Roman" w:cs="Times New Roman" w:eastAsia="Times New Roman" w:hint="default"/>
          <w:spacing w:val="-6"/>
        </w:rPr>
        <w:t>1</w:t>
      </w:r>
      <w:r>
        <w:rPr>
          <w:spacing w:val="-6"/>
        </w:rPr>
        <w:t>号</w:t>
      </w:r>
      <w:r>
        <w:rPr>
          <w:rFonts w:ascii="Times New Roman" w:hAnsi="Times New Roman" w:cs="Times New Roman" w:eastAsia="Times New Roman" w:hint="default"/>
          <w:spacing w:val="-6"/>
        </w:rPr>
        <w:t>1</w:t>
      </w:r>
      <w:r>
        <w:rPr>
          <w:spacing w:val="-6"/>
        </w:rPr>
        <w:t>幢、</w:t>
      </w:r>
      <w:r>
        <w:rPr>
          <w:rFonts w:ascii="Times New Roman" w:hAnsi="Times New Roman" w:cs="Times New Roman" w:eastAsia="Times New Roman" w:hint="default"/>
          <w:spacing w:val="-6"/>
        </w:rPr>
        <w:t>2</w:t>
      </w:r>
      <w:r>
        <w:rPr>
          <w:spacing w:val="-6"/>
        </w:rPr>
        <w:t>幢、</w:t>
      </w:r>
      <w:r>
        <w:rPr>
          <w:rFonts w:ascii="Times New Roman" w:hAnsi="Times New Roman" w:cs="Times New Roman" w:eastAsia="Times New Roman" w:hint="default"/>
          <w:spacing w:val="-6"/>
        </w:rPr>
        <w:t>3</w:t>
      </w:r>
      <w:r>
        <w:rPr>
          <w:spacing w:val="-6"/>
        </w:rPr>
        <w:t>幢房产（不动产权编号：京（</w:t>
      </w:r>
      <w:r>
        <w:rPr>
          <w:rFonts w:ascii="Times New Roman" w:hAnsi="Times New Roman" w:cs="Times New Roman" w:eastAsia="Times New Roman" w:hint="default"/>
          <w:spacing w:val="-6"/>
        </w:rPr>
        <w:t>2016</w:t>
      </w:r>
      <w:r>
        <w:rPr>
          <w:spacing w:val="-6"/>
        </w:rPr>
        <w:t>）开发区不动产权第</w:t>
      </w:r>
      <w:r>
        <w:rPr>
          <w:rFonts w:ascii="Times New Roman" w:hAnsi="Times New Roman" w:cs="Times New Roman" w:eastAsia="Times New Roman" w:hint="default"/>
          <w:spacing w:val="-6"/>
        </w:rPr>
        <w:t>0011007</w:t>
      </w:r>
      <w:r>
        <w:rPr>
          <w:spacing w:val="-6"/>
        </w:rPr>
        <w:t>号）、</w:t>
      </w:r>
      <w:r>
        <w:rPr>
          <w:spacing w:val="-72"/>
        </w:rPr>
        <w:t> </w:t>
      </w:r>
      <w:r>
        <w:rPr>
          <w:spacing w:val="-72"/>
        </w:rPr>
      </w:r>
      <w:r>
        <w:rPr>
          <w:spacing w:val="-4"/>
        </w:rPr>
        <w:t>北京经济技术开发区博兴八路</w:t>
      </w:r>
      <w:r>
        <w:rPr>
          <w:rFonts w:ascii="Times New Roman" w:hAnsi="Times New Roman" w:cs="Times New Roman" w:eastAsia="Times New Roman" w:hint="default"/>
          <w:spacing w:val="-4"/>
        </w:rPr>
        <w:t>1</w:t>
      </w:r>
      <w:r>
        <w:rPr>
          <w:spacing w:val="-4"/>
        </w:rPr>
        <w:t>号院</w:t>
      </w:r>
      <w:r>
        <w:rPr>
          <w:rFonts w:ascii="Times New Roman" w:hAnsi="Times New Roman" w:cs="Times New Roman" w:eastAsia="Times New Roman" w:hint="default"/>
          <w:spacing w:val="-4"/>
        </w:rPr>
        <w:t>4</w:t>
      </w:r>
      <w:r>
        <w:rPr>
          <w:spacing w:val="-4"/>
        </w:rPr>
        <w:t>号楼</w:t>
      </w:r>
      <w:r>
        <w:rPr>
          <w:rFonts w:ascii="Times New Roman" w:hAnsi="Times New Roman" w:cs="Times New Roman" w:eastAsia="Times New Roman" w:hint="default"/>
          <w:spacing w:val="-4"/>
        </w:rPr>
        <w:t>-1</w:t>
      </w:r>
      <w:r>
        <w:rPr>
          <w:spacing w:val="-4"/>
        </w:rPr>
        <w:t>至</w:t>
      </w:r>
      <w:r>
        <w:rPr>
          <w:rFonts w:ascii="Times New Roman" w:hAnsi="Times New Roman" w:cs="Times New Roman" w:eastAsia="Times New Roman" w:hint="default"/>
          <w:spacing w:val="-4"/>
        </w:rPr>
        <w:t>5</w:t>
      </w:r>
      <w:r>
        <w:rPr>
          <w:spacing w:val="-4"/>
        </w:rPr>
        <w:t>层</w:t>
      </w:r>
      <w:r>
        <w:rPr>
          <w:rFonts w:ascii="Times New Roman" w:hAnsi="Times New Roman" w:cs="Times New Roman" w:eastAsia="Times New Roman" w:hint="default"/>
          <w:spacing w:val="-4"/>
        </w:rPr>
        <w:t>101</w:t>
      </w:r>
      <w:r>
        <w:rPr>
          <w:spacing w:val="-4"/>
        </w:rPr>
        <w:t>等</w:t>
      </w:r>
      <w:r>
        <w:rPr>
          <w:rFonts w:ascii="Times New Roman" w:hAnsi="Times New Roman" w:cs="Times New Roman" w:eastAsia="Times New Roman" w:hint="default"/>
          <w:spacing w:val="-4"/>
        </w:rPr>
        <w:t>3</w:t>
      </w:r>
      <w:r>
        <w:rPr>
          <w:spacing w:val="-4"/>
        </w:rPr>
        <w:t>套（不动产权编号：京（</w:t>
      </w:r>
      <w:r>
        <w:rPr>
          <w:rFonts w:ascii="Times New Roman" w:hAnsi="Times New Roman" w:cs="Times New Roman" w:eastAsia="Times New Roman" w:hint="default"/>
          <w:spacing w:val="-4"/>
        </w:rPr>
        <w:t>2016</w:t>
      </w:r>
      <w:r>
        <w:rPr>
          <w:spacing w:val="-4"/>
        </w:rPr>
        <w:t>）开不动产权第</w:t>
      </w:r>
      <w:r>
        <w:rPr>
          <w:rFonts w:ascii="Times New Roman" w:hAnsi="Times New Roman" w:cs="Times New Roman" w:eastAsia="Times New Roman" w:hint="default"/>
          <w:spacing w:val="-4"/>
        </w:rPr>
        <w:t>0013938</w:t>
      </w:r>
      <w:r>
        <w:rPr>
          <w:spacing w:val="-4"/>
        </w:rPr>
        <w:t>号）设定抵押，</w:t>
      </w:r>
      <w:r>
        <w:rPr>
          <w:spacing w:val="-71"/>
        </w:rPr>
        <w:t> </w:t>
      </w:r>
      <w:r>
        <w:rPr>
          <w:spacing w:val="-71"/>
        </w:rPr>
      </w:r>
      <w:r>
        <w:rPr/>
        <w:t>以融资期内中金云网数据中心项目实现的经营收入设定质押，并由耿殿根个人承担无限连带责任保证担保。</w:t>
      </w:r>
    </w:p>
    <w:p>
      <w:pPr>
        <w:pStyle w:val="BodyText"/>
        <w:spacing w:line="240" w:lineRule="auto" w:before="31"/>
        <w:ind w:left="573" w:right="111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日，子公司北京科信盛彩云计算有限公司与中国工商银行股份有限公司北京经济技术开发区支行签订</w:t>
      </w:r>
    </w:p>
    <w:p>
      <w:pPr>
        <w:pStyle w:val="BodyText"/>
        <w:spacing w:line="300" w:lineRule="auto" w:before="63"/>
        <w:ind w:right="1131"/>
        <w:jc w:val="both"/>
      </w:pPr>
      <w:r>
        <w:rPr>
          <w:spacing w:val="-4"/>
        </w:rPr>
        <w:t>《固定资产支持融资借款合同》（编号：</w:t>
      </w:r>
      <w:r>
        <w:rPr>
          <w:rFonts w:ascii="Times New Roman" w:hAnsi="Times New Roman" w:cs="Times New Roman" w:eastAsia="Times New Roman" w:hint="default"/>
          <w:spacing w:val="-4"/>
        </w:rPr>
        <w:t>0020000094-2018</w:t>
      </w:r>
      <w:r>
        <w:rPr>
          <w:spacing w:val="-4"/>
        </w:rPr>
        <w:t>年（亦庄）字</w:t>
      </w:r>
      <w:r>
        <w:rPr>
          <w:rFonts w:ascii="Times New Roman" w:hAnsi="Times New Roman" w:cs="Times New Roman" w:eastAsia="Times New Roman" w:hint="default"/>
          <w:spacing w:val="-4"/>
        </w:rPr>
        <w:t>00093</w:t>
      </w:r>
      <w:r>
        <w:rPr>
          <w:spacing w:val="-4"/>
        </w:rPr>
        <w:t>号），科信盛彩以位于北京经济技术开发区瑞合</w:t>
      </w:r>
      <w:r>
        <w:rPr>
          <w:spacing w:val="-74"/>
        </w:rPr>
        <w:t> </w:t>
      </w:r>
      <w:r>
        <w:rPr>
          <w:spacing w:val="-74"/>
        </w:rPr>
      </w:r>
      <w:r>
        <w:rPr>
          <w:spacing w:val="-2"/>
        </w:rPr>
        <w:t>西二路</w:t>
      </w:r>
      <w:r>
        <w:rPr>
          <w:rFonts w:ascii="Times New Roman" w:hAnsi="Times New Roman" w:cs="Times New Roman" w:eastAsia="Times New Roman" w:hint="default"/>
          <w:spacing w:val="-2"/>
        </w:rPr>
        <w:t>6</w:t>
      </w:r>
      <w:r>
        <w:rPr>
          <w:spacing w:val="-2"/>
        </w:rPr>
        <w:t>号院的房屋所有权及对应的土地使用权（不动产权号：京（</w:t>
      </w:r>
      <w:r>
        <w:rPr>
          <w:rFonts w:ascii="Times New Roman" w:hAnsi="Times New Roman" w:cs="Times New Roman" w:eastAsia="Times New Roman" w:hint="default"/>
          <w:spacing w:val="-2"/>
        </w:rPr>
        <w:t>2016</w:t>
      </w:r>
      <w:r>
        <w:rPr>
          <w:spacing w:val="-2"/>
        </w:rPr>
        <w:t>）开发区不动产第</w:t>
      </w:r>
      <w:r>
        <w:rPr>
          <w:rFonts w:ascii="Times New Roman" w:hAnsi="Times New Roman" w:cs="Times New Roman" w:eastAsia="Times New Roman" w:hint="default"/>
          <w:spacing w:val="-2"/>
        </w:rPr>
        <w:t>0019466</w:t>
      </w:r>
      <w:r>
        <w:rPr>
          <w:spacing w:val="-2"/>
        </w:rPr>
        <w:t>号、京（</w:t>
      </w:r>
      <w:r>
        <w:rPr>
          <w:rFonts w:ascii="Times New Roman" w:hAnsi="Times New Roman" w:cs="Times New Roman" w:eastAsia="Times New Roman" w:hint="default"/>
          <w:spacing w:val="-2"/>
        </w:rPr>
        <w:t>2016</w:t>
      </w:r>
      <w:r>
        <w:rPr>
          <w:spacing w:val="-2"/>
        </w:rPr>
        <w:t>）开发区不</w:t>
      </w:r>
      <w:r>
        <w:rPr>
          <w:spacing w:val="-60"/>
        </w:rPr>
        <w:t> </w:t>
      </w:r>
      <w:r>
        <w:rPr>
          <w:spacing w:val="-60"/>
        </w:rPr>
      </w:r>
      <w:r>
        <w:rPr/>
        <w:t>动产权第</w:t>
      </w:r>
      <w:r>
        <w:rPr>
          <w:rFonts w:ascii="Times New Roman" w:hAnsi="Times New Roman" w:cs="Times New Roman" w:eastAsia="Times New Roman" w:hint="default"/>
        </w:rPr>
        <w:t>0019668</w:t>
      </w:r>
      <w:r>
        <w:rPr/>
        <w:t>号）为抵押，保证人为本公司及自然人耿殿根，合同项下借款金额为</w:t>
      </w:r>
      <w:r>
        <w:rPr>
          <w:rFonts w:ascii="Times New Roman" w:hAnsi="Times New Roman" w:cs="Times New Roman" w:eastAsia="Times New Roman" w:hint="default"/>
        </w:rPr>
        <w:t>62,000</w:t>
      </w:r>
      <w:r>
        <w:rPr/>
        <w:t>万元整，借款期限为</w:t>
      </w:r>
      <w:r>
        <w:rPr>
          <w:rFonts w:ascii="Times New Roman" w:hAnsi="Times New Roman" w:cs="Times New Roman" w:eastAsia="Times New Roman" w:hint="default"/>
        </w:rPr>
        <w:t>10</w:t>
      </w:r>
      <w:r>
        <w:rPr/>
        <w:t>年。</w:t>
      </w:r>
    </w:p>
    <w:p>
      <w:pPr>
        <w:pStyle w:val="BodyText"/>
        <w:spacing w:line="300" w:lineRule="auto" w:before="13"/>
        <w:ind w:right="1138"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日，公司与中国工商银行北京经济技术开发区支行签订流动资金贷款合同，由耿殿根作为连带责任保 证人，贷款额度为壹亿元，期限为</w:t>
      </w:r>
      <w:r>
        <w:rPr>
          <w:rFonts w:ascii="Times New Roman" w:hAnsi="Times New Roman" w:cs="Times New Roman" w:eastAsia="Times New Roman" w:hint="default"/>
        </w:rPr>
        <w:t>1</w:t>
      </w:r>
      <w:r>
        <w:rPr/>
        <w:t>年，自实际提款日起算。截至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日，该担保项下贷款已全部偿还。</w:t>
      </w:r>
    </w:p>
    <w:p>
      <w:pPr>
        <w:pStyle w:val="BodyText"/>
        <w:spacing w:line="300" w:lineRule="auto" w:before="13"/>
        <w:ind w:right="1138" w:firstLine="42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日，公司与招商银行股份有限公司北京建国路支行签订授信协议，由耿殿根作为连带责任保证人，授 信额度为人民币壹亿元，期限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日，该笔担保项下贷款余额</w:t>
      </w:r>
      <w:r>
        <w:rPr>
          <w:rFonts w:ascii="Times New Roman" w:hAnsi="Times New Roman" w:cs="Times New Roman" w:eastAsia="Times New Roman" w:hint="default"/>
        </w:rPr>
        <w:t>50,000,000.00</w:t>
      </w:r>
      <w:r>
        <w:rPr/>
        <w:t>元。</w:t>
      </w:r>
    </w:p>
    <w:p>
      <w:pPr>
        <w:pStyle w:val="BodyText"/>
        <w:spacing w:line="300" w:lineRule="auto" w:before="13"/>
        <w:ind w:right="1132" w:firstLine="420"/>
        <w:jc w:val="both"/>
      </w:pP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6</w:t>
      </w:r>
      <w:r>
        <w:rPr>
          <w:spacing w:val="-5"/>
        </w:rPr>
        <w:t>日，公司与北京银行股份有限公司红星支行签订综合授信合同，由百汇达及耿殿根作为连带责任保证人，</w:t>
      </w:r>
      <w:r>
        <w:rPr/>
        <w:t> 授信额度为人民币壹亿元，期限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日，该担保项下贷款余额已偿还。</w:t>
      </w:r>
    </w:p>
    <w:p>
      <w:pPr>
        <w:pStyle w:val="BodyText"/>
        <w:spacing w:line="300" w:lineRule="auto" w:before="13"/>
        <w:ind w:right="1129" w:firstLine="420"/>
        <w:jc w:val="both"/>
      </w:pPr>
      <w:r>
        <w:rPr>
          <w:rFonts w:ascii="Times New Roman" w:hAnsi="Times New Roman" w:cs="Times New Roman" w:eastAsia="Times New Roman" w:hint="default"/>
          <w:spacing w:val="-1"/>
        </w:rPr>
        <w:t>6</w:t>
      </w:r>
      <w:r>
        <w:rPr>
          <w:spacing w:val="-1"/>
        </w:rPr>
        <w:t>）公司分别在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日与华夏银行股份有限公司北京长安支行签订最高额融资合同，由耿殿根</w:t>
      </w:r>
      <w:r>
        <w:rPr/>
        <w:t> </w:t>
      </w:r>
      <w:r>
        <w:rPr>
          <w:spacing w:val="-4"/>
        </w:rPr>
        <w:t>作为连带责任保证人，最高融资额度人民币为贰亿元，期限</w:t>
      </w:r>
      <w:r>
        <w:rPr>
          <w:rFonts w:ascii="Times New Roman" w:hAnsi="Times New Roman" w:cs="Times New Roman" w:eastAsia="Times New Roman" w:hint="default"/>
          <w:spacing w:val="-4"/>
        </w:rPr>
        <w:t>1</w:t>
      </w:r>
      <w:r>
        <w:rPr>
          <w:spacing w:val="-4"/>
        </w:rPr>
        <w:t>年。截至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日，该担保项下贷款余额为</w:t>
      </w:r>
      <w:r>
        <w:rPr>
          <w:rFonts w:ascii="Times New Roman" w:hAnsi="Times New Roman" w:cs="Times New Roman" w:eastAsia="Times New Roman" w:hint="default"/>
          <w:spacing w:val="-4"/>
        </w:rPr>
        <w:t>130,000,000.00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元。</w:t>
      </w:r>
    </w:p>
    <w:p>
      <w:pPr>
        <w:pStyle w:val="BodyText"/>
        <w:spacing w:line="300" w:lineRule="auto" w:before="31"/>
        <w:ind w:right="1138" w:firstLine="42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日，公司与中国民生银行股份有限公司北京分行签订综合授信合同，由耿殿根作为连带责任保证人， 最高授信额度为壹亿伍仟万元整，期限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日，该担保项下贷款余额</w:t>
      </w:r>
      <w:r>
        <w:rPr>
          <w:rFonts w:ascii="Times New Roman" w:hAnsi="Times New Roman" w:cs="Times New Roman" w:eastAsia="Times New Roman" w:hint="default"/>
        </w:rPr>
        <w:t>100,000,000.00</w:t>
      </w:r>
      <w:r>
        <w:rPr/>
        <w:t>元。</w:t>
      </w:r>
    </w:p>
    <w:p>
      <w:pPr>
        <w:pStyle w:val="BodyText"/>
        <w:spacing w:line="300" w:lineRule="auto" w:before="13"/>
        <w:ind w:right="1128" w:firstLine="42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日，公司与宁波银行股份有限公司北京分行签订银行承兑总协议，同时耿殿根与宁波银行股份有限公 </w:t>
      </w:r>
      <w:r>
        <w:rPr>
          <w:spacing w:val="-2"/>
        </w:rPr>
        <w:t>司北京分行签订最高额保证合同，为公司提供最高债权限额为等值人民币贰亿元整的连带责任保证担保。截止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0"/>
        </w:rPr>
        <w:t> </w:t>
      </w:r>
      <w:r>
        <w:rPr/>
        <w:t>日公司在宁波银行股份有限公司北京分行开具银行承兑汇票金额壹亿元，票据到期日为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w:t>
      </w:r>
    </w:p>
    <w:p>
      <w:pPr>
        <w:pStyle w:val="BodyText"/>
        <w:spacing w:line="300" w:lineRule="auto" w:before="13"/>
        <w:ind w:right="1135" w:firstLine="420"/>
        <w:jc w:val="both"/>
      </w:pP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月，公司与紫金信托有限责任公司签订信托贷款合同，由耿殿根作为连带责任保证人，贷款额度为伍亿元。</w:t>
      </w:r>
      <w:r>
        <w:rPr/>
        <w:t>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日，该担保项下贷款已全部偿还。</w:t>
      </w:r>
    </w:p>
    <w:p>
      <w:pPr>
        <w:pStyle w:val="BodyText"/>
        <w:spacing w:line="300" w:lineRule="auto" w:before="13"/>
        <w:ind w:right="1130" w:firstLine="420"/>
        <w:jc w:val="both"/>
      </w:pP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日，公司与工商银行北京经济技术开发区支行签订借款合同，由耿殿根作为连带责任保证人，最高授</w:t>
      </w:r>
      <w:r>
        <w:rPr/>
        <w:t> 信额度为壹亿元整，期限</w:t>
      </w:r>
      <w:r>
        <w:rPr>
          <w:rFonts w:ascii="Times New Roman" w:hAnsi="Times New Roman" w:cs="Times New Roman" w:eastAsia="Times New Roman" w:hint="default"/>
        </w:rPr>
        <w:t>1</w:t>
      </w:r>
      <w:r>
        <w:rPr/>
        <w:t>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日，贷款余额为</w:t>
      </w:r>
      <w:r>
        <w:rPr>
          <w:rFonts w:ascii="Times New Roman" w:hAnsi="Times New Roman" w:cs="Times New Roman" w:eastAsia="Times New Roman" w:hint="default"/>
        </w:rPr>
        <w:t>4,797,664.69</w:t>
      </w:r>
      <w:r>
        <w:rPr/>
        <w:t>元。</w:t>
      </w:r>
    </w:p>
    <w:p>
      <w:pPr>
        <w:pStyle w:val="BodyText"/>
        <w:spacing w:line="300" w:lineRule="auto" w:before="13"/>
        <w:ind w:right="1131" w:firstLine="420"/>
        <w:jc w:val="both"/>
      </w:pPr>
      <w:r>
        <w:rPr>
          <w:rFonts w:ascii="Times New Roman" w:hAnsi="Times New Roman" w:cs="Times New Roman" w:eastAsia="Times New Roman" w:hint="default"/>
        </w:rPr>
        <w:t>11</w:t>
      </w:r>
      <w:r>
        <w:rPr/>
        <w:t>）公司控股子公司光环云数据有限与尚阳科技股份签订了融资租赁合同，租赁物为办公设备，开展融资租赁的固定 产截至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5,376,448.01</w:t>
      </w:r>
      <w:r>
        <w:rPr/>
        <w:t>元，融资金额</w:t>
      </w:r>
      <w:r>
        <w:rPr>
          <w:rFonts w:ascii="Times New Roman" w:hAnsi="Times New Roman" w:cs="Times New Roman" w:eastAsia="Times New Roman" w:hint="default"/>
        </w:rPr>
        <w:t>7,984,344.08</w:t>
      </w:r>
      <w:r>
        <w:rPr/>
        <w:t>元，租赁期自</w:t>
      </w:r>
      <w:r>
        <w:rPr>
          <w:spacing w:val="-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日融资</w:t>
      </w:r>
    </w:p>
    <w:p>
      <w:pPr>
        <w:spacing w:after="0" w:line="300" w:lineRule="auto"/>
        <w:jc w:val="both"/>
        <w:sectPr>
          <w:footerReference w:type="default" r:id="rId23"/>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spacing w:val="-4"/>
        </w:rPr>
        <w:t>期限为三年，租赁期满，公司以留购价格</w:t>
      </w:r>
      <w:r>
        <w:rPr>
          <w:rFonts w:ascii="Times New Roman" w:hAnsi="Times New Roman" w:cs="Times New Roman" w:eastAsia="Times New Roman" w:hint="default"/>
          <w:spacing w:val="-4"/>
        </w:rPr>
        <w:t>0</w:t>
      </w:r>
      <w:r>
        <w:rPr>
          <w:spacing w:val="-4"/>
        </w:rPr>
        <w:t>元回购该部分租赁物所有权，光环云数据限公司董事长杨宇航为连带责任保证人。</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4）关键管理人员报酬" w:id="344"/>
      <w:bookmarkEnd w:id="344"/>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16,935,675.67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16,384,559.24</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5）其他关联交易" w:id="345"/>
      <w:bookmarkEnd w:id="345"/>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31" w:firstLine="420"/>
        <w:jc w:val="both"/>
      </w:pP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日与金福沈签署了《一致行动协议》，公司和金福沈分别以</w:t>
      </w:r>
      <w:r>
        <w:rPr>
          <w:rFonts w:ascii="Times New Roman" w:hAnsi="Times New Roman" w:cs="Times New Roman" w:eastAsia="Times New Roman" w:hint="default"/>
          <w:spacing w:val="-1"/>
        </w:rPr>
        <w:t>3,972.97</w:t>
      </w:r>
      <w:r>
        <w:rPr>
          <w:spacing w:val="-1"/>
        </w:rPr>
        <w:t>万元、</w:t>
      </w:r>
      <w:r>
        <w:rPr>
          <w:rFonts w:ascii="Times New Roman" w:hAnsi="Times New Roman" w:cs="Times New Roman" w:eastAsia="Times New Roman" w:hint="default"/>
          <w:spacing w:val="-1"/>
        </w:rPr>
        <w:t>7,459.46</w:t>
      </w:r>
      <w:r>
        <w:rPr>
          <w:spacing w:val="-1"/>
        </w:rPr>
        <w:t>万元现金对昆山</w:t>
      </w:r>
      <w:r>
        <w:rPr/>
        <w:t> </w:t>
      </w:r>
      <w:r>
        <w:rPr>
          <w:spacing w:val="-2"/>
        </w:rPr>
        <w:t>美鸿业金属制品有限公司进行增资（详见本节十六、其他重要事项），自本次投资完成之日起，在决定标的公司有关经营发</w:t>
      </w:r>
      <w:r>
        <w:rPr>
          <w:spacing w:val="-65"/>
        </w:rPr>
        <w:t> </w:t>
      </w:r>
      <w:r>
        <w:rPr>
          <w:spacing w:val="-65"/>
        </w:rPr>
      </w:r>
      <w:r>
        <w:rPr>
          <w:spacing w:val="-2"/>
        </w:rPr>
        <w:t>展、且需经标的公司股东会审议批准的重大事项时，金福沈将跟随公司行使股东权利，与公司保持一致。特别是行使股东会</w:t>
      </w:r>
      <w:r>
        <w:rPr>
          <w:spacing w:val="-65"/>
        </w:rPr>
        <w:t> </w:t>
      </w:r>
      <w:r>
        <w:rPr>
          <w:spacing w:val="-65"/>
        </w:rPr>
      </w:r>
      <w:r>
        <w:rPr>
          <w:spacing w:val="-2"/>
        </w:rPr>
        <w:t>召集权、提案权、表决权时采取一致行动。如协议一方拟就上述约定所述一致行动事项向股东会提出议案时及在标的公司召</w:t>
      </w:r>
      <w:r>
        <w:rPr>
          <w:spacing w:val="-66"/>
        </w:rPr>
        <w:t> </w:t>
      </w:r>
      <w:r>
        <w:rPr>
          <w:spacing w:val="-66"/>
        </w:rPr>
      </w:r>
      <w:r>
        <w:rPr/>
        <w:t>开股东会上述所述一致行动事项前，最终按照甲方决定的意见在股东会上对该等事项提议及行使表决权。</w:t>
      </w:r>
    </w:p>
    <w:p>
      <w:pPr>
        <w:spacing w:line="240" w:lineRule="auto" w:before="12"/>
        <w:rPr>
          <w:rFonts w:ascii="宋体" w:hAnsi="宋体" w:cs="宋体" w:eastAsia="宋体" w:hint="default"/>
          <w:sz w:val="22"/>
          <w:szCs w:val="22"/>
        </w:rPr>
      </w:pPr>
    </w:p>
    <w:p>
      <w:pPr>
        <w:pStyle w:val="Heading3"/>
        <w:spacing w:line="240" w:lineRule="auto"/>
        <w:ind w:right="3827"/>
        <w:jc w:val="left"/>
        <w:rPr>
          <w:b w:val="0"/>
          <w:bCs w:val="0"/>
        </w:rPr>
      </w:pPr>
      <w:bookmarkStart w:name="6、关联方应收应付款项" w:id="346"/>
      <w:bookmarkEnd w:id="34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应收项目" w:id="347"/>
      <w:bookmarkEnd w:id="34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216.529999pt;margin-top:109.17173pt;width:79.2pt;height:15.6pt;mso-position-horizontal-relative:page;mso-position-vertical-relative:paragraph;z-index:-1238368" coordorigin="4331,2183" coordsize="1584,312">
            <v:shape style="position:absolute;left:4331;top:2183;width:1584;height:312" coordorigin="4331,2183" coordsize="1584,312" path="m4331,2495l5915,2495,5915,2183,4331,2183,4331,2495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北京亦庄国际产业 互联网研究院股份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329,549.74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375,939.43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中金云金融（北京 大数据科技股份有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616" w:right="0"/>
              <w:jc w:val="left"/>
              <w:rPr>
                <w:rFonts w:ascii="Times New Roman" w:hAnsi="Times New Roman" w:cs="Times New Roman" w:eastAsia="Times New Roman" w:hint="default"/>
                <w:sz w:val="18"/>
                <w:szCs w:val="18"/>
              </w:rPr>
            </w:pPr>
            <w:r>
              <w:rPr>
                <w:rFonts w:ascii="Times New Roman"/>
                <w:sz w:val="18"/>
              </w:rPr>
              <w:t>7,128,000.00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中金数据（武汉）超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算技术有限公司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中金数据系统有限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781,929.64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北京首信圆方机电 设备有限公司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4,845,593.74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12,824,421.09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冯天放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2,455,917.97</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应付项目" w:id="348"/>
      <w:bookmarkEnd w:id="34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footerReference w:type="default" r:id="rId24"/>
          <w:pgSz w:w="11910" w:h="16840"/>
          <w:pgMar w:footer="980" w:header="745"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中金数据系统有限公司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522,457.75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558,587.55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北京长城光环宽带网络技术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180,113.78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180,113.78</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7、关联方承诺" w:id="349"/>
      <w:bookmarkEnd w:id="34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3827"/>
        <w:jc w:val="left"/>
      </w:pPr>
      <w:r>
        <w:rPr/>
        <w:t>本公司本期无关联方承诺情况。</w:t>
      </w:r>
    </w:p>
    <w:p>
      <w:pPr>
        <w:spacing w:line="240" w:lineRule="auto" w:before="3"/>
        <w:rPr>
          <w:rFonts w:ascii="宋体" w:hAnsi="宋体" w:cs="宋体" w:eastAsia="宋体" w:hint="default"/>
          <w:sz w:val="25"/>
          <w:szCs w:val="25"/>
        </w:rPr>
      </w:pPr>
    </w:p>
    <w:p>
      <w:pPr>
        <w:pStyle w:val="Heading2"/>
        <w:spacing w:line="240" w:lineRule="auto"/>
        <w:ind w:right="3827"/>
        <w:jc w:val="left"/>
        <w:rPr>
          <w:b w:val="0"/>
          <w:bCs w:val="0"/>
        </w:rPr>
      </w:pPr>
      <w:bookmarkStart w:name="十三、股份支付" w:id="350"/>
      <w:bookmarkEnd w:id="350"/>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7"/>
        <w:jc w:val="left"/>
        <w:rPr>
          <w:b w:val="0"/>
          <w:bCs w:val="0"/>
        </w:rPr>
      </w:pPr>
      <w:bookmarkStart w:name="1、股份支付总体情况" w:id="351"/>
      <w:bookmarkEnd w:id="35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2,951,358.00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1,605,900.00</w:t>
            </w:r>
          </w:p>
        </w:tc>
      </w:tr>
      <w:tr>
        <w:trPr>
          <w:trHeight w:val="71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期末发行在外的首期股票期权的行权价格为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元，有效期为自股票期权授予之日起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3827"/>
        <w:jc w:val="left"/>
      </w:pPr>
      <w:r>
        <w:rPr/>
        <w:t>其他说明</w:t>
      </w:r>
    </w:p>
    <w:p>
      <w:pPr>
        <w:pStyle w:val="BodyText"/>
        <w:spacing w:line="300" w:lineRule="auto" w:before="115"/>
        <w:ind w:right="1126"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5</w:t>
      </w:r>
      <w:r>
        <w:rPr>
          <w:spacing w:val="-1"/>
        </w:rPr>
        <w:t>日，公司召开</w:t>
      </w:r>
      <w:r>
        <w:rPr>
          <w:rFonts w:ascii="Times New Roman" w:hAnsi="Times New Roman" w:cs="Times New Roman" w:eastAsia="Times New Roman" w:hint="default"/>
          <w:spacing w:val="-1"/>
        </w:rPr>
        <w:t>2015</w:t>
      </w:r>
      <w:r>
        <w:rPr>
          <w:spacing w:val="-1"/>
        </w:rPr>
        <w:t>年度股东大会审议通过了公司首期股票期权激励计划议案，同意公司向</w:t>
      </w:r>
      <w:r>
        <w:rPr>
          <w:rFonts w:ascii="Times New Roman" w:hAnsi="Times New Roman" w:cs="Times New Roman" w:eastAsia="Times New Roman" w:hint="default"/>
          <w:spacing w:val="-1"/>
        </w:rPr>
        <w:t>102</w:t>
      </w:r>
      <w:r>
        <w:rPr>
          <w:spacing w:val="-1"/>
        </w:rPr>
        <w:t>名激励对象合</w:t>
      </w:r>
      <w:r>
        <w:rPr/>
        <w:t> </w:t>
      </w:r>
      <w:r>
        <w:rPr>
          <w:spacing w:val="3"/>
        </w:rPr>
        <w:t>计授予</w:t>
      </w:r>
      <w:r>
        <w:rPr>
          <w:rFonts w:ascii="Times New Roman" w:hAnsi="Times New Roman" w:cs="Times New Roman" w:eastAsia="Times New Roman" w:hint="default"/>
          <w:spacing w:val="3"/>
        </w:rPr>
        <w:t>545</w:t>
      </w:r>
      <w:r>
        <w:rPr>
          <w:spacing w:val="3"/>
        </w:rPr>
        <w:t>万份股票期权，涉及的标的股票种类为人民币</w:t>
      </w:r>
      <w:r>
        <w:rPr>
          <w:rFonts w:ascii="Times New Roman" w:hAnsi="Times New Roman" w:cs="Times New Roman" w:eastAsia="Times New Roman" w:hint="default"/>
          <w:spacing w:val="3"/>
        </w:rPr>
        <w:t>A</w:t>
      </w:r>
      <w:r>
        <w:rPr>
          <w:spacing w:val="3"/>
        </w:rPr>
        <w:t>股普通股，约占该激励计划审议时公司总股本</w:t>
      </w:r>
      <w:r>
        <w:rPr>
          <w:rFonts w:ascii="Times New Roman" w:hAnsi="Times New Roman" w:cs="Times New Roman" w:eastAsia="Times New Roman" w:hint="default"/>
          <w:spacing w:val="3"/>
        </w:rPr>
        <w:t>545,800,000</w:t>
      </w:r>
      <w:r>
        <w:rPr>
          <w:spacing w:val="3"/>
        </w:rPr>
        <w:t>股的</w:t>
      </w:r>
      <w:r>
        <w:rPr>
          <w:spacing w:val="-65"/>
        </w:rPr>
        <w:t> </w:t>
      </w:r>
      <w:r>
        <w:rPr>
          <w:rFonts w:ascii="Times New Roman" w:hAnsi="Times New Roman" w:cs="Times New Roman" w:eastAsia="Times New Roman" w:hint="default"/>
        </w:rPr>
        <w:t>1.00%</w:t>
      </w:r>
      <w:r>
        <w:rPr/>
        <w:t>，行权价格为</w:t>
      </w:r>
      <w:r>
        <w:rPr>
          <w:rFonts w:ascii="Times New Roman" w:hAnsi="Times New Roman" w:cs="Times New Roman" w:eastAsia="Times New Roman" w:hint="default"/>
        </w:rPr>
        <w:t>36.24</w:t>
      </w:r>
      <w:r>
        <w:rPr/>
        <w:t>元。</w:t>
      </w:r>
    </w:p>
    <w:p>
      <w:pPr>
        <w:pStyle w:val="BodyText"/>
        <w:spacing w:line="307" w:lineRule="auto" w:before="13"/>
        <w:ind w:right="1132"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日，公司召开第三届董事会</w:t>
      </w:r>
      <w:r>
        <w:rPr>
          <w:rFonts w:ascii="Times New Roman" w:hAnsi="Times New Roman" w:cs="Times New Roman" w:eastAsia="Times New Roman" w:hint="default"/>
        </w:rPr>
        <w:t>2016</w:t>
      </w:r>
      <w:r>
        <w:rPr/>
        <w:t>年第三次会议和第三届监事会</w:t>
      </w:r>
      <w:r>
        <w:rPr>
          <w:rFonts w:ascii="Times New Roman" w:hAnsi="Times New Roman" w:cs="Times New Roman" w:eastAsia="Times New Roman" w:hint="default"/>
        </w:rPr>
        <w:t>2016</w:t>
      </w:r>
      <w:r>
        <w:rPr/>
        <w:t>年第三次会议，分别审议通过了《关于 </w:t>
      </w:r>
      <w:r>
        <w:rPr>
          <w:spacing w:val="-2"/>
        </w:rPr>
        <w:t>调整公司首期股票期权激励计划激励对象名单及股票期权数量的议案》和《关于公司首期股票期权激励计划所涉股票期权授</w:t>
      </w:r>
      <w:r>
        <w:rPr>
          <w:spacing w:val="-64"/>
        </w:rPr>
        <w:t> </w:t>
      </w:r>
      <w:r>
        <w:rPr>
          <w:spacing w:val="-64"/>
        </w:rPr>
      </w:r>
      <w:r>
        <w:rPr>
          <w:spacing w:val="-2"/>
        </w:rPr>
        <w:t>予相关事项的议案》，取消</w:t>
      </w:r>
      <w:r>
        <w:rPr>
          <w:rFonts w:ascii="Times New Roman" w:hAnsi="Times New Roman" w:cs="Times New Roman" w:eastAsia="Times New Roman" w:hint="default"/>
          <w:spacing w:val="-2"/>
        </w:rPr>
        <w:t>2</w:t>
      </w:r>
      <w:r>
        <w:rPr>
          <w:spacing w:val="-2"/>
        </w:rPr>
        <w:t>名已离职激励对象资格并取消拟授予其股票期权</w:t>
      </w:r>
      <w:r>
        <w:rPr>
          <w:rFonts w:ascii="Times New Roman" w:hAnsi="Times New Roman" w:cs="Times New Roman" w:eastAsia="Times New Roman" w:hint="default"/>
          <w:spacing w:val="-2"/>
        </w:rPr>
        <w:t>8</w:t>
      </w:r>
      <w:r>
        <w:rPr>
          <w:spacing w:val="-2"/>
        </w:rPr>
        <w:t>万份。调整后本次股权激励计划拟授予的激励</w:t>
      </w:r>
      <w:r>
        <w:rPr>
          <w:spacing w:val="-62"/>
        </w:rPr>
        <w:t> </w:t>
      </w:r>
      <w:r>
        <w:rPr>
          <w:spacing w:val="-62"/>
        </w:rPr>
      </w:r>
      <w:r>
        <w:rPr/>
        <w:t>对象人数为</w:t>
      </w:r>
      <w:r>
        <w:rPr>
          <w:rFonts w:ascii="Times New Roman" w:hAnsi="Times New Roman" w:cs="Times New Roman" w:eastAsia="Times New Roman" w:hint="default"/>
        </w:rPr>
        <w:t>100</w:t>
      </w:r>
      <w:r>
        <w:rPr/>
        <w:t>人，拟授予的股票期权数量为</w:t>
      </w:r>
      <w:r>
        <w:rPr>
          <w:rFonts w:ascii="Times New Roman" w:hAnsi="Times New Roman" w:cs="Times New Roman" w:eastAsia="Times New Roman" w:hint="default"/>
        </w:rPr>
        <w:t>537</w:t>
      </w:r>
      <w:r>
        <w:rPr/>
        <w:t>万份，行权价格为</w:t>
      </w:r>
      <w:r>
        <w:rPr>
          <w:rFonts w:ascii="Times New Roman" w:hAnsi="Times New Roman" w:cs="Times New Roman" w:eastAsia="Times New Roman" w:hint="default"/>
        </w:rPr>
        <w:t>36.24</w:t>
      </w:r>
      <w:r>
        <w:rPr/>
        <w:t>元，授予日为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w:t>
      </w:r>
    </w:p>
    <w:p>
      <w:pPr>
        <w:pStyle w:val="BodyText"/>
        <w:spacing w:line="300" w:lineRule="auto" w:before="7"/>
        <w:ind w:right="1131"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日，公司召开第三届董事会</w:t>
      </w:r>
      <w:r>
        <w:rPr>
          <w:rFonts w:ascii="Times New Roman" w:hAnsi="Times New Roman" w:cs="Times New Roman" w:eastAsia="Times New Roman" w:hint="default"/>
        </w:rPr>
        <w:t>2016</w:t>
      </w:r>
      <w:r>
        <w:rPr/>
        <w:t>年第四次会议审议通过了《关于调整公司首期股票期权激励计划行权价格 </w:t>
      </w:r>
      <w:r>
        <w:rPr>
          <w:spacing w:val="-1"/>
          <w:w w:val="100"/>
        </w:rPr>
        <w:t>的议案》，因公司于</w:t>
      </w:r>
      <w:r>
        <w:rPr>
          <w:rFonts w:ascii="Times New Roman" w:hAnsi="Times New Roman" w:cs="Times New Roman" w:eastAsia="Times New Roman" w:hint="default"/>
          <w:spacing w:val="-1"/>
          <w:w w:val="100"/>
        </w:rPr>
        <w:t>2016</w:t>
      </w:r>
      <w:r>
        <w:rPr>
          <w:spacing w:val="-1"/>
          <w:w w:val="100"/>
        </w:rPr>
        <w:t>年</w:t>
      </w:r>
      <w:r>
        <w:rPr>
          <w:rFonts w:ascii="Times New Roman" w:hAnsi="Times New Roman" w:cs="Times New Roman" w:eastAsia="Times New Roman" w:hint="default"/>
          <w:spacing w:val="-1"/>
          <w:w w:val="100"/>
        </w:rPr>
        <w:t>4</w:t>
      </w:r>
      <w:r>
        <w:rPr>
          <w:spacing w:val="-1"/>
          <w:w w:val="100"/>
        </w:rPr>
        <w:t>月</w:t>
      </w:r>
      <w:r>
        <w:rPr>
          <w:rFonts w:ascii="Times New Roman" w:hAnsi="Times New Roman" w:cs="Times New Roman" w:eastAsia="Times New Roman" w:hint="default"/>
          <w:spacing w:val="-1"/>
          <w:w w:val="100"/>
        </w:rPr>
        <w:t>13</w:t>
      </w:r>
      <w:r>
        <w:rPr>
          <w:spacing w:val="-1"/>
          <w:w w:val="100"/>
        </w:rPr>
        <w:t>日实施了</w:t>
      </w:r>
      <w:r>
        <w:rPr>
          <w:rFonts w:ascii="Times New Roman" w:hAnsi="Times New Roman" w:cs="Times New Roman" w:eastAsia="Times New Roman" w:hint="default"/>
          <w:spacing w:val="-1"/>
          <w:w w:val="100"/>
        </w:rPr>
        <w:t>“</w:t>
      </w:r>
      <w:r>
        <w:rPr>
          <w:spacing w:val="-1"/>
          <w:w w:val="100"/>
        </w:rPr>
        <w:t>每</w:t>
      </w:r>
      <w:r>
        <w:rPr>
          <w:rFonts w:ascii="Times New Roman" w:hAnsi="Times New Roman" w:cs="Times New Roman" w:eastAsia="Times New Roman" w:hint="default"/>
          <w:spacing w:val="-1"/>
          <w:w w:val="100"/>
        </w:rPr>
        <w:t>10</w:t>
      </w:r>
      <w:r>
        <w:rPr>
          <w:spacing w:val="-1"/>
          <w:w w:val="100"/>
        </w:rPr>
        <w:t>股派发现金红利</w:t>
      </w:r>
      <w:r>
        <w:rPr>
          <w:rFonts w:ascii="Times New Roman" w:hAnsi="Times New Roman" w:cs="Times New Roman" w:eastAsia="Times New Roman" w:hint="default"/>
          <w:spacing w:val="-1"/>
          <w:w w:val="100"/>
        </w:rPr>
        <w:t>0.2</w:t>
      </w:r>
      <w:r>
        <w:rPr>
          <w:spacing w:val="-1"/>
          <w:w w:val="100"/>
        </w:rPr>
        <w:t>元人民币（含税）</w:t>
      </w:r>
      <w:r>
        <w:rPr>
          <w:rFonts w:ascii="Times New Roman" w:hAnsi="Times New Roman" w:cs="Times New Roman" w:eastAsia="Times New Roman" w:hint="default"/>
          <w:spacing w:val="-1"/>
          <w:w w:val="100"/>
        </w:rPr>
        <w:t>”</w:t>
      </w:r>
      <w:r>
        <w:rPr>
          <w:spacing w:val="-1"/>
          <w:w w:val="100"/>
        </w:rPr>
        <w:t>的</w:t>
      </w:r>
      <w:r>
        <w:rPr>
          <w:rFonts w:ascii="Times New Roman" w:hAnsi="Times New Roman" w:cs="Times New Roman" w:eastAsia="Times New Roman" w:hint="default"/>
          <w:spacing w:val="-1"/>
          <w:w w:val="100"/>
        </w:rPr>
        <w:t>2015</w:t>
      </w:r>
      <w:r>
        <w:rPr>
          <w:spacing w:val="-1"/>
          <w:w w:val="100"/>
        </w:rPr>
        <w:t>年度利润分配方案，行权价格</w:t>
      </w:r>
      <w:r>
        <w:rPr>
          <w:spacing w:val="-57"/>
          <w:w w:val="100"/>
        </w:rPr>
        <w:t> </w:t>
      </w:r>
      <w:r>
        <w:rPr>
          <w:spacing w:val="-57"/>
          <w:w w:val="100"/>
        </w:rPr>
      </w:r>
      <w:r>
        <w:rPr/>
        <w:t>由</w:t>
      </w:r>
      <w:r>
        <w:rPr>
          <w:rFonts w:ascii="Times New Roman" w:hAnsi="Times New Roman" w:cs="Times New Roman" w:eastAsia="Times New Roman" w:hint="default"/>
        </w:rPr>
        <w:t>36.24</w:t>
      </w:r>
      <w:r>
        <w:rPr/>
        <w:t>元调整为</w:t>
      </w:r>
      <w:r>
        <w:rPr>
          <w:rFonts w:ascii="Times New Roman" w:hAnsi="Times New Roman" w:cs="Times New Roman" w:eastAsia="Times New Roman" w:hint="default"/>
        </w:rPr>
        <w:t>36.22</w:t>
      </w:r>
      <w:r>
        <w:rPr/>
        <w:t>元。</w:t>
      </w:r>
    </w:p>
    <w:p>
      <w:pPr>
        <w:pStyle w:val="BodyText"/>
        <w:spacing w:line="300" w:lineRule="auto" w:before="13"/>
        <w:ind w:right="986" w:firstLine="42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20</w:t>
      </w:r>
      <w:r>
        <w:rPr>
          <w:spacing w:val="-3"/>
        </w:rPr>
        <w:t>日，公司召开第三届董事会</w:t>
      </w:r>
      <w:r>
        <w:rPr>
          <w:rFonts w:ascii="Times New Roman" w:hAnsi="Times New Roman" w:cs="Times New Roman" w:eastAsia="Times New Roman" w:hint="default"/>
          <w:spacing w:val="-3"/>
        </w:rPr>
        <w:t>2017</w:t>
      </w:r>
      <w:r>
        <w:rPr>
          <w:spacing w:val="-3"/>
        </w:rPr>
        <w:t>年第一次会议审议通过了《关于调整首期股票期权激励计划激励对象名单、</w:t>
      </w:r>
      <w:r>
        <w:rPr/>
        <w:t> </w:t>
      </w:r>
      <w:r>
        <w:rPr>
          <w:spacing w:val="-4"/>
        </w:rPr>
        <w:t>股票期权数量及注销部分股票期权的议案》和《关于首期股票期权激励计划第一个行权期可行权的议案》，取消</w:t>
      </w:r>
      <w:r>
        <w:rPr>
          <w:rFonts w:ascii="Times New Roman" w:hAnsi="Times New Roman" w:cs="Times New Roman" w:eastAsia="Times New Roman" w:hint="default"/>
          <w:spacing w:val="-4"/>
        </w:rPr>
        <w:t>1</w:t>
      </w:r>
      <w:r>
        <w:rPr>
          <w:spacing w:val="-4"/>
        </w:rPr>
        <w:t>名已离职激</w:t>
      </w:r>
      <w:r>
        <w:rPr>
          <w:spacing w:val="-43"/>
        </w:rPr>
        <w:t> </w:t>
      </w:r>
      <w:r>
        <w:rPr/>
        <w:t>励对象资格并注销其已获授但尚未行权的</w:t>
      </w:r>
      <w:r>
        <w:rPr>
          <w:rFonts w:ascii="Times New Roman" w:hAnsi="Times New Roman" w:cs="Times New Roman" w:eastAsia="Times New Roman" w:hint="default"/>
        </w:rPr>
        <w:t>3</w:t>
      </w:r>
      <w:r>
        <w:rPr/>
        <w:t>万份股票期权，调整后本次股权激励计划已获授的激励对象人数为</w:t>
      </w:r>
      <w:r>
        <w:rPr>
          <w:rFonts w:ascii="Times New Roman" w:hAnsi="Times New Roman" w:cs="Times New Roman" w:eastAsia="Times New Roman" w:hint="default"/>
        </w:rPr>
        <w:t>99</w:t>
      </w:r>
      <w:r>
        <w:rPr/>
        <w:t>人，已授予</w:t>
      </w:r>
      <w:r>
        <w:rPr>
          <w:spacing w:val="-82"/>
        </w:rPr>
        <w:t> </w:t>
      </w:r>
      <w:r>
        <w:rPr/>
        <w:t>的股票期权数量为</w:t>
      </w:r>
      <w:r>
        <w:rPr>
          <w:rFonts w:ascii="Times New Roman" w:hAnsi="Times New Roman" w:cs="Times New Roman" w:eastAsia="Times New Roman" w:hint="default"/>
        </w:rPr>
        <w:t>534</w:t>
      </w:r>
      <w:r>
        <w:rPr/>
        <w:t>万份。确认首期股票期权激励计划第一个行权期行权条件已经满足，</w:t>
      </w:r>
      <w:r>
        <w:rPr>
          <w:rFonts w:ascii="Times New Roman" w:hAnsi="Times New Roman" w:cs="Times New Roman" w:eastAsia="Times New Roman" w:hint="default"/>
        </w:rPr>
        <w:t>99</w:t>
      </w:r>
      <w:r>
        <w:rPr/>
        <w:t>名激励对象在第一个行权期内</w:t>
      </w:r>
      <w:r>
        <w:rPr>
          <w:spacing w:val="-85"/>
        </w:rPr>
        <w:t> </w:t>
      </w:r>
      <w:r>
        <w:rPr/>
        <w:t>可行权数量为</w:t>
      </w:r>
      <w:r>
        <w:rPr>
          <w:rFonts w:ascii="Times New Roman" w:hAnsi="Times New Roman" w:cs="Times New Roman" w:eastAsia="Times New Roman" w:hint="default"/>
        </w:rPr>
        <w:t>213.6</w:t>
      </w:r>
      <w:r>
        <w:rPr/>
        <w:t>万份。</w:t>
      </w:r>
    </w:p>
    <w:p>
      <w:pPr>
        <w:pStyle w:val="BodyText"/>
        <w:spacing w:line="300" w:lineRule="auto" w:before="13"/>
        <w:ind w:right="1131"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日，公司召开第三届董事会</w:t>
      </w:r>
      <w:r>
        <w:rPr>
          <w:rFonts w:ascii="Times New Roman" w:hAnsi="Times New Roman" w:cs="Times New Roman" w:eastAsia="Times New Roman" w:hint="default"/>
          <w:spacing w:val="-2"/>
        </w:rPr>
        <w:t>2017</w:t>
      </w:r>
      <w:r>
        <w:rPr>
          <w:spacing w:val="-2"/>
        </w:rPr>
        <w:t>年第三次会议审议通过《关于调整公司首期股票期权激励计划股票期权数</w:t>
      </w:r>
      <w:r>
        <w:rPr/>
        <w:t> </w:t>
      </w:r>
      <w:r>
        <w:rPr>
          <w:spacing w:val="-1"/>
          <w:w w:val="100"/>
        </w:rPr>
        <w:t>量及行权价格的议案》，因公司于</w:t>
      </w:r>
      <w:r>
        <w:rPr>
          <w:rFonts w:ascii="Times New Roman" w:hAnsi="Times New Roman" w:cs="Times New Roman" w:eastAsia="Times New Roman" w:hint="default"/>
          <w:spacing w:val="-1"/>
          <w:w w:val="100"/>
        </w:rPr>
        <w:t>2017</w:t>
      </w:r>
      <w:r>
        <w:rPr>
          <w:spacing w:val="-1"/>
          <w:w w:val="100"/>
        </w:rPr>
        <w:t>年</w:t>
      </w:r>
      <w:r>
        <w:rPr>
          <w:rFonts w:ascii="Times New Roman" w:hAnsi="Times New Roman" w:cs="Times New Roman" w:eastAsia="Times New Roman" w:hint="default"/>
          <w:spacing w:val="-1"/>
          <w:w w:val="100"/>
        </w:rPr>
        <w:t>4</w:t>
      </w:r>
      <w:r>
        <w:rPr>
          <w:spacing w:val="-1"/>
          <w:w w:val="100"/>
        </w:rPr>
        <w:t>月</w:t>
      </w:r>
      <w:r>
        <w:rPr>
          <w:rFonts w:ascii="Times New Roman" w:hAnsi="Times New Roman" w:cs="Times New Roman" w:eastAsia="Times New Roman" w:hint="default"/>
          <w:spacing w:val="-1"/>
          <w:w w:val="100"/>
        </w:rPr>
        <w:t>28</w:t>
      </w:r>
      <w:r>
        <w:rPr>
          <w:spacing w:val="-1"/>
          <w:w w:val="100"/>
        </w:rPr>
        <w:t>日实施了</w:t>
      </w:r>
      <w:r>
        <w:rPr>
          <w:rFonts w:ascii="Times New Roman" w:hAnsi="Times New Roman" w:cs="Times New Roman" w:eastAsia="Times New Roman" w:hint="default"/>
          <w:spacing w:val="-1"/>
          <w:w w:val="100"/>
        </w:rPr>
        <w:t>“</w:t>
      </w:r>
      <w:r>
        <w:rPr>
          <w:spacing w:val="-1"/>
          <w:w w:val="100"/>
        </w:rPr>
        <w:t>每</w:t>
      </w:r>
      <w:r>
        <w:rPr>
          <w:rFonts w:ascii="Times New Roman" w:hAnsi="Times New Roman" w:cs="Times New Roman" w:eastAsia="Times New Roman" w:hint="default"/>
          <w:spacing w:val="-1"/>
          <w:w w:val="100"/>
        </w:rPr>
        <w:t>10</w:t>
      </w:r>
      <w:r>
        <w:rPr>
          <w:spacing w:val="-1"/>
          <w:w w:val="100"/>
        </w:rPr>
        <w:t>股转增</w:t>
      </w:r>
      <w:r>
        <w:rPr>
          <w:rFonts w:ascii="Times New Roman" w:hAnsi="Times New Roman" w:cs="Times New Roman" w:eastAsia="Times New Roman" w:hint="default"/>
          <w:spacing w:val="-1"/>
          <w:w w:val="100"/>
        </w:rPr>
        <w:t>10</w:t>
      </w:r>
      <w:r>
        <w:rPr>
          <w:spacing w:val="-1"/>
          <w:w w:val="100"/>
        </w:rPr>
        <w:t>股且派发现金红利</w:t>
      </w:r>
      <w:r>
        <w:rPr>
          <w:rFonts w:ascii="Times New Roman" w:hAnsi="Times New Roman" w:cs="Times New Roman" w:eastAsia="Times New Roman" w:hint="default"/>
          <w:spacing w:val="-1"/>
          <w:w w:val="100"/>
        </w:rPr>
        <w:t>1.00</w:t>
      </w:r>
      <w:r>
        <w:rPr>
          <w:spacing w:val="-1"/>
          <w:w w:val="100"/>
        </w:rPr>
        <w:t>元人民币</w:t>
      </w:r>
      <w:r>
        <w:rPr>
          <w:rFonts w:ascii="Times New Roman" w:hAnsi="Times New Roman" w:cs="Times New Roman" w:eastAsia="Times New Roman" w:hint="default"/>
          <w:spacing w:val="-1"/>
          <w:w w:val="100"/>
        </w:rPr>
        <w:t>(</w:t>
      </w:r>
      <w:r>
        <w:rPr>
          <w:spacing w:val="-1"/>
          <w:w w:val="100"/>
        </w:rPr>
        <w:t>含税</w:t>
      </w:r>
      <w:r>
        <w:rPr>
          <w:rFonts w:ascii="Times New Roman" w:hAnsi="Times New Roman" w:cs="Times New Roman" w:eastAsia="Times New Roman" w:hint="default"/>
          <w:spacing w:val="-1"/>
          <w:w w:val="100"/>
        </w:rPr>
        <w:t>)”</w:t>
      </w:r>
      <w:r>
        <w:rPr>
          <w:spacing w:val="-1"/>
          <w:w w:val="100"/>
        </w:rPr>
        <w:t>的</w:t>
      </w:r>
      <w:r>
        <w:rPr>
          <w:rFonts w:ascii="Times New Roman" w:hAnsi="Times New Roman" w:cs="Times New Roman" w:eastAsia="Times New Roman" w:hint="default"/>
          <w:spacing w:val="-1"/>
          <w:w w:val="100"/>
        </w:rPr>
        <w:t>2016</w:t>
      </w:r>
      <w:r>
        <w:rPr>
          <w:spacing w:val="-1"/>
          <w:w w:val="100"/>
        </w:rPr>
        <w:t>年利润</w:t>
      </w:r>
      <w:r>
        <w:rPr>
          <w:spacing w:val="-80"/>
          <w:w w:val="100"/>
        </w:rPr>
        <w:t> </w:t>
      </w:r>
      <w:r>
        <w:rPr/>
        <w:t>分配方案</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调整后本次公司首期股票期权激励计划已授予股票期权总数为</w:t>
      </w:r>
      <w:r>
        <w:rPr>
          <w:rFonts w:ascii="Times New Roman" w:hAnsi="Times New Roman" w:cs="Times New Roman" w:eastAsia="Times New Roman" w:hint="default"/>
        </w:rPr>
        <w:t>1,068</w:t>
      </w:r>
      <w:r>
        <w:rPr/>
        <w:t>万份，第一期可行权数量由</w:t>
      </w:r>
      <w:r>
        <w:rPr>
          <w:rFonts w:ascii="Times New Roman" w:hAnsi="Times New Roman" w:cs="Times New Roman" w:eastAsia="Times New Roman" w:hint="default"/>
        </w:rPr>
        <w:t>213.6</w:t>
      </w:r>
      <w:r>
        <w:rPr/>
        <w:t>万份调整为</w:t>
      </w:r>
      <w:r>
        <w:rPr>
          <w:spacing w:val="-84"/>
        </w:rPr>
        <w:t> </w:t>
      </w:r>
      <w:r>
        <w:rPr>
          <w:spacing w:val="-84"/>
        </w:rPr>
      </w:r>
      <w:r>
        <w:rPr>
          <w:rFonts w:ascii="Times New Roman" w:hAnsi="Times New Roman" w:cs="Times New Roman" w:eastAsia="Times New Roman" w:hint="default"/>
        </w:rPr>
        <w:t>427.2</w:t>
      </w:r>
      <w:r>
        <w:rPr/>
        <w:t>万份，行权价格由</w:t>
      </w:r>
      <w:r>
        <w:rPr>
          <w:rFonts w:ascii="Times New Roman" w:hAnsi="Times New Roman" w:cs="Times New Roman" w:eastAsia="Times New Roman" w:hint="default"/>
        </w:rPr>
        <w:t>36.22</w:t>
      </w:r>
      <w:r>
        <w:rPr/>
        <w:t>元调整为</w:t>
      </w:r>
      <w:r>
        <w:rPr>
          <w:rFonts w:ascii="Times New Roman" w:hAnsi="Times New Roman" w:cs="Times New Roman" w:eastAsia="Times New Roman" w:hint="default"/>
        </w:rPr>
        <w:t>18.06</w:t>
      </w:r>
      <w:r>
        <w:rPr/>
        <w:t>元。</w:t>
      </w:r>
    </w:p>
    <w:p>
      <w:pPr>
        <w:pStyle w:val="BodyText"/>
        <w:spacing w:line="300" w:lineRule="auto" w:before="13"/>
        <w:ind w:right="1043" w:firstLine="42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spacing w:val="-1"/>
        </w:rPr>
        <w:t>年</w:t>
      </w:r>
      <w:r>
        <w:rPr>
          <w:rFonts w:ascii="Times New Roman" w:hAnsi="Times New Roman" w:cs="Times New Roman" w:eastAsia="Times New Roman" w:hint="default"/>
          <w:spacing w:val="1"/>
        </w:rPr>
        <w:t>3</w:t>
      </w:r>
      <w:r>
        <w:rPr>
          <w:spacing w:val="-3"/>
        </w:rPr>
        <w:t>月</w:t>
      </w:r>
      <w:r>
        <w:rPr>
          <w:rFonts w:ascii="Times New Roman" w:hAnsi="Times New Roman" w:cs="Times New Roman" w:eastAsia="Times New Roman" w:hint="default"/>
          <w:spacing w:val="1"/>
        </w:rPr>
        <w:t>16</w:t>
      </w:r>
      <w:r>
        <w:rPr/>
        <w:t>日</w:t>
      </w:r>
      <w:r>
        <w:rPr>
          <w:spacing w:val="-72"/>
        </w:rPr>
        <w:t>，</w:t>
      </w:r>
      <w:r>
        <w:rPr/>
        <w:t>公司召开第</w:t>
      </w:r>
      <w:r>
        <w:rPr>
          <w:spacing w:val="-3"/>
        </w:rPr>
        <w:t>三</w:t>
      </w:r>
      <w:r>
        <w:rPr/>
        <w:t>届董事会</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t>年第三次会议</w:t>
      </w:r>
      <w:r>
        <w:rPr>
          <w:spacing w:val="-3"/>
        </w:rPr>
        <w:t>审</w:t>
      </w:r>
      <w:r>
        <w:rPr/>
        <w:t>议通过</w:t>
      </w:r>
      <w:r>
        <w:rPr>
          <w:spacing w:val="-72"/>
        </w:rPr>
        <w:t>了</w:t>
      </w:r>
      <w:r>
        <w:rPr/>
        <w:t>《关于调整首期股票期权激励计划激励对象名单、</w:t>
      </w:r>
      <w:r>
        <w:rPr/>
        <w:t> 股票期权数量及注销部分股票期权的议案</w:t>
      </w:r>
      <w:r>
        <w:rPr>
          <w:spacing w:val="-27"/>
        </w:rPr>
        <w:t>》和</w:t>
      </w:r>
      <w:r>
        <w:rPr/>
        <w:t>《关于首期</w:t>
      </w:r>
      <w:r>
        <w:rPr>
          <w:spacing w:val="-3"/>
        </w:rPr>
        <w:t>股</w:t>
      </w:r>
      <w:r>
        <w:rPr/>
        <w:t>票期权激励计划第二个行权期可行权的议案</w:t>
      </w:r>
      <w:r>
        <w:rPr>
          <w:spacing w:val="-92"/>
        </w:rPr>
        <w:t>》</w:t>
      </w:r>
      <w:r>
        <w:rPr>
          <w:spacing w:val="-27"/>
        </w:rPr>
        <w:t>，</w:t>
      </w:r>
      <w:r>
        <w:rPr/>
        <w:t>取</w:t>
      </w:r>
      <w:r>
        <w:rPr>
          <w:spacing w:val="2"/>
        </w:rPr>
        <w:t>消</w:t>
      </w:r>
      <w:r>
        <w:rPr>
          <w:rFonts w:ascii="Times New Roman" w:hAnsi="Times New Roman" w:cs="Times New Roman" w:eastAsia="Times New Roman" w:hint="default"/>
          <w:spacing w:val="1"/>
        </w:rPr>
        <w:t>4</w:t>
      </w:r>
      <w:r>
        <w:rPr/>
        <w:t>名已离职激</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spacing w:val="-2"/>
        </w:rPr>
        <w:t>励对象资格并注销其已获授但尚未行权的</w:t>
      </w:r>
      <w:r>
        <w:rPr>
          <w:rFonts w:ascii="Times New Roman" w:hAnsi="Times New Roman" w:cs="Times New Roman" w:eastAsia="Times New Roman" w:hint="default"/>
          <w:spacing w:val="-2"/>
        </w:rPr>
        <w:t>26</w:t>
      </w:r>
      <w:r>
        <w:rPr>
          <w:spacing w:val="-2"/>
        </w:rPr>
        <w:t>万份股票期权。调整后本次股权激励计划已获授的激励对象人数为</w:t>
      </w:r>
      <w:r>
        <w:rPr>
          <w:rFonts w:ascii="Times New Roman" w:hAnsi="Times New Roman" w:cs="Times New Roman" w:eastAsia="Times New Roman" w:hint="default"/>
          <w:spacing w:val="-2"/>
        </w:rPr>
        <w:t>95</w:t>
      </w:r>
      <w:r>
        <w:rPr>
          <w:spacing w:val="-2"/>
        </w:rPr>
        <w:t>人，已授予</w:t>
      </w:r>
      <w:r>
        <w:rPr>
          <w:spacing w:val="-60"/>
        </w:rPr>
        <w:t> </w:t>
      </w:r>
      <w:r>
        <w:rPr>
          <w:spacing w:val="-60"/>
        </w:rPr>
      </w:r>
      <w:r>
        <w:rPr/>
        <w:t>的股票期权数量为</w:t>
      </w:r>
      <w:r>
        <w:rPr>
          <w:rFonts w:ascii="Times New Roman" w:hAnsi="Times New Roman" w:cs="Times New Roman" w:eastAsia="Times New Roman" w:hint="default"/>
        </w:rPr>
        <w:t>1,042</w:t>
      </w:r>
      <w:r>
        <w:rPr/>
        <w:t>万份。确认首期股票期权激励计划第二个行权期行权条件已经满足，</w:t>
      </w:r>
      <w:r>
        <w:rPr>
          <w:rFonts w:ascii="Times New Roman" w:hAnsi="Times New Roman" w:cs="Times New Roman" w:eastAsia="Times New Roman" w:hint="default"/>
        </w:rPr>
        <w:t>95</w:t>
      </w:r>
      <w:r>
        <w:rPr/>
        <w:t>名激励对象在第二个行权期</w:t>
      </w:r>
      <w:r>
        <w:rPr>
          <w:spacing w:val="-41"/>
        </w:rPr>
        <w:t> </w:t>
      </w:r>
      <w:r>
        <w:rPr>
          <w:spacing w:val="-41"/>
        </w:rPr>
      </w:r>
      <w:r>
        <w:rPr/>
        <w:t>内可行权数量为</w:t>
      </w:r>
      <w:r>
        <w:rPr>
          <w:rFonts w:ascii="Times New Roman" w:hAnsi="Times New Roman" w:cs="Times New Roman" w:eastAsia="Times New Roman" w:hint="default"/>
        </w:rPr>
        <w:t>312.6</w:t>
      </w:r>
      <w:r>
        <w:rPr/>
        <w:t>万份。</w:t>
      </w:r>
    </w:p>
    <w:p>
      <w:pPr>
        <w:pStyle w:val="BodyText"/>
        <w:spacing w:line="300" w:lineRule="auto" w:before="13"/>
        <w:ind w:right="1127"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日，公司首期股票期权激励计划激励对象在第一个行权期内共自主行权</w:t>
      </w:r>
      <w:r>
        <w:rPr>
          <w:rFonts w:ascii="Times New Roman" w:hAnsi="Times New Roman" w:cs="Times New Roman" w:eastAsia="Times New Roman" w:hint="default"/>
        </w:rPr>
        <w:t>100</w:t>
      </w:r>
      <w:r>
        <w:rPr/>
        <w:t>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9</w:t>
      </w:r>
      <w:r>
        <w:rPr/>
        <w:t>日，公司召开第三届董事会</w:t>
      </w:r>
      <w:r>
        <w:rPr>
          <w:rFonts w:ascii="Times New Roman" w:hAnsi="Times New Roman" w:cs="Times New Roman" w:eastAsia="Times New Roman" w:hint="default"/>
        </w:rPr>
        <w:t>2018</w:t>
      </w:r>
      <w:r>
        <w:rPr/>
        <w:t>年第五次会议审议通过了《关于注销首期股票期权激励计划第一个行权期未行权股票期</w:t>
      </w:r>
      <w:r>
        <w:rPr>
          <w:spacing w:val="-85"/>
        </w:rPr>
        <w:t> </w:t>
      </w:r>
      <w:r>
        <w:rPr>
          <w:spacing w:val="-85"/>
        </w:rPr>
      </w:r>
      <w:r>
        <w:rPr>
          <w:spacing w:val="-1"/>
        </w:rPr>
        <w:t>权的议案》，注销第一个行权期未行权股票期权</w:t>
      </w:r>
      <w:r>
        <w:rPr>
          <w:rFonts w:ascii="Times New Roman" w:hAnsi="Times New Roman" w:cs="Times New Roman" w:eastAsia="Times New Roman" w:hint="default"/>
          <w:spacing w:val="-1"/>
        </w:rPr>
        <w:t>416.79</w:t>
      </w:r>
      <w:r>
        <w:rPr>
          <w:spacing w:val="-1"/>
        </w:rPr>
        <w:t>万份，调整后公司首期股票期权激励计划已获授但尚未行权的股票期</w:t>
      </w:r>
      <w:r>
        <w:rPr>
          <w:spacing w:val="-72"/>
        </w:rPr>
        <w:t> </w:t>
      </w:r>
      <w:r>
        <w:rPr>
          <w:spacing w:val="-72"/>
        </w:rPr>
      </w:r>
      <w:r>
        <w:rPr/>
        <w:t>权总数为</w:t>
      </w:r>
      <w:r>
        <w:rPr>
          <w:rFonts w:ascii="Times New Roman" w:hAnsi="Times New Roman" w:cs="Times New Roman" w:eastAsia="Times New Roman" w:hint="default"/>
        </w:rPr>
        <w:t>625.2</w:t>
      </w:r>
      <w:r>
        <w:rPr/>
        <w:t>万份。</w:t>
      </w:r>
    </w:p>
    <w:p>
      <w:pPr>
        <w:pStyle w:val="BodyText"/>
        <w:spacing w:line="300" w:lineRule="auto" w:before="13"/>
        <w:ind w:right="1128"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日，公司召开第三届董事会</w:t>
      </w:r>
      <w:r>
        <w:rPr>
          <w:rFonts w:ascii="Times New Roman" w:hAnsi="Times New Roman" w:cs="Times New Roman" w:eastAsia="Times New Roman" w:hint="default"/>
          <w:spacing w:val="-2"/>
        </w:rPr>
        <w:t>2018</w:t>
      </w:r>
      <w:r>
        <w:rPr>
          <w:spacing w:val="-2"/>
        </w:rPr>
        <w:t>年第六次会议审议通过了《关于调整首期股票期权激励计划股票期权行权</w:t>
      </w:r>
      <w:r>
        <w:rPr/>
        <w:t> </w:t>
      </w:r>
      <w:r>
        <w:rPr>
          <w:spacing w:val="-5"/>
        </w:rPr>
        <w:t>价格的议案》和《关于调整首期股票期权激励计划激励对象名单、股票期权数量及注销部分股票期权的议案》，因公司于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2"/>
        </w:rPr>
        <w:t> </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日实施了</w:t>
      </w:r>
      <w:r>
        <w:rPr>
          <w:rFonts w:ascii="Times New Roman" w:hAnsi="Times New Roman" w:cs="Times New Roman" w:eastAsia="Times New Roman" w:hint="default"/>
          <w:spacing w:val="-3"/>
        </w:rPr>
        <w:t>“</w:t>
      </w:r>
      <w:r>
        <w:rPr>
          <w:spacing w:val="-3"/>
        </w:rPr>
        <w:t>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0.199999</w:t>
      </w:r>
      <w:r>
        <w:rPr>
          <w:spacing w:val="-3"/>
        </w:rPr>
        <w:t>元人民币（含税）</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2017</w:t>
      </w:r>
      <w:r>
        <w:rPr>
          <w:spacing w:val="-3"/>
        </w:rPr>
        <w:t>年度利润分配方案，行权价格由</w:t>
      </w:r>
      <w:r>
        <w:rPr>
          <w:rFonts w:ascii="Times New Roman" w:hAnsi="Times New Roman" w:cs="Times New Roman" w:eastAsia="Times New Roman" w:hint="default"/>
          <w:spacing w:val="-3"/>
        </w:rPr>
        <w:t>18.06</w:t>
      </w:r>
      <w:r>
        <w:rPr>
          <w:spacing w:val="-3"/>
        </w:rPr>
        <w:t>元调整为</w:t>
      </w:r>
      <w:r>
        <w:rPr>
          <w:rFonts w:ascii="Times New Roman" w:hAnsi="Times New Roman" w:cs="Times New Roman" w:eastAsia="Times New Roman" w:hint="default"/>
          <w:spacing w:val="-3"/>
        </w:rPr>
        <w:t>18.04</w:t>
      </w:r>
      <w:r>
        <w:rPr>
          <w:rFonts w:ascii="Times New Roman" w:hAnsi="Times New Roman" w:cs="Times New Roman" w:eastAsia="Times New Roman" w:hint="default"/>
        </w:rPr>
        <w:t> </w:t>
      </w:r>
      <w:r>
        <w:rPr/>
        <w:t>元。同时取消</w:t>
      </w:r>
      <w:r>
        <w:rPr>
          <w:rFonts w:ascii="Times New Roman" w:hAnsi="Times New Roman" w:cs="Times New Roman" w:eastAsia="Times New Roman" w:hint="default"/>
        </w:rPr>
        <w:t>4</w:t>
      </w:r>
      <w:r>
        <w:rPr/>
        <w:t>名已离职激励对象资格并注销其已获授但尚未行权的</w:t>
      </w:r>
      <w:r>
        <w:rPr>
          <w:rFonts w:ascii="Times New Roman" w:hAnsi="Times New Roman" w:cs="Times New Roman" w:eastAsia="Times New Roman" w:hint="default"/>
        </w:rPr>
        <w:t>26.4</w:t>
      </w:r>
      <w:r>
        <w:rPr/>
        <w:t>万份股票期权。调整后本次股权激励计划已获授的</w:t>
      </w:r>
      <w:r>
        <w:rPr>
          <w:spacing w:val="-42"/>
        </w:rPr>
        <w:t> </w:t>
      </w:r>
      <w:r>
        <w:rPr>
          <w:spacing w:val="-42"/>
        </w:rPr>
      </w:r>
      <w:r>
        <w:rPr/>
        <w:t>激励对象人数为</w:t>
      </w:r>
      <w:r>
        <w:rPr>
          <w:rFonts w:ascii="Times New Roman" w:hAnsi="Times New Roman" w:cs="Times New Roman" w:eastAsia="Times New Roman" w:hint="default"/>
        </w:rPr>
        <w:t>91</w:t>
      </w:r>
      <w:r>
        <w:rPr/>
        <w:t>人，已授予的股票期权数量为</w:t>
      </w:r>
      <w:r>
        <w:rPr>
          <w:rFonts w:ascii="Times New Roman" w:hAnsi="Times New Roman" w:cs="Times New Roman" w:eastAsia="Times New Roman" w:hint="default"/>
        </w:rPr>
        <w:t>598.8</w:t>
      </w:r>
      <w:r>
        <w:rPr/>
        <w:t>万份。</w:t>
      </w:r>
    </w:p>
    <w:p>
      <w:pPr>
        <w:pStyle w:val="BodyText"/>
        <w:spacing w:line="302" w:lineRule="auto" w:before="13"/>
        <w:ind w:right="1127"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日，公司首期股票期权激励计划激励对象在第二个行权期内共自主行权</w:t>
      </w:r>
      <w:r>
        <w:rPr>
          <w:rFonts w:ascii="Times New Roman" w:hAnsi="Times New Roman" w:cs="Times New Roman" w:eastAsia="Times New Roman" w:hint="default"/>
          <w:spacing w:val="-1"/>
        </w:rPr>
        <w:t>152.01</w:t>
      </w:r>
      <w:r>
        <w:rPr>
          <w:spacing w:val="-1"/>
        </w:rPr>
        <w:t>万份。</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日，公司召开第三届董事会</w:t>
      </w:r>
      <w:r>
        <w:rPr>
          <w:rFonts w:ascii="Times New Roman" w:hAnsi="Times New Roman" w:cs="Times New Roman" w:eastAsia="Times New Roman" w:hint="default"/>
        </w:rPr>
        <w:t>2019</w:t>
      </w:r>
      <w:r>
        <w:rPr/>
        <w:t>年第二次会议，审议通过了《关于注销首期股票期权激励计划第二个行权期未行权</w:t>
      </w:r>
      <w:r>
        <w:rPr>
          <w:spacing w:val="-85"/>
        </w:rPr>
        <w:t> </w:t>
      </w:r>
      <w:r>
        <w:rPr>
          <w:spacing w:val="-85"/>
        </w:rPr>
      </w:r>
      <w:r>
        <w:rPr>
          <w:spacing w:val="-5"/>
        </w:rPr>
        <w:t>股票期权的议案》、《关于调整首期股票期权激励计划激励对象名单、股票期权数量及注销部分股票期权的议案》及《关于首</w:t>
      </w:r>
      <w:r>
        <w:rPr>
          <w:spacing w:val="-78"/>
        </w:rPr>
        <w:t> </w:t>
      </w:r>
      <w:r>
        <w:rPr>
          <w:spacing w:val="-78"/>
        </w:rPr>
      </w:r>
      <w:r>
        <w:rPr>
          <w:spacing w:val="-3"/>
        </w:rPr>
        <w:t>期股票期权激励计划第三个行权期可行权的议案》，注销第二个行权期内已授予但未行权的股票期权</w:t>
      </w:r>
      <w:r>
        <w:rPr>
          <w:rFonts w:ascii="Times New Roman" w:hAnsi="Times New Roman" w:cs="Times New Roman" w:eastAsia="Times New Roman" w:hint="default"/>
          <w:spacing w:val="-3"/>
        </w:rPr>
        <w:t>147.39</w:t>
      </w:r>
      <w:r>
        <w:rPr>
          <w:spacing w:val="-3"/>
        </w:rPr>
        <w:t>万份，取消</w:t>
      </w:r>
      <w:r>
        <w:rPr>
          <w:rFonts w:ascii="Times New Roman" w:hAnsi="Times New Roman" w:cs="Times New Roman" w:eastAsia="Times New Roman" w:hint="default"/>
          <w:spacing w:val="-3"/>
        </w:rPr>
        <w:t>4</w:t>
      </w:r>
      <w:r>
        <w:rPr>
          <w:spacing w:val="-3"/>
        </w:rPr>
        <w:t>名已</w:t>
      </w:r>
      <w:r>
        <w:rPr>
          <w:spacing w:val="-50"/>
        </w:rPr>
        <w:t> </w:t>
      </w:r>
      <w:r>
        <w:rPr/>
        <w:t>离职及</w:t>
      </w:r>
      <w:r>
        <w:rPr>
          <w:rFonts w:ascii="Times New Roman" w:hAnsi="Times New Roman" w:cs="Times New Roman" w:eastAsia="Times New Roman" w:hint="default"/>
        </w:rPr>
        <w:t>1</w:t>
      </w:r>
      <w:r>
        <w:rPr/>
        <w:t>名自愿放弃激励对象的资格并注销其已获授但尚未行权的股票期权</w:t>
      </w:r>
      <w:r>
        <w:rPr>
          <w:rFonts w:ascii="Times New Roman" w:hAnsi="Times New Roman" w:cs="Times New Roman" w:eastAsia="Times New Roman" w:hint="default"/>
        </w:rPr>
        <w:t>13.2</w:t>
      </w:r>
      <w:r>
        <w:rPr/>
        <w:t>万份，调整后本次股权激励计划已获授的激</w:t>
      </w:r>
      <w:r>
        <w:rPr>
          <w:spacing w:val="-41"/>
        </w:rPr>
        <w:t> </w:t>
      </w:r>
      <w:r>
        <w:rPr>
          <w:spacing w:val="-41"/>
        </w:rPr>
      </w:r>
      <w:r>
        <w:rPr/>
        <w:t>励对象人数为</w:t>
      </w:r>
      <w:r>
        <w:rPr>
          <w:rFonts w:ascii="Times New Roman" w:hAnsi="Times New Roman" w:cs="Times New Roman" w:eastAsia="Times New Roman" w:hint="default"/>
        </w:rPr>
        <w:t>86</w:t>
      </w:r>
      <w:r>
        <w:rPr/>
        <w:t>人，已授予的股票期权数量为</w:t>
      </w:r>
      <w:r>
        <w:rPr>
          <w:rFonts w:ascii="Times New Roman" w:hAnsi="Times New Roman" w:cs="Times New Roman" w:eastAsia="Times New Roman" w:hint="default"/>
        </w:rPr>
        <w:t>286.2</w:t>
      </w:r>
      <w:r>
        <w:rPr/>
        <w:t>万份。确认首期股票期权激励计划第三个行权期行权条件已经满足，</w:t>
      </w:r>
      <w:r>
        <w:rPr>
          <w:rFonts w:ascii="Times New Roman" w:hAnsi="Times New Roman" w:cs="Times New Roman" w:eastAsia="Times New Roman" w:hint="default"/>
        </w:rPr>
        <w:t>86</w:t>
      </w:r>
      <w:r>
        <w:rPr>
          <w:rFonts w:ascii="Times New Roman" w:hAnsi="Times New Roman" w:cs="Times New Roman" w:eastAsia="Times New Roman" w:hint="default"/>
          <w:spacing w:val="4"/>
        </w:rPr>
        <w:t> </w:t>
      </w:r>
      <w:r>
        <w:rPr/>
        <w:t>名激励对象在第三个行权期内可行权数量为</w:t>
      </w:r>
      <w:r>
        <w:rPr>
          <w:rFonts w:ascii="Times New Roman" w:hAnsi="Times New Roman" w:cs="Times New Roman" w:eastAsia="Times New Roman" w:hint="default"/>
        </w:rPr>
        <w:t>286.2</w:t>
      </w:r>
      <w:r>
        <w:rPr/>
        <w:t>万份。</w:t>
      </w:r>
    </w:p>
    <w:p>
      <w:pPr>
        <w:pStyle w:val="BodyText"/>
        <w:spacing w:line="300" w:lineRule="auto" w:before="11"/>
        <w:ind w:right="1130" w:firstLine="420"/>
        <w:jc w:val="both"/>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28</w:t>
      </w:r>
      <w:r>
        <w:rPr>
          <w:spacing w:val="-5"/>
        </w:rPr>
        <w:t>日，公司召开第四届董事会</w:t>
      </w:r>
      <w:r>
        <w:rPr>
          <w:rFonts w:ascii="Times New Roman" w:hAnsi="Times New Roman" w:cs="Times New Roman" w:eastAsia="Times New Roman" w:hint="default"/>
          <w:spacing w:val="-5"/>
        </w:rPr>
        <w:t>2019</w:t>
      </w:r>
      <w:r>
        <w:rPr>
          <w:spacing w:val="-5"/>
        </w:rPr>
        <w:t>年第二次会议审通过了《关于调整首期股票权激励计划行权价格的议案》，</w:t>
      </w:r>
      <w:r>
        <w:rPr/>
        <w:t> 因公司于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日实施了 </w:t>
      </w:r>
      <w:r>
        <w:rPr>
          <w:rFonts w:ascii="Times New Roman" w:hAnsi="Times New Roman" w:cs="Times New Roman" w:eastAsia="Times New Roman" w:hint="default"/>
        </w:rPr>
        <w:t>“</w:t>
      </w: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元人民币（含税）</w:t>
      </w:r>
      <w:r>
        <w:rPr>
          <w:rFonts w:ascii="Times New Roman" w:hAnsi="Times New Roman" w:cs="Times New Roman" w:eastAsia="Times New Roman" w:hint="default"/>
        </w:rPr>
        <w:t>”</w:t>
      </w:r>
      <w:r>
        <w:rPr/>
        <w:t>的</w:t>
      </w:r>
      <w:r>
        <w:rPr>
          <w:rFonts w:ascii="Times New Roman" w:hAnsi="Times New Roman" w:cs="Times New Roman" w:eastAsia="Times New Roman" w:hint="default"/>
        </w:rPr>
        <w:t>2018</w:t>
      </w:r>
      <w:r>
        <w:rPr/>
        <w:t>年度利润分配方案，行权价格由</w:t>
      </w:r>
      <w:r>
        <w:rPr>
          <w:rFonts w:ascii="Times New Roman" w:hAnsi="Times New Roman" w:cs="Times New Roman" w:eastAsia="Times New Roman" w:hint="default"/>
        </w:rPr>
        <w:t>18.04</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元调整为</w:t>
      </w:r>
      <w:r>
        <w:rPr>
          <w:rFonts w:ascii="Times New Roman" w:hAnsi="Times New Roman" w:cs="Times New Roman" w:eastAsia="Times New Roman" w:hint="default"/>
        </w:rPr>
        <w:t>18.02</w:t>
      </w:r>
      <w:r>
        <w:rPr/>
        <w:t>元。</w:t>
      </w:r>
    </w:p>
    <w:p>
      <w:pPr>
        <w:pStyle w:val="BodyText"/>
        <w:spacing w:line="300" w:lineRule="auto" w:before="13"/>
        <w:ind w:right="1128" w:firstLine="420"/>
        <w:jc w:val="both"/>
      </w:pPr>
      <w:r>
        <w:rPr>
          <w:spacing w:val="-1"/>
        </w:rPr>
        <w:t>公司首期股票期权激励计划第三个行权期已于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日期限届满，</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日公司首期股票期</w:t>
      </w:r>
      <w:r>
        <w:rPr/>
        <w:t> 权激励计划激励对象在第三个行权期内共自主行权</w:t>
      </w:r>
      <w:r>
        <w:rPr>
          <w:rFonts w:ascii="Times New Roman" w:hAnsi="Times New Roman" w:cs="Times New Roman" w:eastAsia="Times New Roman" w:hint="default"/>
        </w:rPr>
        <w:t>194.40</w:t>
      </w:r>
      <w:r>
        <w:rPr/>
        <w:t>万份，未行权股票期权数量为</w:t>
      </w:r>
      <w:r>
        <w:rPr>
          <w:rFonts w:ascii="Times New Roman" w:hAnsi="Times New Roman" w:cs="Times New Roman" w:eastAsia="Times New Roman" w:hint="default"/>
        </w:rPr>
        <w:t>91.80</w:t>
      </w:r>
      <w:r>
        <w:rPr/>
        <w:t>万份。</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日，公司召 </w:t>
      </w:r>
      <w:r>
        <w:rPr>
          <w:spacing w:val="-2"/>
        </w:rPr>
        <w:t>开第四届董事会</w:t>
      </w:r>
      <w:r>
        <w:rPr>
          <w:rFonts w:ascii="Times New Roman" w:hAnsi="Times New Roman" w:cs="Times New Roman" w:eastAsia="Times New Roman" w:hint="default"/>
          <w:spacing w:val="-2"/>
        </w:rPr>
        <w:t>2020</w:t>
      </w:r>
      <w:r>
        <w:rPr>
          <w:spacing w:val="-2"/>
        </w:rPr>
        <w:t>年第一次会议审议通过了《关于注销首期股票期权激励计划第三个行权期未行权股票期权的议案》，对</w:t>
      </w:r>
      <w:r>
        <w:rPr>
          <w:spacing w:val="-62"/>
        </w:rPr>
        <w:t> </w:t>
      </w:r>
      <w:r>
        <w:rPr>
          <w:spacing w:val="-62"/>
        </w:rPr>
      </w:r>
      <w:r>
        <w:rPr/>
        <w:t>第三个行权期内已授予但未行权的</w:t>
      </w:r>
      <w:r>
        <w:rPr>
          <w:rFonts w:ascii="Times New Roman" w:hAnsi="Times New Roman" w:cs="Times New Roman" w:eastAsia="Times New Roman" w:hint="default"/>
        </w:rPr>
        <w:t>91.80</w:t>
      </w:r>
      <w:r>
        <w:rPr/>
        <w:t>万份股票期权予以注销。上述股票期权注销后，公司首期股票期权激励计划实施完</w:t>
      </w:r>
      <w:r>
        <w:rPr>
          <w:spacing w:val="-43"/>
        </w:rPr>
        <w:t> </w:t>
      </w:r>
      <w:r>
        <w:rPr>
          <w:spacing w:val="-43"/>
        </w:rPr>
      </w:r>
      <w:r>
        <w:rPr/>
        <w:t>毕。</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2、以权益结算的股份支付情况" w:id="352"/>
      <w:bookmarkEnd w:id="35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在授权日采用布莱克－斯科尔期权定价模型确定股票期权 的公允价值。</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授予日公司股本的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30,243,106.00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290,006.91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3827"/>
        <w:jc w:val="left"/>
        <w:rPr>
          <w:b w:val="0"/>
          <w:bCs w:val="0"/>
        </w:rPr>
      </w:pPr>
      <w:bookmarkStart w:name="十四、承诺及或有事项" w:id="353"/>
      <w:bookmarkEnd w:id="353"/>
      <w:r>
        <w:rPr>
          <w:b w:val="0"/>
          <w:bCs w:val="0"/>
        </w:rPr>
      </w: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或有事项" w:id="354"/>
      <w:bookmarkEnd w:id="354"/>
      <w:r>
        <w:rPr>
          <w:b w:val="0"/>
          <w:bCs w:val="0"/>
        </w:rPr>
      </w:r>
      <w:r>
        <w:rPr>
          <w:rFonts w:ascii="Times New Roman" w:hAnsi="Times New Roman" w:cs="Times New Roman" w:eastAsia="Times New Roman" w:hint="default"/>
        </w:rPr>
        <w:t>1</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资产负债表日存在的重要或有事项" w:id="355"/>
      <w:bookmarkEnd w:id="35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26" w:firstLine="420"/>
        <w:jc w:val="both"/>
      </w:pPr>
      <w:r>
        <w:rPr/>
        <w:t>北京炎黄盈动科技发展有限责任公司以公司及亚马逊通技术服务（北京）有限公司侵害商标权纠纷事由向北京市高级 人民法院提起诉讼，且北京市高级人民法院已于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日受理。公司已成立了专项工作组开展相应工作，并已于</w:t>
      </w:r>
      <w:r>
        <w:rPr>
          <w:rFonts w:ascii="Times New Roman" w:hAnsi="Times New Roman" w:cs="Times New Roman" w:eastAsia="Times New Roman" w:hint="default"/>
        </w:rPr>
        <w:t>2018</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日向北京市高级人民法院提交《管辖权异议申请书》。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日，北京市高级人民法院驳回了公司的管辖权异</w:t>
      </w:r>
      <w:r>
        <w:rPr>
          <w:spacing w:val="-63"/>
        </w:rPr>
        <w:t> </w:t>
      </w:r>
      <w:r>
        <w:rPr>
          <w:spacing w:val="-63"/>
        </w:rPr>
      </w:r>
      <w:r>
        <w:rPr>
          <w:spacing w:val="-5"/>
        </w:rPr>
        <w:t>议。公司于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7</w:t>
      </w:r>
      <w:r>
        <w:rPr>
          <w:spacing w:val="-5"/>
        </w:rPr>
        <w:t>日，向最高人民法院提起《管辖权异议上诉状》。</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18</w:t>
      </w:r>
      <w:r>
        <w:rPr>
          <w:spacing w:val="-5"/>
        </w:rPr>
        <w:t>日，最高人民法院已经开庭审理。</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日，公司收到最高人民法院于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日作出的驳回上诉裁定。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日北京市高级人民法院对本案进行 </w:t>
      </w:r>
      <w:r>
        <w:rPr>
          <w:spacing w:val="-2"/>
        </w:rPr>
        <w:t>了公开开庭审理。截止报告日本案处于等待法院判决阶段。公司将积极配合亚马逊通应对本诉讼，如败诉公司将可能被要求</w:t>
      </w:r>
      <w:r>
        <w:rPr>
          <w:spacing w:val="-63"/>
        </w:rPr>
        <w:t> </w:t>
      </w:r>
      <w:r>
        <w:rPr>
          <w:spacing w:val="-63"/>
        </w:rPr>
      </w:r>
      <w:r>
        <w:rPr/>
        <w:t>与亚马逊通共同承担所判决的相关费用。</w:t>
      </w:r>
    </w:p>
    <w:p>
      <w:pPr>
        <w:pStyle w:val="BodyText"/>
        <w:spacing w:line="240" w:lineRule="auto" w:before="26"/>
        <w:ind w:left="573" w:right="1112"/>
        <w:jc w:val="left"/>
      </w:pPr>
      <w:r>
        <w:rPr/>
        <w:t>除存在上述承诺事项外，截至报告日，本公司无其他应披露未披露的重大承诺及或有事项。</w:t>
      </w:r>
    </w:p>
    <w:p>
      <w:pPr>
        <w:spacing w:line="240" w:lineRule="auto" w:before="0"/>
        <w:rPr>
          <w:rFonts w:ascii="宋体" w:hAnsi="宋体" w:cs="宋体" w:eastAsia="宋体" w:hint="default"/>
          <w:sz w:val="18"/>
          <w:szCs w:val="18"/>
        </w:rPr>
      </w:pPr>
    </w:p>
    <w:p>
      <w:pPr>
        <w:pStyle w:val="Heading3"/>
        <w:spacing w:line="240" w:lineRule="auto" w:before="120"/>
        <w:ind w:right="3827"/>
        <w:jc w:val="left"/>
        <w:rPr>
          <w:b w:val="0"/>
          <w:bCs w:val="0"/>
        </w:rPr>
      </w:pPr>
      <w:bookmarkStart w:name="（2）公司没有需要披露的重要或有事项，也应予以说明" w:id="356"/>
      <w:bookmarkEnd w:id="35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827"/>
        <w:jc w:val="left"/>
      </w:pPr>
      <w:r>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3827"/>
        <w:jc w:val="left"/>
        <w:rPr>
          <w:b w:val="0"/>
          <w:bCs w:val="0"/>
        </w:rPr>
      </w:pPr>
      <w:bookmarkStart w:name="十五、资产负债表日后事项" w:id="357"/>
      <w:bookmarkEnd w:id="357"/>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利润分配情况" w:id="358"/>
      <w:bookmarkEnd w:id="358"/>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30,862,798.42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3827"/>
        <w:jc w:val="left"/>
        <w:rPr>
          <w:b w:val="0"/>
          <w:bCs w:val="0"/>
        </w:rPr>
      </w:pPr>
      <w:bookmarkStart w:name="2、其他资产负债表日后事项说明" w:id="359"/>
      <w:bookmarkEnd w:id="359"/>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420"/>
        <w:jc w:val="both"/>
      </w:pPr>
      <w:r>
        <w:rPr>
          <w:spacing w:val="-2"/>
        </w:rPr>
        <w:t>（</w:t>
      </w:r>
      <w:r>
        <w:rPr>
          <w:rFonts w:ascii="Times New Roman" w:hAnsi="Times New Roman" w:cs="Times New Roman" w:eastAsia="Times New Roman" w:hint="default"/>
          <w:spacing w:val="-2"/>
        </w:rPr>
        <w:t>1</w:t>
      </w:r>
      <w:r>
        <w:rPr>
          <w:spacing w:val="-2"/>
        </w:rPr>
        <w:t>）公司控股股东百汇达及其一致行动人耿桂芳女士、耿岩先生、郭明强先生、王路先生计划通过集中竞价方式减持</w:t>
      </w:r>
      <w:r>
        <w:rPr/>
        <w:t> 公司股份合计不超过</w:t>
      </w:r>
      <w:r>
        <w:rPr>
          <w:rFonts w:ascii="Times New Roman" w:hAnsi="Times New Roman" w:cs="Times New Roman" w:eastAsia="Times New Roman" w:hint="default"/>
        </w:rPr>
        <w:t>30,860,588</w:t>
      </w:r>
      <w:r>
        <w:rPr>
          <w:rFonts w:ascii="Times New Roman" w:hAnsi="Times New Roman" w:cs="Times New Roman" w:eastAsia="Times New Roman" w:hint="default"/>
          <w:spacing w:val="25"/>
        </w:rPr>
        <w:t> </w:t>
      </w:r>
      <w:r>
        <w:rPr/>
        <w:t>股，占本公司总股本比例不超过</w:t>
      </w:r>
      <w:r>
        <w:rPr>
          <w:rFonts w:ascii="Times New Roman" w:hAnsi="Times New Roman" w:cs="Times New Roman" w:eastAsia="Times New Roman" w:hint="default"/>
        </w:rPr>
        <w:t>2%</w:t>
      </w:r>
      <w:r>
        <w:rPr/>
        <w:t>，上述减持计划自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日期间</w:t>
      </w:r>
      <w:r>
        <w:rPr>
          <w:spacing w:val="-86"/>
        </w:rPr>
        <w:t> </w:t>
      </w:r>
      <w:r>
        <w:rPr>
          <w:spacing w:val="-3"/>
        </w:rPr>
        <w:t>实施。截至报告日（</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日），母公司百汇达及其一致行动人持有公司股份</w:t>
      </w:r>
      <w:r>
        <w:rPr>
          <w:rFonts w:ascii="Times New Roman" w:hAnsi="Times New Roman" w:cs="Times New Roman" w:eastAsia="Times New Roman" w:hint="default"/>
          <w:spacing w:val="-3"/>
        </w:rPr>
        <w:t>486,507,744</w:t>
      </w:r>
      <w:r>
        <w:rPr>
          <w:spacing w:val="-3"/>
        </w:rPr>
        <w:t>股，占公司总股本的</w:t>
      </w:r>
      <w:r>
        <w:rPr>
          <w:rFonts w:ascii="Times New Roman" w:hAnsi="Times New Roman" w:cs="Times New Roman" w:eastAsia="Times New Roman" w:hint="default"/>
          <w:spacing w:val="-3"/>
        </w:rPr>
        <w:t>31.53%</w:t>
      </w:r>
      <w:r>
        <w:rPr>
          <w:spacing w:val="-3"/>
        </w:rPr>
        <w:t>；</w:t>
      </w:r>
      <w:r>
        <w:rPr>
          <w:spacing w:val="-86"/>
        </w:rPr>
        <w:t> </w:t>
      </w:r>
      <w:r>
        <w:rPr/>
        <w:t>质押股份</w:t>
      </w:r>
      <w:r>
        <w:rPr>
          <w:rFonts w:ascii="Times New Roman" w:hAnsi="Times New Roman" w:cs="Times New Roman" w:eastAsia="Times New Roman" w:hint="default"/>
        </w:rPr>
        <w:t>3,500,000</w:t>
      </w:r>
      <w:r>
        <w:rPr/>
        <w:t>股，占其所持有公司股份的</w:t>
      </w:r>
      <w:r>
        <w:rPr>
          <w:rFonts w:ascii="Times New Roman" w:hAnsi="Times New Roman" w:cs="Times New Roman" w:eastAsia="Times New Roman" w:hint="default"/>
        </w:rPr>
        <w:t>0.75%</w:t>
      </w:r>
      <w:r>
        <w:rPr/>
        <w:t>，占公司总股本的</w:t>
      </w:r>
      <w:r>
        <w:rPr>
          <w:rFonts w:ascii="Times New Roman" w:hAnsi="Times New Roman" w:cs="Times New Roman" w:eastAsia="Times New Roman" w:hint="default"/>
        </w:rPr>
        <w:t>0.23%</w:t>
      </w:r>
      <w:r>
        <w:rPr/>
        <w:t>。</w:t>
      </w:r>
    </w:p>
    <w:p>
      <w:pPr>
        <w:pStyle w:val="BodyText"/>
        <w:spacing w:line="300" w:lineRule="auto" w:before="13"/>
        <w:ind w:right="1131" w:firstLine="420"/>
        <w:jc w:val="both"/>
      </w:pPr>
      <w:r>
        <w:rPr/>
        <w:t>（</w:t>
      </w:r>
      <w:r>
        <w:rPr>
          <w:rFonts w:ascii="Times New Roman" w:hAnsi="Times New Roman" w:cs="Times New Roman" w:eastAsia="Times New Roman" w:hint="default"/>
          <w:spacing w:val="1"/>
        </w:rPr>
        <w:t>2</w:t>
      </w:r>
      <w:r>
        <w:rPr/>
        <w:t>）公</w:t>
      </w:r>
      <w:r>
        <w:rPr>
          <w:spacing w:val="2"/>
        </w:rPr>
        <w:t>司</w:t>
      </w:r>
      <w:r>
        <w:rPr/>
        <w:t>第四</w:t>
      </w:r>
      <w:r>
        <w:rPr>
          <w:spacing w:val="2"/>
        </w:rPr>
        <w:t>届</w:t>
      </w:r>
      <w:r>
        <w:rPr/>
        <w:t>董事会</w:t>
      </w:r>
      <w:r>
        <w:rPr>
          <w:rFonts w:ascii="Times New Roman" w:hAnsi="Times New Roman" w:cs="Times New Roman" w:eastAsia="Times New Roman" w:hint="default"/>
          <w:spacing w:val="1"/>
        </w:rPr>
        <w:t>2020</w:t>
      </w:r>
      <w:r>
        <w:rPr/>
        <w:t>年第一次</w:t>
      </w:r>
      <w:r>
        <w:rPr>
          <w:spacing w:val="2"/>
        </w:rPr>
        <w:t>会</w:t>
      </w:r>
      <w:r>
        <w:rPr/>
        <w:t>议并</w:t>
      </w:r>
      <w:r>
        <w:rPr>
          <w:spacing w:val="2"/>
        </w:rPr>
        <w:t>通</w:t>
      </w:r>
      <w:r>
        <w:rPr/>
        <w:t>过了</w:t>
      </w:r>
      <w:r>
        <w:rPr>
          <w:spacing w:val="2"/>
        </w:rPr>
        <w:t>《</w:t>
      </w:r>
      <w:r>
        <w:rPr/>
        <w:t>关于</w:t>
      </w:r>
      <w:r>
        <w:rPr>
          <w:rFonts w:ascii="Times New Roman" w:hAnsi="Times New Roman" w:cs="Times New Roman" w:eastAsia="Times New Roman" w:hint="default"/>
          <w:spacing w:val="1"/>
        </w:rPr>
        <w:t>2020</w:t>
      </w:r>
      <w:r>
        <w:rPr/>
        <w:t>年度利</w:t>
      </w:r>
      <w:r>
        <w:rPr>
          <w:spacing w:val="2"/>
        </w:rPr>
        <w:t>润</w:t>
      </w:r>
      <w:r>
        <w:rPr/>
        <w:t>分配</w:t>
      </w:r>
      <w:r>
        <w:rPr>
          <w:spacing w:val="2"/>
        </w:rPr>
        <w:t>方</w:t>
      </w:r>
      <w:r>
        <w:rPr/>
        <w:t>案的</w:t>
      </w:r>
      <w:r>
        <w:rPr>
          <w:spacing w:val="2"/>
        </w:rPr>
        <w:t>议</w:t>
      </w:r>
      <w:r>
        <w:rPr/>
        <w:t>案</w:t>
      </w:r>
      <w:r>
        <w:rPr>
          <w:spacing w:val="-89"/>
        </w:rPr>
        <w:t>》</w:t>
      </w:r>
      <w:r>
        <w:rPr>
          <w:spacing w:val="2"/>
        </w:rPr>
        <w:t>，</w:t>
      </w:r>
      <w:r>
        <w:rPr/>
        <w:t>公</w:t>
      </w:r>
      <w:r>
        <w:rPr>
          <w:spacing w:val="1"/>
        </w:rPr>
        <w:t>司</w:t>
      </w:r>
      <w:r>
        <w:rPr>
          <w:rFonts w:ascii="Times New Roman" w:hAnsi="Times New Roman" w:cs="Times New Roman" w:eastAsia="Times New Roman" w:hint="default"/>
          <w:spacing w:val="1"/>
        </w:rPr>
        <w:t>2020</w:t>
      </w:r>
      <w:r>
        <w:rPr/>
        <w:t>年度利润分配方 案为</w:t>
      </w:r>
      <w:r>
        <w:rPr>
          <w:spacing w:val="-22"/>
        </w:rPr>
        <w:t>：</w:t>
      </w:r>
      <w:r>
        <w:rPr/>
        <w:t>以截至目前公司总股本</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54</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
        </w:rPr>
        <w:t>1</w:t>
      </w:r>
      <w:r>
        <w:rPr/>
        <w:t>股为基数</w:t>
      </w:r>
      <w:r>
        <w:rPr>
          <w:spacing w:val="-22"/>
        </w:rPr>
        <w:t>，</w:t>
      </w:r>
      <w:r>
        <w:rPr/>
        <w:t>向全体股东每</w:t>
      </w:r>
      <w:r>
        <w:rPr>
          <w:rFonts w:ascii="Times New Roman" w:hAnsi="Times New Roman" w:cs="Times New Roman" w:eastAsia="Times New Roman" w:hint="default"/>
          <w:spacing w:val="1"/>
        </w:rPr>
        <w:t>10</w:t>
      </w:r>
      <w:r>
        <w:rPr/>
        <w:t>股派发现金红利</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t>元人民</w:t>
      </w:r>
      <w:r>
        <w:rPr>
          <w:spacing w:val="-22"/>
        </w:rPr>
        <w:t>币</w:t>
      </w:r>
      <w:r>
        <w:rPr/>
        <w:t>（含税</w:t>
      </w:r>
      <w:r>
        <w:rPr>
          <w:spacing w:val="-92"/>
        </w:rPr>
        <w:t>）</w:t>
      </w:r>
      <w:r>
        <w:rPr>
          <w:spacing w:val="-22"/>
        </w:rPr>
        <w:t>，</w:t>
      </w:r>
      <w:r>
        <w:rPr/>
        <w:t>合计派发</w:t>
      </w:r>
      <w:r>
        <w:rPr>
          <w:spacing w:val="2"/>
        </w:rPr>
        <w:t>现</w:t>
      </w:r>
      <w:r>
        <w:rPr/>
        <w:t>金</w:t>
      </w:r>
      <w:r>
        <w:rPr/>
        <w:t> 股利</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2"/>
        </w:rPr>
        <w:t>2</w:t>
      </w:r>
      <w:r>
        <w:rPr/>
        <w:t>元（含税</w:t>
      </w:r>
      <w:r>
        <w:rPr>
          <w:spacing w:val="-92"/>
        </w:rPr>
        <w:t>）</w:t>
      </w:r>
      <w:r>
        <w:rPr/>
        <w:t>。</w:t>
      </w:r>
    </w:p>
    <w:p>
      <w:pPr>
        <w:pStyle w:val="BodyText"/>
        <w:spacing w:line="300" w:lineRule="auto" w:before="13"/>
        <w:ind w:right="1129" w:firstLine="420"/>
        <w:jc w:val="both"/>
      </w:pPr>
      <w:r>
        <w:rPr>
          <w:spacing w:val="-2"/>
        </w:rPr>
        <w:t>（</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日召开第三届董事会</w:t>
      </w:r>
      <w:r>
        <w:rPr>
          <w:rFonts w:ascii="Times New Roman" w:hAnsi="Times New Roman" w:cs="Times New Roman" w:eastAsia="Times New Roman" w:hint="default"/>
          <w:spacing w:val="-2"/>
        </w:rPr>
        <w:t>2019</w:t>
      </w:r>
      <w:r>
        <w:rPr>
          <w:spacing w:val="-2"/>
        </w:rPr>
        <w:t>年第一次会议审议通过了《关于公司与三河市岩峰高新技术产业园有</w:t>
      </w:r>
      <w:r>
        <w:rPr/>
        <w:t> </w:t>
      </w:r>
      <w:r>
        <w:rPr>
          <w:spacing w:val="-3"/>
          <w:w w:val="100"/>
        </w:rPr>
        <w:t>限公司签署增资合作协议的议案》。</w:t>
      </w:r>
      <w:r>
        <w:rPr>
          <w:rFonts w:ascii="Times New Roman" w:hAnsi="Times New Roman" w:cs="Times New Roman" w:eastAsia="Times New Roman" w:hint="default"/>
          <w:spacing w:val="-3"/>
          <w:w w:val="100"/>
        </w:rPr>
        <w:t>2019</w:t>
      </w:r>
      <w:r>
        <w:rPr>
          <w:spacing w:val="-3"/>
          <w:w w:val="100"/>
        </w:rPr>
        <w:t>年</w:t>
      </w:r>
      <w:r>
        <w:rPr>
          <w:rFonts w:ascii="Times New Roman" w:hAnsi="Times New Roman" w:cs="Times New Roman" w:eastAsia="Times New Roman" w:hint="default"/>
          <w:spacing w:val="-3"/>
          <w:w w:val="100"/>
        </w:rPr>
        <w:t>3</w:t>
      </w:r>
      <w:r>
        <w:rPr>
          <w:spacing w:val="-3"/>
          <w:w w:val="100"/>
        </w:rPr>
        <w:t>月</w:t>
      </w:r>
      <w:r>
        <w:rPr>
          <w:rFonts w:ascii="Times New Roman" w:hAnsi="Times New Roman" w:cs="Times New Roman" w:eastAsia="Times New Roman" w:hint="default"/>
          <w:spacing w:val="-3"/>
          <w:w w:val="100"/>
        </w:rPr>
        <w:t>11</w:t>
      </w:r>
      <w:r>
        <w:rPr>
          <w:spacing w:val="-3"/>
          <w:w w:val="100"/>
        </w:rPr>
        <w:t>日公司与三河市岩峰高新技术产业园有限公司（以下简称</w:t>
      </w:r>
      <w:r>
        <w:rPr>
          <w:rFonts w:ascii="Times New Roman" w:hAnsi="Times New Roman" w:cs="Times New Roman" w:eastAsia="Times New Roman" w:hint="default"/>
          <w:spacing w:val="-3"/>
          <w:w w:val="100"/>
        </w:rPr>
        <w:t>“</w:t>
      </w:r>
      <w:r>
        <w:rPr>
          <w:spacing w:val="-3"/>
          <w:w w:val="100"/>
        </w:rPr>
        <w:t>岩峰公司</w:t>
      </w:r>
      <w:r>
        <w:rPr>
          <w:rFonts w:ascii="Times New Roman" w:hAnsi="Times New Roman" w:cs="Times New Roman" w:eastAsia="Times New Roman" w:hint="default"/>
          <w:spacing w:val="-3"/>
          <w:w w:val="100"/>
        </w:rPr>
        <w:t>”</w:t>
      </w:r>
      <w:r>
        <w:rPr>
          <w:spacing w:val="-3"/>
          <w:w w:val="100"/>
        </w:rPr>
        <w:t>）正式</w:t>
      </w:r>
      <w:r>
        <w:rPr>
          <w:spacing w:val="-69"/>
          <w:w w:val="100"/>
        </w:rPr>
        <w:t> </w:t>
      </w:r>
      <w:r>
        <w:rPr>
          <w:spacing w:val="-69"/>
          <w:w w:val="100"/>
        </w:rPr>
      </w:r>
      <w:r>
        <w:rPr>
          <w:spacing w:val="-5"/>
          <w:w w:val="100"/>
        </w:rPr>
        <w:t>签署《增资合作协议》（以下简称</w:t>
      </w:r>
      <w:r>
        <w:rPr>
          <w:rFonts w:ascii="Times New Roman" w:hAnsi="Times New Roman" w:cs="Times New Roman" w:eastAsia="Times New Roman" w:hint="default"/>
          <w:spacing w:val="-5"/>
          <w:w w:val="100"/>
        </w:rPr>
        <w:t>“</w:t>
      </w:r>
      <w:r>
        <w:rPr>
          <w:spacing w:val="-5"/>
          <w:w w:val="100"/>
        </w:rPr>
        <w:t>协议</w:t>
      </w:r>
      <w:r>
        <w:rPr>
          <w:rFonts w:ascii="Times New Roman" w:hAnsi="Times New Roman" w:cs="Times New Roman" w:eastAsia="Times New Roman" w:hint="default"/>
          <w:spacing w:val="-5"/>
          <w:w w:val="100"/>
        </w:rPr>
        <w:t>”</w:t>
      </w:r>
      <w:r>
        <w:rPr>
          <w:spacing w:val="-5"/>
          <w:w w:val="100"/>
        </w:rPr>
        <w:t>），经各方协商，初步达成的合作方案如下：①岩峰公司拟进行存续分立，分立后的</w:t>
      </w:r>
      <w:r>
        <w:rPr>
          <w:spacing w:val="-54"/>
          <w:w w:val="100"/>
        </w:rPr>
        <w:t> </w:t>
      </w:r>
      <w:r>
        <w:rPr>
          <w:spacing w:val="-54"/>
          <w:w w:val="100"/>
        </w:rPr>
      </w:r>
      <w:r>
        <w:rPr/>
        <w:t>新公司（以下简称</w:t>
      </w:r>
      <w:r>
        <w:rPr>
          <w:rFonts w:ascii="Times New Roman" w:hAnsi="Times New Roman" w:cs="Times New Roman" w:eastAsia="Times New Roman" w:hint="default"/>
        </w:rPr>
        <w:t>“</w:t>
      </w:r>
      <w:r>
        <w:rPr/>
        <w:t>分立主体</w:t>
      </w:r>
      <w:r>
        <w:rPr>
          <w:rFonts w:ascii="Times New Roman" w:hAnsi="Times New Roman" w:cs="Times New Roman" w:eastAsia="Times New Roman" w:hint="default"/>
        </w:rPr>
        <w:t>”</w:t>
      </w:r>
      <w:r>
        <w:rPr/>
        <w:t>）将承接岩峰公司持有的位于三河市燕郊创意谷街南侧、精工园东侧的</w:t>
      </w:r>
      <w:r>
        <w:rPr>
          <w:rFonts w:ascii="Times New Roman" w:hAnsi="Times New Roman" w:cs="Times New Roman" w:eastAsia="Times New Roman" w:hint="default"/>
        </w:rPr>
        <w:t>1</w:t>
      </w:r>
      <w:r>
        <w:rPr/>
        <w:t>宗土地使用权以及对</w:t>
      </w:r>
      <w:r>
        <w:rPr>
          <w:spacing w:val="-63"/>
        </w:rPr>
        <w:t> </w:t>
      </w:r>
      <w:r>
        <w:rPr>
          <w:spacing w:val="-63"/>
        </w:rPr>
      </w:r>
      <w:r>
        <w:rPr>
          <w:spacing w:val="-5"/>
        </w:rPr>
        <w:t>应的</w:t>
      </w:r>
      <w:r>
        <w:rPr>
          <w:rFonts w:ascii="Times New Roman" w:hAnsi="Times New Roman" w:cs="Times New Roman" w:eastAsia="Times New Roman" w:hint="default"/>
          <w:spacing w:val="-5"/>
        </w:rPr>
        <w:t>8</w:t>
      </w:r>
      <w:r>
        <w:rPr>
          <w:spacing w:val="-5"/>
        </w:rPr>
        <w:t>处地上房产，除光环云谷云计算中心一二期外将新建数据中心（一期项目面积为</w:t>
      </w:r>
      <w:r>
        <w:rPr>
          <w:rFonts w:ascii="Times New Roman" w:hAnsi="Times New Roman" w:cs="Times New Roman" w:eastAsia="Times New Roman" w:hint="default"/>
          <w:spacing w:val="-5"/>
        </w:rPr>
        <w:t>11,089.3</w:t>
      </w:r>
      <w:r>
        <w:rPr>
          <w:spacing w:val="-5"/>
        </w:rPr>
        <w:t>平米，二期项目面积为</w:t>
      </w:r>
      <w:r>
        <w:rPr>
          <w:rFonts w:ascii="Times New Roman" w:hAnsi="Times New Roman" w:cs="Times New Roman" w:eastAsia="Times New Roman" w:hint="default"/>
          <w:spacing w:val="-5"/>
        </w:rPr>
        <w:t>27,654.54</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5"/>
        </w:rPr>
        <w:t>平米），房产建筑面积约</w:t>
      </w:r>
      <w:r>
        <w:rPr>
          <w:rFonts w:ascii="Times New Roman" w:hAnsi="Times New Roman" w:cs="Times New Roman" w:eastAsia="Times New Roman" w:hint="default"/>
          <w:spacing w:val="-5"/>
        </w:rPr>
        <w:t>172,500</w:t>
      </w:r>
      <w:r>
        <w:rPr>
          <w:spacing w:val="-5"/>
        </w:rPr>
        <w:t>平米，预计容纳</w:t>
      </w:r>
      <w:r>
        <w:rPr>
          <w:rFonts w:ascii="Times New Roman" w:hAnsi="Times New Roman" w:cs="Times New Roman" w:eastAsia="Times New Roman" w:hint="default"/>
          <w:spacing w:val="-5"/>
        </w:rPr>
        <w:t>20,000</w:t>
      </w:r>
      <w:r>
        <w:rPr>
          <w:spacing w:val="-5"/>
        </w:rPr>
        <w:t>个机柜（具体以批复的工程规划许可证为准）。②公司或公司联合其他</w:t>
      </w:r>
      <w:r>
        <w:rPr>
          <w:spacing w:val="-51"/>
        </w:rPr>
        <w:t> </w:t>
      </w:r>
      <w:r>
        <w:rPr>
          <w:spacing w:val="-51"/>
        </w:rPr>
      </w:r>
      <w:r>
        <w:rPr>
          <w:spacing w:val="-2"/>
        </w:rPr>
        <w:t>第三方共同向分立主体增资，增资金额预计不超过</w:t>
      </w:r>
      <w:r>
        <w:rPr>
          <w:rFonts w:ascii="Times New Roman" w:hAnsi="Times New Roman" w:cs="Times New Roman" w:eastAsia="Times New Roman" w:hint="default"/>
          <w:spacing w:val="-2"/>
        </w:rPr>
        <w:t>107,250</w:t>
      </w:r>
      <w:r>
        <w:rPr>
          <w:spacing w:val="-2"/>
        </w:rPr>
        <w:t>万元，增资后公司将获得分立主体的控股权（合计不低于</w:t>
      </w:r>
      <w:r>
        <w:rPr>
          <w:rFonts w:ascii="Times New Roman" w:hAnsi="Times New Roman" w:cs="Times New Roman" w:eastAsia="Times New Roman" w:hint="default"/>
          <w:spacing w:val="-2"/>
        </w:rPr>
        <w:t>65%</w:t>
      </w:r>
      <w:r>
        <w:rPr>
          <w:spacing w:val="-2"/>
        </w:rPr>
        <w:t>）。</w:t>
      </w:r>
      <w:r>
        <w:rPr>
          <w:spacing w:val="-80"/>
        </w:rPr>
        <w:t> </w:t>
      </w:r>
      <w:r>
        <w:rPr>
          <w:spacing w:val="-2"/>
        </w:rPr>
        <w:t>公司将联合第三方自筹资金进行投资。③为确保公司与岩峰公司共同合作建设数据中心事项的顺利实施，公司将按照新建数</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2"/>
        <w:jc w:val="left"/>
      </w:pPr>
      <w:r>
        <w:rPr/>
        <w:t>据中心项目的审批及建设进度分批向岩峰公司及分立主体支付本次增资的保证金</w:t>
      </w:r>
      <w:r>
        <w:rPr>
          <w:rFonts w:ascii="Times New Roman" w:hAnsi="Times New Roman" w:cs="Times New Roman" w:eastAsia="Times New Roman" w:hint="default"/>
        </w:rPr>
        <w:t>20,000 </w:t>
      </w:r>
      <w:r>
        <w:rPr/>
        <w:t>万元。上述保证金公司将以自有资</w:t>
      </w:r>
      <w:r>
        <w:rPr>
          <w:spacing w:val="-85"/>
        </w:rPr>
        <w:t> </w:t>
      </w:r>
      <w:r>
        <w:rPr>
          <w:spacing w:val="-85"/>
        </w:rPr>
      </w:r>
      <w:r>
        <w:rPr/>
        <w:t>金或银行贷款支付。</w:t>
      </w:r>
    </w:p>
    <w:p>
      <w:pPr>
        <w:pStyle w:val="BodyText"/>
        <w:spacing w:line="300" w:lineRule="auto" w:before="31"/>
        <w:ind w:right="1131" w:firstLine="420"/>
        <w:jc w:val="both"/>
      </w:pPr>
      <w:r>
        <w:rPr>
          <w:spacing w:val="-1"/>
        </w:rPr>
        <w:t>岩峰公司于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日将其持有的位于河北省三河市的三处土地使用权抵押给公司作为支付全部保证金的担保，并</w:t>
      </w:r>
      <w:r>
        <w:rPr/>
        <w:t> 办理了相关抵押手续，不动产登记证明编号为冀（</w:t>
      </w:r>
      <w:r>
        <w:rPr>
          <w:rFonts w:ascii="Times New Roman" w:hAnsi="Times New Roman" w:cs="Times New Roman" w:eastAsia="Times New Roman" w:hint="default"/>
        </w:rPr>
        <w:t>2019</w:t>
      </w:r>
      <w:r>
        <w:rPr/>
        <w:t>）三河市不动产证明第</w:t>
      </w:r>
      <w:r>
        <w:rPr>
          <w:rFonts w:ascii="Times New Roman" w:hAnsi="Times New Roman" w:cs="Times New Roman" w:eastAsia="Times New Roman" w:hint="default"/>
        </w:rPr>
        <w:t>0004957</w:t>
      </w:r>
      <w:r>
        <w:rPr/>
        <w:t>号。岩峰公司分立后成立新公司智达</w:t>
      </w:r>
      <w:r>
        <w:rPr>
          <w:spacing w:val="-87"/>
        </w:rPr>
        <w:t> </w:t>
      </w:r>
      <w:r>
        <w:rPr>
          <w:spacing w:val="-87"/>
        </w:rPr>
      </w:r>
      <w:r>
        <w:rPr/>
        <w:t>云创（三河）科技有限公司，公司于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日支付智达云创（三河）科技有限公司保证金</w:t>
      </w:r>
      <w:r>
        <w:rPr>
          <w:rFonts w:ascii="Times New Roman" w:hAnsi="Times New Roman" w:cs="Times New Roman" w:eastAsia="Times New Roman" w:hint="default"/>
        </w:rPr>
        <w:t>10,000</w:t>
      </w:r>
      <w:r>
        <w:rPr/>
        <w:t>万元，累计支付保证</w:t>
      </w:r>
      <w:r>
        <w:rPr>
          <w:spacing w:val="-42"/>
        </w:rPr>
        <w:t> </w:t>
      </w:r>
      <w:r>
        <w:rPr>
          <w:spacing w:val="-42"/>
        </w:rPr>
      </w:r>
      <w:r>
        <w:rPr/>
        <w:t>金</w:t>
      </w:r>
      <w:r>
        <w:rPr>
          <w:rFonts w:ascii="Times New Roman" w:hAnsi="Times New Roman" w:cs="Times New Roman" w:eastAsia="Times New Roman" w:hint="default"/>
        </w:rPr>
        <w:t>18,000.00</w:t>
      </w:r>
      <w:r>
        <w:rPr/>
        <w:t>万元。</w:t>
      </w:r>
    </w:p>
    <w:p>
      <w:pPr>
        <w:pStyle w:val="BodyText"/>
        <w:spacing w:line="300" w:lineRule="auto" w:before="13"/>
        <w:ind w:right="1128" w:firstLine="420"/>
        <w:jc w:val="both"/>
      </w:pP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16</w:t>
      </w:r>
      <w:r>
        <w:rPr>
          <w:spacing w:val="-5"/>
        </w:rPr>
        <w:t>日，公司与智达云创（三河）科技有限公司及其股东签订了《智达云创（三河）科技有限公司增资协议》，</w:t>
      </w:r>
      <w:r>
        <w:rPr/>
        <w:t> 以截至评估基准日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日智达云创（三河）科技有限公司</w:t>
      </w:r>
      <w:r>
        <w:rPr>
          <w:rFonts w:ascii="Times New Roman" w:hAnsi="Times New Roman" w:cs="Times New Roman" w:eastAsia="Times New Roman" w:hint="default"/>
        </w:rPr>
        <w:t>100%</w:t>
      </w:r>
      <w:r>
        <w:rPr/>
        <w:t>股权的评估价值</w:t>
      </w:r>
      <w:r>
        <w:rPr>
          <w:rFonts w:ascii="Times New Roman" w:hAnsi="Times New Roman" w:cs="Times New Roman" w:eastAsia="Times New Roman" w:hint="default"/>
        </w:rPr>
        <w:t>58,487.65</w:t>
      </w:r>
      <w:r>
        <w:rPr/>
        <w:t>万元为参考，同时考虑到</w:t>
      </w:r>
      <w:r>
        <w:rPr>
          <w:spacing w:val="-63"/>
        </w:rPr>
        <w:t> </w:t>
      </w:r>
      <w:r>
        <w:rPr>
          <w:spacing w:val="-63"/>
        </w:rPr>
      </w:r>
      <w:r>
        <w:rPr/>
        <w:t>在评估基准日后且在本次协议签署之日前，智达云创（三河）科技有限公司原股东已向目标公司合计实缴出资</w:t>
      </w:r>
      <w:r>
        <w:rPr>
          <w:rFonts w:ascii="Times New Roman" w:hAnsi="Times New Roman" w:cs="Times New Roman" w:eastAsia="Times New Roman" w:hint="default"/>
        </w:rPr>
        <w:t>3,400</w:t>
      </w:r>
      <w:r>
        <w:rPr/>
        <w:t>万元，</w:t>
      </w:r>
      <w:r>
        <w:rPr>
          <w:spacing w:val="-39"/>
        </w:rPr>
        <w:t> </w:t>
      </w:r>
      <w:r>
        <w:rPr>
          <w:spacing w:val="-2"/>
        </w:rPr>
        <w:t>各方共同协商确定本次增资目标公司的整体估值为</w:t>
      </w:r>
      <w:r>
        <w:rPr>
          <w:rFonts w:ascii="Times New Roman" w:hAnsi="Times New Roman" w:cs="Times New Roman" w:eastAsia="Times New Roman" w:hint="default"/>
          <w:spacing w:val="-2"/>
        </w:rPr>
        <w:t>60,686</w:t>
      </w:r>
      <w:r>
        <w:rPr>
          <w:spacing w:val="-2"/>
        </w:rPr>
        <w:t>万元；公司以现金</w:t>
      </w:r>
      <w:r>
        <w:rPr>
          <w:rFonts w:ascii="Times New Roman" w:hAnsi="Times New Roman" w:cs="Times New Roman" w:eastAsia="Times New Roman" w:hint="default"/>
          <w:spacing w:val="-2"/>
        </w:rPr>
        <w:t>112,701</w:t>
      </w:r>
      <w:r>
        <w:rPr>
          <w:spacing w:val="-2"/>
        </w:rPr>
        <w:t>万元对智达云创（三河）科技有限公司进</w:t>
      </w:r>
      <w:r>
        <w:rPr>
          <w:spacing w:val="-55"/>
        </w:rPr>
        <w:t> </w:t>
      </w:r>
      <w:r>
        <w:rPr>
          <w:spacing w:val="-55"/>
        </w:rPr>
      </w:r>
      <w:r>
        <w:rPr/>
        <w:t>行增资，其中</w:t>
      </w:r>
      <w:r>
        <w:rPr>
          <w:rFonts w:ascii="Times New Roman" w:hAnsi="Times New Roman" w:cs="Times New Roman" w:eastAsia="Times New Roman" w:hint="default"/>
        </w:rPr>
        <w:t>6,500</w:t>
      </w:r>
      <w:r>
        <w:rPr/>
        <w:t>万元计入注册资本，</w:t>
      </w:r>
      <w:r>
        <w:rPr>
          <w:rFonts w:ascii="Times New Roman" w:hAnsi="Times New Roman" w:cs="Times New Roman" w:eastAsia="Times New Roman" w:hint="default"/>
        </w:rPr>
        <w:t>106,201</w:t>
      </w:r>
      <w:r>
        <w:rPr/>
        <w:t>万元计入资本公积。本次增资完成后，智达云创（三河）科技有限公司将成</w:t>
      </w:r>
      <w:r>
        <w:rPr>
          <w:spacing w:val="-85"/>
        </w:rPr>
        <w:t> </w:t>
      </w:r>
      <w:r>
        <w:rPr>
          <w:spacing w:val="-85"/>
        </w:rPr>
      </w:r>
      <w:r>
        <w:rPr/>
        <w:t>为公司的控股子公司，持股比例</w:t>
      </w:r>
      <w:r>
        <w:rPr>
          <w:rFonts w:ascii="Times New Roman" w:hAnsi="Times New Roman" w:cs="Times New Roman" w:eastAsia="Times New Roman" w:hint="default"/>
        </w:rPr>
        <w:t>65%</w:t>
      </w:r>
      <w:r>
        <w:rPr/>
        <w:t>。该协议需公司股东大会审议通过本次增资相关议案之日起生效。</w:t>
      </w:r>
    </w:p>
    <w:p>
      <w:pPr>
        <w:pStyle w:val="BodyText"/>
        <w:spacing w:line="307" w:lineRule="auto" w:before="13"/>
        <w:ind w:right="1129" w:firstLine="42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日，公司召开第四届董事会</w:t>
      </w:r>
      <w:r>
        <w:rPr>
          <w:rFonts w:ascii="Times New Roman" w:hAnsi="Times New Roman" w:cs="Times New Roman" w:eastAsia="Times New Roman" w:hint="default"/>
        </w:rPr>
        <w:t>2020</w:t>
      </w:r>
      <w:r>
        <w:rPr/>
        <w:t>年第一次会议及第四届监事会</w:t>
      </w:r>
      <w:r>
        <w:rPr>
          <w:rFonts w:ascii="Times New Roman" w:hAnsi="Times New Roman" w:cs="Times New Roman" w:eastAsia="Times New Roman" w:hint="default"/>
        </w:rPr>
        <w:t>2020</w:t>
      </w:r>
      <w:r>
        <w:rPr/>
        <w:t>年第一次会议审议通过了向特定 对象非公开发行股票的相关事项，拟向不超过</w:t>
      </w:r>
      <w:r>
        <w:rPr>
          <w:rFonts w:ascii="Times New Roman" w:hAnsi="Times New Roman" w:cs="Times New Roman" w:eastAsia="Times New Roman" w:hint="default"/>
        </w:rPr>
        <w:t>35</w:t>
      </w:r>
      <w:r>
        <w:rPr/>
        <w:t>名发行对象非公开发行股票，募集资金总额不超过</w:t>
      </w:r>
      <w:r>
        <w:rPr>
          <w:rFonts w:ascii="Times New Roman" w:hAnsi="Times New Roman" w:cs="Times New Roman" w:eastAsia="Times New Roman" w:hint="default"/>
        </w:rPr>
        <w:t>500,000</w:t>
      </w:r>
      <w:r>
        <w:rPr/>
        <w:t>万元，募集资金</w:t>
      </w:r>
      <w:r>
        <w:rPr>
          <w:spacing w:val="-41"/>
        </w:rPr>
        <w:t> </w:t>
      </w:r>
      <w:r>
        <w:rPr>
          <w:spacing w:val="-41"/>
        </w:rPr>
      </w:r>
      <w:r>
        <w:rPr>
          <w:spacing w:val="-2"/>
        </w:rPr>
        <w:t>将用于投资建设北京房山绿色云计算数据中心二期项目、上海嘉定绿色云计算基地二期项目、向智达云创（三河）科技有限</w:t>
      </w:r>
      <w:r>
        <w:rPr>
          <w:spacing w:val="-64"/>
        </w:rPr>
        <w:t> </w:t>
      </w:r>
      <w:r>
        <w:rPr>
          <w:spacing w:val="-64"/>
        </w:rPr>
      </w:r>
      <w:r>
        <w:rPr>
          <w:spacing w:val="-1"/>
        </w:rPr>
        <w:t>公司增资取得</w:t>
      </w:r>
      <w:r>
        <w:rPr>
          <w:rFonts w:ascii="Times New Roman" w:hAnsi="Times New Roman" w:cs="Times New Roman" w:eastAsia="Times New Roman" w:hint="default"/>
          <w:spacing w:val="-1"/>
        </w:rPr>
        <w:t>65%</w:t>
      </w:r>
      <w:r>
        <w:rPr>
          <w:spacing w:val="-1"/>
        </w:rPr>
        <w:t>股权并投资建设燕郊绿色云计算基地三四期项目、长沙绿色云计算基地一期项目及补充流动资金，解决项</w:t>
      </w:r>
      <w:r>
        <w:rPr/>
        <w:t> </w:t>
      </w:r>
      <w:r>
        <w:rPr>
          <w:spacing w:val="-2"/>
        </w:rPr>
        <w:t>目资金来源，有助于各项目推进，增强公司资金实力及持续盈利能力。本次非公开发行股票方案尚需获得公司股东大会审议</w:t>
      </w:r>
      <w:r>
        <w:rPr>
          <w:spacing w:val="-63"/>
        </w:rPr>
        <w:t> </w:t>
      </w:r>
      <w:r>
        <w:rPr>
          <w:spacing w:val="-63"/>
        </w:rPr>
      </w:r>
      <w:r>
        <w:rPr/>
        <w:t>批准，并报送中国证监会核准后方可实施。</w:t>
      </w:r>
    </w:p>
    <w:p>
      <w:pPr>
        <w:pStyle w:val="BodyText"/>
        <w:spacing w:line="307" w:lineRule="auto" w:before="26"/>
        <w:ind w:right="1130" w:firstLine="420"/>
        <w:jc w:val="both"/>
      </w:pPr>
      <w:r>
        <w:rPr>
          <w:spacing w:val="-2"/>
        </w:rPr>
        <w:t>（</w:t>
      </w:r>
      <w:r>
        <w:rPr>
          <w:rFonts w:ascii="Times New Roman" w:hAnsi="Times New Roman" w:cs="Times New Roman" w:eastAsia="Times New Roman" w:hint="default"/>
          <w:spacing w:val="-2"/>
        </w:rPr>
        <w:t>5</w:t>
      </w:r>
      <w:r>
        <w:rPr>
          <w:spacing w:val="-2"/>
        </w:rPr>
        <w:t>）公司为进一步提升全资子公司北京无双科技有限公司（以下简称“无双科技”）的发展规模，提高数字营销业务</w:t>
      </w:r>
      <w:r>
        <w:rPr/>
        <w:t> </w:t>
      </w:r>
      <w:r>
        <w:rPr>
          <w:spacing w:val="-2"/>
        </w:rPr>
        <w:t>的服务水平，因此决定强强联合，引入开域国际控股有限公司（以下简称“开域国际”）作为战略投资者入股无双科技及二</w:t>
      </w:r>
      <w:r>
        <w:rPr>
          <w:spacing w:val="-65"/>
        </w:rPr>
        <w:t> </w:t>
      </w:r>
      <w:r>
        <w:rPr>
          <w:spacing w:val="-65"/>
        </w:rPr>
      </w:r>
      <w:r>
        <w:rPr>
          <w:spacing w:val="-6"/>
        </w:rPr>
        <w:t>级子公司北京新光环无双科技有限公司（以下简称“新光环无双”）。开域国际向无双科技增资</w:t>
      </w:r>
      <w:r>
        <w:rPr>
          <w:rFonts w:ascii="Times New Roman" w:hAnsi="Times New Roman" w:cs="Times New Roman" w:eastAsia="Times New Roman" w:hint="default"/>
          <w:spacing w:val="-6"/>
        </w:rPr>
        <w:t>2,500</w:t>
      </w:r>
      <w:r>
        <w:rPr>
          <w:spacing w:val="-6"/>
        </w:rPr>
        <w:t>万元持有无双科技</w:t>
      </w:r>
      <w:r>
        <w:rPr>
          <w:rFonts w:ascii="Times New Roman" w:hAnsi="Times New Roman" w:cs="Times New Roman" w:eastAsia="Times New Roman" w:hint="default"/>
          <w:spacing w:val="-6"/>
        </w:rPr>
        <w:t>2.924%</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的股权，向新光环无双增资</w:t>
      </w:r>
      <w:r>
        <w:rPr>
          <w:rFonts w:ascii="Times New Roman" w:hAnsi="Times New Roman" w:cs="Times New Roman" w:eastAsia="Times New Roman" w:hint="default"/>
        </w:rPr>
        <w:t>200</w:t>
      </w:r>
      <w:r>
        <w:rPr/>
        <w:t>万元持有新光环无双</w:t>
      </w:r>
      <w:r>
        <w:rPr>
          <w:rFonts w:ascii="Times New Roman" w:hAnsi="Times New Roman" w:cs="Times New Roman" w:eastAsia="Times New Roman" w:hint="default"/>
        </w:rPr>
        <w:t>16.67%</w:t>
      </w:r>
      <w:r>
        <w:rPr/>
        <w:t>的股权。</w:t>
      </w:r>
    </w:p>
    <w:p>
      <w:pPr>
        <w:pStyle w:val="BodyText"/>
        <w:spacing w:line="240" w:lineRule="auto" w:before="7"/>
        <w:ind w:left="573" w:right="1112"/>
        <w:jc w:val="left"/>
      </w:pPr>
      <w:r>
        <w:rPr/>
        <w:t>除存在上述资产负债表日后事项外，截至报告日，本公司无其他应披露未披露的重大资产负债表日后事项。</w:t>
      </w:r>
    </w:p>
    <w:p>
      <w:pPr>
        <w:spacing w:line="240" w:lineRule="auto" w:before="4"/>
        <w:rPr>
          <w:rFonts w:ascii="宋体" w:hAnsi="宋体" w:cs="宋体" w:eastAsia="宋体" w:hint="default"/>
          <w:sz w:val="25"/>
          <w:szCs w:val="25"/>
        </w:rPr>
      </w:pPr>
    </w:p>
    <w:p>
      <w:pPr>
        <w:pStyle w:val="Heading2"/>
        <w:spacing w:line="240" w:lineRule="auto"/>
        <w:ind w:right="3827"/>
        <w:jc w:val="left"/>
        <w:rPr>
          <w:b w:val="0"/>
          <w:bCs w:val="0"/>
        </w:rPr>
      </w:pPr>
      <w:bookmarkStart w:name="十六、其他重要事项" w:id="360"/>
      <w:bookmarkEnd w:id="360"/>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827"/>
        <w:jc w:val="left"/>
        <w:rPr>
          <w:b w:val="0"/>
          <w:bCs w:val="0"/>
        </w:rPr>
      </w:pPr>
      <w:bookmarkStart w:name="1、分部信息" w:id="361"/>
      <w:bookmarkEnd w:id="361"/>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827"/>
        <w:jc w:val="left"/>
        <w:rPr>
          <w:b w:val="0"/>
          <w:bCs w:val="0"/>
        </w:rPr>
      </w:pPr>
      <w:bookmarkStart w:name="（1）报告分部的财务信息" w:id="362"/>
      <w:bookmarkEnd w:id="362"/>
      <w:r>
        <w:rPr>
          <w:b w:val="0"/>
          <w:bCs w:val="0"/>
        </w:rPr>
      </w:r>
      <w:r>
        <w:rPr/>
        <w:t>（</w:t>
      </w:r>
      <w:r>
        <w:rPr>
          <w:rFonts w:ascii="Times New Roman" w:hAnsi="Times New Roman" w:cs="Times New Roman" w:eastAsia="Times New Roman" w:hint="default"/>
        </w:rPr>
        <w:t>1</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及其增值服务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云计算及相关服务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1,560,767,510.37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5,211,922,178.12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6,772,689,688.49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710,773,444.48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4,600,892,395.14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5,249,006,182.34</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其他" w:id="363"/>
      <w:bookmarkEnd w:id="363"/>
      <w:r>
        <w:rPr>
          <w:b w:val="0"/>
          <w:bCs w:val="0"/>
        </w:rPr>
      </w:r>
      <w:r>
        <w:rPr>
          <w:rFonts w:ascii="Times New Roman" w:hAnsi="Times New Roman" w:cs="Times New Roman" w:eastAsia="Times New Roman" w:hint="default"/>
        </w:rPr>
        <w:t>2</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86" w:firstLine="420"/>
        <w:jc w:val="left"/>
      </w:pPr>
      <w:r>
        <w:rPr>
          <w:spacing w:val="-2"/>
        </w:rPr>
        <w:t>（</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日与金福沈、黄锝强、众凡投资以及昆山美鸿业金属制品有限公司（以下简称“昆山公司”）</w:t>
      </w:r>
      <w:r>
        <w:rPr/>
        <w:t> </w:t>
      </w:r>
      <w:r>
        <w:rPr>
          <w:spacing w:val="-4"/>
        </w:rPr>
        <w:t>签署了《关于昆山美鸿业金属制品有限公司之股权转让及增资扩股协议》，公司拟以</w:t>
      </w:r>
      <w:r>
        <w:rPr>
          <w:rFonts w:ascii="Times New Roman" w:hAnsi="Times New Roman" w:cs="Times New Roman" w:eastAsia="Times New Roman" w:hint="default"/>
          <w:spacing w:val="-4"/>
        </w:rPr>
        <w:t>2.1</w:t>
      </w:r>
      <w:r>
        <w:rPr>
          <w:spacing w:val="-4"/>
        </w:rPr>
        <w:t>万元收购黄锝强持有的昆山公司</w:t>
      </w:r>
      <w:r>
        <w:rPr>
          <w:rFonts w:ascii="Times New Roman" w:hAnsi="Times New Roman" w:cs="Times New Roman" w:eastAsia="Times New Roman" w:hint="default"/>
          <w:spacing w:val="-4"/>
        </w:rPr>
        <w:t>0.01%</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2"/>
        </w:rPr>
        <w:t>股权、以</w:t>
      </w:r>
      <w:r>
        <w:rPr>
          <w:rFonts w:ascii="Times New Roman" w:hAnsi="Times New Roman" w:cs="Times New Roman" w:eastAsia="Times New Roman" w:hint="default"/>
          <w:spacing w:val="-2"/>
        </w:rPr>
        <w:t>8,997.9</w:t>
      </w:r>
      <w:r>
        <w:rPr>
          <w:spacing w:val="-2"/>
        </w:rPr>
        <w:t>万元收购共青城众凡投资合伙企业（有限合伙）（以下简称“众凡投资”）持有的昆山公司</w:t>
      </w:r>
      <w:r>
        <w:rPr>
          <w:rFonts w:ascii="Times New Roman" w:hAnsi="Times New Roman" w:cs="Times New Roman" w:eastAsia="Times New Roman" w:hint="default"/>
          <w:spacing w:val="-2"/>
        </w:rPr>
        <w:t>42.85%</w:t>
      </w:r>
      <w:r>
        <w:rPr>
          <w:spacing w:val="-2"/>
        </w:rPr>
        <w:t>股权。本</w:t>
      </w:r>
      <w:r>
        <w:rPr>
          <w:spacing w:val="-76"/>
        </w:rPr>
        <w:t> </w:t>
      </w:r>
      <w:r>
        <w:rPr>
          <w:spacing w:val="-76"/>
        </w:rPr>
      </w:r>
      <w:r>
        <w:rPr/>
        <w:t>次股权转让完成后，公司和金福沈分别以</w:t>
      </w:r>
      <w:r>
        <w:rPr>
          <w:rFonts w:ascii="Times New Roman" w:hAnsi="Times New Roman" w:cs="Times New Roman" w:eastAsia="Times New Roman" w:hint="default"/>
        </w:rPr>
        <w:t>3,972.97</w:t>
      </w:r>
      <w:r>
        <w:rPr/>
        <w:t>万元、</w:t>
      </w:r>
      <w:r>
        <w:rPr>
          <w:rFonts w:ascii="Times New Roman" w:hAnsi="Times New Roman" w:cs="Times New Roman" w:eastAsia="Times New Roman" w:hint="default"/>
        </w:rPr>
        <w:t>7,459.46</w:t>
      </w:r>
      <w:r>
        <w:rPr/>
        <w:t>万元现金对昆山公司进行增资，其中</w:t>
      </w:r>
      <w:r>
        <w:rPr>
          <w:rFonts w:ascii="Times New Roman" w:hAnsi="Times New Roman" w:cs="Times New Roman" w:eastAsia="Times New Roman" w:hint="default"/>
        </w:rPr>
        <w:t>6,782.62</w:t>
      </w:r>
      <w:r>
        <w:rPr/>
        <w:t>万元计入昆山 公司实收资本，</w:t>
      </w:r>
      <w:r>
        <w:rPr>
          <w:rFonts w:ascii="Times New Roman" w:hAnsi="Times New Roman" w:cs="Times New Roman" w:eastAsia="Times New Roman" w:hint="default"/>
        </w:rPr>
        <w:t>4,649.81</w:t>
      </w:r>
      <w:r>
        <w:rPr/>
        <w:t>万元为资本溢价，计入资本公积金。众凡投资同意放弃行使其依据法律法规及昆山公司章程就本次</w:t>
      </w:r>
      <w:r>
        <w:rPr>
          <w:spacing w:val="-86"/>
        </w:rPr>
        <w:t> </w:t>
      </w:r>
      <w:r>
        <w:rPr>
          <w:spacing w:val="-86"/>
        </w:rPr>
      </w:r>
      <w:r>
        <w:rPr>
          <w:spacing w:val="-4"/>
        </w:rPr>
        <w:t>增资扩股享有的优先认缴出资的权利。公司于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日与金福沈签署了《一致行动协议》。因此，在本次股权转让及增</w:t>
      </w:r>
      <w:r>
        <w:rPr>
          <w:spacing w:val="-35"/>
        </w:rPr>
        <w:t> </w:t>
      </w:r>
      <w:r>
        <w:rPr>
          <w:spacing w:val="-35"/>
        </w:rPr>
      </w:r>
      <w:r>
        <w:rPr>
          <w:spacing w:val="-3"/>
        </w:rPr>
        <w:t>资扩股完成后，公司和金福沈将合计持有昆山公司</w:t>
      </w:r>
      <w:r>
        <w:rPr>
          <w:rFonts w:ascii="Times New Roman" w:hAnsi="Times New Roman" w:cs="Times New Roman" w:eastAsia="Times New Roman" w:hint="default"/>
          <w:spacing w:val="-3"/>
        </w:rPr>
        <w:t>63%</w:t>
      </w:r>
      <w:r>
        <w:rPr>
          <w:spacing w:val="-3"/>
        </w:rPr>
        <w:t>的股权（其中公司持有</w:t>
      </w:r>
      <w:r>
        <w:rPr>
          <w:rFonts w:ascii="Times New Roman" w:hAnsi="Times New Roman" w:cs="Times New Roman" w:eastAsia="Times New Roman" w:hint="default"/>
          <w:spacing w:val="-3"/>
        </w:rPr>
        <w:t>40%</w:t>
      </w:r>
      <w:r>
        <w:rPr>
          <w:spacing w:val="-3"/>
        </w:rPr>
        <w:t>的股权，金福沈持有</w:t>
      </w:r>
      <w:r>
        <w:rPr>
          <w:rFonts w:ascii="Times New Roman" w:hAnsi="Times New Roman" w:cs="Times New Roman" w:eastAsia="Times New Roman" w:hint="default"/>
          <w:spacing w:val="-3"/>
        </w:rPr>
        <w:t>23%</w:t>
      </w:r>
      <w:r>
        <w:rPr>
          <w:spacing w:val="-3"/>
        </w:rPr>
        <w:t>的股权），众凡投</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9"/>
        <w:jc w:val="both"/>
      </w:pPr>
      <w:r>
        <w:rPr>
          <w:spacing w:val="-1"/>
        </w:rPr>
        <w:t>资持有昆山公司</w:t>
      </w:r>
      <w:r>
        <w:rPr>
          <w:rFonts w:ascii="Times New Roman" w:hAnsi="Times New Roman" w:cs="Times New Roman" w:eastAsia="Times New Roman" w:hint="default"/>
          <w:spacing w:val="-1"/>
        </w:rPr>
        <w:t>37%</w:t>
      </w:r>
      <w:r>
        <w:rPr>
          <w:spacing w:val="-1"/>
        </w:rPr>
        <w:t>的股权。本次股权转让及增资扩股完成后，公司将拥有昆山公司</w:t>
      </w:r>
      <w:r>
        <w:rPr>
          <w:rFonts w:ascii="Times New Roman" w:hAnsi="Times New Roman" w:cs="Times New Roman" w:eastAsia="Times New Roman" w:hint="default"/>
          <w:spacing w:val="-1"/>
        </w:rPr>
        <w:t>63%</w:t>
      </w:r>
      <w:r>
        <w:rPr>
          <w:spacing w:val="-1"/>
        </w:rPr>
        <w:t>的表决权，昆山公司成为公司的控</w:t>
      </w:r>
      <w:r>
        <w:rPr>
          <w:spacing w:val="-57"/>
        </w:rPr>
        <w:t> </w:t>
      </w:r>
      <w:r>
        <w:rPr>
          <w:spacing w:val="-57"/>
        </w:rPr>
      </w:r>
      <w:r>
        <w:rPr>
          <w:spacing w:val="-2"/>
        </w:rPr>
        <w:t>股子公司；昆山公司作为实施主体将利用其拥有的位于昆山市周市镇黄浦江北路东侧的两宗土地以及地上房产建设昆山美鸿</w:t>
      </w:r>
      <w:r>
        <w:rPr>
          <w:spacing w:val="-64"/>
        </w:rPr>
        <w:t> </w:t>
      </w:r>
      <w:r>
        <w:rPr>
          <w:spacing w:val="-64"/>
        </w:rPr>
      </w:r>
      <w:r>
        <w:rPr/>
        <w:t>业绿色云计算基地项目，项目总投资额为</w:t>
      </w:r>
      <w:r>
        <w:rPr>
          <w:rFonts w:ascii="Times New Roman" w:hAnsi="Times New Roman" w:cs="Times New Roman" w:eastAsia="Times New Roman" w:hint="default"/>
        </w:rPr>
        <w:t>248,075</w:t>
      </w:r>
      <w:r>
        <w:rPr/>
        <w:t>万元。</w:t>
      </w:r>
    </w:p>
    <w:p>
      <w:pPr>
        <w:pStyle w:val="BodyText"/>
        <w:spacing w:line="316" w:lineRule="auto" w:before="5"/>
        <w:ind w:right="1131" w:firstLine="420"/>
        <w:jc w:val="both"/>
      </w:pPr>
      <w:r>
        <w:rPr/>
        <w:t>根据协议约定，昆山公司取得数据中心的环评、能评审批后公司向黄锝强及众凡投资支付股权转让款。截至目前，该 </w:t>
      </w:r>
      <w:r>
        <w:rPr>
          <w:spacing w:val="-2"/>
        </w:rPr>
        <w:t>项目已完成园区整体方案设计、项目立项及用地规划审批，已办理环评备案，并启动项目能评及规划审批等工作。公司尚未</w:t>
      </w:r>
      <w:r>
        <w:rPr>
          <w:spacing w:val="-64"/>
        </w:rPr>
        <w:t> </w:t>
      </w:r>
      <w:r>
        <w:rPr>
          <w:spacing w:val="-64"/>
        </w:rPr>
      </w:r>
      <w:r>
        <w:rPr/>
        <w:t>支付相关股权转让款和增资款。</w:t>
      </w:r>
    </w:p>
    <w:p>
      <w:pPr>
        <w:pStyle w:val="BodyText"/>
        <w:spacing w:line="240" w:lineRule="auto" w:before="19"/>
        <w:ind w:left="573" w:right="3827"/>
        <w:jc w:val="left"/>
      </w:pPr>
      <w:r>
        <w:rPr/>
        <w:t>出上述事项外，截至报告日，本公司无其他应披露未披露的其他重要事项。</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十七、母公司财务报表主要项目注释" w:id="364"/>
      <w:bookmarkEnd w:id="364"/>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应收账款" w:id="365"/>
      <w:bookmarkEnd w:id="36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应收账款分类披露" w:id="366"/>
      <w:bookmarkEnd w:id="36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661,190,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336.53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11,250,9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649,939,4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30.75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631,142,0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8,717,088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622,424,92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7.16</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252,126,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325.88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38.13%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8,757,96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243,368,3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175,989,3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6,467,564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169,521,74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9.25</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：款项性质组 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409,064,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010.65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61.87%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2,492,94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406,571,0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455,152,7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02.69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2,249,524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452,903,17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7.91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661,190,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336.53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11,250,9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649,939,4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30.75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631,142,0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15.94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8,717,088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622,424,92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7.16</w:t>
            </w:r>
          </w:p>
        </w:tc>
      </w:tr>
    </w:tbl>
    <w:p>
      <w:pPr>
        <w:pStyle w:val="BodyText"/>
        <w:spacing w:line="240" w:lineRule="auto" w:before="49"/>
        <w:ind w:right="3827"/>
        <w:jc w:val="left"/>
      </w:pPr>
      <w:r>
        <w:rPr/>
        <w:t>按组合计提坏账准备：</w:t>
      </w:r>
      <w:r>
        <w:rPr>
          <w:u w:val="single" w:color="000000"/>
        </w:rPr>
        <w:t>按照账龄分析法账款</w:t>
      </w:r>
      <w:r>
        <w:rPr/>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247,896,501.02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7,436,948.08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2,455,245.93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245,524.59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607,772.15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182,331.65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506,950.75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253,475.38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100,876.73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558,979.30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558,979.30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405"/>
        <w:gridCol w:w="2369"/>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252,126,325.88</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8,757,960.38</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3827"/>
        <w:jc w:val="left"/>
      </w:pPr>
      <w:r>
        <w:rPr/>
        <w:t>按组合计提坏账准备：</w:t>
      </w:r>
      <w:r>
        <w:rPr>
          <w:u w:val="single" w:color="000000"/>
        </w:rPr>
        <w:t>款项性质</w:t>
      </w:r>
      <w:r>
        <w:rPr/>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409,064,010.65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2,492,945.40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409,064,010.65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2,492,945.40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2114"/>
        <w:jc w:val="left"/>
      </w:pPr>
      <w:r>
        <w:rPr/>
        <w:t>确定该组合依据的说明： 款项性质组合：该组合中按风险余额对应账龄法计提坏账准备，当期风险余额全部为一年内。</w:t>
      </w:r>
    </w:p>
    <w:p>
      <w:pPr>
        <w:spacing w:line="240" w:lineRule="auto" w:before="0"/>
        <w:rPr>
          <w:rFonts w:ascii="宋体" w:hAnsi="宋体" w:cs="宋体" w:eastAsia="宋体" w:hint="default"/>
          <w:sz w:val="18"/>
          <w:szCs w:val="18"/>
        </w:rPr>
      </w:pPr>
    </w:p>
    <w:p>
      <w:pPr>
        <w:pStyle w:val="BodyText"/>
        <w:spacing w:line="240" w:lineRule="auto" w:before="142"/>
        <w:ind w:right="1112"/>
        <w:jc w:val="left"/>
      </w:pPr>
      <w:r>
        <w:rPr/>
        <w:t>如是按照预期信用损失一般模型计提应收账款坏账准备，请参照其他应收款的披露方式披露坏账准备的相关信息：</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656,960,511.67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2,455,245.93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606,472.15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1,168,106.78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435,558.03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283,643.30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448,905.45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661,190,336.53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本期计提、收回或转回的坏账准备情况" w:id="367"/>
      <w:bookmarkEnd w:id="36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8,717,088.78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2,533,817.00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11,250,905.78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8,717,088.78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2,533,817.00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11,250,905.78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3）按欠款方归集的期末余额前五名的应收账款情况" w:id="368"/>
      <w:bookmarkEnd w:id="36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131,653,182.55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3,949,595.48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62,821,643.08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394,675.16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48,301,110.74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303,450.34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43,036,079.63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270,372.93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35,346,437.84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1,060,393.14</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321,158,453.84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48.58%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其他应收款" w:id="369"/>
      <w:bookmarkEnd w:id="36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1,344,054.79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2,015,112,358.39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555,810,691.14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2,016,456,413.18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555,810,691.14</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应收利息" w:id="370"/>
      <w:bookmarkEnd w:id="37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827"/>
        <w:jc w:val="left"/>
        <w:rPr>
          <w:b w:val="0"/>
          <w:bCs w:val="0"/>
        </w:rPr>
      </w:pPr>
      <w:bookmarkStart w:name="1）应收利息分类" w:id="371"/>
      <w:bookmarkEnd w:id="371"/>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1,344,054.79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1,344,054.79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其他应收款" w:id="372"/>
      <w:bookmarkEnd w:id="372"/>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827"/>
        <w:jc w:val="left"/>
        <w:rPr>
          <w:b w:val="0"/>
          <w:bCs w:val="0"/>
        </w:rPr>
      </w:pPr>
      <w:bookmarkStart w:name="1）其他应收款按款项性质分类情况" w:id="373"/>
      <w:bookmarkEnd w:id="37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82,471,991.81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2,106,437.61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732,278,429.63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556,006,798.92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1,206,797,785.51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2,021,575,131.15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558,143,536.53</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坏账准备计提情况" w:id="374"/>
      <w:bookmarkEnd w:id="37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2,332,845.39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2,332,845.39</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4,129,927.37</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4,129,927.37</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6,462,772.76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6,462,772.76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70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1,638,406,918.23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362,569,728.61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20,334,886.91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263,597.40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38,001.90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1,556.00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224,039.50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2,021,575,131.15</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本期计提、收回或转回的坏账准备情况" w:id="375"/>
      <w:bookmarkEnd w:id="37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382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2,332,845.39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4,129,927.37</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6,462,772.76</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2,332,845.39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4,129,927.37</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6,462,772.76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3827"/>
        <w:jc w:val="left"/>
        <w:rPr>
          <w:b w:val="0"/>
          <w:bCs w:val="0"/>
        </w:rPr>
      </w:pPr>
      <w:bookmarkStart w:name="4）按欠款方归集的期末余额前五名的其他应收款情况" w:id="376"/>
      <w:bookmarkEnd w:id="376"/>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北京光环金网科技有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1,206,797,785.51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北京无双科技有限公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426,700,000.00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北京德信致远科技有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145,272,868.54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光环新网（上海）信 息服务有限公司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92,494,994.85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智达云创（三河）科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保证金（详见本节 </w:t>
            </w:r>
            <w:r>
              <w:rPr>
                <w:rFonts w:ascii="宋体" w:hAnsi="宋体" w:cs="宋体" w:eastAsia="宋体" w:hint="default"/>
                <w:spacing w:val="-23"/>
                <w:sz w:val="18"/>
                <w:szCs w:val="18"/>
              </w:rPr>
              <w:t>十五、</w:t>
            </w: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3</w:t>
            </w:r>
            <w:r>
              <w:rPr>
                <w:rFonts w:ascii="宋体" w:hAnsi="宋体" w:cs="宋体" w:eastAsia="宋体" w:hint="default"/>
                <w:spacing w:val="-23"/>
                <w:sz w:val="18"/>
                <w:szCs w:val="18"/>
              </w:rPr>
              <w:t>））</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1,951,265,648.90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长期股权投资" w:id="377"/>
      <w:bookmarkEnd w:id="37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5,031,884,223.41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5,031,884,223.41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5,917,992,008.92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5,917,992,008.92</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5,032,695,269.48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811,046.07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5,031,884,223.41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5,918,803,054.99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811,046.07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5,917,992,008.92</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1）对子公司投资" w:id="378"/>
      <w:bookmarkEnd w:id="37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光环云谷科技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280,250,000.00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西安博凯创达 数字科技有限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北京瑞科新网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38,301,227.50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38,301,227.50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北京光环金网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光环新网（上 </w:t>
            </w:r>
            <w:r>
              <w:rPr>
                <w:rFonts w:ascii="宋体" w:hAnsi="宋体" w:cs="宋体" w:eastAsia="宋体" w:hint="default"/>
                <w:spacing w:val="-7"/>
                <w:sz w:val="18"/>
                <w:szCs w:val="18"/>
              </w:rPr>
              <w:t>海）信息服务有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559,800,000.0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589,900,000.00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北京德信致远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729,376,475.0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988,976,475.00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北京亚逊新网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北京无双科技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495,425,680.4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514,425,680.43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3"/>
              <w:jc w:val="left"/>
              <w:rPr>
                <w:rFonts w:ascii="宋体" w:hAnsi="宋体" w:cs="宋体" w:eastAsia="宋体" w:hint="default"/>
                <w:sz w:val="18"/>
                <w:szCs w:val="18"/>
              </w:rPr>
            </w:pPr>
            <w:r>
              <w:rPr>
                <w:rFonts w:ascii="宋体" w:hAnsi="宋体" w:cs="宋体" w:eastAsia="宋体" w:hint="default"/>
                <w:sz w:val="18"/>
                <w:szCs w:val="18"/>
              </w:rPr>
              <w:t>北京中金云网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2,413,595,571.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1,206,797,785.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1,206,797,785.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光环有云（北 </w:t>
            </w:r>
            <w:r>
              <w:rPr>
                <w:rFonts w:ascii="宋体" w:hAnsi="宋体" w:cs="宋体" w:eastAsia="宋体" w:hint="default"/>
                <w:spacing w:val="-7"/>
                <w:sz w:val="18"/>
                <w:szCs w:val="18"/>
              </w:rPr>
              <w:t>京）网络服务有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光环新网（宁 </w:t>
            </w:r>
            <w:r>
              <w:rPr>
                <w:rFonts w:ascii="宋体" w:hAnsi="宋体" w:cs="宋体" w:eastAsia="宋体" w:hint="default"/>
                <w:spacing w:val="-7"/>
                <w:sz w:val="18"/>
                <w:szCs w:val="18"/>
              </w:rPr>
              <w:t>夏）云服务有限</w:t>
            </w:r>
            <w:r>
              <w:rPr>
                <w:rFonts w:ascii="宋体" w:hAnsi="宋体" w:cs="宋体" w:eastAsia="宋体" w:hint="default"/>
                <w:sz w:val="18"/>
                <w:szCs w:val="18"/>
              </w:rPr>
              <w:t>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光环新网国际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1,033,065.00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1,033,065.00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北京科信盛彩 云计算有限公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1,216,199,989.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1,216,199,989.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光环云数据有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5,917,992,008.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320,690,000.0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1,206,797,785.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5,031,884,223.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41</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2）对联营、合营企业投资" w:id="379"/>
      <w:bookmarkEnd w:id="37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北京长城 光环宽带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811,046.0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3"/>
        <w:spacing w:line="240" w:lineRule="auto" w:before="36"/>
        <w:ind w:right="3827"/>
        <w:jc w:val="left"/>
        <w:rPr>
          <w:b w:val="0"/>
          <w:bCs w:val="0"/>
        </w:rPr>
      </w:pPr>
      <w:bookmarkStart w:name="（3）其他说明" w:id="380"/>
      <w:bookmarkEnd w:id="38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12"/>
        <w:jc w:val="left"/>
      </w:pPr>
      <w:r>
        <w:rPr/>
        <w:t>北京长城光环宽带网络技术有限公司于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月已经开始清算，在</w:t>
      </w:r>
      <w:r>
        <w:rPr>
          <w:rFonts w:ascii="Times New Roman" w:hAnsi="Times New Roman" w:cs="Times New Roman" w:eastAsia="Times New Roman" w:hint="default"/>
        </w:rPr>
        <w:t>2013</w:t>
      </w:r>
      <w:r>
        <w:rPr/>
        <w:t>年以前已经全额计提减值准备。</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4、营业收入和营业成本" w:id="381"/>
      <w:bookmarkEnd w:id="38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2,902,131,354.05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2,477,404,450.20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2,759,155,124.79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2,330,372,529.65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316,383.13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316,383.13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1,122,635.00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2,902,447,737.18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2,477,720,833.33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2,760,277,759.79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2,330,372,529.65</w:t>
            </w:r>
          </w:p>
        </w:tc>
      </w:tr>
    </w:tbl>
    <w:p>
      <w:pPr>
        <w:pStyle w:val="BodyText"/>
        <w:spacing w:line="240" w:lineRule="auto" w:before="49"/>
        <w:ind w:right="3827"/>
        <w:jc w:val="left"/>
      </w:pPr>
      <w:r>
        <w:rPr/>
        <w:t>是否已执行新收入准则</w:t>
      </w:r>
    </w:p>
    <w:p>
      <w:pPr>
        <w:pStyle w:val="BodyText"/>
        <w:spacing w:line="240" w:lineRule="auto" w:before="115"/>
        <w:ind w:right="382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5、投资收益" w:id="382"/>
      <w:bookmarkEnd w:id="38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-402,773.86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3,142,491.31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6,017,280.25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6,815,086.28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理财产品在持有期间的投资收益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22,071,851.76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12,832,366.53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24,811,569.21</w:t>
            </w:r>
          </w:p>
        </w:tc>
      </w:tr>
    </w:tbl>
    <w:p>
      <w:pPr>
        <w:spacing w:line="240" w:lineRule="auto" w:before="1"/>
        <w:rPr>
          <w:rFonts w:ascii="宋体" w:hAnsi="宋体" w:cs="宋体" w:eastAsia="宋体" w:hint="default"/>
          <w:sz w:val="18"/>
          <w:szCs w:val="18"/>
        </w:rPr>
      </w:pPr>
    </w:p>
    <w:p>
      <w:pPr>
        <w:pStyle w:val="Heading2"/>
        <w:spacing w:line="240" w:lineRule="auto" w:before="26"/>
        <w:ind w:right="3827"/>
        <w:jc w:val="left"/>
        <w:rPr>
          <w:b w:val="0"/>
          <w:bCs w:val="0"/>
        </w:rPr>
      </w:pPr>
      <w:bookmarkStart w:name="十八、补充资料" w:id="383"/>
      <w:bookmarkEnd w:id="38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3827"/>
        <w:jc w:val="left"/>
        <w:rPr>
          <w:b w:val="0"/>
          <w:bCs w:val="0"/>
        </w:rPr>
      </w:pPr>
      <w:bookmarkStart w:name="1、当期非经常性损益明细表" w:id="384"/>
      <w:bookmarkEnd w:id="38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-643,463.39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4,136,364.00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-285,282.62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487,095.47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2,720,522.36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1"/>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827"/>
        <w:jc w:val="left"/>
        <w:rPr>
          <w:b w:val="0"/>
          <w:bCs w:val="0"/>
        </w:rPr>
      </w:pPr>
      <w:bookmarkStart w:name="2、净资产收益率及每股收益" w:id="385"/>
      <w:bookmarkEnd w:id="38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0.54</w:t>
            </w:r>
          </w:p>
        </w:tc>
      </w:tr>
      <w:tr>
        <w:trPr>
          <w:trHeight w:val="716"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0.53</w:t>
            </w:r>
          </w:p>
        </w:tc>
      </w:tr>
    </w:tbl>
    <w:p>
      <w:pPr>
        <w:spacing w:line="240" w:lineRule="auto" w:before="3"/>
        <w:rPr>
          <w:rFonts w:ascii="宋体" w:hAnsi="宋体" w:cs="宋体" w:eastAsia="宋体" w:hint="default"/>
          <w:b/>
          <w:bCs/>
          <w:sz w:val="19"/>
          <w:szCs w:val="19"/>
        </w:rPr>
      </w:pPr>
    </w:p>
    <w:p>
      <w:pPr>
        <w:pStyle w:val="Heading3"/>
        <w:spacing w:line="240" w:lineRule="auto" w:before="36"/>
        <w:ind w:right="3827"/>
        <w:jc w:val="left"/>
        <w:rPr>
          <w:b w:val="0"/>
          <w:bCs w:val="0"/>
        </w:rPr>
      </w:pPr>
      <w:bookmarkStart w:name="3、境内外会计准则下会计数据差异" w:id="386"/>
      <w:bookmarkEnd w:id="38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2"/>
        <w:jc w:val="left"/>
        <w:rPr>
          <w:b w:val="0"/>
          <w:bCs w:val="0"/>
        </w:rPr>
      </w:pPr>
      <w:bookmarkStart w:name="（1）同时按照国际会计准则与按中国会计准则披露的财务报告中净利润和净资产差异情况" w:id="387"/>
      <w:bookmarkEnd w:id="38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2"/>
        <w:jc w:val="left"/>
        <w:rPr>
          <w:b w:val="0"/>
          <w:bCs w:val="0"/>
        </w:rPr>
      </w:pPr>
      <w:bookmarkStart w:name="（2）同时按照境外会计准则与按中国会计准则披露的财务报告中净利润和净资产差异情况" w:id="388"/>
      <w:bookmarkEnd w:id="38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8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3285" w:right="3827" w:firstLine="0"/>
        <w:jc w:val="left"/>
        <w:rPr>
          <w:rFonts w:ascii="宋体" w:hAnsi="宋体" w:cs="宋体" w:eastAsia="宋体" w:hint="default"/>
          <w:sz w:val="32"/>
          <w:szCs w:val="32"/>
        </w:rPr>
      </w:pPr>
      <w:bookmarkStart w:name="第十三节 备查文件目录" w:id="389"/>
      <w:bookmarkEnd w:id="389"/>
      <w:r>
        <w:rPr/>
      </w:r>
      <w:bookmarkStart w:name="_bookmark12" w:id="390"/>
      <w:bookmarkEnd w:id="390"/>
      <w:r>
        <w:rPr/>
      </w:r>
      <w:r>
        <w:rPr>
          <w:rFonts w:ascii="宋体" w:hAnsi="宋体" w:cs="宋体" w:eastAsia="宋体" w:hint="default"/>
          <w:b/>
          <w:bCs/>
          <w:sz w:val="32"/>
          <w:szCs w:val="32"/>
        </w:rPr>
        <w:t>第十三节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9"/>
        <w:rPr>
          <w:rFonts w:ascii="宋体" w:hAnsi="宋体" w:cs="宋体" w:eastAsia="宋体" w:hint="default"/>
          <w:b/>
          <w:bCs/>
          <w:sz w:val="42"/>
          <w:szCs w:val="42"/>
        </w:rPr>
      </w:pPr>
    </w:p>
    <w:p>
      <w:pPr>
        <w:pStyle w:val="BodyText"/>
        <w:spacing w:line="316" w:lineRule="auto"/>
        <w:ind w:right="1754"/>
        <w:jc w:val="left"/>
      </w:pPr>
      <w:r>
        <w:rPr/>
        <w:t>一、载有法定代表人耿殿根先生、主管会计工作负责人及会计机构负责人张利军先生签名并盖章的财务报告文本； 二、载有会计师事务所盖章、注册会计师签名并盖章的审计报告原件； 三、经公司法定代表人耿殿根先生签名的</w:t>
      </w:r>
      <w:r>
        <w:rPr>
          <w:rFonts w:ascii="Times New Roman" w:hAnsi="Times New Roman" w:cs="Times New Roman" w:eastAsia="Times New Roman" w:hint="default"/>
        </w:rPr>
        <w:t>2019</w:t>
      </w:r>
      <w:r>
        <w:rPr/>
        <w:t>年年度报告文件原件。</w:t>
      </w:r>
    </w:p>
    <w:p>
      <w:pPr>
        <w:pStyle w:val="BodyText"/>
        <w:spacing w:line="240" w:lineRule="auto" w:before="40"/>
        <w:ind w:right="3827"/>
        <w:jc w:val="left"/>
      </w:pPr>
      <w:r>
        <w:rPr/>
        <w:t>以上备查文件的备置地点：公司证券部。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768"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744" type="#_x0000_t75" stroked="false">
          <v:imagedata r:id="rId1" o:title=""/>
        </v:shape>
      </w:pict>
    </w:r>
    <w:r>
      <w:rPr/>
      <w:pict>
        <v:shape style="position:absolute;margin-left:527.659973pt;margin-top:781.933899pt;width:13.15pt;height:11pt;mso-position-horizontal-relative:page;mso-position-vertical-relative:page;z-index:-1240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696" type="#_x0000_t75" stroked="false">
          <v:imagedata r:id="rId1" o:title=""/>
        </v:shape>
      </w:pict>
    </w:r>
    <w:r>
      <w:rPr/>
      <w:pict>
        <v:shape style="position:absolute;margin-left:524.099976pt;margin-top:781.933899pt;width:15.7pt;height:11pt;mso-position-horizontal-relative:page;mso-position-vertical-relative:page;z-index:-1240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648" type="#_x0000_t75" stroked="false">
          <v:imagedata r:id="rId1" o:title=""/>
        </v:shape>
      </w:pict>
    </w:r>
    <w:r>
      <w:rPr/>
      <w:pict>
        <v:shape style="position:absolute;margin-left:523.099976pt;margin-top:781.933899pt;width:17.7pt;height:11pt;mso-position-horizontal-relative:page;mso-position-vertical-relative:page;z-index:-1240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600" type="#_x0000_t75" stroked="false">
          <v:imagedata r:id="rId1" o:title=""/>
        </v:shape>
      </w:pict>
    </w:r>
    <w:r>
      <w:rPr/>
      <w:pict>
        <v:shape style="position:absolute;margin-left:523.460022pt;margin-top:781.933899pt;width:17.3pt;height:11pt;mso-position-horizontal-relative:page;mso-position-vertical-relative:page;z-index:-1240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552" type="#_x0000_t75" stroked="false">
          <v:imagedata r:id="rId1" o:title=""/>
        </v:shape>
      </w:pict>
    </w:r>
    <w:r>
      <w:rPr/>
      <w:pict>
        <v:shape style="position:absolute;margin-left:523.099976pt;margin-top:781.933899pt;width:17.7pt;height:11pt;mso-position-horizontal-relative:page;mso-position-vertical-relative:page;z-index:-1240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504" type="#_x0000_t75" stroked="false">
          <v:imagedata r:id="rId1" o:title=""/>
        </v:shape>
      </w:pict>
    </w:r>
    <w:r>
      <w:rPr/>
      <w:pict>
        <v:shape style="position:absolute;margin-left:523.099976pt;margin-top:781.933899pt;width:17.7pt;height:11pt;mso-position-horizontal-relative:page;mso-position-vertical-relative:page;z-index:-1240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173</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456" type="#_x0000_t75" stroked="false">
          <v:imagedata r:id="rId1" o:title=""/>
        </v:shape>
      </w:pict>
    </w:r>
    <w:r>
      <w:rPr/>
      <w:pict>
        <v:shape style="position:absolute;margin-left:524.099976pt;margin-top:781.933899pt;width:15.7pt;height:11pt;mso-position-horizontal-relative:page;mso-position-vertical-relative:page;z-index:-1240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0408" type="#_x0000_t75" stroked="false">
          <v:imagedata r:id="rId1" o:title=""/>
        </v:shape>
      </w:pict>
    </w:r>
    <w:r>
      <w:rPr/>
      <w:pict>
        <v:shape style="position:absolute;margin-left:523.099976pt;margin-top:781.933899pt;width:17.7pt;height:11pt;mso-position-horizontal-relative:page;mso-position-vertical-relative:page;z-index:-1240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240792" type="#_x0000_t202" filled="false" stroked="false">
          <v:textbox inset="0,0,0,0">
            <w:txbxContent>
              <w:p>
                <w:pPr>
                  <w:pStyle w:val="BodyText"/>
                  <w:spacing w:line="214" w:lineRule="exact"/>
                  <w:ind w:left="20" w:right="0"/>
                  <w:jc w:val="left"/>
                </w:pPr>
                <w:r>
                  <w:rPr/>
                  <w:t>北京光环新网科技股份有限公司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5"/>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96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0"/>
      <w:szCs w:val="20"/>
    </w:rPr>
  </w:style>
  <w:style w:styleId="Heading5" w:type="paragraph">
    <w:name w:val="Heading 5"/>
    <w:basedOn w:val="Normal"/>
    <w:uiPriority w:val="1"/>
    <w:qFormat/>
    <w:pPr>
      <w:spacing w:before="19"/>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nnet.com.cn/" TargetMode="External"/><Relationship Id="rId10" Type="http://schemas.openxmlformats.org/officeDocument/2006/relationships/hyperlink" Target="mailto:i_r@sinnet.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www.cninfo.co/" TargetMode="External"/><Relationship Id="rId17" Type="http://schemas.openxmlformats.org/officeDocument/2006/relationships/hyperlink" Target="http://www.cninfo.com/"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北京光环新网科技股份有限公司</dc:creator>
  <dc:title>北京光环新网科技股份有限公司2019年年度报告全文</dc:title>
  <dcterms:created xsi:type="dcterms:W3CDTF">2020-05-19T04:03:53Z</dcterms:created>
  <dcterms:modified xsi:type="dcterms:W3CDTF">2020-05-19T04:03:53Z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Microsoft® Office Word 2007</vt:lpwstr>
  </property>
  <property fmtid="{D5CDD505-2E9C-101B-9397-08002B2CF9AE}" pid="4" name="LastSaved">
    <vt:filetime>2020-05-18T00:00:00Z</vt:filetime>
  </property>
</Properties>
</file>