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570" w:lineRule="exact"/>
        <w:ind w:left="3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10334" cy="3619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410334"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86" w:right="3763" w:firstLine="0"/>
        <w:jc w:val="center"/>
        <w:rPr>
          <w:rFonts w:ascii="宋体" w:hAnsi="宋体" w:cs="宋体" w:eastAsia="宋体" w:hint="default"/>
          <w:sz w:val="36"/>
          <w:szCs w:val="36"/>
        </w:rPr>
      </w:pPr>
      <w:r>
        <w:rPr>
          <w:rFonts w:ascii="宋体" w:hAnsi="宋体" w:cs="宋体" w:eastAsia="宋体" w:hint="default"/>
          <w:b/>
          <w:bCs/>
          <w:sz w:val="36"/>
          <w:szCs w:val="36"/>
        </w:rPr>
        <w:t>飞天诚信科技股份有限公司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5" w:right="81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公司负责人黄煜、主管会计工作负责人朱宝祥及会计机构负责人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石井平声明：保证年度报告中财务报告的真实、准确、完整。</w:t>
      </w:r>
      <w:r>
        <w:rPr>
          <w:rFonts w:ascii="宋体" w:hAnsi="宋体" w:cs="宋体" w:eastAsia="宋体" w:hint="default"/>
          <w:sz w:val="28"/>
          <w:szCs w:val="28"/>
        </w:rPr>
      </w:r>
    </w:p>
    <w:p>
      <w:pPr>
        <w:spacing w:line="408" w:lineRule="auto" w:before="47"/>
        <w:ind w:left="716" w:right="81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本报告中有关未来计划、业绩预测等方面的内容，均不构成本公司对任何</w:t>
      </w:r>
      <w:r>
        <w:rPr>
          <w:rFonts w:ascii="宋体" w:hAnsi="宋体" w:cs="宋体" w:eastAsia="宋体" w:hint="default"/>
          <w:spacing w:val="3"/>
          <w:sz w:val="28"/>
          <w:szCs w:val="28"/>
        </w:rPr>
      </w:r>
    </w:p>
    <w:p>
      <w:pPr>
        <w:spacing w:line="408" w:lineRule="auto" w:before="61"/>
        <w:ind w:left="154" w:right="812"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投资者及相关人士的实质承诺，投资者及相关人士均应当对此保持足够的风险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before="62"/>
        <w:ind w:left="716" w:right="81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67"/>
          <w:sz w:val="28"/>
          <w:szCs w:val="28"/>
        </w:rPr>
        <w:t> </w:t>
      </w:r>
      <w:r>
        <w:rPr>
          <w:rFonts w:ascii="宋体" w:hAnsi="宋体" w:cs="宋体" w:eastAsia="宋体" w:hint="default"/>
          <w:b/>
          <w:bCs/>
          <w:sz w:val="28"/>
          <w:szCs w:val="28"/>
        </w:rPr>
        <w:t>市场饱和风险</w:t>
      </w:r>
      <w:r>
        <w:rPr>
          <w:rFonts w:ascii="宋体" w:hAnsi="宋体" w:cs="宋体" w:eastAsia="宋体" w:hint="default"/>
          <w:sz w:val="28"/>
          <w:szCs w:val="28"/>
        </w:rPr>
      </w:r>
    </w:p>
    <w:p>
      <w:pPr>
        <w:spacing w:line="398" w:lineRule="auto" w:before="236"/>
        <w:ind w:left="154" w:right="1137" w:firstLine="562"/>
        <w:jc w:val="both"/>
        <w:rPr>
          <w:rFonts w:ascii="宋体" w:hAnsi="宋体" w:cs="宋体" w:eastAsia="宋体" w:hint="default"/>
          <w:sz w:val="28"/>
          <w:szCs w:val="28"/>
        </w:rPr>
      </w:pPr>
      <w:r>
        <w:rPr>
          <w:rFonts w:ascii="宋体" w:hAnsi="宋体" w:cs="宋体" w:eastAsia="宋体" w:hint="default"/>
          <w:b/>
          <w:bCs/>
          <w:sz w:val="28"/>
          <w:szCs w:val="28"/>
        </w:rPr>
        <w:t>公司的客户主要为银行，现阶段</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USB</w:t>
      </w:r>
      <w:r>
        <w:rPr>
          <w:rFonts w:ascii="Times New Roman" w:hAnsi="Times New Roman" w:cs="Times New Roman" w:eastAsia="Times New Roman" w:hint="default"/>
          <w:b/>
          <w:bCs/>
          <w:spacing w:val="-16"/>
          <w:sz w:val="28"/>
          <w:szCs w:val="28"/>
        </w:rPr>
        <w:t> </w:t>
      </w:r>
      <w:r>
        <w:rPr>
          <w:rFonts w:ascii="Times New Roman" w:hAnsi="Times New Roman" w:cs="Times New Roman" w:eastAsia="Times New Roman" w:hint="default"/>
          <w:b/>
          <w:bCs/>
          <w:spacing w:val="-3"/>
          <w:sz w:val="28"/>
          <w:szCs w:val="28"/>
        </w:rPr>
        <w:t>Key</w:t>
      </w:r>
      <w:r>
        <w:rPr>
          <w:rFonts w:ascii="宋体" w:hAnsi="宋体" w:cs="宋体" w:eastAsia="宋体" w:hint="default"/>
          <w:b/>
          <w:bCs/>
          <w:spacing w:val="-3"/>
          <w:sz w:val="28"/>
          <w:szCs w:val="28"/>
        </w:rPr>
        <w:t>、</w:t>
      </w:r>
      <w:r>
        <w:rPr>
          <w:rFonts w:ascii="Times New Roman" w:hAnsi="Times New Roman" w:cs="Times New Roman" w:eastAsia="Times New Roman" w:hint="default"/>
          <w:b/>
          <w:bCs/>
          <w:spacing w:val="-3"/>
          <w:sz w:val="28"/>
          <w:szCs w:val="28"/>
        </w:rPr>
        <w:t>OTP</w:t>
      </w:r>
      <w:r>
        <w:rPr>
          <w:rFonts w:ascii="Times New Roman" w:hAnsi="Times New Roman" w:cs="Times New Roman" w:eastAsia="Times New Roman" w:hint="default"/>
          <w:b/>
          <w:bCs/>
          <w:spacing w:val="-16"/>
          <w:sz w:val="28"/>
          <w:szCs w:val="28"/>
        </w:rPr>
        <w:t> </w:t>
      </w:r>
      <w:r>
        <w:rPr>
          <w:rFonts w:ascii="宋体" w:hAnsi="宋体" w:cs="宋体" w:eastAsia="宋体" w:hint="default"/>
          <w:b/>
          <w:bCs/>
          <w:sz w:val="28"/>
          <w:szCs w:val="28"/>
        </w:rPr>
        <w:t>等网银产品已经饱和，银</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行对公司产品的需求有可能萎缩；加之市场过度竞争，售价也呈下降趋势，从</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而很大程度影响公司未来的经营业绩。</w:t>
      </w:r>
      <w:r>
        <w:rPr>
          <w:rFonts w:ascii="宋体" w:hAnsi="宋体" w:cs="宋体" w:eastAsia="宋体" w:hint="default"/>
          <w:sz w:val="28"/>
          <w:szCs w:val="28"/>
        </w:rPr>
      </w:r>
    </w:p>
    <w:p>
      <w:pPr>
        <w:spacing w:line="408" w:lineRule="auto" w:before="72"/>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为此，公司将在努力维护现有主营产品市场的同时，进行其他产品的研发</w:t>
      </w:r>
      <w:r>
        <w:rPr>
          <w:rFonts w:ascii="宋体" w:hAnsi="宋体" w:cs="宋体" w:eastAsia="宋体" w:hint="default"/>
          <w:b/>
          <w:bCs/>
          <w:w w:val="99"/>
          <w:sz w:val="28"/>
          <w:szCs w:val="28"/>
        </w:rPr>
        <w:t> </w:t>
      </w:r>
      <w:r>
        <w:rPr>
          <w:rFonts w:ascii="宋体" w:hAnsi="宋体" w:cs="宋体" w:eastAsia="宋体" w:hint="default"/>
          <w:b/>
          <w:bCs/>
          <w:sz w:val="28"/>
          <w:szCs w:val="28"/>
        </w:rPr>
        <w:t>和市场开拓，以培育新的增长点。</w:t>
      </w:r>
      <w:r>
        <w:rPr>
          <w:rFonts w:ascii="宋体" w:hAnsi="宋体" w:cs="宋体" w:eastAsia="宋体" w:hint="default"/>
          <w:sz w:val="28"/>
          <w:szCs w:val="28"/>
        </w:rPr>
      </w:r>
    </w:p>
    <w:p>
      <w:pPr>
        <w:spacing w:before="61"/>
        <w:ind w:left="856" w:right="81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 IC</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卡市场的竞争风险</w:t>
      </w:r>
      <w:r>
        <w:rPr>
          <w:rFonts w:ascii="宋体" w:hAnsi="宋体" w:cs="宋体" w:eastAsia="宋体" w:hint="default"/>
          <w:sz w:val="28"/>
          <w:szCs w:val="28"/>
        </w:rPr>
      </w:r>
    </w:p>
    <w:p>
      <w:pPr>
        <w:spacing w:line="386" w:lineRule="auto" w:before="236"/>
        <w:ind w:left="154" w:right="1134" w:firstLine="562"/>
        <w:jc w:val="both"/>
        <w:rPr>
          <w:rFonts w:ascii="宋体" w:hAnsi="宋体" w:cs="宋体" w:eastAsia="宋体" w:hint="default"/>
          <w:sz w:val="28"/>
          <w:szCs w:val="28"/>
        </w:rPr>
      </w:pPr>
      <w:r>
        <w:rPr>
          <w:rFonts w:ascii="宋体" w:hAnsi="宋体" w:cs="宋体" w:eastAsia="宋体" w:hint="default"/>
          <w:b/>
          <w:bCs/>
          <w:sz w:val="28"/>
          <w:szCs w:val="28"/>
        </w:rPr>
        <w:t>目前</w:t>
      </w:r>
      <w:r>
        <w:rPr>
          <w:rFonts w:ascii="宋体" w:hAnsi="宋体" w:cs="宋体" w:eastAsia="宋体" w:hint="default"/>
          <w:b/>
          <w:bCs/>
          <w:spacing w:val="-81"/>
          <w:sz w:val="28"/>
          <w:szCs w:val="28"/>
        </w:rPr>
        <w:t> </w:t>
      </w:r>
      <w:r>
        <w:rPr>
          <w:rFonts w:ascii="Times New Roman" w:hAnsi="Times New Roman" w:cs="Times New Roman" w:eastAsia="Times New Roman" w:hint="default"/>
          <w:b/>
          <w:bCs/>
          <w:sz w:val="28"/>
          <w:szCs w:val="28"/>
        </w:rPr>
        <w:t>IC</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3"/>
          <w:sz w:val="28"/>
          <w:szCs w:val="28"/>
        </w:rPr>
        <w:t>卡行业竞争加剧，产品价格日趋降低，公司作为后来者，面临着不</w:t>
      </w:r>
      <w:r>
        <w:rPr>
          <w:rFonts w:ascii="宋体" w:hAnsi="宋体" w:cs="宋体" w:eastAsia="宋体" w:hint="default"/>
          <w:b/>
          <w:bCs/>
          <w:w w:val="99"/>
          <w:sz w:val="28"/>
          <w:szCs w:val="28"/>
        </w:rPr>
        <w:t> </w:t>
      </w:r>
      <w:r>
        <w:rPr>
          <w:rFonts w:ascii="宋体" w:hAnsi="宋体" w:cs="宋体" w:eastAsia="宋体" w:hint="default"/>
          <w:b/>
          <w:bCs/>
          <w:sz w:val="28"/>
          <w:szCs w:val="28"/>
        </w:rPr>
        <w:t>利的竞争局面。在卡产品方面，公司的经营业绩没有形成突破。</w:t>
      </w:r>
      <w:r>
        <w:rPr>
          <w:rFonts w:ascii="宋体" w:hAnsi="宋体" w:cs="宋体" w:eastAsia="宋体" w:hint="default"/>
          <w:sz w:val="28"/>
          <w:szCs w:val="28"/>
        </w:rPr>
      </w:r>
    </w:p>
    <w:p>
      <w:pPr>
        <w:spacing w:before="87"/>
        <w:ind w:left="716" w:right="812" w:firstLine="0"/>
        <w:jc w:val="left"/>
        <w:rPr>
          <w:rFonts w:ascii="宋体" w:hAnsi="宋体" w:cs="宋体" w:eastAsia="宋体" w:hint="default"/>
          <w:sz w:val="28"/>
          <w:szCs w:val="28"/>
        </w:rPr>
      </w:pPr>
      <w:r>
        <w:rPr>
          <w:rFonts w:ascii="宋体" w:hAnsi="宋体" w:cs="宋体" w:eastAsia="宋体" w:hint="default"/>
          <w:b/>
          <w:bCs/>
          <w:sz w:val="28"/>
          <w:szCs w:val="28"/>
        </w:rPr>
        <w:t>公司将大力推出高技术附加值的智能卡，以实现差异化竞争。</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716" w:right="81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研发投入风险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77" w:footer="979" w:top="1100" w:bottom="1160" w:left="980" w:right="0"/>
          <w:pgNumType w:start="1"/>
        </w:sectPr>
      </w:pPr>
    </w:p>
    <w:p>
      <w:pPr>
        <w:spacing w:line="240" w:lineRule="auto" w:before="12"/>
        <w:rPr>
          <w:rFonts w:ascii="宋体" w:hAnsi="宋体" w:cs="宋体" w:eastAsia="宋体" w:hint="default"/>
          <w:b/>
          <w:bCs/>
          <w:sz w:val="29"/>
          <w:szCs w:val="29"/>
        </w:rPr>
      </w:pPr>
    </w:p>
    <w:p>
      <w:pPr>
        <w:spacing w:line="408" w:lineRule="auto" w:before="13"/>
        <w:ind w:left="154" w:right="1135"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为了应对日益激烈的竞争，公司会通过加大研发投入来提高企业的创新能</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力，但研发活动存在着不确定性，加之研发人力成本不断增长，公司的整体研</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z w:val="28"/>
          <w:szCs w:val="28"/>
        </w:rPr>
        <w:t>发费用对盈利有较大影响。</w:t>
      </w:r>
      <w:r>
        <w:rPr>
          <w:rFonts w:ascii="宋体" w:hAnsi="宋体" w:cs="宋体" w:eastAsia="宋体" w:hint="default"/>
          <w:sz w:val="28"/>
          <w:szCs w:val="28"/>
        </w:rPr>
      </w:r>
    </w:p>
    <w:p>
      <w:pPr>
        <w:spacing w:line="408" w:lineRule="auto" w:before="61"/>
        <w:ind w:left="154" w:right="812"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公司务求在研发前期进行详细的市场调研工作，提高对市场的判断能力；</w:t>
      </w:r>
      <w:r>
        <w:rPr>
          <w:rFonts w:ascii="宋体" w:hAnsi="宋体" w:cs="宋体" w:eastAsia="宋体" w:hint="default"/>
          <w:b/>
          <w:bCs/>
          <w:w w:val="99"/>
          <w:sz w:val="28"/>
          <w:szCs w:val="28"/>
        </w:rPr>
        <w:t> </w:t>
      </w:r>
      <w:r>
        <w:rPr>
          <w:rFonts w:ascii="宋体" w:hAnsi="宋体" w:cs="宋体" w:eastAsia="宋体" w:hint="default"/>
          <w:b/>
          <w:bCs/>
          <w:sz w:val="28"/>
          <w:szCs w:val="28"/>
        </w:rPr>
        <w:t>在研发过程中严格管理开发进度和成效，最大限度的提高效率。</w:t>
      </w:r>
      <w:r>
        <w:rPr>
          <w:rFonts w:ascii="宋体" w:hAnsi="宋体" w:cs="宋体" w:eastAsia="宋体" w:hint="default"/>
          <w:sz w:val="28"/>
          <w:szCs w:val="28"/>
        </w:rPr>
      </w:r>
    </w:p>
    <w:p>
      <w:pPr>
        <w:spacing w:before="61"/>
        <w:ind w:left="716" w:right="812" w:firstLine="0"/>
        <w:jc w:val="left"/>
        <w:rPr>
          <w:rFonts w:ascii="宋体" w:hAnsi="宋体" w:cs="宋体" w:eastAsia="宋体" w:hint="default"/>
          <w:sz w:val="28"/>
          <w:szCs w:val="28"/>
        </w:rPr>
      </w:pP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）商誉减值风险</w:t>
      </w:r>
      <w:r>
        <w:rPr>
          <w:rFonts w:ascii="宋体" w:hAnsi="宋体" w:cs="宋体" w:eastAsia="宋体" w:hint="default"/>
          <w:sz w:val="28"/>
          <w:szCs w:val="28"/>
        </w:rPr>
      </w:r>
    </w:p>
    <w:p>
      <w:pPr>
        <w:spacing w:line="400" w:lineRule="auto" w:before="236"/>
        <w:ind w:left="154" w:right="812" w:firstLine="562"/>
        <w:jc w:val="left"/>
        <w:rPr>
          <w:rFonts w:ascii="宋体" w:hAnsi="宋体" w:cs="宋体" w:eastAsia="宋体" w:hint="default"/>
          <w:sz w:val="28"/>
          <w:szCs w:val="28"/>
        </w:rPr>
      </w:pPr>
      <w:r>
        <w:rPr>
          <w:rFonts w:ascii="宋体" w:hAnsi="宋体" w:cs="宋体" w:eastAsia="宋体" w:hint="default"/>
          <w:b/>
          <w:bCs/>
          <w:sz w:val="28"/>
          <w:szCs w:val="28"/>
        </w:rPr>
        <w:t>截至本报告期末，公司商誉金额为</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10,229.43</w:t>
      </w:r>
      <w:r>
        <w:rPr>
          <w:rFonts w:ascii="Times New Roman" w:hAnsi="Times New Roman" w:cs="Times New Roman" w:eastAsia="Times New Roman" w:hint="default"/>
          <w:b/>
          <w:bCs/>
          <w:spacing w:val="-19"/>
          <w:sz w:val="28"/>
          <w:szCs w:val="28"/>
        </w:rPr>
        <w:t> </w:t>
      </w:r>
      <w:r>
        <w:rPr>
          <w:rFonts w:ascii="宋体" w:hAnsi="宋体" w:cs="宋体" w:eastAsia="宋体" w:hint="default"/>
          <w:b/>
          <w:bCs/>
          <w:sz w:val="28"/>
          <w:szCs w:val="28"/>
        </w:rPr>
        <w:t>万元。如果未来宏观经济形势</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发生变化，或被并购企业的市场情况、内部管理出现问题，导致经营状况恶化，</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从而导致商誉的账面价值小于可收回金额，根据《企业会计准则》的规定，需</w:t>
      </w:r>
      <w:r>
        <w:rPr>
          <w:rFonts w:ascii="宋体" w:hAnsi="宋体" w:cs="宋体" w:eastAsia="宋体" w:hint="default"/>
          <w:b/>
          <w:bCs/>
          <w:w w:val="99"/>
          <w:sz w:val="28"/>
          <w:szCs w:val="28"/>
        </w:rPr>
        <w:t> </w:t>
      </w:r>
      <w:r>
        <w:rPr>
          <w:rFonts w:ascii="宋体" w:hAnsi="宋体" w:cs="宋体" w:eastAsia="宋体" w:hint="default"/>
          <w:b/>
          <w:bCs/>
          <w:sz w:val="28"/>
          <w:szCs w:val="28"/>
        </w:rPr>
        <w:t>要对商誉计提减值，将对公司的经营业绩造成不利影响。</w:t>
      </w:r>
      <w:r>
        <w:rPr>
          <w:rFonts w:ascii="宋体" w:hAnsi="宋体" w:cs="宋体" w:eastAsia="宋体" w:hint="default"/>
          <w:sz w:val="28"/>
          <w:szCs w:val="28"/>
        </w:rPr>
      </w:r>
    </w:p>
    <w:p>
      <w:pPr>
        <w:spacing w:line="408" w:lineRule="auto" w:before="70"/>
        <w:ind w:left="154" w:right="812"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公司将加强公司与被并购公司发展的协同性，以最大限度地降低商誉减值</w:t>
      </w:r>
      <w:r>
        <w:rPr>
          <w:rFonts w:ascii="宋体" w:hAnsi="宋体" w:cs="宋体" w:eastAsia="宋体" w:hint="default"/>
          <w:b/>
          <w:bCs/>
          <w:w w:val="99"/>
          <w:sz w:val="28"/>
          <w:szCs w:val="28"/>
        </w:rPr>
        <w:t> </w:t>
      </w:r>
      <w:r>
        <w:rPr>
          <w:rFonts w:ascii="宋体" w:hAnsi="宋体" w:cs="宋体" w:eastAsia="宋体" w:hint="default"/>
          <w:b/>
          <w:bCs/>
          <w:sz w:val="28"/>
          <w:szCs w:val="28"/>
        </w:rPr>
        <w:t>风险。</w:t>
      </w:r>
      <w:r>
        <w:rPr>
          <w:rFonts w:ascii="宋体" w:hAnsi="宋体" w:cs="宋体" w:eastAsia="宋体" w:hint="default"/>
          <w:sz w:val="28"/>
          <w:szCs w:val="28"/>
        </w:rPr>
      </w:r>
    </w:p>
    <w:p>
      <w:pPr>
        <w:spacing w:before="61"/>
        <w:ind w:left="716" w:right="81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418,044,000.00</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4" w:right="812"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50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6"/>
        <w:ind w:left="154" w:right="812"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460" w:lineRule="exact" w:before="0"/>
        <w:ind w:left="3270" w:right="424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33</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60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78</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79</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167</w:t>
            </w:r>
          </w:hyperlink>
        </w:p>
        <w:p>
          <w:pPr/>
          <w:r>
            <w:fldChar w:fldCharType="end"/>
          </w:r>
        </w:p>
      </w:sdtContent>
    </w:sdt>
    <w:p>
      <w:pPr>
        <w:spacing w:after="0"/>
        <w:sectPr>
          <w:pgSz w:w="11910" w:h="16840"/>
          <w:pgMar w:header="877" w:footer="979" w:top="1100" w:bottom="1160" w:left="980" w:right="0"/>
        </w:sectPr>
      </w:pPr>
    </w:p>
    <w:p>
      <w:pPr>
        <w:spacing w:before="893"/>
        <w:ind w:left="3270" w:right="424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本公司、公司、飞天诚信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飞天诚信科技股份有限公司章程及章程历次修订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中国银联股份有限公司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85"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身份认证</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9"/>
              <w:jc w:val="both"/>
              <w:rPr>
                <w:rFonts w:ascii="宋体" w:hAnsi="宋体" w:cs="宋体" w:eastAsia="宋体" w:hint="default"/>
                <w:sz w:val="18"/>
                <w:szCs w:val="18"/>
              </w:rPr>
            </w:pPr>
            <w:r>
              <w:rPr>
                <w:rFonts w:ascii="宋体" w:hAnsi="宋体" w:cs="宋体" w:eastAsia="宋体" w:hint="default"/>
                <w:sz w:val="18"/>
                <w:szCs w:val="18"/>
              </w:rPr>
              <w:t>计算机系统的用户在进入系统或访问不同保护级别的系统资源时，系 统确认该用户的身份是否真实、合法和唯一的过程。这样，就可以防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785"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的应用过程中引入交互环节的复核型产品，增加输入部 </w:t>
            </w:r>
            <w:r>
              <w:rPr>
                <w:rFonts w:ascii="宋体" w:hAnsi="宋体" w:cs="宋体" w:eastAsia="宋体" w:hint="default"/>
                <w:spacing w:val="-3"/>
                <w:sz w:val="18"/>
                <w:szCs w:val="18"/>
              </w:rPr>
              <w:t>件（例如按键）和输出部件（例如液晶屏幕），内置数据解析引擎；</w:t>
            </w:r>
            <w:r>
              <w:rPr>
                <w:rFonts w:ascii="宋体" w:hAnsi="宋体" w:cs="宋体" w:eastAsia="宋体" w:hint="default"/>
                <w:sz w:val="18"/>
                <w:szCs w:val="18"/>
              </w:rPr>
              <w:t> 其提供了一代</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所不具备的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所见即所签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的安全特性，提高了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USB 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产品应用的安全性。</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宋体" w:hAnsi="宋体" w:cs="宋体" w:eastAsia="宋体" w:hint="default"/>
                <w:sz w:val="18"/>
                <w:szCs w:val="18"/>
              </w:rPr>
              <w:t>、芯片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集成电路（</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宋体" w:hAnsi="宋体" w:cs="宋体" w:eastAsia="宋体" w:hint="default"/>
                <w:sz w:val="18"/>
                <w:szCs w:val="18"/>
              </w:rPr>
              <w:t>）</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磁条卡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89"/>
              <w:jc w:val="left"/>
              <w:rPr>
                <w:rFonts w:ascii="宋体" w:hAnsi="宋体" w:cs="宋体" w:eastAsia="宋体" w:hint="default"/>
                <w:sz w:val="18"/>
                <w:szCs w:val="18"/>
              </w:rPr>
            </w:pPr>
            <w:r>
              <w:rPr>
                <w:rFonts w:ascii="宋体" w:hAnsi="宋体" w:cs="宋体" w:eastAsia="宋体" w:hint="default"/>
                <w:sz w:val="18"/>
                <w:szCs w:val="18"/>
              </w:rPr>
              <w:t>在普通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卡上覆盖一层编码磁性材料带，数据和资讯以不同磁模 式存储于磁条内，目前主要用于银行卡领域。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由集成电路（</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）芯片、卡载体（塑料片）以及卡内信息构成的具有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根据不同应用领域特征进行数据存储和数据处理的智能型卡片。</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0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w:t>
            </w:r>
            <w:r>
              <w:rPr>
                <w:rFonts w:ascii="宋体" w:hAnsi="宋体" w:cs="宋体" w:eastAsia="宋体" w:hint="default"/>
                <w:sz w:val="18"/>
                <w:szCs w:val="18"/>
              </w:rPr>
              <w:t>、片内操作系统</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Chip </w:t>
            </w:r>
            <w:r>
              <w:rPr>
                <w:rFonts w:ascii="Times New Roman" w:hAnsi="Times New Roman" w:cs="Times New Roman" w:eastAsia="Times New Roman" w:hint="default"/>
                <w:spacing w:val="-1"/>
                <w:sz w:val="18"/>
                <w:szCs w:val="18"/>
              </w:rPr>
              <w:t>Operating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w w:val="99"/>
                <w:sz w:val="18"/>
                <w:szCs w:val="18"/>
              </w:rPr>
              <w:t>System</w:t>
            </w:r>
            <w:r>
              <w:rPr>
                <w:rFonts w:ascii="宋体" w:hAnsi="宋体" w:cs="宋体" w:eastAsia="宋体" w:hint="default"/>
                <w:spacing w:val="-4"/>
                <w:w w:val="99"/>
                <w:sz w:val="18"/>
                <w:szCs w:val="18"/>
              </w:rPr>
              <w:t>（片内操作系统），是一种嵌入式软件，专为智</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8"/>
                <w:szCs w:val="18"/>
              </w:rPr>
              <w:t>能卡设计的操作系统，其主要功能是控制智能卡和外界的信息交换， 管理智能卡内的存储器并在卡内部完成各种命令的处理，是智能卡的</w:t>
            </w:r>
            <w:r>
              <w:rPr>
                <w:rFonts w:ascii="宋体" w:hAnsi="宋体" w:cs="宋体" w:eastAsia="宋体" w:hint="default"/>
                <w:sz w:val="18"/>
                <w:szCs w:val="18"/>
              </w:rPr>
              <w:t> 核心和关键技术。</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在设计时一般都是紧密结合智能卡内存储器 分区的情况，按照国际标准（</w:t>
            </w:r>
            <w:r>
              <w:rPr>
                <w:rFonts w:ascii="Times New Roman" w:hAnsi="Times New Roman" w:cs="Times New Roman" w:eastAsia="Times New Roman" w:hint="default"/>
                <w:sz w:val="18"/>
                <w:szCs w:val="18"/>
              </w:rPr>
              <w:t>ISO</w:t>
            </w:r>
            <w:r>
              <w:rPr>
                <w:rFonts w:ascii="宋体" w:hAnsi="宋体" w:cs="宋体" w:eastAsia="宋体" w:hint="default"/>
                <w:sz w:val="18"/>
                <w:szCs w:val="18"/>
              </w:rPr>
              <w:t>／</w:t>
            </w:r>
            <w:r>
              <w:rPr>
                <w:rFonts w:ascii="Times New Roman" w:hAnsi="Times New Roman" w:cs="Times New Roman" w:eastAsia="Times New Roman" w:hint="default"/>
                <w:sz w:val="18"/>
                <w:szCs w:val="18"/>
              </w:rPr>
              <w:t>IEC7816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系列标准）中所规定的</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10"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40" w:lineRule="auto" w:before="44"/>
        <w:ind w:left="0" w:right="1140"/>
        <w:jc w:val="right"/>
      </w:pPr>
      <w:r>
        <w:rPr/>
        <w:pict>
          <v:shape style="position:absolute;margin-left:56.459999pt;margin-top:-199.588287pt;width:479.25pt;height:342.0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611"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pacing w:val="-6"/>
                            <w:sz w:val="18"/>
                            <w:szCs w:val="18"/>
                          </w:rPr>
                          <w:t>功能进行设计、开发。</w:t>
                        </w:r>
                        <w:r>
                          <w:rPr>
                            <w:rFonts w:ascii="Times New Roman" w:hAnsi="Times New Roman" w:cs="Times New Roman" w:eastAsia="Times New Roman" w:hint="default"/>
                            <w:spacing w:val="-6"/>
                            <w:sz w:val="18"/>
                            <w:szCs w:val="18"/>
                          </w:rPr>
                          <w:t>COS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系统的自主开发能力是衡量智能卡企业是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否具有核心技术优势的重要因素之一。</w:t>
                        </w:r>
                        <w:r>
                          <w:rPr>
                            <w:rFonts w:ascii="Times New Roman" w:hAnsi="Times New Roman" w:cs="Times New Roman" w:eastAsia="Times New Roman" w:hint="default"/>
                            <w:spacing w:val="-4"/>
                            <w:sz w:val="18"/>
                            <w:szCs w:val="18"/>
                          </w:rPr>
                          <w:t>COS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的出现不仅大大地改善了</w:t>
                        </w:r>
                        <w:r>
                          <w:rPr>
                            <w:rFonts w:ascii="宋体" w:hAnsi="宋体" w:cs="宋体" w:eastAsia="宋体" w:hint="default"/>
                            <w:spacing w:val="-88"/>
                            <w:sz w:val="18"/>
                            <w:szCs w:val="18"/>
                          </w:rPr>
                          <w:t> </w:t>
                        </w:r>
                        <w:r>
                          <w:rPr>
                            <w:rFonts w:ascii="宋体" w:hAnsi="宋体" w:cs="宋体" w:eastAsia="宋体" w:hint="default"/>
                            <w:spacing w:val="-2"/>
                            <w:sz w:val="18"/>
                            <w:szCs w:val="18"/>
                          </w:rPr>
                          <w:t>智能卡的交互界面，使智能卡的管理变得容易；而且，更为重要的是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使智能卡本身向着个人计算机化的方向迈出了一大步，为智能卡的发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展开拓了极为广阔的前景。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FT-COS</w:t>
                        </w:r>
                        <w:r>
                          <w:rPr>
                            <w:rFonts w:ascii="宋体" w:hAnsi="宋体" w:cs="宋体" w:eastAsia="宋体" w:hint="default"/>
                            <w:sz w:val="18"/>
                            <w:szCs w:val="18"/>
                          </w:rPr>
                          <w:t>、</w:t>
                        </w:r>
                        <w:r>
                          <w:rPr>
                            <w:rFonts w:ascii="Times New Roman" w:hAnsi="Times New Roman" w:cs="Times New Roman" w:eastAsia="Times New Roman" w:hint="default"/>
                            <w:sz w:val="18"/>
                            <w:szCs w:val="18"/>
                          </w:rPr>
                          <w:t>FTCOS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飞天诚信自己开发的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片内操作系统。</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PKI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 Key Infrastructure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的缩写，是指用公钥概念和技术来实施和提</w:t>
                        </w:r>
                        <w:r>
                          <w:rPr>
                            <w:rFonts w:ascii="宋体" w:hAnsi="宋体" w:cs="宋体" w:eastAsia="宋体" w:hint="default"/>
                            <w:w w:val="99"/>
                            <w:sz w:val="18"/>
                            <w:szCs w:val="18"/>
                          </w:rPr>
                          <w:t> </w:t>
                        </w:r>
                        <w:r>
                          <w:rPr>
                            <w:rFonts w:ascii="宋体" w:hAnsi="宋体" w:cs="宋体" w:eastAsia="宋体" w:hint="default"/>
                            <w:sz w:val="18"/>
                            <w:szCs w:val="18"/>
                          </w:rPr>
                          <w:t>供安全服务的具有普适性的安全基础架构。</w:t>
                        </w:r>
                        <w:r>
                          <w:rPr>
                            <w:rFonts w:ascii="Times New Roman" w:hAnsi="Times New Roman" w:cs="Times New Roman" w:eastAsia="Times New Roman" w:hint="default"/>
                            <w:sz w:val="18"/>
                            <w:szCs w:val="18"/>
                          </w:rPr>
                          <w:t>PKI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从理论上，提供了一 </w:t>
                        </w:r>
                        <w:r>
                          <w:rPr>
                            <w:rFonts w:ascii="宋体" w:hAnsi="宋体" w:cs="宋体" w:eastAsia="宋体" w:hint="default"/>
                            <w:spacing w:val="-3"/>
                            <w:sz w:val="18"/>
                            <w:szCs w:val="18"/>
                          </w:rPr>
                          <w:t>个安全框架，其安全的核心是对私钥的保护；</w:t>
                        </w:r>
                        <w:r>
                          <w:rPr>
                            <w:rFonts w:ascii="Times New Roman" w:hAnsi="Times New Roman" w:cs="Times New Roman" w:eastAsia="Times New Roman" w:hint="default"/>
                            <w:spacing w:val="-3"/>
                            <w:sz w:val="18"/>
                            <w:szCs w:val="18"/>
                          </w:rPr>
                          <w:t>USB</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安全产品内置</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和安全存储单元，涉及私钥的安全运算在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Key </w:t>
                        </w:r>
                        <w:r>
                          <w:rPr>
                            <w:rFonts w:ascii="宋体" w:hAnsi="宋体" w:cs="宋体" w:eastAsia="宋体" w:hint="default"/>
                            <w:sz w:val="18"/>
                            <w:szCs w:val="18"/>
                          </w:rPr>
                          <w:t>内完成，可 </w:t>
                        </w:r>
                        <w:r>
                          <w:rPr>
                            <w:rFonts w:ascii="宋体" w:hAnsi="宋体" w:cs="宋体" w:eastAsia="宋体" w:hint="default"/>
                            <w:spacing w:val="-2"/>
                            <w:sz w:val="18"/>
                            <w:szCs w:val="18"/>
                          </w:rPr>
                          <w:t>以保证私钥永远不被导出，保证了私钥的绝对安全，从而保证了身份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认证的准确和安全。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技术的智能卡，</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Sun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公司提出的一种智能卡标准</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USB</w:t>
                        </w:r>
                        <w:r>
                          <w:rPr>
                            <w:rFonts w:ascii="Times New Roman"/>
                            <w:spacing w:val="-4"/>
                            <w:sz w:val="18"/>
                          </w:rPr>
                          <w:t> </w:t>
                        </w:r>
                        <w:r>
                          <w:rPr>
                            <w:rFonts w:ascii="Times New Roman"/>
                            <w:sz w:val="18"/>
                          </w:rPr>
                          <w:t>Key</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一种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接口的硬件设备，内置安全芯片，可安全存储用户密钥或 </w:t>
                        </w:r>
                        <w:r>
                          <w:rPr>
                            <w:rFonts w:ascii="宋体" w:hAnsi="宋体" w:cs="宋体" w:eastAsia="宋体" w:hint="default"/>
                            <w:spacing w:val="-2"/>
                            <w:sz w:val="18"/>
                            <w:szCs w:val="18"/>
                          </w:rPr>
                          <w:t>数字证书，利用内置的密码算法实现对用户身份的认证，并实现数据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加解密等功能。</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宋体" w:hAnsi="宋体" w:cs="宋体" w:eastAsia="宋体" w:hint="default"/>
                            <w:sz w:val="18"/>
                            <w:szCs w:val="18"/>
                          </w:rPr>
                          <w:t>、</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One-</w:t>
                        </w:r>
                        <w:r>
                          <w:rPr>
                            <w:rFonts w:ascii="Times New Roman" w:hAnsi="Times New Roman" w:cs="Times New Roman" w:eastAsia="Times New Roman" w:hint="default"/>
                            <w:spacing w:val="-6"/>
                            <w:sz w:val="18"/>
                            <w:szCs w:val="18"/>
                          </w:rPr>
                          <w:t>T</w:t>
                        </w:r>
                        <w:r>
                          <w:rPr>
                            <w:rFonts w:ascii="Times New Roman" w:hAnsi="Times New Roman" w:cs="Times New Roman" w:eastAsia="Times New Roman" w:hint="default"/>
                            <w:sz w:val="18"/>
                            <w:szCs w:val="18"/>
                          </w:rPr>
                          <w:t>ime </w:t>
                        </w:r>
                        <w:r>
                          <w:rPr>
                            <w:rFonts w:ascii="Times New Roman" w:hAnsi="Times New Roman" w:cs="Times New Roman" w:eastAsia="Times New Roman" w:hint="default"/>
                            <w:w w:val="99"/>
                            <w:sz w:val="18"/>
                            <w:szCs w:val="18"/>
                          </w:rPr>
                          <w:t>Pas</w:t>
                        </w:r>
                        <w:r>
                          <w:rPr>
                            <w:rFonts w:ascii="Times New Roman" w:hAnsi="Times New Roman" w:cs="Times New Roman" w:eastAsia="Times New Roman" w:hint="default"/>
                            <w:spacing w:val="-2"/>
                            <w:w w:val="99"/>
                            <w:sz w:val="18"/>
                            <w:szCs w:val="18"/>
                          </w:rPr>
                          <w:t>s</w:t>
                        </w:r>
                        <w:r>
                          <w:rPr>
                            <w:rFonts w:ascii="Times New Roman" w:hAnsi="Times New Roman" w:cs="Times New Roman" w:eastAsia="Times New Roman" w:hint="default"/>
                            <w:w w:val="99"/>
                            <w:sz w:val="18"/>
                            <w:szCs w:val="18"/>
                          </w:rPr>
                          <w:t>wor</w:t>
                        </w:r>
                        <w:r>
                          <w:rPr>
                            <w:rFonts w:ascii="Times New Roman" w:hAnsi="Times New Roman" w:cs="Times New Roman" w:eastAsia="Times New Roman" w:hint="default"/>
                            <w:spacing w:val="-1"/>
                            <w:w w:val="99"/>
                            <w:sz w:val="18"/>
                            <w:szCs w:val="18"/>
                          </w:rPr>
                          <w:t>d</w:t>
                        </w:r>
                        <w:r>
                          <w:rPr>
                            <w:rFonts w:ascii="宋体" w:hAnsi="宋体" w:cs="宋体" w:eastAsia="宋体" w:hint="default"/>
                            <w:spacing w:val="-88"/>
                            <w:w w:val="99"/>
                            <w:sz w:val="18"/>
                            <w:szCs w:val="18"/>
                          </w:rPr>
                          <w:t>，</w:t>
                        </w:r>
                        <w:r>
                          <w:rPr>
                            <w:rFonts w:ascii="宋体" w:hAnsi="宋体" w:cs="宋体" w:eastAsia="宋体" w:hint="default"/>
                            <w:w w:val="99"/>
                            <w:sz w:val="18"/>
                            <w:szCs w:val="18"/>
                          </w:rPr>
                          <w:t>简称</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OTP</w:t>
                        </w:r>
                        <w:r>
                          <w:rPr>
                            <w:rFonts w:ascii="宋体" w:hAnsi="宋体" w:cs="宋体" w:eastAsia="宋体" w:hint="default"/>
                            <w:spacing w:val="-88"/>
                            <w:w w:val="99"/>
                            <w:sz w:val="18"/>
                            <w:szCs w:val="18"/>
                          </w:rPr>
                          <w:t>，</w:t>
                        </w:r>
                        <w:r>
                          <w:rPr>
                            <w:rFonts w:ascii="宋体" w:hAnsi="宋体" w:cs="宋体" w:eastAsia="宋体" w:hint="default"/>
                            <w:w w:val="99"/>
                            <w:sz w:val="18"/>
                            <w:szCs w:val="18"/>
                          </w:rPr>
                          <w:t>是客户手持用来生成动态密码的终端</w:t>
                        </w:r>
                        <w:r>
                          <w:rPr>
                            <w:rFonts w:ascii="宋体" w:hAnsi="宋体" w:cs="宋体" w:eastAsia="宋体" w:hint="default"/>
                            <w:sz w:val="18"/>
                            <w:szCs w:val="18"/>
                          </w:rPr>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移动支付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一种利用手机等移动终端实现移动电子商务的技术，通过改造移动终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端或其内部 </w:t>
                        </w:r>
                        <w:r>
                          <w:rPr>
                            <w:rFonts w:ascii="Times New Roman" w:hAnsi="Times New Roman" w:cs="Times New Roman" w:eastAsia="Times New Roman" w:hint="default"/>
                            <w:sz w:val="18"/>
                            <w:szCs w:val="18"/>
                          </w:rPr>
                          <w:t>SIM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卡等用户识别模块，与读写器装置进行近距离通信 实现离线支付，或利用手机网络实现在线交易以及动态业务下载。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9"/>
        <w:jc w:val="right"/>
      </w:pPr>
      <w:r>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81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2"/>
        <w:jc w:val="left"/>
        <w:rPr>
          <w:b w:val="0"/>
          <w:bCs w:val="0"/>
        </w:rPr>
      </w:pPr>
      <w:r>
        <w:rPr/>
        <w:pict>
          <v:group style="position:absolute;margin-left:172.339996pt;margin-top:114.735596pt;width:361.5pt;height:19.6pt;mso-position-horizontal-relative:page;mso-position-vertical-relative:paragraph;z-index:-108085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300386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飞天诚信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23"/>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Feitian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黄煜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http://www.ftsafe.com.cn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1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李居彩</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010-62304466-1709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010-62304466-1709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010-62304477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010-62304477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wubi@ftsafe.com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81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8"/>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北京市海淀区学清路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号汇智大厦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812"/>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公司聘请的会计师事务所</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bl>
    <w:p>
      <w:pPr>
        <w:pStyle w:val="BodyText"/>
        <w:spacing w:line="240" w:lineRule="auto" w:before="51"/>
        <w:ind w:right="812"/>
        <w:jc w:val="left"/>
      </w:pPr>
      <w:r>
        <w:rPr/>
        <w:t>公司聘请的报告期内履行持续督导职责的保荐机构</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马华锋、何雨华、欧阳志华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2014.6.26-2018.12.31</w:t>
            </w:r>
          </w:p>
        </w:tc>
      </w:tr>
    </w:tbl>
    <w:p>
      <w:pPr>
        <w:pStyle w:val="BodyText"/>
        <w:spacing w:line="240" w:lineRule="auto" w:before="51"/>
        <w:ind w:right="812"/>
        <w:jc w:val="left"/>
      </w:pPr>
      <w:r>
        <w:rPr/>
        <w:t>公司聘请的报告期内履行持续督导职责的财务顾问</w:t>
      </w:r>
    </w:p>
    <w:p>
      <w:pPr>
        <w:pStyle w:val="BodyText"/>
        <w:spacing w:line="240" w:lineRule="auto" w:before="116"/>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公司是否需追溯调整或重述以前年度会计数据</w:t>
      </w:r>
    </w:p>
    <w:p>
      <w:pPr>
        <w:pStyle w:val="BodyText"/>
        <w:spacing w:line="240" w:lineRule="auto" w:before="117"/>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1,071,782,404.96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1,103,048,519.32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889,431,946.42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133,273,482.46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125,174,450.29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119,589,574.17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94,662,557.38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116,880,816.64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108,941,879.44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8,154,433.36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102,936,860.74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98,830,719.10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2,012,625,462.11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1,969,544,745.54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1,812,901,252.26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1,751,262,705.75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1,653,927,028.98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1,570,620,431.63</w:t>
            </w: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152,134,421.21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275,744,552.81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261,479,146.18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382,424,284.76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2,116,072.83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34,495,072.95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40,452,627.46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56,209,709.22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-5,216,159.13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24,322,787.74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23,188,949.51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52,366,979.26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-203,506,174.41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-80,499,559.96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41,700,411.41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250,459,756.32</w:t>
            </w:r>
          </w:p>
        </w:tc>
      </w:tr>
    </w:tbl>
    <w:p>
      <w:pPr>
        <w:pStyle w:val="BodyText"/>
        <w:spacing w:line="240" w:lineRule="auto" w:before="51"/>
        <w:ind w:right="812"/>
        <w:jc w:val="left"/>
      </w:pPr>
      <w:r>
        <w:rPr/>
        <w:t>上述财务指标或其加总数是否与公司已披露季度报告、半年度报告相关财务指标存在重大差异</w:t>
      </w:r>
    </w:p>
    <w:p>
      <w:pPr>
        <w:pStyle w:val="BodyText"/>
        <w:spacing w:line="240" w:lineRule="auto" w:before="117"/>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81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812"/>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-12,732.58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18,351.08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8,533,806.08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9,984,444.81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6,043,947.59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9,883,339.14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25,516,953.09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24,752,996.53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9,301,165.90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2,219,342.47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-136,918.12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-1,392.31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-1,073,625.04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497,596.71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-46,179,271.09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形资产余额一次性摊销完毕</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5,007,309.76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-1,487,166.74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3,578,777.47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135,251.86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-15,545,482.37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63,367.33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38,610,925.08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8,293,633.65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10,647,694.73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47" w:right="812"/>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812"/>
        <w:jc w:val="left"/>
      </w:pPr>
      <w:r>
        <w:rPr/>
        <w:t>软件与信息技术服务业</w:t>
      </w:r>
    </w:p>
    <w:p>
      <w:pPr>
        <w:pStyle w:val="BodyText"/>
        <w:spacing w:line="240" w:lineRule="auto" w:before="116"/>
        <w:ind w:right="81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09" w:lineRule="auto"/>
        <w:ind w:left="514" w:right="812" w:firstLine="79"/>
        <w:jc w:val="left"/>
      </w:pPr>
      <w:r>
        <w:rPr>
          <w:rFonts w:ascii="宋体" w:hAnsi="宋体" w:cs="宋体" w:eastAsia="宋体" w:hint="default"/>
          <w:b/>
          <w:bCs/>
        </w:rPr>
        <w:t>一、公司业务概要</w:t>
      </w:r>
      <w:r>
        <w:rPr>
          <w:rFonts w:ascii="宋体" w:hAnsi="宋体" w:cs="宋体" w:eastAsia="宋体" w:hint="default"/>
          <w:b/>
          <w:bCs/>
          <w:w w:val="99"/>
        </w:rPr>
        <w:t> </w:t>
      </w:r>
      <w:r>
        <w:rPr/>
        <w:t>公司成立于</w:t>
      </w:r>
      <w:r>
        <w:rPr>
          <w:rFonts w:ascii="Times New Roman" w:hAnsi="Times New Roman" w:cs="Times New Roman" w:eastAsia="Times New Roman" w:hint="default"/>
        </w:rPr>
        <w:t>1998</w:t>
      </w:r>
      <w:r>
        <w:rPr/>
        <w:t>年，总部设在北京，是智能卡操作系统及数字安全系统整体解决方案的提供商和服务商。 公司自成立以来始终专注于智能卡核心技术的研究和发展，坚持自主创新的发展战略，在身份识别、交易安全、智能</w:t>
      </w:r>
    </w:p>
    <w:p>
      <w:pPr>
        <w:pStyle w:val="BodyText"/>
        <w:spacing w:line="316" w:lineRule="auto" w:before="24"/>
        <w:ind w:right="1129"/>
        <w:jc w:val="both"/>
      </w:pPr>
      <w:r>
        <w:rPr>
          <w:spacing w:val="-2"/>
        </w:rPr>
        <w:t>支付、云安全、金融行业创新营销、版权保护等多个领域提供完整的服务和解决方案。公司以北京总部为中心，在广州、上</w:t>
      </w:r>
      <w:r>
        <w:rPr>
          <w:spacing w:val="-66"/>
        </w:rPr>
        <w:t> </w:t>
      </w:r>
      <w:r>
        <w:rPr>
          <w:spacing w:val="-66"/>
        </w:rPr>
      </w:r>
      <w:r>
        <w:rPr>
          <w:spacing w:val="-2"/>
        </w:rPr>
        <w:t>海等地成立了营销中心，在深圳、杭州和昆明等多个地区建立了办事处，在全球范围内建立起市场推广和营销服务体系，并</w:t>
      </w:r>
      <w:r>
        <w:rPr>
          <w:spacing w:val="-66"/>
        </w:rPr>
        <w:t> </w:t>
      </w:r>
      <w:r>
        <w:rPr>
          <w:spacing w:val="-66"/>
        </w:rPr>
      </w:r>
      <w:r>
        <w:rPr>
          <w:spacing w:val="-2"/>
        </w:rPr>
        <w:t>配有专业的系统解决方案和服务团队，公司产品销售至全球多个国家和地区，积累了金融、政府、邮政、电信、交通、互联</w:t>
      </w:r>
      <w:r>
        <w:rPr>
          <w:spacing w:val="-71"/>
        </w:rPr>
        <w:t> </w:t>
      </w:r>
      <w:r>
        <w:rPr>
          <w:spacing w:val="-71"/>
        </w:rPr>
      </w:r>
      <w:r>
        <w:rPr>
          <w:spacing w:val="-2"/>
        </w:rPr>
        <w:t>网等领域多家客户。其中，银行客户覆盖较为广泛，为包括工行、建行、农行、中行、交通银行等在内的多家银行的网上银</w:t>
      </w:r>
      <w:r>
        <w:rPr>
          <w:spacing w:val="-72"/>
        </w:rPr>
        <w:t> </w:t>
      </w:r>
      <w:r>
        <w:rPr>
          <w:spacing w:val="-72"/>
        </w:rPr>
      </w:r>
      <w:r>
        <w:rPr>
          <w:spacing w:val="-2"/>
        </w:rPr>
        <w:t>行系统安全提供完善的解决方案和专业的技术服务，是国内银行客户数较多的智能网络身份认证产品提供商。报告期内公司</w:t>
      </w:r>
      <w:r>
        <w:rPr>
          <w:spacing w:val="-64"/>
        </w:rPr>
        <w:t> </w:t>
      </w:r>
      <w:r>
        <w:rPr>
          <w:spacing w:val="-64"/>
        </w:rPr>
      </w:r>
      <w:r>
        <w:rPr/>
        <w:t>的主营业务未发生重大变化。</w:t>
      </w:r>
    </w:p>
    <w:p>
      <w:pPr>
        <w:pStyle w:val="BodyText"/>
        <w:spacing w:line="240" w:lineRule="auto" w:before="19"/>
        <w:ind w:left="514" w:right="812"/>
        <w:jc w:val="left"/>
      </w:pPr>
      <w:r>
        <w:rPr>
          <w:rFonts w:ascii="Times New Roman" w:hAnsi="Times New Roman" w:cs="Times New Roman" w:eastAsia="Times New Roman" w:hint="default"/>
        </w:rPr>
        <w:t>1.USB</w:t>
      </w:r>
      <w:r>
        <w:rPr>
          <w:rFonts w:ascii="Times New Roman" w:hAnsi="Times New Roman" w:cs="Times New Roman" w:eastAsia="Times New Roman" w:hint="default"/>
          <w:spacing w:val="-1"/>
        </w:rPr>
        <w:t> </w:t>
      </w:r>
      <w:r>
        <w:rPr>
          <w:rFonts w:ascii="Times New Roman" w:hAnsi="Times New Roman" w:cs="Times New Roman" w:eastAsia="Times New Roman" w:hint="default"/>
        </w:rPr>
        <w:t>Key</w:t>
      </w:r>
      <w:r>
        <w:rPr/>
        <w:t>产品</w:t>
      </w:r>
    </w:p>
    <w:p>
      <w:pPr>
        <w:pStyle w:val="BodyText"/>
        <w:spacing w:line="300" w:lineRule="auto" w:before="63"/>
        <w:ind w:right="1130" w:firstLine="360"/>
        <w:jc w:val="both"/>
      </w:pPr>
      <w:r>
        <w:rPr>
          <w:spacing w:val="-1"/>
        </w:rPr>
        <w:t>飞天</w:t>
      </w:r>
      <w:r>
        <w:rPr>
          <w:rFonts w:ascii="Times New Roman" w:hAnsi="Times New Roman" w:cs="Times New Roman" w:eastAsia="Times New Roman" w:hint="default"/>
          <w:spacing w:val="-1"/>
        </w:rPr>
        <w:t>ePass</w:t>
      </w:r>
      <w:r>
        <w:rPr>
          <w:spacing w:val="-1"/>
        </w:rPr>
        <w:t>系列</w:t>
      </w:r>
      <w:r>
        <w:rPr>
          <w:rFonts w:ascii="Times New Roman" w:hAnsi="Times New Roman" w:cs="Times New Roman" w:eastAsia="Times New Roman" w:hint="default"/>
          <w:spacing w:val="-1"/>
        </w:rPr>
        <w:t>USB</w:t>
      </w:r>
      <w:r>
        <w:rPr>
          <w:rFonts w:ascii="Times New Roman" w:hAnsi="Times New Roman" w:cs="Times New Roman" w:eastAsia="Times New Roman" w:hint="default"/>
        </w:rPr>
        <w:t> </w:t>
      </w:r>
      <w:r>
        <w:rPr>
          <w:rFonts w:ascii="Times New Roman" w:hAnsi="Times New Roman" w:cs="Times New Roman" w:eastAsia="Times New Roman" w:hint="default"/>
          <w:spacing w:val="-2"/>
        </w:rPr>
        <w:t>Key</w:t>
      </w:r>
      <w:r>
        <w:rPr>
          <w:spacing w:val="-2"/>
        </w:rPr>
        <w:t>涵盖高、中、低端产品，能满足不同层次的用户需求，是身份安全的解决之道。目前，</w:t>
      </w:r>
      <w:r>
        <w:rPr>
          <w:rFonts w:ascii="Times New Roman" w:hAnsi="Times New Roman" w:cs="Times New Roman" w:eastAsia="Times New Roman" w:hint="default"/>
          <w:spacing w:val="-2"/>
        </w:rPr>
        <w:t>USB</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
        </w:rPr>
        <w:t>Key</w:t>
      </w:r>
      <w:r>
        <w:rPr>
          <w:rFonts w:ascii="Times New Roman" w:hAnsi="Times New Roman" w:cs="Times New Roman" w:eastAsia="Times New Roman" w:hint="default"/>
        </w:rPr>
        <w:t> </w:t>
      </w:r>
      <w:r>
        <w:rPr/>
        <w:t>产品市场主要集中在对信息安全领域要求较高的领域，银行是</w:t>
      </w:r>
      <w:r>
        <w:rPr>
          <w:rFonts w:ascii="Times New Roman" w:hAnsi="Times New Roman" w:cs="Times New Roman" w:eastAsia="Times New Roman" w:hint="default"/>
        </w:rPr>
        <w:t>USB Key</w:t>
      </w:r>
      <w:r>
        <w:rPr/>
        <w:t>产品主要的需求方。报告期内，</w:t>
      </w:r>
      <w:r>
        <w:rPr>
          <w:rFonts w:ascii="Times New Roman" w:hAnsi="Times New Roman" w:cs="Times New Roman" w:eastAsia="Times New Roman" w:hint="default"/>
        </w:rPr>
        <w:t>USB</w:t>
      </w:r>
      <w:r>
        <w:rPr>
          <w:rFonts w:ascii="Times New Roman" w:hAnsi="Times New Roman" w:cs="Times New Roman" w:eastAsia="Times New Roman" w:hint="default"/>
          <w:spacing w:val="-34"/>
        </w:rPr>
        <w:t> </w:t>
      </w:r>
      <w:r>
        <w:rPr>
          <w:rFonts w:ascii="Times New Roman" w:hAnsi="Times New Roman" w:cs="Times New Roman" w:eastAsia="Times New Roman" w:hint="default"/>
        </w:rPr>
        <w:t>Key</w:t>
      </w:r>
      <w:r>
        <w:rPr/>
        <w:t>产品创造的 营业收入</w:t>
      </w:r>
      <w:r>
        <w:rPr>
          <w:rFonts w:ascii="Times New Roman" w:hAnsi="Times New Roman" w:cs="Times New Roman" w:eastAsia="Times New Roman" w:hint="default"/>
        </w:rPr>
        <w:t>57,304.86</w:t>
      </w:r>
      <w:r>
        <w:rPr>
          <w:rFonts w:ascii="Times New Roman" w:hAnsi="Times New Roman" w:cs="Times New Roman" w:eastAsia="Times New Roman" w:hint="default"/>
          <w:spacing w:val="21"/>
        </w:rPr>
        <w:t> </w:t>
      </w:r>
      <w:r>
        <w:rPr/>
        <w:t>万元，占公司营业收入总额的</w:t>
      </w:r>
      <w:r>
        <w:rPr>
          <w:rFonts w:ascii="Times New Roman" w:hAnsi="Times New Roman" w:cs="Times New Roman" w:eastAsia="Times New Roman" w:hint="default"/>
        </w:rPr>
        <w:t>53.47%</w:t>
      </w:r>
      <w:r>
        <w:rPr/>
        <w:t>，同比增长</w:t>
      </w:r>
      <w:r>
        <w:rPr>
          <w:rFonts w:ascii="Times New Roman" w:hAnsi="Times New Roman" w:cs="Times New Roman" w:eastAsia="Times New Roman" w:hint="default"/>
        </w:rPr>
        <w:t>1.48%</w:t>
      </w:r>
      <w:r>
        <w:rPr/>
        <w:t>。</w:t>
      </w:r>
    </w:p>
    <w:p>
      <w:pPr>
        <w:pStyle w:val="BodyText"/>
        <w:spacing w:line="300" w:lineRule="auto" w:before="13"/>
        <w:ind w:left="514" w:right="1232"/>
        <w:jc w:val="left"/>
      </w:pPr>
      <w:r>
        <w:rPr>
          <w:rFonts w:ascii="Times New Roman" w:hAnsi="Times New Roman" w:cs="Times New Roman" w:eastAsia="Times New Roman" w:hint="default"/>
        </w:rPr>
        <w:t>2.OTP</w:t>
      </w:r>
      <w:r>
        <w:rPr/>
        <w:t>动态令牌产品 飞天</w:t>
      </w:r>
      <w:r>
        <w:rPr>
          <w:rFonts w:ascii="Times New Roman" w:hAnsi="Times New Roman" w:cs="Times New Roman" w:eastAsia="Times New Roman" w:hint="default"/>
        </w:rPr>
        <w:t>OTP</w:t>
      </w:r>
      <w:r>
        <w:rPr/>
        <w:t>动态令牌系列产品具有一次一密的特性，最大特点是简单、易用，适用于多种网络环境和终端。报告期内，</w:t>
      </w:r>
    </w:p>
    <w:p>
      <w:pPr>
        <w:pStyle w:val="BodyText"/>
        <w:spacing w:line="300" w:lineRule="auto" w:before="13"/>
        <w:ind w:left="514" w:right="3632" w:hanging="360"/>
        <w:jc w:val="left"/>
      </w:pPr>
      <w:r>
        <w:rPr>
          <w:rFonts w:ascii="Times New Roman" w:hAnsi="Times New Roman" w:cs="Times New Roman" w:eastAsia="Times New Roman" w:hint="default"/>
        </w:rPr>
        <w:t>OTP</w:t>
      </w:r>
      <w:r>
        <w:rPr/>
        <w:t>产品创造的营业收入</w:t>
      </w:r>
      <w:r>
        <w:rPr>
          <w:rFonts w:ascii="Times New Roman" w:hAnsi="Times New Roman" w:cs="Times New Roman" w:eastAsia="Times New Roman" w:hint="default"/>
        </w:rPr>
        <w:t>29,195.59</w:t>
      </w:r>
      <w:r>
        <w:rPr/>
        <w:t>万元，占公司营业收入总额的</w:t>
      </w:r>
      <w:r>
        <w:rPr>
          <w:rFonts w:ascii="Times New Roman" w:hAnsi="Times New Roman" w:cs="Times New Roman" w:eastAsia="Times New Roman" w:hint="default"/>
        </w:rPr>
        <w:t>27.24%</w:t>
      </w:r>
      <w:r>
        <w:rPr/>
        <w:t>，同比减少</w:t>
      </w:r>
      <w:r>
        <w:rPr>
          <w:rFonts w:ascii="Times New Roman" w:hAnsi="Times New Roman" w:cs="Times New Roman" w:eastAsia="Times New Roman" w:hint="default"/>
        </w:rPr>
        <w:t>9.37%</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芯片产品</w:t>
      </w:r>
    </w:p>
    <w:p>
      <w:pPr>
        <w:pStyle w:val="BodyText"/>
        <w:spacing w:line="316" w:lineRule="auto" w:before="13"/>
        <w:ind w:right="1129" w:firstLine="360"/>
        <w:jc w:val="both"/>
      </w:pPr>
      <w:r>
        <w:rPr>
          <w:spacing w:val="-2"/>
        </w:rPr>
        <w:t>公司之子公司北京宏思，是国内较早专业从事国产信息安全应用芯片研制的集成电路设计企业，产品应用于金融、移动</w:t>
      </w:r>
      <w:r>
        <w:rPr/>
        <w:t> </w:t>
      </w:r>
      <w:r>
        <w:rPr>
          <w:spacing w:val="-2"/>
        </w:rPr>
        <w:t>支付、税务公安、交通、电力、电子政务、物联网、智能家电、公共安全、版权保护、工业控制等领域。报告期内，北京宏</w:t>
      </w:r>
      <w:r>
        <w:rPr>
          <w:spacing w:val="-70"/>
        </w:rPr>
        <w:t> </w:t>
      </w:r>
      <w:r>
        <w:rPr>
          <w:spacing w:val="-70"/>
        </w:rPr>
      </w:r>
      <w:r>
        <w:rPr/>
        <w:t>思芯片产品的营业收入</w:t>
      </w:r>
      <w:r>
        <w:rPr>
          <w:rFonts w:ascii="Times New Roman" w:hAnsi="Times New Roman" w:cs="Times New Roman" w:eastAsia="Times New Roman" w:hint="default"/>
        </w:rPr>
        <w:t>7,085.19</w:t>
      </w:r>
      <w:r>
        <w:rPr/>
        <w:t>万元，占公司营业收入总额的</w:t>
      </w:r>
      <w:r>
        <w:rPr>
          <w:rFonts w:ascii="Times New Roman" w:hAnsi="Times New Roman" w:cs="Times New Roman" w:eastAsia="Times New Roman" w:hint="default"/>
        </w:rPr>
        <w:t>6.61%</w:t>
      </w:r>
      <w:r>
        <w:rPr/>
        <w:t>，比上年同期增长</w:t>
      </w:r>
      <w:r>
        <w:rPr>
          <w:rFonts w:ascii="Times New Roman" w:hAnsi="Times New Roman" w:cs="Times New Roman" w:eastAsia="Times New Roman" w:hint="default"/>
        </w:rPr>
        <w:t>10.76%</w:t>
      </w:r>
      <w:r>
        <w:rPr/>
        <w:t>。</w:t>
      </w:r>
    </w:p>
    <w:p>
      <w:pPr>
        <w:pStyle w:val="BodyText"/>
        <w:spacing w:line="300" w:lineRule="auto"/>
        <w:ind w:left="514" w:right="812"/>
        <w:jc w:val="left"/>
      </w:pPr>
      <w:r>
        <w:rPr>
          <w:rFonts w:ascii="Times New Roman" w:hAnsi="Times New Roman" w:cs="Times New Roman" w:eastAsia="Times New Roman" w:hint="default"/>
        </w:rPr>
        <w:t>4.</w:t>
      </w:r>
      <w:r>
        <w:rPr/>
        <w:t>加密锁产品 </w:t>
      </w:r>
      <w:r>
        <w:rPr>
          <w:spacing w:val="-2"/>
        </w:rPr>
        <w:t>加密锁（</w:t>
      </w:r>
      <w:r>
        <w:rPr>
          <w:rFonts w:ascii="Times New Roman" w:hAnsi="Times New Roman" w:cs="Times New Roman" w:eastAsia="Times New Roman" w:hint="default"/>
          <w:spacing w:val="-2"/>
        </w:rPr>
        <w:t>Dongle</w:t>
      </w:r>
      <w:r>
        <w:rPr>
          <w:spacing w:val="-2"/>
        </w:rPr>
        <w:t>）基于硬件保护技术，其目的是通过对软件与数据的保护防止知识产权被非法使用，是另一类软件和数</w:t>
      </w:r>
    </w:p>
    <w:p>
      <w:pPr>
        <w:pStyle w:val="BodyText"/>
        <w:spacing w:line="300" w:lineRule="auto" w:before="13"/>
        <w:ind w:right="1122"/>
        <w:jc w:val="left"/>
      </w:pPr>
      <w:r>
        <w:rPr/>
        <w:t>据的身份认证产品。加密锁市场技术已经趋于成熟，客户主要为软件公司。飞天</w:t>
      </w:r>
      <w:r>
        <w:rPr>
          <w:rFonts w:ascii="Times New Roman" w:hAnsi="Times New Roman" w:cs="Times New Roman" w:eastAsia="Times New Roman" w:hint="default"/>
        </w:rPr>
        <w:t>ROCKEY</w:t>
      </w:r>
      <w:r>
        <w:rPr/>
        <w:t>系列加密锁产品覆盖面广，满足 了不同层次的软件开发商需求，也最大程度降低了开发商对锁的维护力度。报告期内，加密锁产品的营业收入为</w:t>
      </w:r>
      <w:r>
        <w:rPr>
          <w:rFonts w:ascii="Times New Roman" w:hAnsi="Times New Roman" w:cs="Times New Roman" w:eastAsia="Times New Roman" w:hint="default"/>
        </w:rPr>
        <w:t>4,292.94</w:t>
      </w:r>
      <w:r>
        <w:rPr/>
        <w:t>万 元，占公司营业收入总额的</w:t>
      </w:r>
      <w:r>
        <w:rPr>
          <w:rFonts w:ascii="Times New Roman" w:hAnsi="Times New Roman" w:cs="Times New Roman" w:eastAsia="Times New Roman" w:hint="default"/>
        </w:rPr>
        <w:t>4.01%</w:t>
      </w:r>
      <w:r>
        <w:rPr/>
        <w:t>，同比减少</w:t>
      </w:r>
      <w:r>
        <w:rPr>
          <w:rFonts w:ascii="Times New Roman" w:hAnsi="Times New Roman" w:cs="Times New Roman" w:eastAsia="Times New Roman" w:hint="default"/>
        </w:rPr>
        <w:t>1.10%</w:t>
      </w:r>
      <w:r>
        <w:rPr/>
        <w:t>。</w:t>
      </w:r>
    </w:p>
    <w:p>
      <w:pPr>
        <w:pStyle w:val="BodyText"/>
        <w:spacing w:line="300" w:lineRule="auto" w:before="11"/>
        <w:ind w:left="514" w:right="1392"/>
        <w:jc w:val="left"/>
      </w:pPr>
      <w:r>
        <w:rPr>
          <w:rFonts w:ascii="Times New Roman" w:hAnsi="Times New Roman" w:cs="Times New Roman" w:eastAsia="Times New Roman" w:hint="default"/>
        </w:rPr>
        <w:t>5.</w:t>
      </w:r>
      <w:r>
        <w:rPr/>
        <w:t>卡类产品 </w:t>
      </w:r>
      <w:r>
        <w:rPr>
          <w:rFonts w:ascii="Times New Roman" w:hAnsi="Times New Roman" w:cs="Times New Roman" w:eastAsia="Times New Roman" w:hint="default"/>
        </w:rPr>
        <w:t>IC</w:t>
      </w:r>
      <w:r>
        <w:rPr/>
        <w:t>卡作为信息存储的载体，也是信息安全业的重点关注领域及其产品应用市场。报告期内，卡类产品的营业收入为</w:t>
      </w:r>
    </w:p>
    <w:p>
      <w:pPr>
        <w:spacing w:line="300" w:lineRule="auto" w:before="13"/>
        <w:ind w:left="515" w:right="812" w:hanging="362"/>
        <w:jc w:val="left"/>
        <w:rPr>
          <w:rFonts w:ascii="宋体" w:hAnsi="宋体" w:cs="宋体" w:eastAsia="宋体" w:hint="default"/>
          <w:sz w:val="18"/>
          <w:szCs w:val="18"/>
        </w:rPr>
      </w:pPr>
      <w:r>
        <w:rPr>
          <w:rFonts w:ascii="Times New Roman" w:hAnsi="Times New Roman" w:cs="Times New Roman" w:eastAsia="Times New Roman" w:hint="default"/>
          <w:sz w:val="18"/>
          <w:szCs w:val="18"/>
        </w:rPr>
        <w:t>2,821.03</w:t>
      </w:r>
      <w:r>
        <w:rPr>
          <w:rFonts w:ascii="宋体" w:hAnsi="宋体" w:cs="宋体" w:eastAsia="宋体" w:hint="default"/>
          <w:sz w:val="18"/>
          <w:szCs w:val="18"/>
        </w:rPr>
        <w:t>万元，占公司营业收入总额的</w:t>
      </w:r>
      <w:r>
        <w:rPr>
          <w:rFonts w:ascii="Times New Roman" w:hAnsi="Times New Roman" w:cs="Times New Roman" w:eastAsia="Times New Roman" w:hint="default"/>
          <w:sz w:val="18"/>
          <w:szCs w:val="18"/>
        </w:rPr>
        <w:t>2.63%</w:t>
      </w:r>
      <w:r>
        <w:rPr>
          <w:rFonts w:ascii="宋体" w:hAnsi="宋体" w:cs="宋体" w:eastAsia="宋体" w:hint="default"/>
          <w:sz w:val="18"/>
          <w:szCs w:val="18"/>
        </w:rPr>
        <w:t>，同比增加</w:t>
      </w:r>
      <w:r>
        <w:rPr>
          <w:rFonts w:ascii="Times New Roman" w:hAnsi="Times New Roman" w:cs="Times New Roman" w:eastAsia="Times New Roman" w:hint="default"/>
          <w:sz w:val="18"/>
          <w:szCs w:val="18"/>
        </w:rPr>
        <w:t>9.94%</w:t>
      </w:r>
      <w:r>
        <w:rPr>
          <w:rFonts w:ascii="宋体" w:hAnsi="宋体" w:cs="宋体" w:eastAsia="宋体" w:hint="default"/>
          <w:sz w:val="18"/>
          <w:szCs w:val="18"/>
        </w:rPr>
        <w:t>。 </w:t>
      </w:r>
      <w:r>
        <w:rPr>
          <w:rFonts w:ascii="宋体" w:hAnsi="宋体" w:cs="宋体" w:eastAsia="宋体" w:hint="default"/>
          <w:b/>
          <w:bCs/>
          <w:w w:val="95"/>
          <w:sz w:val="18"/>
          <w:szCs w:val="18"/>
        </w:rPr>
        <w:t>二、客户所处行业相关的宏观经济形势、行业政策环境和信息化投资需求等外部因素的变化情况对公司当期及未来发</w:t>
      </w:r>
      <w:r>
        <w:rPr>
          <w:rFonts w:ascii="宋体" w:hAnsi="宋体" w:cs="宋体" w:eastAsia="宋体" w:hint="default"/>
          <w:sz w:val="18"/>
          <w:szCs w:val="18"/>
        </w:rPr>
      </w:r>
    </w:p>
    <w:p>
      <w:pPr>
        <w:pStyle w:val="Heading5"/>
        <w:spacing w:line="240" w:lineRule="auto" w:before="31"/>
        <w:ind w:left="154" w:right="812"/>
        <w:jc w:val="left"/>
        <w:rPr>
          <w:b w:val="0"/>
          <w:bCs w:val="0"/>
        </w:rPr>
      </w:pPr>
      <w:r>
        <w:rPr/>
        <w:t>展的影响</w:t>
      </w:r>
      <w:r>
        <w:rPr>
          <w:b w:val="0"/>
          <w:bCs w:val="0"/>
        </w:rPr>
      </w:r>
    </w:p>
    <w:p>
      <w:pPr>
        <w:pStyle w:val="BodyText"/>
        <w:spacing w:line="300" w:lineRule="auto" w:before="76"/>
        <w:ind w:right="1130" w:firstLine="360"/>
        <w:jc w:val="both"/>
      </w:pPr>
      <w:r>
        <w:rPr/>
        <w:t>公司的主要客户为银行，所处行业政策环境并未发生变化。根据中国人民银行于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日公布银发〔</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261 </w:t>
      </w:r>
      <w:r>
        <w:rPr>
          <w:spacing w:val="-2"/>
        </w:rPr>
        <w:t>号文件《关于加强支付结算管理防范电信网络新型违法犯罪有关事项的通知》（以下简称</w:t>
      </w:r>
      <w:r>
        <w:rPr>
          <w:rFonts w:ascii="Times New Roman" w:hAnsi="Times New Roman" w:cs="Times New Roman" w:eastAsia="Times New Roman" w:hint="default"/>
          <w:spacing w:val="-2"/>
        </w:rPr>
        <w:t>“</w:t>
      </w:r>
      <w:r>
        <w:rPr>
          <w:spacing w:val="-2"/>
        </w:rPr>
        <w:t>支付结算管理通知</w:t>
      </w:r>
      <w:r>
        <w:rPr>
          <w:rFonts w:ascii="Times New Roman" w:hAnsi="Times New Roman" w:cs="Times New Roman" w:eastAsia="Times New Roman" w:hint="default"/>
          <w:spacing w:val="-2"/>
        </w:rPr>
        <w:t>”</w:t>
      </w:r>
      <w:r>
        <w:rPr>
          <w:spacing w:val="-2"/>
        </w:rPr>
        <w:t>）。其中明确</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2"/>
        <w:jc w:val="left"/>
      </w:pPr>
      <w:r>
        <w:rPr/>
        <w:t>提出除向本人同行银行账户转账外，银行为个人办理非柜面转账业务，单日累计金额超过</w:t>
      </w:r>
      <w:r>
        <w:rPr>
          <w:rFonts w:ascii="Times New Roman" w:hAnsi="Times New Roman" w:cs="Times New Roman" w:eastAsia="Times New Roman" w:hint="default"/>
        </w:rPr>
        <w:t>5</w:t>
      </w:r>
      <w:r>
        <w:rPr/>
        <w:t>万元的，应当采用数字证书或电 子签名等安全可靠的支付指令验证方式。</w:t>
      </w:r>
    </w:p>
    <w:p>
      <w:pPr>
        <w:pStyle w:val="BodyText"/>
        <w:spacing w:line="316" w:lineRule="auto" w:before="31"/>
        <w:ind w:right="1130" w:firstLine="360"/>
        <w:jc w:val="both"/>
      </w:pPr>
      <w:r>
        <w:rPr>
          <w:spacing w:val="-2"/>
        </w:rPr>
        <w:t>虽然客户的行业政策环境并未发生变化，但经过多年的发展，银行对该类产品的需求已经饱和，售价也呈下降趋势，未</w:t>
      </w:r>
      <w:r>
        <w:rPr/>
        <w:t> 来可能对公司业绩产生不利影响。</w:t>
      </w:r>
    </w:p>
    <w:p>
      <w:pPr>
        <w:pStyle w:val="BodyText"/>
        <w:spacing w:line="307" w:lineRule="auto" w:before="19"/>
        <w:ind w:right="1130" w:firstLine="360"/>
        <w:jc w:val="both"/>
      </w:pPr>
      <w:r>
        <w:rPr>
          <w:spacing w:val="-2"/>
        </w:rPr>
        <w:t>但是银行对信息化安全的需求并未降低，中国人民银行《中国金融业信息技术</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发展规划》指出了有关金融业信</w:t>
      </w:r>
      <w:r>
        <w:rPr/>
        <w:t> </w:t>
      </w:r>
      <w:r>
        <w:rPr>
          <w:spacing w:val="-2"/>
        </w:rPr>
        <w:t>息安全方面的发展目标及重点任务。其中，在金融网络安全保障体系方面，金融网络安全管理机制要健全，新技术应用风险</w:t>
      </w:r>
      <w:r>
        <w:rPr>
          <w:spacing w:val="-66"/>
        </w:rPr>
        <w:t> </w:t>
      </w:r>
      <w:r>
        <w:rPr>
          <w:spacing w:val="-66"/>
        </w:rPr>
      </w:r>
      <w:r>
        <w:rPr>
          <w:spacing w:val="-2"/>
        </w:rPr>
        <w:t>防控能力不断加强，金融信息系统安全生产和网络安全防护能力不断提高，力争到</w:t>
      </w:r>
      <w:r>
        <w:rPr>
          <w:rFonts w:ascii="Times New Roman" w:hAnsi="Times New Roman" w:cs="Times New Roman" w:eastAsia="Times New Roman" w:hint="default"/>
          <w:spacing w:val="-2"/>
        </w:rPr>
        <w:t>2020</w:t>
      </w:r>
      <w:r>
        <w:rPr>
          <w:spacing w:val="-2"/>
        </w:rPr>
        <w:t>年实现安全可信产品在金融业信息系</w:t>
      </w:r>
      <w:r>
        <w:rPr>
          <w:spacing w:val="-60"/>
        </w:rPr>
        <w:t> </w:t>
      </w:r>
      <w:r>
        <w:rPr/>
        <w:t>统中的全面应用。因此，公司拟针对银行信息化安全的需求，进行其他产品的研发和市场开拓，以培育新的增长点。</w:t>
      </w:r>
    </w:p>
    <w:p>
      <w:pPr>
        <w:spacing w:line="240" w:lineRule="auto" w:before="4"/>
        <w:rPr>
          <w:rFonts w:ascii="宋体" w:hAnsi="宋体" w:cs="宋体" w:eastAsia="宋体" w:hint="default"/>
          <w:sz w:val="21"/>
          <w:szCs w:val="21"/>
        </w:rPr>
      </w:pPr>
    </w:p>
    <w:p>
      <w:pPr>
        <w:pStyle w:val="Heading2"/>
        <w:spacing w:line="240" w:lineRule="auto"/>
        <w:ind w:right="81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592.67%</w:t>
            </w:r>
            <w:r>
              <w:rPr>
                <w:rFonts w:ascii="宋体" w:hAnsi="宋体" w:cs="宋体" w:eastAsia="宋体" w:hint="default"/>
                <w:sz w:val="18"/>
                <w:szCs w:val="18"/>
              </w:rPr>
              <w:t>，主要系本期投资深圳市万通顺达科技股份有限公司及购买 深圳市瑞福达液晶显示技术股份有限公司的股权所致；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主要系本期自建生产设备增加所致；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较上年末增加</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41.05%</w:t>
            </w:r>
            <w:r>
              <w:rPr>
                <w:rFonts w:ascii="宋体" w:hAnsi="宋体" w:cs="宋体" w:eastAsia="宋体" w:hint="default"/>
                <w:sz w:val="18"/>
                <w:szCs w:val="18"/>
              </w:rPr>
              <w:t>，主要系本期末银行客户结算量增加所致。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spacing w:line="240" w:lineRule="auto" w:before="10"/>
        <w:rPr>
          <w:rFonts w:ascii="宋体" w:hAnsi="宋体" w:cs="宋体" w:eastAsia="宋体" w:hint="default"/>
          <w:sz w:val="17"/>
          <w:szCs w:val="17"/>
        </w:rPr>
      </w:pPr>
    </w:p>
    <w:p>
      <w:pPr>
        <w:pStyle w:val="BodyText"/>
        <w:spacing w:line="430" w:lineRule="atLeast"/>
        <w:ind w:left="514" w:right="812" w:hanging="360"/>
        <w:jc w:val="left"/>
      </w:pPr>
      <w:r>
        <w:rPr>
          <w:rFonts w:ascii="宋体" w:hAnsi="宋体" w:cs="宋体" w:eastAsia="宋体" w:hint="default"/>
          <w:b/>
          <w:bCs/>
        </w:rPr>
        <w:t>（一）行业优势</w:t>
      </w:r>
      <w:r>
        <w:rPr>
          <w:rFonts w:ascii="宋体" w:hAnsi="宋体" w:cs="宋体" w:eastAsia="宋体" w:hint="default"/>
          <w:b/>
          <w:bCs/>
          <w:w w:val="99"/>
        </w:rPr>
        <w:t> </w:t>
      </w:r>
      <w:r>
        <w:rPr>
          <w:spacing w:val="-2"/>
        </w:rPr>
        <w:t>飞天诚信作为保护数字身份安全和交易信息安全，验证管理数字身份和交易信息的企业，以为各行业客户提供嵌入式软</w:t>
      </w:r>
    </w:p>
    <w:p>
      <w:pPr>
        <w:pStyle w:val="BodyText"/>
        <w:spacing w:line="316" w:lineRule="auto" w:before="76"/>
        <w:ind w:right="1131"/>
        <w:jc w:val="both"/>
      </w:pPr>
      <w:r>
        <w:rPr>
          <w:spacing w:val="-2"/>
        </w:rPr>
        <w:t>件产品和服务为核心价值，在网络银行安全交易、支付卡及服务、移动支付安全、云认证、身份认证及软件保护等多个领域</w:t>
      </w:r>
      <w:r>
        <w:rPr>
          <w:spacing w:val="-66"/>
        </w:rPr>
        <w:t> </w:t>
      </w:r>
      <w:r>
        <w:rPr>
          <w:spacing w:val="-66"/>
        </w:rPr>
      </w:r>
      <w:r>
        <w:rPr>
          <w:spacing w:val="-2"/>
        </w:rPr>
        <w:t>提供完整的服务和解决方案。公司凭借过硬的技术和研发实力，不断推出技术先进、性能稳定的信息安全产品和服务，为全</w:t>
      </w:r>
      <w:r>
        <w:rPr>
          <w:spacing w:val="-66"/>
        </w:rPr>
        <w:t> </w:t>
      </w:r>
      <w:r>
        <w:rPr>
          <w:spacing w:val="-66"/>
        </w:rPr>
      </w:r>
      <w:r>
        <w:rPr/>
        <w:t>球用户提供值得信赖的信息安全产品和解决方案。</w:t>
      </w:r>
    </w:p>
    <w:p>
      <w:pPr>
        <w:pStyle w:val="Heading5"/>
        <w:spacing w:line="240" w:lineRule="auto" w:before="109"/>
        <w:ind w:left="154" w:right="0"/>
        <w:jc w:val="both"/>
        <w:rPr>
          <w:b w:val="0"/>
          <w:bCs w:val="0"/>
        </w:rPr>
      </w:pPr>
      <w:r>
        <w:rPr/>
        <w:t>（二）客户优势</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032" w:firstLine="360"/>
        <w:jc w:val="left"/>
      </w:pPr>
      <w:r>
        <w:rPr/>
        <w:t>公司银行客户覆盖较为广泛，为包括中国工商银行、中国建设银行、中国农业银行、中国银行、交通银行、招商银行、 </w:t>
      </w:r>
      <w:r>
        <w:rPr>
          <w:spacing w:val="-2"/>
        </w:rPr>
        <w:t>民生银行、上海浦东发展银行、中信银行、兴业银行、光大银行等多家银行的网上银行系统安全提供完善的解决方案和专业</w:t>
      </w:r>
      <w:r>
        <w:rPr>
          <w:spacing w:val="-66"/>
        </w:rPr>
        <w:t> </w:t>
      </w:r>
      <w:r>
        <w:rPr>
          <w:spacing w:val="-66"/>
        </w:rPr>
      </w:r>
      <w:r>
        <w:rPr/>
        <w:t>的技术服务，是国内银行客户数较多的智能网络身份认证产品提供商。</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14" w:right="812" w:hanging="360"/>
        <w:jc w:val="left"/>
      </w:pPr>
      <w:r>
        <w:rPr>
          <w:rFonts w:ascii="宋体" w:hAnsi="宋体" w:cs="宋体" w:eastAsia="宋体" w:hint="default"/>
          <w:b/>
          <w:bCs/>
        </w:rPr>
        <w:t>（三）员工优势</w:t>
      </w:r>
      <w:r>
        <w:rPr>
          <w:rFonts w:ascii="宋体" w:hAnsi="宋体" w:cs="宋体" w:eastAsia="宋体" w:hint="default"/>
          <w:b/>
          <w:bCs/>
          <w:w w:val="99"/>
        </w:rPr>
        <w:t> </w:t>
      </w:r>
      <w:r>
        <w:rPr/>
        <w:t>公司拥有员工</w:t>
      </w:r>
      <w:r>
        <w:rPr>
          <w:rFonts w:ascii="Times New Roman" w:hAnsi="Times New Roman" w:cs="Times New Roman" w:eastAsia="Times New Roman" w:hint="default"/>
        </w:rPr>
        <w:t>900</w:t>
      </w:r>
      <w:r>
        <w:rPr/>
        <w:t>余人，其中</w:t>
      </w:r>
      <w:r>
        <w:rPr>
          <w:rFonts w:ascii="Times New Roman" w:hAnsi="Times New Roman" w:cs="Times New Roman" w:eastAsia="Times New Roman" w:hint="default"/>
        </w:rPr>
        <w:t>40%</w:t>
      </w:r>
      <w:r>
        <w:rPr/>
        <w:t>左右人员为中高级软件开发工程师，公司目前拥有一支由国内外信息安全领域专家，</w:t>
      </w:r>
    </w:p>
    <w:p>
      <w:pPr>
        <w:pStyle w:val="BodyText"/>
        <w:spacing w:line="300" w:lineRule="auto"/>
        <w:ind w:right="812"/>
        <w:jc w:val="left"/>
      </w:pPr>
      <w:r>
        <w:rPr>
          <w:spacing w:val="-1"/>
        </w:rPr>
        <w:t>中青年核心骨干，海归、硕士，博士等组成的研发队伍，</w:t>
      </w:r>
      <w:r>
        <w:rPr>
          <w:rFonts w:ascii="Times New Roman" w:hAnsi="Times New Roman" w:cs="Times New Roman" w:eastAsia="Times New Roman" w:hint="default"/>
          <w:spacing w:val="-1"/>
        </w:rPr>
        <w:t>2018</w:t>
      </w:r>
      <w:r>
        <w:rPr>
          <w:spacing w:val="-1"/>
        </w:rPr>
        <w:t>年闫岩先生当选为</w:t>
      </w:r>
      <w:r>
        <w:rPr>
          <w:rFonts w:ascii="Times New Roman" w:hAnsi="Times New Roman" w:cs="Times New Roman" w:eastAsia="Times New Roman" w:hint="default"/>
          <w:spacing w:val="-1"/>
        </w:rPr>
        <w:t>FIDO</w:t>
      </w:r>
      <w:r>
        <w:rPr>
          <w:spacing w:val="-1"/>
        </w:rPr>
        <w:t>联盟中国工作组（</w:t>
      </w:r>
      <w:r>
        <w:rPr>
          <w:rFonts w:ascii="Times New Roman" w:hAnsi="Times New Roman" w:cs="Times New Roman" w:eastAsia="Times New Roman" w:hint="default"/>
          <w:spacing w:val="-1"/>
        </w:rPr>
        <w:t>FCWG</w:t>
      </w:r>
      <w:r>
        <w:rPr>
          <w:spacing w:val="-1"/>
        </w:rPr>
        <w:t>）联合主席，</w:t>
      </w:r>
      <w:r>
        <w:rPr>
          <w:spacing w:val="-66"/>
        </w:rPr>
        <w:t> </w:t>
      </w:r>
      <w:r>
        <w:rPr>
          <w:spacing w:val="-66"/>
        </w:rPr>
      </w:r>
      <w:r>
        <w:rPr>
          <w:spacing w:val="-4"/>
        </w:rPr>
        <w:t>公司技术专家朱鹏飞博士得以当选第二十三届北京市优秀青年工程师。高素质的员工团队，使得公司产品成为业内的佼佼者。</w:t>
      </w:r>
    </w:p>
    <w:p>
      <w:pPr>
        <w:pStyle w:val="BodyText"/>
        <w:spacing w:line="316" w:lineRule="auto" w:before="32"/>
        <w:ind w:left="514" w:right="812" w:hanging="360"/>
        <w:jc w:val="left"/>
      </w:pPr>
      <w:r>
        <w:rPr>
          <w:rFonts w:ascii="宋体" w:hAnsi="宋体" w:cs="宋体" w:eastAsia="宋体" w:hint="default"/>
          <w:b/>
          <w:bCs/>
        </w:rPr>
        <w:t>（四）技术优势</w:t>
      </w:r>
      <w:r>
        <w:rPr>
          <w:rFonts w:ascii="宋体" w:hAnsi="宋体" w:cs="宋体" w:eastAsia="宋体" w:hint="default"/>
          <w:b/>
          <w:bCs/>
          <w:w w:val="99"/>
        </w:rPr>
        <w:t> </w:t>
      </w:r>
      <w:r>
        <w:rPr>
          <w:spacing w:val="-2"/>
        </w:rPr>
        <w:t>知识产权是飞天诚信参与市场竞争的有力工具，公司先后被评为北京市专利试点先进单位、北京市专利示范单位、国家</w:t>
      </w:r>
    </w:p>
    <w:p>
      <w:pPr>
        <w:pStyle w:val="BodyText"/>
        <w:spacing w:line="300" w:lineRule="auto" w:before="19"/>
        <w:ind w:right="1122"/>
        <w:jc w:val="left"/>
      </w:pPr>
      <w:r>
        <w:rPr>
          <w:spacing w:val="-3"/>
        </w:rPr>
        <w:t>级知识产权优势企业、企业知识产权管理标准化单位。截至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日，飞天诚信已拥有计算机软件著作权登记证书</w:t>
      </w:r>
      <w:r>
        <w:rPr>
          <w:rFonts w:ascii="Times New Roman" w:hAnsi="Times New Roman" w:cs="Times New Roman" w:eastAsia="Times New Roman" w:hint="default"/>
          <w:spacing w:val="-3"/>
        </w:rPr>
        <w:t>183</w:t>
      </w:r>
      <w:r>
        <w:rPr>
          <w:rFonts w:ascii="Times New Roman" w:hAnsi="Times New Roman" w:cs="Times New Roman" w:eastAsia="Times New Roman" w:hint="default"/>
          <w:spacing w:val="-39"/>
        </w:rPr>
        <w:t> </w:t>
      </w:r>
      <w:r>
        <w:rPr/>
        <w:t>篇，获得授权专利</w:t>
      </w:r>
      <w:r>
        <w:rPr>
          <w:rFonts w:ascii="Times New Roman" w:hAnsi="Times New Roman" w:cs="Times New Roman" w:eastAsia="Times New Roman" w:hint="default"/>
        </w:rPr>
        <w:t>1284</w:t>
      </w:r>
      <w:r>
        <w:rPr/>
        <w:t>篇，其中发明专利</w:t>
      </w:r>
      <w:r>
        <w:rPr>
          <w:rFonts w:ascii="Times New Roman" w:hAnsi="Times New Roman" w:cs="Times New Roman" w:eastAsia="Times New Roman" w:hint="default"/>
        </w:rPr>
        <w:t>848</w:t>
      </w:r>
      <w:r>
        <w:rPr/>
        <w:t>篇（含</w:t>
      </w:r>
      <w:r>
        <w:rPr>
          <w:rFonts w:ascii="Times New Roman" w:hAnsi="Times New Roman" w:cs="Times New Roman" w:eastAsia="Times New Roman" w:hint="default"/>
        </w:rPr>
        <w:t>141</w:t>
      </w:r>
      <w:r>
        <w:rPr/>
        <w:t>篇国外专利）、实用新型专利</w:t>
      </w:r>
      <w:r>
        <w:rPr>
          <w:rFonts w:ascii="Times New Roman" w:hAnsi="Times New Roman" w:cs="Times New Roman" w:eastAsia="Times New Roman" w:hint="default"/>
        </w:rPr>
        <w:t>152</w:t>
      </w:r>
      <w:r>
        <w:rPr/>
        <w:t>篇、外观设计专利</w:t>
      </w:r>
      <w:r>
        <w:rPr>
          <w:rFonts w:ascii="Times New Roman" w:hAnsi="Times New Roman" w:cs="Times New Roman" w:eastAsia="Times New Roman" w:hint="default"/>
        </w:rPr>
        <w:t>284</w:t>
      </w:r>
      <w:r>
        <w:rPr/>
        <w:t>篇。</w:t>
      </w:r>
    </w:p>
    <w:p>
      <w:pPr>
        <w:pStyle w:val="BodyText"/>
        <w:spacing w:line="300" w:lineRule="auto" w:before="13"/>
        <w:ind w:right="1122" w:firstLine="360"/>
        <w:jc w:val="left"/>
      </w:pPr>
      <w:r>
        <w:rPr/>
        <w:t>报告期内，公司及下属子公司获得的国内专利</w:t>
      </w:r>
      <w:r>
        <w:rPr>
          <w:rFonts w:ascii="Times New Roman" w:hAnsi="Times New Roman" w:cs="Times New Roman" w:eastAsia="Times New Roman" w:hint="default"/>
        </w:rPr>
        <w:t>101</w:t>
      </w:r>
      <w:r>
        <w:rPr/>
        <w:t>件，其中发明专利</w:t>
      </w:r>
      <w:r>
        <w:rPr>
          <w:rFonts w:ascii="Times New Roman" w:hAnsi="Times New Roman" w:cs="Times New Roman" w:eastAsia="Times New Roman" w:hint="default"/>
        </w:rPr>
        <w:t>71</w:t>
      </w:r>
      <w:r>
        <w:rPr/>
        <w:t>件，实用新型</w:t>
      </w:r>
      <w:r>
        <w:rPr>
          <w:rFonts w:ascii="Times New Roman" w:hAnsi="Times New Roman" w:cs="Times New Roman" w:eastAsia="Times New Roman" w:hint="default"/>
        </w:rPr>
        <w:t>13</w:t>
      </w:r>
      <w:r>
        <w:rPr/>
        <w:t>件，外观设计</w:t>
      </w:r>
      <w:r>
        <w:rPr>
          <w:rFonts w:ascii="Times New Roman" w:hAnsi="Times New Roman" w:cs="Times New Roman" w:eastAsia="Times New Roman" w:hint="default"/>
        </w:rPr>
        <w:t>17</w:t>
      </w:r>
      <w:r>
        <w:rPr/>
        <w:t>件；国外发明专 利</w:t>
      </w:r>
      <w:r>
        <w:rPr>
          <w:rFonts w:ascii="Times New Roman" w:hAnsi="Times New Roman" w:cs="Times New Roman" w:eastAsia="Times New Roman" w:hint="default"/>
        </w:rPr>
        <w:t>17</w:t>
      </w:r>
      <w:r>
        <w:rPr/>
        <w:t>件。</w:t>
      </w:r>
    </w:p>
    <w:p>
      <w:pPr>
        <w:pStyle w:val="Heading5"/>
        <w:spacing w:line="240" w:lineRule="auto" w:before="13"/>
        <w:ind w:left="515" w:right="812"/>
        <w:jc w:val="left"/>
        <w:rPr>
          <w:b w:val="0"/>
          <w:bCs w:val="0"/>
        </w:rPr>
      </w:pPr>
      <w:r>
        <w:rPr>
          <w:rFonts w:ascii="Times New Roman" w:hAnsi="Times New Roman" w:cs="Times New Roman" w:eastAsia="Times New Roman" w:hint="default"/>
        </w:rPr>
        <w:t>1</w:t>
      </w:r>
      <w:r>
        <w:rPr/>
        <w:t>、国内专利情况</w:t>
      </w:r>
      <w:r>
        <w:rPr>
          <w:b w:val="0"/>
          <w:bCs w:val="0"/>
        </w:rPr>
      </w:r>
    </w:p>
    <w:p>
      <w:pPr>
        <w:pStyle w:val="Heading5"/>
        <w:spacing w:line="240" w:lineRule="auto" w:before="63"/>
        <w:ind w:left="515" w:right="812"/>
        <w:jc w:val="left"/>
        <w:rPr>
          <w:b w:val="0"/>
          <w:bCs w:val="0"/>
        </w:rPr>
      </w:pPr>
      <w:r>
        <w:rPr/>
        <w:t>（</w:t>
      </w:r>
      <w:r>
        <w:rPr>
          <w:rFonts w:ascii="Times New Roman" w:hAnsi="Times New Roman" w:cs="Times New Roman" w:eastAsia="Times New Roman" w:hint="default"/>
        </w:rPr>
        <w:t>1</w:t>
      </w:r>
      <w:r>
        <w:rPr/>
        <w:t>）发明专利</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651"/>
        <w:gridCol w:w="4296"/>
        <w:gridCol w:w="2222"/>
        <w:gridCol w:w="1246"/>
        <w:gridCol w:w="1244"/>
      </w:tblGrid>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一种根据密钥类型进行签名的实现方法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ZL201510247236.X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2015/5/15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一种实现数字签名和验签的方法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201510177842.9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2015/4/15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一种二维码安全认证方法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201510316336.3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2015/6/10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一种安全获取密钥的方法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201510089245.0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2015/2/27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一种动态令牌的有效期的控制方法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201410759319.2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2014/12/11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2018/1/12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一种包含双处理器的读卡器的工作方法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201510123078.7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2015/3/20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2018/2/23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一种基于地理位置信息的认证方法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201510307353.0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2015/6/5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一种获取来自输入设备的输入数据的方法及装置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201510363882.2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2015/6/26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2018/3/9</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一种安全分发种子的方法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201410802304.X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2014/12/19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一种处理异常的方法和装置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201510454712.5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2015/7/29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2018/3/9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一种支持多种认证协议的认证方法、认证服务器及系统</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201510088883.0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2015/2/27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65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36"/>
              <w:jc w:val="left"/>
              <w:rPr>
                <w:rFonts w:ascii="宋体" w:hAnsi="宋体" w:cs="宋体" w:eastAsia="宋体" w:hint="default"/>
                <w:sz w:val="18"/>
                <w:szCs w:val="18"/>
              </w:rPr>
            </w:pPr>
            <w:r>
              <w:rPr>
                <w:rFonts w:ascii="宋体" w:hAnsi="宋体" w:cs="宋体" w:eastAsia="宋体" w:hint="default"/>
                <w:sz w:val="18"/>
                <w:szCs w:val="18"/>
              </w:rPr>
              <w:t>一种可视金融</w:t>
            </w:r>
            <w:r>
              <w:rPr>
                <w:rFonts w:ascii="Times New Roman" w:hAnsi="Times New Roman" w:cs="Times New Roman" w:eastAsia="Times New Roman" w:hint="default"/>
                <w:sz w:val="18"/>
                <w:szCs w:val="18"/>
              </w:rPr>
              <w:t>IC</w:t>
            </w:r>
            <w:r>
              <w:rPr>
                <w:rFonts w:ascii="宋体" w:hAnsi="宋体" w:cs="宋体" w:eastAsia="宋体" w:hint="default"/>
                <w:sz w:val="18"/>
                <w:szCs w:val="18"/>
              </w:rPr>
              <w:t>卡及基于可视金融</w:t>
            </w:r>
            <w:r>
              <w:rPr>
                <w:rFonts w:ascii="Times New Roman" w:hAnsi="Times New Roman" w:cs="Times New Roman" w:eastAsia="Times New Roman" w:hint="default"/>
                <w:sz w:val="18"/>
                <w:szCs w:val="18"/>
              </w:rPr>
              <w:t>IC</w:t>
            </w:r>
            <w:r>
              <w:rPr>
                <w:rFonts w:ascii="宋体" w:hAnsi="宋体" w:cs="宋体" w:eastAsia="宋体" w:hint="default"/>
                <w:sz w:val="18"/>
                <w:szCs w:val="18"/>
              </w:rPr>
              <w:t>卡的脱机交易方 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201710290999.1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2017/4/28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一种提高输入安全性的方法和装置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201510685462.6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2015/10/20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2018/3/30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一种实现模拟键盘输入的方法及装置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201610080645.X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2016/2/5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一种支持高速数据通讯的读卡器及其工作方法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201610077395.4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2016/2/3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一种快速签名方法及签名设备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201510462903.6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2015/7/31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2018/3/30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一种基于网页的自动化测试方法及装置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201510829175.8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2015/11/25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一种读取智能卡中的记录的方法和装置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201510446378.9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2015/7/27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一种在线激活移动终端令牌的设备和系统的工作方法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201410837958.6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2014/12/29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2018/4/27</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卡在场检测装置及方法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201510088848.9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2015/2/27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2018/4/27</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系统下蓝牙自动回连的方法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201510363981.0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2015/6/26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2018/4/27</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PIN</w:t>
            </w:r>
            <w:r>
              <w:rPr>
                <w:rFonts w:ascii="宋体" w:hAnsi="宋体" w:cs="宋体" w:eastAsia="宋体" w:hint="default"/>
                <w:sz w:val="18"/>
                <w:szCs w:val="18"/>
              </w:rPr>
              <w:t>码缓存方法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201510309703.7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5" w:right="0"/>
              <w:jc w:val="left"/>
              <w:rPr>
                <w:rFonts w:ascii="Times New Roman" w:hAnsi="Times New Roman" w:cs="Times New Roman" w:eastAsia="Times New Roman" w:hint="default"/>
                <w:sz w:val="18"/>
                <w:szCs w:val="18"/>
              </w:rPr>
            </w:pPr>
            <w:r>
              <w:rPr>
                <w:rFonts w:ascii="Times New Roman"/>
                <w:sz w:val="18"/>
              </w:rPr>
              <w:t>2015/6/8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2018/4/27</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一种实现推送的方法及装置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201510599096.2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2015/9/18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2018/6/29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一种蓝牙设备及其工作方法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201610471163.7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2016/6/24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2018/6/29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一种安全的金融终端的固件烧写方法及金融终端</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201510500802.3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2015/8/14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2018/6/29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一种实现网络防钓鱼的方法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201410446939.0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2014/9/3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2018/4/27</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一种提高签名安全性的方法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201510345822.8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2015/6/19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2018/4/27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7" w:type="dxa"/>
        <w:tblLayout w:type="fixed"/>
        <w:tblCellMar>
          <w:top w:w="0" w:type="dxa"/>
          <w:left w:w="0" w:type="dxa"/>
          <w:bottom w:w="0" w:type="dxa"/>
          <w:right w:w="0" w:type="dxa"/>
        </w:tblCellMar>
        <w:tblLook w:val="01E0"/>
      </w:tblPr>
      <w:tblGrid>
        <w:gridCol w:w="651"/>
        <w:gridCol w:w="4296"/>
        <w:gridCol w:w="2222"/>
        <w:gridCol w:w="1246"/>
        <w:gridCol w:w="1244"/>
      </w:tblGrid>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一种蓝牙智能卡及其控制交易风险的方法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201710039560.1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2017/1/19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2018/5/4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一种监控报警的方法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201510118078.8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2015/3/18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2018/5/11</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一种安全下发交易报文的方法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201510246676.3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2015/5/14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2018/5/11</w:t>
            </w:r>
          </w:p>
        </w:tc>
      </w:tr>
      <w:tr>
        <w:trPr>
          <w:trHeight w:val="660"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36"/>
              <w:jc w:val="left"/>
              <w:rPr>
                <w:rFonts w:ascii="宋体" w:hAnsi="宋体" w:cs="宋体" w:eastAsia="宋体" w:hint="default"/>
                <w:sz w:val="18"/>
                <w:szCs w:val="18"/>
              </w:rPr>
            </w:pPr>
            <w:r>
              <w:rPr>
                <w:rFonts w:ascii="宋体" w:hAnsi="宋体" w:cs="宋体" w:eastAsia="宋体" w:hint="default"/>
                <w:sz w:val="18"/>
                <w:szCs w:val="18"/>
              </w:rPr>
              <w:t>一种实现蓝牙安全设备低功耗待机的方法及蓝牙安全 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201710114547.8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2017/2/28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2018/6/1</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一种低功耗建立蓝牙连接的方法及蓝牙安全设备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201710113984.8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2017/2/28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2018/6/1</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一种与智能密钥设备通讯的方法及装置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201610032912.6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2016/1/19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一种智能密钥设备防范远程挟持的实现方法及装置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201510387880.7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2015/7/3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2018/6/1</w:t>
            </w:r>
          </w:p>
        </w:tc>
      </w:tr>
      <w:tr>
        <w:trPr>
          <w:trHeight w:val="65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6"/>
              <w:jc w:val="left"/>
              <w:rPr>
                <w:rFonts w:ascii="宋体" w:hAnsi="宋体" w:cs="宋体" w:eastAsia="宋体" w:hint="default"/>
                <w:sz w:val="18"/>
                <w:szCs w:val="18"/>
              </w:rPr>
            </w:pPr>
            <w:r>
              <w:rPr>
                <w:rFonts w:ascii="宋体" w:hAnsi="宋体" w:cs="宋体" w:eastAsia="宋体" w:hint="default"/>
                <w:sz w:val="18"/>
                <w:szCs w:val="18"/>
              </w:rPr>
              <w:t>主动与苹果设备连接并进行通信的方法和苹果设备附 件</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201510124370.0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2015/3/20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2018/6/1</w:t>
            </w:r>
          </w:p>
        </w:tc>
      </w:tr>
      <w:tr>
        <w:trPr>
          <w:trHeight w:val="659"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36"/>
              <w:jc w:val="left"/>
              <w:rPr>
                <w:rFonts w:ascii="宋体" w:hAnsi="宋体" w:cs="宋体" w:eastAsia="宋体" w:hint="default"/>
                <w:sz w:val="18"/>
                <w:szCs w:val="18"/>
              </w:rPr>
            </w:pPr>
            <w:r>
              <w:rPr>
                <w:rFonts w:ascii="宋体" w:hAnsi="宋体" w:cs="宋体" w:eastAsia="宋体" w:hint="default"/>
                <w:sz w:val="18"/>
                <w:szCs w:val="18"/>
              </w:rPr>
              <w:t>一种基于蓝牙可视卡的主账户余额查询方法及蓝牙可 视卡</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201611040897.6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2016/11/11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2018/6/26</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一种智能密钥设备的工作方法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201510332534.9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2015/6/16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2018/7/17</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一种智能卡及其制造方法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201510456793.2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2015/7/29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2018/7/24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一种智能卡及其制造方法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201510456947.8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2015/7/29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一种基于小容量处理器实现多应用的方法及设备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201511000181.9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一种语音认证系统和设备的工作方法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201510077143.7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2015/2/13</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2018/8/28</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一种自动打开扩展通道的方法及装置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201510744916.2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2018/8/28</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一种智能卡及其制造方法和制造工具</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201510455739.6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2015/7/29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2018/8/28</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一种安全装置及其工作方法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201510504813.9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2015/8/17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2018/8/28</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一种建立蓝牙连接的方法及蓝牙智能密钥设备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201510789083.1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2015/11/17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2018/8/28</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一种金融终端、安全处理器及安全处理器的工作方法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201610453728.9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2016/6/21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一种非接触式卡片及其工作方法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201610692742.4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2016/8/19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蓝牙适配器及其通信方法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201510628156.9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2015/9/28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设备的异步调用方法和装置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201610037716.8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2016/1/20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一种安全导入、签发证书的方法、设备及服务器</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201510454779.9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2015/7/29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一种蓝牙主从设备及两者建立安全通道的方法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201510909212.6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2015/12/10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一种快速识别通讯参数配置的方法、系统及装置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201510846932.2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2018/10/12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一种自动更新快捷窗口的方法及装置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201510824224.9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2015/11/24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2018/10/12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一种恢复不完整交易的方法和装置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201510445713.3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2015/7/27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2018/10/12</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一种重力感应智能密钥装置的工作方法及装置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201510828962.0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2015/11/25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2018/10/12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一种读卡器及其对卡片上电的方法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201610621042.6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2016/8/1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2018/10/12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一种可视卡及其工作方法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201710277450.9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2017/4/25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一种蓝牙智能卡及其控制交易风险的方法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201711454809.1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RSA-CRT</w:t>
            </w:r>
            <w:r>
              <w:rPr>
                <w:rFonts w:ascii="宋体" w:hAnsi="宋体" w:cs="宋体" w:eastAsia="宋体" w:hint="default"/>
                <w:sz w:val="18"/>
                <w:szCs w:val="18"/>
              </w:rPr>
              <w:t>签名方法及装置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201610007272.3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一种蓝牙适配器及其工作方法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201610864548.X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2016/9/29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2018/11/20</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一种蓝牙防重发的实现方法及装</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201510962272.4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2015/12/21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安全输入方法及过滤驱动</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201610324497.1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2016/5/17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2018/11/20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资源授权方法及系统和授权服务器及工作方法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201610585856.9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2016/7/22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2018/11/23</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一种检测移动终端与非接智能卡连接异常的方法及装</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201610644622.7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2016/8/8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7" w:type="dxa"/>
        <w:tblLayout w:type="fixed"/>
        <w:tblCellMar>
          <w:top w:w="0" w:type="dxa"/>
          <w:left w:w="0" w:type="dxa"/>
          <w:bottom w:w="0" w:type="dxa"/>
          <w:right w:w="0" w:type="dxa"/>
        </w:tblCellMar>
        <w:tblLook w:val="01E0"/>
      </w:tblPr>
      <w:tblGrid>
        <w:gridCol w:w="651"/>
        <w:gridCol w:w="4296"/>
        <w:gridCol w:w="2222"/>
        <w:gridCol w:w="1246"/>
        <w:gridCol w:w="1244"/>
      </w:tblGrid>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2222"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24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一种智能卡及其制造方法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201510317641.4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0" w:right="0"/>
              <w:jc w:val="left"/>
              <w:rPr>
                <w:rFonts w:ascii="Times New Roman" w:hAnsi="Times New Roman" w:cs="Times New Roman" w:eastAsia="Times New Roman" w:hint="default"/>
                <w:sz w:val="18"/>
                <w:szCs w:val="18"/>
              </w:rPr>
            </w:pPr>
            <w:r>
              <w:rPr>
                <w:rFonts w:ascii="Times New Roman"/>
                <w:sz w:val="18"/>
              </w:rPr>
              <w:t>2015/6/11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一种自动向应用程序加载</w:t>
            </w:r>
            <w:r>
              <w:rPr>
                <w:rFonts w:ascii="Times New Roman" w:hAnsi="Times New Roman" w:cs="Times New Roman" w:eastAsia="Times New Roman" w:hint="default"/>
                <w:sz w:val="18"/>
                <w:szCs w:val="18"/>
              </w:rPr>
              <w:t>PKCS#11</w:t>
            </w:r>
            <w:r>
              <w:rPr>
                <w:rFonts w:ascii="宋体" w:hAnsi="宋体" w:cs="宋体" w:eastAsia="宋体" w:hint="default"/>
                <w:sz w:val="18"/>
                <w:szCs w:val="18"/>
              </w:rPr>
              <w:t>模块的方法及装置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201510993663.2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5" w:right="0"/>
              <w:jc w:val="left"/>
              <w:rPr>
                <w:rFonts w:ascii="Times New Roman" w:hAnsi="Times New Roman" w:cs="Times New Roman" w:eastAsia="Times New Roman" w:hint="default"/>
                <w:sz w:val="18"/>
                <w:szCs w:val="18"/>
              </w:rPr>
            </w:pPr>
            <w:r>
              <w:rPr>
                <w:rFonts w:ascii="Times New Roman"/>
                <w:sz w:val="18"/>
              </w:rPr>
              <w:t>2015/12/25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2018/11/23</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Mac</w:t>
            </w:r>
            <w:r>
              <w:rPr>
                <w:rFonts w:ascii="宋体" w:hAnsi="宋体" w:cs="宋体" w:eastAsia="宋体" w:hint="default"/>
                <w:sz w:val="18"/>
                <w:szCs w:val="18"/>
              </w:rPr>
              <w:t>系统中与</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设备通讯的方法及装置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201610779825.7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0" w:right="0"/>
              <w:jc w:val="left"/>
              <w:rPr>
                <w:rFonts w:ascii="Times New Roman" w:hAnsi="Times New Roman" w:cs="Times New Roman" w:eastAsia="Times New Roman" w:hint="default"/>
                <w:sz w:val="18"/>
                <w:szCs w:val="18"/>
              </w:rPr>
            </w:pPr>
            <w:r>
              <w:rPr>
                <w:rFonts w:ascii="Times New Roman"/>
                <w:sz w:val="18"/>
              </w:rPr>
              <w:t>2016/8/30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一种基于卡片的动态口令生成方法及设备</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201410840454.X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5" w:right="0"/>
              <w:jc w:val="left"/>
              <w:rPr>
                <w:rFonts w:ascii="Times New Roman" w:hAnsi="Times New Roman" w:cs="Times New Roman" w:eastAsia="Times New Roman" w:hint="default"/>
                <w:sz w:val="18"/>
                <w:szCs w:val="18"/>
              </w:rPr>
            </w:pPr>
            <w:r>
              <w:rPr>
                <w:rFonts w:ascii="Times New Roman"/>
                <w:sz w:val="18"/>
              </w:rPr>
              <w:t>2014/12/30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2018/11/30</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一种蓝牙适配器及其工作方法</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201710498707.3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0" w:right="0"/>
              <w:jc w:val="left"/>
              <w:rPr>
                <w:rFonts w:ascii="Times New Roman" w:hAnsi="Times New Roman" w:cs="Times New Roman" w:eastAsia="Times New Roman" w:hint="default"/>
                <w:sz w:val="18"/>
                <w:szCs w:val="18"/>
              </w:rPr>
            </w:pPr>
            <w:r>
              <w:rPr>
                <w:rFonts w:ascii="Times New Roman"/>
                <w:sz w:val="18"/>
              </w:rPr>
              <w:t>2017/6/27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2018/12/11</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安全优盘及其识别方法和装置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201110391911.8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5" w:right="0"/>
              <w:jc w:val="left"/>
              <w:rPr>
                <w:rFonts w:ascii="Times New Roman" w:hAnsi="Times New Roman" w:cs="Times New Roman" w:eastAsia="Times New Roman" w:hint="default"/>
                <w:sz w:val="18"/>
                <w:szCs w:val="18"/>
              </w:rPr>
            </w:pPr>
            <w:r>
              <w:rPr>
                <w:rFonts w:ascii="Times New Roman"/>
                <w:sz w:val="18"/>
              </w:rPr>
              <w:t>2011/11/30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2018/03/09</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获取椭圆曲线密码数据的方法和装置</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201410514801.X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5" w:right="0"/>
              <w:jc w:val="left"/>
              <w:rPr>
                <w:rFonts w:ascii="Times New Roman" w:hAnsi="Times New Roman" w:cs="Times New Roman" w:eastAsia="Times New Roman" w:hint="default"/>
                <w:sz w:val="18"/>
                <w:szCs w:val="18"/>
              </w:rPr>
            </w:pPr>
            <w:r>
              <w:rPr>
                <w:rFonts w:ascii="Times New Roman"/>
                <w:sz w:val="18"/>
              </w:rPr>
              <w:t>2014/09/29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2018/03/09</w:t>
            </w:r>
          </w:p>
        </w:tc>
      </w:tr>
    </w:tbl>
    <w:p>
      <w:pPr>
        <w:spacing w:line="240" w:lineRule="auto" w:before="2"/>
        <w:rPr>
          <w:rFonts w:ascii="Times New Roman" w:hAnsi="Times New Roman" w:cs="Times New Roman" w:eastAsia="Times New Roman" w:hint="default"/>
          <w:sz w:val="24"/>
          <w:szCs w:val="24"/>
        </w:rPr>
      </w:pPr>
    </w:p>
    <w:p>
      <w:pPr>
        <w:pStyle w:val="Heading5"/>
        <w:spacing w:line="240" w:lineRule="auto" w:before="44"/>
        <w:ind w:left="604" w:right="812"/>
        <w:jc w:val="left"/>
        <w:rPr>
          <w:b w:val="0"/>
          <w:bCs w:val="0"/>
        </w:rPr>
      </w:pPr>
      <w:r>
        <w:rPr/>
        <w:t>（</w:t>
      </w:r>
      <w:r>
        <w:rPr>
          <w:rFonts w:ascii="Times New Roman" w:hAnsi="Times New Roman" w:cs="Times New Roman" w:eastAsia="Times New Roman" w:hint="default"/>
        </w:rPr>
        <w:t>2</w:t>
      </w:r>
      <w:r>
        <w:rPr/>
        <w:t>）实用新型</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653"/>
        <w:gridCol w:w="4296"/>
        <w:gridCol w:w="2219"/>
        <w:gridCol w:w="1246"/>
        <w:gridCol w:w="1244"/>
      </w:tblGrid>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b/>
                <w:bCs/>
                <w:w w:val="95"/>
                <w:sz w:val="18"/>
                <w:szCs w:val="18"/>
              </w:rPr>
              <w:t>授权公告日</w:t>
            </w:r>
            <w:r>
              <w:rPr>
                <w:rFonts w:ascii="宋体" w:hAnsi="宋体" w:cs="宋体" w:eastAsia="宋体" w:hint="default"/>
                <w:sz w:val="18"/>
                <w:szCs w:val="18"/>
              </w:rPr>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一种物理按键</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201720796494.8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2017/7/4</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2018/3/9</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一种有源非接智能卡及与其进行非接通信的读卡器</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201721029945.1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2017/8/16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2018/3/9</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一种智能穿戴设备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201720456878.5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2017/4/27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2018/3/9</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一种带有</w:t>
            </w:r>
            <w:r>
              <w:rPr>
                <w:rFonts w:ascii="Times New Roman" w:hAnsi="Times New Roman" w:cs="Times New Roman" w:eastAsia="Times New Roman" w:hint="default"/>
                <w:sz w:val="18"/>
                <w:szCs w:val="18"/>
              </w:rPr>
              <w:t>USB</w:t>
            </w:r>
            <w:r>
              <w:rPr>
                <w:rFonts w:ascii="宋体" w:hAnsi="宋体" w:cs="宋体" w:eastAsia="宋体" w:hint="default"/>
                <w:sz w:val="18"/>
                <w:szCs w:val="18"/>
              </w:rPr>
              <w:t>接口的电子设备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201721293031.6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2017/10/16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2018/4/20</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一种蓝牙卡设备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201721303993.5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3"/>
              <w:jc w:val="right"/>
              <w:rPr>
                <w:rFonts w:ascii="Times New Roman" w:hAnsi="Times New Roman" w:cs="Times New Roman" w:eastAsia="Times New Roman" w:hint="default"/>
                <w:sz w:val="18"/>
                <w:szCs w:val="18"/>
              </w:rPr>
            </w:pPr>
            <w:r>
              <w:rPr>
                <w:rFonts w:ascii="Times New Roman"/>
                <w:sz w:val="18"/>
              </w:rPr>
              <w:t>2017/10/16</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6"/>
              <w:jc w:val="right"/>
              <w:rPr>
                <w:rFonts w:ascii="Times New Roman" w:hAnsi="Times New Roman" w:cs="Times New Roman" w:eastAsia="Times New Roman" w:hint="default"/>
                <w:sz w:val="18"/>
                <w:szCs w:val="18"/>
              </w:rPr>
            </w:pPr>
            <w:r>
              <w:rPr>
                <w:rFonts w:ascii="Times New Roman"/>
                <w:sz w:val="18"/>
              </w:rPr>
              <w:t>2018/4/20</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一种指纹传感器</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201720372330.2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2017/4/11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2018/5/25</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一种智能卡装订检测装置</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201721523129.6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3"/>
              <w:jc w:val="right"/>
              <w:rPr>
                <w:rFonts w:ascii="Times New Roman" w:hAnsi="Times New Roman" w:cs="Times New Roman" w:eastAsia="Times New Roman" w:hint="default"/>
                <w:sz w:val="18"/>
                <w:szCs w:val="18"/>
              </w:rPr>
            </w:pPr>
            <w:r>
              <w:rPr>
                <w:rFonts w:ascii="Times New Roman"/>
                <w:sz w:val="18"/>
              </w:rPr>
              <w:t>2017/11/15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2018/5/29</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USBType-C</w:t>
            </w:r>
            <w:r>
              <w:rPr>
                <w:rFonts w:ascii="宋体" w:hAnsi="宋体" w:cs="宋体" w:eastAsia="宋体" w:hint="default"/>
                <w:sz w:val="18"/>
                <w:szCs w:val="18"/>
              </w:rPr>
              <w:t>插口及电子设备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201820211975.2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2018/2/7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2018/9/14</w:t>
            </w:r>
          </w:p>
        </w:tc>
      </w:tr>
      <w:tr>
        <w:trPr>
          <w:trHeight w:val="659"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7"/>
              <w:jc w:val="left"/>
              <w:rPr>
                <w:rFonts w:ascii="宋体" w:hAnsi="宋体" w:cs="宋体" w:eastAsia="宋体" w:hint="default"/>
                <w:sz w:val="18"/>
                <w:szCs w:val="18"/>
              </w:rPr>
            </w:pPr>
            <w:r>
              <w:rPr>
                <w:rFonts w:ascii="宋体" w:hAnsi="宋体" w:cs="宋体" w:eastAsia="宋体" w:hint="default"/>
                <w:spacing w:val="5"/>
                <w:sz w:val="18"/>
                <w:szCs w:val="18"/>
              </w:rPr>
              <w:t>一种电源切换电路和具有电源切换电路的智能密钥设</w:t>
            </w:r>
            <w:r>
              <w:rPr>
                <w:rFonts w:ascii="宋体" w:hAnsi="宋体" w:cs="宋体" w:eastAsia="宋体" w:hint="default"/>
                <w:sz w:val="18"/>
                <w:szCs w:val="18"/>
              </w:rPr>
              <w:t> 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201820224966.7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2018/9/14</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一种带</w:t>
            </w:r>
            <w:r>
              <w:rPr>
                <w:rFonts w:ascii="Times New Roman" w:hAnsi="Times New Roman" w:cs="Times New Roman" w:eastAsia="Times New Roman" w:hint="default"/>
                <w:sz w:val="18"/>
                <w:szCs w:val="18"/>
              </w:rPr>
              <w:t>USBType-A</w:t>
            </w:r>
            <w:r>
              <w:rPr>
                <w:rFonts w:ascii="宋体" w:hAnsi="宋体" w:cs="宋体" w:eastAsia="宋体" w:hint="default"/>
                <w:sz w:val="18"/>
                <w:szCs w:val="18"/>
              </w:rPr>
              <w:t>插头的电子设备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201820228075.9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5" w:right="0"/>
              <w:jc w:val="left"/>
              <w:rPr>
                <w:rFonts w:ascii="Times New Roman" w:hAnsi="Times New Roman" w:cs="Times New Roman" w:eastAsia="Times New Roman" w:hint="default"/>
                <w:sz w:val="18"/>
                <w:szCs w:val="18"/>
              </w:rPr>
            </w:pPr>
            <w:r>
              <w:rPr>
                <w:rFonts w:ascii="Times New Roman"/>
                <w:sz w:val="18"/>
              </w:rPr>
              <w:t>2018/2/9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6"/>
              <w:jc w:val="right"/>
              <w:rPr>
                <w:rFonts w:ascii="Times New Roman" w:hAnsi="Times New Roman" w:cs="Times New Roman" w:eastAsia="Times New Roman" w:hint="default"/>
                <w:sz w:val="18"/>
                <w:szCs w:val="18"/>
              </w:rPr>
            </w:pPr>
            <w:r>
              <w:rPr>
                <w:rFonts w:ascii="Times New Roman"/>
                <w:sz w:val="18"/>
              </w:rPr>
              <w:t>2018/9/14</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一种基于电流检测的非接读卡器</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201820708668.5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47"/>
              <w:jc w:val="right"/>
              <w:rPr>
                <w:rFonts w:ascii="Times New Roman" w:hAnsi="Times New Roman" w:cs="Times New Roman" w:eastAsia="Times New Roman" w:hint="default"/>
                <w:sz w:val="18"/>
                <w:szCs w:val="18"/>
              </w:rPr>
            </w:pPr>
            <w:r>
              <w:rPr>
                <w:rFonts w:ascii="Times New Roman"/>
                <w:sz w:val="18"/>
              </w:rPr>
              <w:t>2018/5/11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2"/>
              <w:jc w:val="right"/>
              <w:rPr>
                <w:rFonts w:ascii="Times New Roman" w:hAnsi="Times New Roman" w:cs="Times New Roman" w:eastAsia="Times New Roman" w:hint="default"/>
                <w:sz w:val="18"/>
                <w:szCs w:val="18"/>
              </w:rPr>
            </w:pPr>
            <w:r>
              <w:rPr>
                <w:rFonts w:ascii="Times New Roman"/>
                <w:sz w:val="18"/>
              </w:rPr>
              <w:t>2018/11/16</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2"/>
                <w:sz w:val="18"/>
              </w:rPr>
              <w:t> </w:t>
            </w:r>
            <w:r>
              <w:rPr>
                <w:rFonts w:ascii="Times New Roman"/>
                <w:sz w:val="18"/>
              </w:rPr>
              <w:t>201820706622.X</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2018/5/11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2"/>
              <w:jc w:val="right"/>
              <w:rPr>
                <w:rFonts w:ascii="Times New Roman" w:hAnsi="Times New Roman" w:cs="Times New Roman" w:eastAsia="Times New Roman" w:hint="default"/>
                <w:sz w:val="18"/>
                <w:szCs w:val="18"/>
              </w:rPr>
            </w:pPr>
            <w:r>
              <w:rPr>
                <w:rFonts w:ascii="Times New Roman"/>
                <w:sz w:val="18"/>
              </w:rPr>
              <w:t>2018/11/16</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一种蓝牙指纹卡设备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201820904815.6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47"/>
              <w:jc w:val="right"/>
              <w:rPr>
                <w:rFonts w:ascii="Times New Roman" w:hAnsi="Times New Roman" w:cs="Times New Roman" w:eastAsia="Times New Roman" w:hint="default"/>
                <w:sz w:val="18"/>
                <w:szCs w:val="18"/>
              </w:rPr>
            </w:pPr>
            <w:r>
              <w:rPr>
                <w:rFonts w:ascii="Times New Roman"/>
                <w:sz w:val="18"/>
              </w:rPr>
              <w:t>2018/6/12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2"/>
              <w:jc w:val="right"/>
              <w:rPr>
                <w:rFonts w:ascii="Times New Roman" w:hAnsi="Times New Roman" w:cs="Times New Roman" w:eastAsia="Times New Roman" w:hint="default"/>
                <w:sz w:val="18"/>
                <w:szCs w:val="18"/>
              </w:rPr>
            </w:pPr>
            <w:r>
              <w:rPr>
                <w:rFonts w:ascii="Times New Roman"/>
                <w:sz w:val="18"/>
              </w:rPr>
              <w:t>2018/12/14</w:t>
            </w:r>
          </w:p>
        </w:tc>
      </w:tr>
    </w:tbl>
    <w:p>
      <w:pPr>
        <w:spacing w:line="240" w:lineRule="auto" w:before="3"/>
        <w:rPr>
          <w:rFonts w:ascii="宋体" w:hAnsi="宋体" w:cs="宋体" w:eastAsia="宋体" w:hint="default"/>
          <w:b/>
          <w:bCs/>
          <w:sz w:val="21"/>
          <w:szCs w:val="21"/>
        </w:rPr>
      </w:pPr>
    </w:p>
    <w:p>
      <w:pPr>
        <w:pStyle w:val="Heading5"/>
        <w:spacing w:line="240" w:lineRule="auto" w:before="44"/>
        <w:ind w:left="874" w:right="812"/>
        <w:jc w:val="left"/>
        <w:rPr>
          <w:b w:val="0"/>
          <w:bCs w:val="0"/>
        </w:rPr>
      </w:pPr>
      <w:r>
        <w:rPr/>
        <w:t>（</w:t>
      </w:r>
      <w:r>
        <w:rPr>
          <w:rFonts w:ascii="Times New Roman" w:hAnsi="Times New Roman" w:cs="Times New Roman" w:eastAsia="Times New Roman" w:hint="default"/>
        </w:rPr>
        <w:t>3</w:t>
      </w:r>
      <w:r>
        <w:rPr/>
        <w:t>）外观设计</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653"/>
        <w:gridCol w:w="4296"/>
        <w:gridCol w:w="2219"/>
        <w:gridCol w:w="1246"/>
        <w:gridCol w:w="1244"/>
      </w:tblGrid>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授权公告日</w:t>
            </w:r>
            <w:r>
              <w:rPr>
                <w:rFonts w:ascii="宋体" w:hAnsi="宋体" w:cs="宋体" w:eastAsia="宋体" w:hint="default"/>
                <w:sz w:val="18"/>
                <w:szCs w:val="18"/>
              </w:rPr>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可视</w:t>
            </w:r>
            <w:r>
              <w:rPr>
                <w:rFonts w:ascii="Times New Roman" w:hAnsi="Times New Roman" w:cs="Times New Roman" w:eastAsia="Times New Roman" w:hint="default"/>
                <w:sz w:val="18"/>
                <w:szCs w:val="18"/>
              </w:rPr>
              <w:t>ID</w:t>
            </w:r>
            <w:r>
              <w:rPr>
                <w:rFonts w:ascii="宋体" w:hAnsi="宋体" w:cs="宋体" w:eastAsia="宋体" w:hint="default"/>
                <w:sz w:val="18"/>
                <w:szCs w:val="18"/>
              </w:rPr>
              <w:t>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201730151565.4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2017/4/28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可视</w:t>
            </w:r>
            <w:r>
              <w:rPr>
                <w:rFonts w:ascii="Times New Roman" w:hAnsi="Times New Roman" w:cs="Times New Roman" w:eastAsia="Times New Roman" w:hint="default"/>
                <w:sz w:val="18"/>
                <w:szCs w:val="18"/>
              </w:rPr>
              <w:t>ID</w:t>
            </w:r>
            <w:r>
              <w:rPr>
                <w:rFonts w:ascii="宋体" w:hAnsi="宋体" w:cs="宋体" w:eastAsia="宋体" w:hint="default"/>
                <w:sz w:val="18"/>
                <w:szCs w:val="18"/>
              </w:rPr>
              <w:t>芯片卡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201730151570.5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2017/4/28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2018/1/5</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X16</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201730373553.6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2017/8/15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2018/1/9</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C54</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201730428261.8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2017/9/11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2018/3/30</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F80</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201730523725.3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2017/10/30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2018/5/11</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H87</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201730507850.5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2017/10/20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2018/5/11</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K27</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201830004256.9</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2018/1/5</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2018/7/27</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K24</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201730653544.2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2018/7/27</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K29</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201830014094.7</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2018/7/27</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H89</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201730653549.5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2018/7/27</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K10S</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201830014639.4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2018/1/12</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2018/8/17</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X18</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201830062326.6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2018/9/28</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653"/>
        <w:gridCol w:w="4296"/>
        <w:gridCol w:w="2219"/>
        <w:gridCol w:w="1246"/>
        <w:gridCol w:w="1244"/>
      </w:tblGrid>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升级密钥设备（</w:t>
            </w:r>
            <w:r>
              <w:rPr>
                <w:rFonts w:ascii="Times New Roman" w:hAnsi="Times New Roman" w:cs="Times New Roman" w:eastAsia="Times New Roman" w:hint="default"/>
                <w:sz w:val="18"/>
                <w:szCs w:val="18"/>
              </w:rPr>
              <w:t>B7</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201830062328.5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2018/9/28</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密钥设备（</w:t>
            </w:r>
            <w:r>
              <w:rPr>
                <w:rFonts w:ascii="Times New Roman" w:hAnsi="Times New Roman" w:cs="Times New Roman" w:eastAsia="Times New Roman" w:hint="default"/>
                <w:sz w:val="18"/>
                <w:szCs w:val="18"/>
              </w:rPr>
              <w:t>K26</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201830085091.2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2018/3/7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2018/10/19</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密钥设备（</w:t>
            </w:r>
            <w:r>
              <w:rPr>
                <w:rFonts w:ascii="Times New Roman" w:hAnsi="Times New Roman" w:cs="Times New Roman" w:eastAsia="Times New Roman" w:hint="default"/>
                <w:sz w:val="18"/>
                <w:szCs w:val="18"/>
              </w:rPr>
              <w:t>H90</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201830106054.5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2018/3/21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2018/12/14</w:t>
            </w:r>
          </w:p>
        </w:tc>
      </w:tr>
      <w:tr>
        <w:trPr>
          <w:trHeight w:val="348"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密钥设备（</w:t>
            </w:r>
            <w:r>
              <w:rPr>
                <w:rFonts w:ascii="Times New Roman" w:hAnsi="Times New Roman" w:cs="Times New Roman" w:eastAsia="Times New Roman" w:hint="default"/>
                <w:sz w:val="18"/>
                <w:szCs w:val="18"/>
              </w:rPr>
              <w:t>K31</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201830118553.6</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2018/3/28</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2018/12/14</w:t>
            </w:r>
          </w:p>
        </w:tc>
      </w:tr>
      <w:tr>
        <w:trPr>
          <w:trHeight w:val="347" w:hRule="exact"/>
        </w:trPr>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4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密钥设备（</w:t>
            </w:r>
            <w:r>
              <w:rPr>
                <w:rFonts w:ascii="Times New Roman" w:hAnsi="Times New Roman" w:cs="Times New Roman" w:eastAsia="Times New Roman" w:hint="default"/>
                <w:sz w:val="18"/>
                <w:szCs w:val="18"/>
              </w:rPr>
              <w:t>H91</w:t>
            </w:r>
            <w:r>
              <w:rPr>
                <w:rFonts w:ascii="宋体" w:hAnsi="宋体" w:cs="宋体" w:eastAsia="宋体" w:hint="default"/>
                <w:sz w:val="18"/>
                <w:szCs w:val="18"/>
              </w:rPr>
              <w:t>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201830106122.8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2018/3/21</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2018/12/14</w:t>
            </w:r>
          </w:p>
        </w:tc>
      </w:tr>
    </w:tbl>
    <w:p>
      <w:pPr>
        <w:spacing w:line="240" w:lineRule="auto" w:before="3"/>
        <w:rPr>
          <w:rFonts w:ascii="宋体" w:hAnsi="宋体" w:cs="宋体" w:eastAsia="宋体" w:hint="default"/>
          <w:b/>
          <w:bCs/>
          <w:sz w:val="21"/>
          <w:szCs w:val="21"/>
        </w:rPr>
      </w:pPr>
    </w:p>
    <w:p>
      <w:pPr>
        <w:pStyle w:val="Heading5"/>
        <w:spacing w:line="240" w:lineRule="auto" w:before="44"/>
        <w:ind w:left="154" w:right="812"/>
        <w:jc w:val="left"/>
        <w:rPr>
          <w:b w:val="0"/>
          <w:bCs w:val="0"/>
        </w:rPr>
      </w:pPr>
      <w:r>
        <w:rPr>
          <w:rFonts w:ascii="Times New Roman" w:hAnsi="Times New Roman" w:cs="Times New Roman" w:eastAsia="Times New Roman" w:hint="default"/>
        </w:rPr>
        <w:t>2</w:t>
      </w:r>
      <w:r>
        <w:rPr/>
        <w:t>、国外发明专利</w:t>
      </w:r>
      <w:r>
        <w:rPr>
          <w:b w:val="0"/>
          <w:bCs w:val="0"/>
        </w:rPr>
      </w:r>
    </w:p>
    <w:p>
      <w:pPr>
        <w:spacing w:line="240" w:lineRule="auto" w:before="13"/>
        <w:rPr>
          <w:rFonts w:ascii="宋体" w:hAnsi="宋体" w:cs="宋体" w:eastAsia="宋体" w:hint="default"/>
          <w:b/>
          <w:bCs/>
          <w:sz w:val="3"/>
          <w:szCs w:val="3"/>
        </w:rPr>
      </w:pPr>
    </w:p>
    <w:tbl>
      <w:tblPr>
        <w:tblW w:w="0" w:type="auto"/>
        <w:jc w:val="left"/>
        <w:tblInd w:w="137" w:type="dxa"/>
        <w:tblLayout w:type="fixed"/>
        <w:tblCellMar>
          <w:top w:w="0" w:type="dxa"/>
          <w:left w:w="0" w:type="dxa"/>
          <w:bottom w:w="0" w:type="dxa"/>
          <w:right w:w="0" w:type="dxa"/>
        </w:tblCellMar>
        <w:tblLook w:val="01E0"/>
      </w:tblPr>
      <w:tblGrid>
        <w:gridCol w:w="651"/>
        <w:gridCol w:w="4295"/>
        <w:gridCol w:w="1818"/>
        <w:gridCol w:w="1404"/>
        <w:gridCol w:w="1490"/>
      </w:tblGrid>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申请日期</w:t>
            </w:r>
            <w:r>
              <w:rPr>
                <w:rFonts w:ascii="宋体" w:hAnsi="宋体" w:cs="宋体" w:eastAsia="宋体" w:hint="default"/>
                <w:sz w:val="18"/>
                <w:szCs w:val="18"/>
              </w:rPr>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6" w:right="0"/>
              <w:jc w:val="left"/>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一种安全终端的双芯片方案的固件更新方法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2015/5/13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2018/1/9</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right"/>
              <w:rPr>
                <w:rFonts w:ascii="Times New Roman" w:hAnsi="Times New Roman" w:cs="Times New Roman" w:eastAsia="Times New Roman" w:hint="default"/>
                <w:sz w:val="18"/>
                <w:szCs w:val="18"/>
              </w:rPr>
            </w:pPr>
            <w:r>
              <w:rPr>
                <w:rFonts w:ascii="Times New Roman"/>
                <w:spacing w:val="-1"/>
                <w:sz w:val="18"/>
              </w:rPr>
              <w:t>US9,864,599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一种可离线的</w:t>
            </w:r>
            <w:r>
              <w:rPr>
                <w:rFonts w:ascii="Times New Roman" w:hAnsi="Times New Roman" w:cs="Times New Roman" w:eastAsia="Times New Roman" w:hint="default"/>
                <w:sz w:val="18"/>
                <w:szCs w:val="18"/>
              </w:rPr>
              <w:t>DRM</w:t>
            </w:r>
            <w:r>
              <w:rPr>
                <w:rFonts w:ascii="宋体" w:hAnsi="宋体" w:cs="宋体" w:eastAsia="宋体" w:hint="default"/>
                <w:sz w:val="18"/>
                <w:szCs w:val="18"/>
              </w:rPr>
              <w:t>认证的方法及系统</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2008/11/12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2018/2/27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1"/>
              <w:jc w:val="right"/>
              <w:rPr>
                <w:rFonts w:ascii="Times New Roman" w:hAnsi="Times New Roman" w:cs="Times New Roman" w:eastAsia="Times New Roman" w:hint="default"/>
                <w:sz w:val="18"/>
                <w:szCs w:val="18"/>
              </w:rPr>
            </w:pPr>
            <w:r>
              <w:rPr>
                <w:rFonts w:ascii="Times New Roman"/>
                <w:spacing w:val="-1"/>
                <w:sz w:val="18"/>
              </w:rPr>
              <w:t>US9,906,509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USB</w:t>
            </w:r>
            <w:r>
              <w:rPr>
                <w:rFonts w:ascii="宋体" w:hAnsi="宋体" w:cs="宋体" w:eastAsia="宋体" w:hint="default"/>
                <w:sz w:val="18"/>
                <w:szCs w:val="18"/>
              </w:rPr>
              <w:t>设备及其识别主机操作系统的方法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2013/11/29</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2018/3/27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right"/>
              <w:rPr>
                <w:rFonts w:ascii="Times New Roman" w:hAnsi="Times New Roman" w:cs="Times New Roman" w:eastAsia="Times New Roman" w:hint="default"/>
                <w:sz w:val="18"/>
                <w:szCs w:val="18"/>
              </w:rPr>
            </w:pPr>
            <w:r>
              <w:rPr>
                <w:rFonts w:ascii="Times New Roman"/>
                <w:spacing w:val="-1"/>
                <w:sz w:val="18"/>
              </w:rPr>
              <w:t>US9,928,197</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一种识别音频设备的方法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2015/1/16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2018/4/17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right"/>
              <w:rPr>
                <w:rFonts w:ascii="Times New Roman" w:hAnsi="Times New Roman" w:cs="Times New Roman" w:eastAsia="Times New Roman" w:hint="default"/>
                <w:sz w:val="18"/>
                <w:szCs w:val="18"/>
              </w:rPr>
            </w:pPr>
            <w:r>
              <w:rPr>
                <w:rFonts w:ascii="Times New Roman"/>
                <w:spacing w:val="-1"/>
                <w:sz w:val="18"/>
              </w:rPr>
              <w:t>US9,948,469</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iOS</w:t>
            </w:r>
            <w:r>
              <w:rPr>
                <w:rFonts w:ascii="宋体" w:hAnsi="宋体" w:cs="宋体" w:eastAsia="宋体" w:hint="default"/>
                <w:sz w:val="18"/>
                <w:szCs w:val="18"/>
              </w:rPr>
              <w:t>设备的网页拦截方法和设备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2014/6/27</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2018/5/8</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right"/>
              <w:rPr>
                <w:rFonts w:ascii="Times New Roman" w:hAnsi="Times New Roman" w:cs="Times New Roman" w:eastAsia="Times New Roman" w:hint="default"/>
                <w:sz w:val="18"/>
                <w:szCs w:val="18"/>
              </w:rPr>
            </w:pPr>
            <w:r>
              <w:rPr>
                <w:rFonts w:ascii="Times New Roman"/>
                <w:spacing w:val="-1"/>
                <w:sz w:val="18"/>
              </w:rPr>
              <w:t>US9,967,314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安全执行委托管理命令的方法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2014/11/28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2018/5/15</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1"/>
              <w:jc w:val="right"/>
              <w:rPr>
                <w:rFonts w:ascii="Times New Roman" w:hAnsi="Times New Roman" w:cs="Times New Roman" w:eastAsia="Times New Roman" w:hint="default"/>
                <w:sz w:val="18"/>
                <w:szCs w:val="18"/>
              </w:rPr>
            </w:pPr>
            <w:r>
              <w:rPr>
                <w:rFonts w:ascii="Times New Roman"/>
                <w:spacing w:val="-1"/>
                <w:sz w:val="18"/>
              </w:rPr>
              <w:t>US9,972,006</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一种解析音频数据的方法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2018/7/3</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US10,013,824</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一种检索外部</w:t>
            </w:r>
            <w:r>
              <w:rPr>
                <w:rFonts w:ascii="Times New Roman" w:hAnsi="Times New Roman" w:cs="Times New Roman" w:eastAsia="Times New Roman" w:hint="default"/>
                <w:sz w:val="18"/>
                <w:szCs w:val="18"/>
              </w:rPr>
              <w:t>SD</w:t>
            </w:r>
            <w:r>
              <w:rPr>
                <w:rFonts w:ascii="宋体" w:hAnsi="宋体" w:cs="宋体" w:eastAsia="宋体" w:hint="default"/>
                <w:sz w:val="18"/>
                <w:szCs w:val="18"/>
              </w:rPr>
              <w:t>卡的方法及装置</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2014/10/16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2018/7/3</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16"/>
              <w:jc w:val="right"/>
              <w:rPr>
                <w:rFonts w:ascii="Times New Roman" w:hAnsi="Times New Roman" w:cs="Times New Roman" w:eastAsia="Times New Roman" w:hint="default"/>
                <w:sz w:val="18"/>
                <w:szCs w:val="18"/>
              </w:rPr>
            </w:pPr>
            <w:r>
              <w:rPr>
                <w:rFonts w:ascii="Times New Roman"/>
                <w:spacing w:val="-1"/>
                <w:sz w:val="18"/>
              </w:rPr>
              <w:t>US10,013,175</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一种读卡器的工作方法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2015/3/26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US10,042,803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一种屏幕适配的方法和装置</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2018/10/2</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US10,089,963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一种实现</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系统下蓝牙自动回连的方法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2016/6/2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2018/9/4</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US10,070,293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一种身份认证方法、系统及设备</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2018/9/25</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US10,084,602</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一种可更新种子的动态令牌的工作方法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2015/2/17</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2018/9/4</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US10,069,821</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一种支持</w:t>
            </w:r>
            <w:r>
              <w:rPr>
                <w:rFonts w:ascii="Times New Roman" w:hAnsi="Times New Roman" w:cs="Times New Roman" w:eastAsia="Times New Roman" w:hint="default"/>
                <w:sz w:val="18"/>
                <w:szCs w:val="18"/>
              </w:rPr>
              <w:t>OpenSC</w:t>
            </w:r>
            <w:r>
              <w:rPr>
                <w:rFonts w:ascii="宋体" w:hAnsi="宋体" w:cs="宋体" w:eastAsia="宋体" w:hint="default"/>
                <w:sz w:val="18"/>
                <w:szCs w:val="18"/>
              </w:rPr>
              <w:t>的软硬件驱动的实现方法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2014/9/18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2018/11/20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16"/>
              <w:jc w:val="right"/>
              <w:rPr>
                <w:rFonts w:ascii="Times New Roman" w:hAnsi="Times New Roman" w:cs="Times New Roman" w:eastAsia="Times New Roman" w:hint="default"/>
                <w:sz w:val="18"/>
                <w:szCs w:val="18"/>
              </w:rPr>
            </w:pPr>
            <w:r>
              <w:rPr>
                <w:rFonts w:ascii="Times New Roman"/>
                <w:spacing w:val="-1"/>
                <w:sz w:val="18"/>
              </w:rPr>
              <w:t>US10,133,882</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一种升级读写器固件的方法和系统</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2009/6/4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2018/10/30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US10,114,953</w:t>
            </w:r>
          </w:p>
        </w:tc>
      </w:tr>
      <w:tr>
        <w:trPr>
          <w:trHeight w:val="347"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一种加密锁的自适应通讯方法</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2015/8/21</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2018/11/27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US10,142,318</w:t>
            </w:r>
          </w:p>
        </w:tc>
      </w:tr>
      <w:tr>
        <w:trPr>
          <w:trHeight w:val="348" w:hRule="exact"/>
        </w:trPr>
        <w:tc>
          <w:tcPr>
            <w:tcW w:w="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一种盗版加密锁的识别方法和装置</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2013/5/8</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2018/12/11</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16"/>
              <w:jc w:val="right"/>
              <w:rPr>
                <w:rFonts w:ascii="Times New Roman" w:hAnsi="Times New Roman" w:cs="Times New Roman" w:eastAsia="Times New Roman" w:hint="default"/>
                <w:sz w:val="18"/>
                <w:szCs w:val="18"/>
              </w:rPr>
            </w:pPr>
            <w:r>
              <w:rPr>
                <w:rFonts w:ascii="Times New Roman"/>
                <w:spacing w:val="-1"/>
                <w:sz w:val="18"/>
              </w:rPr>
              <w:t>US10,152,593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966" w:right="812"/>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2"/>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12" w:firstLine="361"/>
        <w:jc w:val="left"/>
      </w:pPr>
      <w:r>
        <w:rPr>
          <w:spacing w:val="-2"/>
        </w:rPr>
        <w:t>报告期内公司实现营业收入</w:t>
      </w:r>
      <w:r>
        <w:rPr>
          <w:rFonts w:ascii="宋体" w:hAnsi="宋体" w:cs="宋体" w:eastAsia="宋体" w:hint="default"/>
          <w:spacing w:val="-2"/>
        </w:rPr>
        <w:t>107,178.24</w:t>
      </w:r>
      <w:r>
        <w:rPr>
          <w:spacing w:val="-2"/>
        </w:rPr>
        <w:t>万元，较去年同期减少</w:t>
      </w:r>
      <w:r>
        <w:rPr>
          <w:rFonts w:ascii="宋体" w:hAnsi="宋体" w:cs="宋体" w:eastAsia="宋体" w:hint="default"/>
          <w:spacing w:val="-2"/>
        </w:rPr>
        <w:t>2.83%</w:t>
      </w:r>
      <w:r>
        <w:rPr>
          <w:spacing w:val="-2"/>
        </w:rPr>
        <w:t>；归属于上市公司股东的净利润</w:t>
      </w:r>
      <w:r>
        <w:rPr>
          <w:rFonts w:ascii="宋体" w:hAnsi="宋体" w:cs="宋体" w:eastAsia="宋体" w:hint="default"/>
          <w:spacing w:val="-2"/>
        </w:rPr>
        <w:t>13,327.35</w:t>
      </w:r>
      <w:r>
        <w:rPr>
          <w:spacing w:val="-2"/>
        </w:rPr>
        <w:t>万元，较</w:t>
      </w:r>
      <w:r>
        <w:rPr/>
        <w:t> 去年同期增加</w:t>
      </w:r>
      <w:r>
        <w:rPr>
          <w:rFonts w:ascii="宋体" w:hAnsi="宋体" w:cs="宋体" w:eastAsia="宋体" w:hint="default"/>
        </w:rPr>
        <w:t>6.47%</w:t>
      </w:r>
      <w:r>
        <w:rPr/>
        <w:t>。</w:t>
      </w:r>
    </w:p>
    <w:p>
      <w:pPr>
        <w:pStyle w:val="BodyText"/>
        <w:spacing w:line="316" w:lineRule="auto" w:before="19"/>
        <w:ind w:right="812" w:firstLine="361"/>
        <w:jc w:val="left"/>
      </w:pPr>
      <w:r>
        <w:rPr>
          <w:spacing w:val="-2"/>
        </w:rPr>
        <w:t>报告期内，利润变化的主要原因如下：上年公司控股子公司飞天万谷的生产资质对应的无形资产余额一次性摊销，导致</w:t>
      </w:r>
      <w:r>
        <w:rPr/>
        <w:t> 上年相对费用较大。</w:t>
      </w:r>
    </w:p>
    <w:p>
      <w:pPr>
        <w:spacing w:line="316" w:lineRule="auto" w:before="19"/>
        <w:ind w:left="515" w:right="6791"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年报告期内，公司重点开展了以下工作： </w:t>
      </w:r>
      <w:r>
        <w:rPr>
          <w:rFonts w:ascii="宋体" w:hAnsi="宋体" w:cs="宋体" w:eastAsia="宋体" w:hint="default"/>
          <w:b/>
          <w:bCs/>
          <w:sz w:val="18"/>
          <w:szCs w:val="18"/>
        </w:rPr>
        <w:t>一、积极进取，巩固并拓展原有市场份额</w:t>
      </w:r>
      <w:r>
        <w:rPr>
          <w:rFonts w:ascii="宋体" w:hAnsi="宋体" w:cs="宋体" w:eastAsia="宋体" w:hint="default"/>
          <w:sz w:val="18"/>
          <w:szCs w:val="18"/>
        </w:rPr>
      </w:r>
    </w:p>
    <w:p>
      <w:pPr>
        <w:pStyle w:val="BodyText"/>
        <w:spacing w:line="316" w:lineRule="auto" w:before="19"/>
        <w:ind w:right="1117" w:firstLine="361"/>
        <w:jc w:val="left"/>
      </w:pPr>
      <w:r>
        <w:rPr/>
        <w:t>公司积极参与国内各大银行招标，在低端</w:t>
      </w:r>
      <w:r>
        <w:rPr>
          <w:rFonts w:ascii="宋体" w:hAnsi="宋体" w:cs="宋体" w:eastAsia="宋体" w:hint="default"/>
        </w:rPr>
        <w:t>USB</w:t>
      </w:r>
      <w:r>
        <w:rPr>
          <w:rFonts w:ascii="宋体" w:hAnsi="宋体" w:cs="宋体" w:eastAsia="宋体" w:hint="default"/>
          <w:spacing w:val="-43"/>
        </w:rPr>
        <w:t> </w:t>
      </w:r>
      <w:r>
        <w:rPr>
          <w:rFonts w:ascii="宋体" w:hAnsi="宋体" w:cs="宋体" w:eastAsia="宋体" w:hint="default"/>
        </w:rPr>
        <w:t>Key</w:t>
      </w:r>
      <w:r>
        <w:rPr/>
        <w:t>产品价格持续下降的形势下，努力拓展高端</w:t>
      </w:r>
      <w:r>
        <w:rPr>
          <w:rFonts w:ascii="宋体" w:hAnsi="宋体" w:cs="宋体" w:eastAsia="宋体" w:hint="default"/>
        </w:rPr>
        <w:t>USB</w:t>
      </w:r>
      <w:r>
        <w:rPr>
          <w:rFonts w:ascii="宋体" w:hAnsi="宋体" w:cs="宋体" w:eastAsia="宋体" w:hint="default"/>
          <w:spacing w:val="-43"/>
        </w:rPr>
        <w:t> </w:t>
      </w:r>
      <w:r>
        <w:rPr>
          <w:rFonts w:ascii="宋体" w:hAnsi="宋体" w:cs="宋体" w:eastAsia="宋体" w:hint="default"/>
        </w:rPr>
        <w:t>Key</w:t>
      </w:r>
      <w:r>
        <w:rPr/>
        <w:t>产品的市场，报告 期内，</w:t>
      </w:r>
      <w:r>
        <w:rPr>
          <w:rFonts w:ascii="宋体" w:hAnsi="宋体" w:cs="宋体" w:eastAsia="宋体" w:hint="default"/>
        </w:rPr>
        <w:t>USB Key</w:t>
      </w:r>
      <w:r>
        <w:rPr/>
        <w:t>产品的营业收入较上年同期略有上升。</w:t>
      </w:r>
    </w:p>
    <w:p>
      <w:pPr>
        <w:pStyle w:val="BodyText"/>
        <w:spacing w:line="240" w:lineRule="auto" w:before="19"/>
        <w:ind w:left="515" w:right="812"/>
        <w:jc w:val="left"/>
      </w:pPr>
      <w:r>
        <w:rPr>
          <w:rFonts w:ascii="宋体" w:hAnsi="宋体" w:cs="宋体" w:eastAsia="宋体" w:hint="default"/>
        </w:rPr>
        <w:t>2018</w:t>
      </w:r>
      <w:r>
        <w:rPr/>
        <w:t>年</w:t>
      </w:r>
      <w:r>
        <w:rPr>
          <w:rFonts w:ascii="宋体" w:hAnsi="宋体" w:cs="宋体" w:eastAsia="宋体" w:hint="default"/>
        </w:rPr>
        <w:t>9</w:t>
      </w:r>
      <w:r>
        <w:rPr/>
        <w:t>月，公司中标中信百信银行股份有限公司安全认证平台（二期）项目；</w:t>
      </w:r>
    </w:p>
    <w:p>
      <w:pPr>
        <w:spacing w:line="316" w:lineRule="auto" w:before="76"/>
        <w:ind w:left="515" w:right="6071"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月，公司中标中国建设银行蓝牙盾招标项目。 </w:t>
      </w:r>
      <w:r>
        <w:rPr>
          <w:rFonts w:ascii="宋体" w:hAnsi="宋体" w:cs="宋体" w:eastAsia="宋体" w:hint="default"/>
          <w:b/>
          <w:bCs/>
          <w:sz w:val="18"/>
          <w:szCs w:val="18"/>
        </w:rPr>
        <w:t>二、开发新产品，稳步扩大市场范围</w:t>
      </w:r>
      <w:r>
        <w:rPr>
          <w:rFonts w:ascii="宋体" w:hAnsi="宋体" w:cs="宋体" w:eastAsia="宋体" w:hint="default"/>
          <w:sz w:val="18"/>
          <w:szCs w:val="18"/>
        </w:rPr>
      </w:r>
    </w:p>
    <w:p>
      <w:pPr>
        <w:pStyle w:val="BodyText"/>
        <w:spacing w:line="316" w:lineRule="auto" w:before="19"/>
        <w:ind w:right="812" w:firstLine="361"/>
        <w:jc w:val="left"/>
      </w:pPr>
      <w:r>
        <w:rPr>
          <w:spacing w:val="-2"/>
        </w:rPr>
        <w:t>在充满激烈竞争领域的智能卡市场，公司以为用户提供差异化的产品为基础，稳步开拓市场。报告期内，芯片产品的营</w:t>
      </w:r>
      <w:r>
        <w:rPr/>
        <w:t> 业收入增长较快，芯片产品比上年同期增长</w:t>
      </w:r>
      <w:r>
        <w:rPr>
          <w:rFonts w:ascii="宋体" w:hAnsi="宋体" w:cs="宋体" w:eastAsia="宋体" w:hint="default"/>
        </w:rPr>
        <w:t>10.76%</w:t>
      </w:r>
      <w:r>
        <w:rPr/>
        <w:t>。卡类产品同比增加</w:t>
      </w:r>
      <w:r>
        <w:rPr>
          <w:rFonts w:ascii="宋体" w:hAnsi="宋体" w:cs="宋体" w:eastAsia="宋体" w:hint="default"/>
        </w:rPr>
        <w:t>9.94%</w:t>
      </w:r>
      <w:r>
        <w:rPr/>
        <w:t>。</w:t>
      </w:r>
    </w:p>
    <w:p>
      <w:pPr>
        <w:pStyle w:val="BodyText"/>
        <w:spacing w:line="240" w:lineRule="auto" w:before="19"/>
        <w:ind w:left="515" w:right="812"/>
        <w:jc w:val="left"/>
      </w:pPr>
      <w:r>
        <w:rPr>
          <w:rFonts w:ascii="宋体" w:hAnsi="宋体" w:cs="宋体" w:eastAsia="宋体" w:hint="default"/>
        </w:rPr>
        <w:t>2018</w:t>
      </w:r>
      <w:r>
        <w:rPr/>
        <w:t>年</w:t>
      </w:r>
      <w:r>
        <w:rPr>
          <w:rFonts w:ascii="宋体" w:hAnsi="宋体" w:cs="宋体" w:eastAsia="宋体" w:hint="default"/>
        </w:rPr>
        <w:t>1</w:t>
      </w:r>
      <w:r>
        <w:rPr/>
        <w:t>月，公司在成都天府通金融服务股份有限公司中标非接触式</w:t>
      </w:r>
      <w:r>
        <w:rPr>
          <w:rFonts w:ascii="宋体" w:hAnsi="宋体" w:cs="宋体" w:eastAsia="宋体" w:hint="default"/>
        </w:rPr>
        <w:t>CPU</w:t>
      </w:r>
      <w:r>
        <w:rPr/>
        <w:t>卡项目；</w:t>
      </w:r>
    </w:p>
    <w:p>
      <w:pPr>
        <w:pStyle w:val="BodyText"/>
        <w:spacing w:line="319" w:lineRule="auto" w:before="76"/>
        <w:ind w:left="515" w:right="2831"/>
        <w:jc w:val="left"/>
      </w:pPr>
      <w:r>
        <w:rPr>
          <w:rFonts w:ascii="宋体" w:hAnsi="宋体" w:cs="宋体" w:eastAsia="宋体" w:hint="default"/>
        </w:rPr>
        <w:t>2018</w:t>
      </w:r>
      <w:r>
        <w:rPr/>
        <w:t>年</w:t>
      </w:r>
      <w:r>
        <w:rPr>
          <w:rFonts w:ascii="宋体" w:hAnsi="宋体" w:cs="宋体" w:eastAsia="宋体" w:hint="default"/>
        </w:rPr>
        <w:t>4</w:t>
      </w:r>
      <w:r>
        <w:rPr/>
        <w:t>月，公司助力光大银行发行其全球第一张万事达动态</w:t>
      </w:r>
      <w:r>
        <w:rPr>
          <w:rFonts w:ascii="宋体" w:hAnsi="宋体" w:cs="宋体" w:eastAsia="宋体" w:hint="default"/>
        </w:rPr>
        <w:t>CVC</w:t>
      </w:r>
      <w:r>
        <w:rPr/>
        <w:t>卡。 </w:t>
      </w:r>
      <w:r>
        <w:rPr>
          <w:rFonts w:ascii="宋体" w:hAnsi="宋体" w:cs="宋体" w:eastAsia="宋体" w:hint="default"/>
          <w:b/>
          <w:bCs/>
        </w:rPr>
        <w:t>三、技术创新，不断提升企业竞争力</w:t>
      </w:r>
      <w:r>
        <w:rPr>
          <w:rFonts w:ascii="宋体" w:hAnsi="宋体" w:cs="宋体" w:eastAsia="宋体" w:hint="default"/>
          <w:b/>
          <w:bCs/>
          <w:w w:val="99"/>
        </w:rPr>
        <w:t> </w:t>
      </w:r>
      <w:r>
        <w:rPr/>
        <w:t>公司以技术创新为驱动，积极参与产品认证、不断提升企业竞争力，以达到差异化竞争的目的。 </w:t>
      </w:r>
      <w:r>
        <w:rPr>
          <w:rFonts w:ascii="宋体" w:hAnsi="宋体" w:cs="宋体" w:eastAsia="宋体" w:hint="default"/>
        </w:rPr>
        <w:t>2018</w:t>
      </w:r>
      <w:r>
        <w:rPr/>
        <w:t>年</w:t>
      </w:r>
      <w:r>
        <w:rPr>
          <w:rFonts w:ascii="宋体" w:hAnsi="宋体" w:cs="宋体" w:eastAsia="宋体" w:hint="default"/>
        </w:rPr>
        <w:t>3</w:t>
      </w:r>
      <w:r>
        <w:rPr/>
        <w:t>月，公司三款</w:t>
      </w:r>
      <w:r>
        <w:rPr>
          <w:rFonts w:ascii="宋体" w:hAnsi="宋体" w:cs="宋体" w:eastAsia="宋体" w:hint="default"/>
        </w:rPr>
        <w:t>FIDO</w:t>
      </w:r>
      <w:r>
        <w:rPr/>
        <w:t>产品经过</w:t>
      </w:r>
      <w:r>
        <w:rPr>
          <w:rFonts w:ascii="宋体" w:hAnsi="宋体" w:cs="宋体" w:eastAsia="宋体" w:hint="default"/>
        </w:rPr>
        <w:t>FIDO</w:t>
      </w:r>
      <w:r>
        <w:rPr/>
        <w:t>联盟</w:t>
      </w:r>
      <w:r>
        <w:rPr>
          <w:rFonts w:ascii="宋体" w:hAnsi="宋体" w:cs="宋体" w:eastAsia="宋体" w:hint="default"/>
        </w:rPr>
        <w:t>Level2</w:t>
      </w:r>
      <w:r>
        <w:rPr/>
        <w:t>的安全认证。</w:t>
      </w:r>
    </w:p>
    <w:p>
      <w:pPr>
        <w:pStyle w:val="BodyText"/>
        <w:spacing w:line="240" w:lineRule="auto" w:before="17"/>
        <w:ind w:left="515" w:right="812"/>
        <w:jc w:val="left"/>
      </w:pPr>
      <w:r>
        <w:rPr>
          <w:rFonts w:ascii="宋体" w:hAnsi="宋体" w:cs="宋体" w:eastAsia="宋体" w:hint="default"/>
        </w:rPr>
        <w:t>2018</w:t>
      </w:r>
      <w:r>
        <w:rPr/>
        <w:t>年</w:t>
      </w:r>
      <w:r>
        <w:rPr>
          <w:rFonts w:ascii="宋体" w:hAnsi="宋体" w:cs="宋体" w:eastAsia="宋体" w:hint="default"/>
        </w:rPr>
        <w:t>7</w:t>
      </w:r>
      <w:r>
        <w:rPr/>
        <w:t>月，公司的可视卡产品通过万事达卡（</w:t>
      </w:r>
      <w:r>
        <w:rPr>
          <w:rFonts w:ascii="宋体" w:hAnsi="宋体" w:cs="宋体" w:eastAsia="宋体" w:hint="default"/>
        </w:rPr>
        <w:t>MasterCard</w:t>
      </w:r>
      <w:r>
        <w:rPr/>
        <w:t>）</w:t>
      </w:r>
      <w:r>
        <w:rPr>
          <w:rFonts w:ascii="宋体" w:hAnsi="宋体" w:cs="宋体" w:eastAsia="宋体" w:hint="default"/>
        </w:rPr>
        <w:t>DCVC</w:t>
      </w:r>
      <w:r>
        <w:rPr/>
        <w:t>产品多项认证。</w:t>
      </w:r>
    </w:p>
    <w:p>
      <w:pPr>
        <w:pStyle w:val="BodyText"/>
        <w:spacing w:line="316" w:lineRule="auto" w:before="76"/>
        <w:ind w:right="1041" w:firstLine="361"/>
        <w:jc w:val="both"/>
      </w:pPr>
      <w:r>
        <w:rPr>
          <w:rFonts w:ascii="宋体" w:hAnsi="宋体" w:cs="宋体" w:eastAsia="宋体" w:hint="default"/>
        </w:rPr>
        <w:t>2018</w:t>
      </w:r>
      <w:r>
        <w:rPr/>
        <w:t>年</w:t>
      </w:r>
      <w:r>
        <w:rPr>
          <w:rFonts w:ascii="宋体" w:hAnsi="宋体" w:cs="宋体" w:eastAsia="宋体" w:hint="default"/>
        </w:rPr>
        <w:t>7</w:t>
      </w:r>
      <w:r>
        <w:rPr/>
        <w:t>月，公司一款以</w:t>
      </w:r>
      <w:r>
        <w:rPr>
          <w:rFonts w:ascii="宋体" w:hAnsi="宋体" w:cs="宋体" w:eastAsia="宋体" w:hint="default"/>
        </w:rPr>
        <w:t>ePass2003/ePass2003 Auto </w:t>
      </w:r>
      <w:r>
        <w:rPr/>
        <w:t>命名的</w:t>
      </w:r>
      <w:r>
        <w:rPr>
          <w:rFonts w:ascii="宋体" w:hAnsi="宋体" w:cs="宋体" w:eastAsia="宋体" w:hint="default"/>
        </w:rPr>
        <w:t>USB Key</w:t>
      </w:r>
      <w:r>
        <w:rPr/>
        <w:t>产品获得美国</w:t>
      </w:r>
      <w:r>
        <w:rPr>
          <w:rFonts w:ascii="宋体" w:hAnsi="宋体" w:cs="宋体" w:eastAsia="宋体" w:hint="default"/>
        </w:rPr>
        <w:t>FIPS 140-2 Level 3 </w:t>
      </w:r>
      <w:r>
        <w:rPr/>
        <w:t>级别安全认证。 </w:t>
      </w:r>
      <w:r>
        <w:rPr>
          <w:rFonts w:ascii="宋体" w:hAnsi="宋体" w:cs="宋体" w:eastAsia="宋体" w:hint="default"/>
        </w:rPr>
        <w:t>FIPS 140-2 </w:t>
      </w:r>
      <w:r>
        <w:rPr/>
        <w:t>认证是由美国国家标准技术研究院</w:t>
      </w:r>
      <w:r>
        <w:rPr>
          <w:rFonts w:ascii="宋体" w:hAnsi="宋体" w:cs="宋体" w:eastAsia="宋体" w:hint="default"/>
        </w:rPr>
        <w:t>(NIST)</w:t>
      </w:r>
      <w:r>
        <w:rPr>
          <w:rFonts w:ascii="宋体" w:hAnsi="宋体" w:cs="宋体" w:eastAsia="宋体" w:hint="default"/>
          <w:spacing w:val="-22"/>
        </w:rPr>
        <w:t> </w:t>
      </w:r>
      <w:r>
        <w:rPr>
          <w:spacing w:val="-5"/>
        </w:rPr>
        <w:t>发起制定的北美地区官方计算机安全标准，全面覆盖加密，身份验证，</w:t>
      </w:r>
      <w:r>
        <w:rPr/>
        <w:t> 数字签名等密码学功能及相关应用。</w:t>
      </w:r>
      <w:r>
        <w:rPr>
          <w:rFonts w:ascii="宋体" w:hAnsi="宋体" w:cs="宋体" w:eastAsia="宋体" w:hint="default"/>
        </w:rPr>
        <w:t>FIPS 140-2 </w:t>
      </w:r>
      <w:r>
        <w:rPr/>
        <w:t>认证体系是全球范围内信息安全认证体系之一。</w:t>
      </w:r>
    </w:p>
    <w:p>
      <w:pPr>
        <w:pStyle w:val="BodyText"/>
        <w:spacing w:line="240" w:lineRule="auto" w:before="19"/>
        <w:ind w:left="515" w:right="812"/>
        <w:jc w:val="left"/>
      </w:pPr>
      <w:r>
        <w:rPr>
          <w:rFonts w:ascii="宋体" w:hAnsi="宋体" w:cs="宋体" w:eastAsia="宋体" w:hint="default"/>
        </w:rPr>
        <w:t>2018</w:t>
      </w:r>
      <w:r>
        <w:rPr/>
        <w:t>年</w:t>
      </w:r>
      <w:r>
        <w:rPr>
          <w:rFonts w:ascii="宋体" w:hAnsi="宋体" w:cs="宋体" w:eastAsia="宋体" w:hint="default"/>
        </w:rPr>
        <w:t>9</w:t>
      </w:r>
      <w:r>
        <w:rPr/>
        <w:t>月，公司</w:t>
      </w:r>
      <w:r>
        <w:rPr>
          <w:rFonts w:ascii="宋体" w:hAnsi="宋体" w:cs="宋体" w:eastAsia="宋体" w:hint="default"/>
        </w:rPr>
        <w:t>JAVA</w:t>
      </w:r>
      <w:r>
        <w:rPr/>
        <w:t>智能卡操作系统平台</w:t>
      </w:r>
      <w:r>
        <w:rPr>
          <w:rFonts w:ascii="宋体" w:hAnsi="宋体" w:cs="宋体" w:eastAsia="宋体" w:hint="default"/>
        </w:rPr>
        <w:t>FT-JCOS</w:t>
      </w:r>
      <w:r>
        <w:rPr/>
        <w:t>在英飞凌</w:t>
      </w:r>
      <w:r>
        <w:rPr>
          <w:rFonts w:ascii="宋体" w:hAnsi="宋体" w:cs="宋体" w:eastAsia="宋体" w:hint="default"/>
        </w:rPr>
        <w:t>SLE77</w:t>
      </w:r>
      <w:r>
        <w:rPr/>
        <w:t>系列安全芯片基础上获得</w:t>
      </w:r>
      <w:r>
        <w:rPr>
          <w:rFonts w:ascii="宋体" w:hAnsi="宋体" w:cs="宋体" w:eastAsia="宋体" w:hint="default"/>
        </w:rPr>
        <w:t>CC EAL5+</w:t>
      </w:r>
      <w:r>
        <w:rPr/>
        <w:t>安全认证。</w:t>
      </w:r>
    </w:p>
    <w:p>
      <w:pPr>
        <w:pStyle w:val="BodyText"/>
        <w:spacing w:line="240" w:lineRule="auto" w:before="76"/>
        <w:ind w:left="515" w:right="812"/>
        <w:jc w:val="left"/>
      </w:pPr>
      <w:r>
        <w:rPr>
          <w:rFonts w:ascii="宋体" w:hAnsi="宋体" w:cs="宋体" w:eastAsia="宋体" w:hint="default"/>
        </w:rPr>
        <w:t>2018</w:t>
      </w:r>
      <w:r>
        <w:rPr/>
        <w:t>年</w:t>
      </w:r>
      <w:r>
        <w:rPr>
          <w:rFonts w:ascii="宋体" w:hAnsi="宋体" w:cs="宋体" w:eastAsia="宋体" w:hint="default"/>
        </w:rPr>
        <w:t>11</w:t>
      </w:r>
      <w:r>
        <w:rPr/>
        <w:t>月，公司的蓝牙金融</w:t>
      </w:r>
      <w:r>
        <w:rPr>
          <w:rFonts w:ascii="宋体" w:hAnsi="宋体" w:cs="宋体" w:eastAsia="宋体" w:hint="default"/>
        </w:rPr>
        <w:t>IC</w:t>
      </w:r>
      <w:r>
        <w:rPr/>
        <w:t>卡产品通过银行卡检测中心测试，获得银行卡检测中心产品认证。</w:t>
      </w:r>
    </w:p>
    <w:p>
      <w:pPr>
        <w:pStyle w:val="BodyText"/>
        <w:spacing w:line="316" w:lineRule="auto" w:before="76"/>
        <w:ind w:left="515" w:right="1121"/>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12</w:t>
      </w:r>
      <w:r>
        <w:rPr/>
        <w:t>月，公司的金融可视卡</w:t>
      </w:r>
      <w:r>
        <w:rPr>
          <w:rFonts w:ascii="宋体" w:hAnsi="宋体" w:cs="宋体" w:eastAsia="宋体" w:hint="default"/>
        </w:rPr>
        <w:t>DCVV</w:t>
      </w:r>
      <w:r>
        <w:rPr/>
        <w:t>产品通过了维萨（</w:t>
      </w:r>
      <w:r>
        <w:rPr>
          <w:rFonts w:ascii="宋体" w:hAnsi="宋体" w:cs="宋体" w:eastAsia="宋体" w:hint="default"/>
        </w:rPr>
        <w:t>Visa</w:t>
      </w:r>
      <w:r>
        <w:rPr/>
        <w:t>）卡组织授权实验室的</w:t>
      </w:r>
      <w:r>
        <w:rPr>
          <w:rFonts w:ascii="宋体" w:hAnsi="宋体" w:cs="宋体" w:eastAsia="宋体" w:hint="default"/>
        </w:rPr>
        <w:t>DCVV</w:t>
      </w:r>
      <w:r>
        <w:rPr/>
        <w:t>卡片功能和安全性的测试。 </w:t>
      </w:r>
      <w:r>
        <w:rPr>
          <w:rFonts w:ascii="宋体" w:hAnsi="宋体" w:cs="宋体" w:eastAsia="宋体" w:hint="default"/>
          <w:b/>
          <w:bCs/>
        </w:rPr>
        <w:t>四、立足国内，持续耕耘国际市场</w:t>
      </w:r>
      <w:r>
        <w:rPr>
          <w:rFonts w:ascii="宋体" w:hAnsi="宋体" w:cs="宋体" w:eastAsia="宋体" w:hint="default"/>
          <w:b/>
          <w:bCs/>
          <w:w w:val="99"/>
        </w:rPr>
        <w:t> </w:t>
      </w:r>
      <w:r>
        <w:rPr/>
        <w:t>公司在国际市场上深耕细作，多年来持续参加国际举行的行业展览会。</w:t>
      </w:r>
      <w:r>
        <w:rPr>
          <w:rFonts w:ascii="宋体" w:hAnsi="宋体" w:cs="宋体" w:eastAsia="宋体" w:hint="default"/>
        </w:rPr>
        <w:t>2018</w:t>
      </w:r>
      <w:r>
        <w:rPr/>
        <w:t>年</w:t>
      </w:r>
      <w:r>
        <w:rPr>
          <w:rFonts w:ascii="宋体" w:hAnsi="宋体" w:cs="宋体" w:eastAsia="宋体" w:hint="default"/>
        </w:rPr>
        <w:t>9</w:t>
      </w:r>
      <w:r>
        <w:rPr/>
        <w:t>月公司在美国波士顿举办的</w:t>
      </w:r>
      <w:r>
        <w:rPr>
          <w:rFonts w:ascii="宋体" w:hAnsi="宋体" w:cs="宋体" w:eastAsia="宋体" w:hint="default"/>
        </w:rPr>
        <w:t>Token Fest</w:t>
      </w:r>
    </w:p>
    <w:p>
      <w:pPr>
        <w:pStyle w:val="BodyText"/>
        <w:spacing w:line="316" w:lineRule="auto" w:before="19"/>
        <w:ind w:right="1122"/>
        <w:jc w:val="left"/>
      </w:pPr>
      <w:r>
        <w:rPr/>
        <w:t>国际区块链展会上，向全球发布新一代数字货币冷钱包硬件产品</w:t>
      </w:r>
      <w:r>
        <w:rPr>
          <w:rFonts w:ascii="宋体" w:hAnsi="宋体" w:cs="宋体" w:eastAsia="宋体" w:hint="default"/>
        </w:rPr>
        <w:t>JuBiter Blade</w:t>
      </w:r>
      <w:r>
        <w:rPr/>
        <w:t>，该产品能为区块链数字货币领域带来更高 的安全性。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812"/>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812"/>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42"/>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152,134,421.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275,744,552.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261,479,146.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382,424,284.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187,222,476.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218,740,954.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283,495,546.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413,589,541.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2,116,072.83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34,495,072.9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40,452,627.4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56,209,709.2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10,836,524.2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14,845,501.7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28,216,320.7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71,276,103.5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357" w:lineRule="auto" w:before="51"/>
        <w:ind w:right="-20"/>
        <w:jc w:val="left"/>
      </w:pPr>
      <w:r>
        <w:rPr/>
        <w:t>说明经营季节性（或周期性）发生的原因及波动风险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2" w:equalWidth="0">
            <w:col w:w="4295" w:space="46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1,071,782,404.96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1,103,048,519.32</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1,071,782,404.96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1,103,048,519.32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USBKEY</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573,048,576.16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564,691,782.84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291,955,876.61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322,134,473.57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加密锁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42,929,376.18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43,409,033.36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卡类及其他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77,739,711.72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95,688,186.26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15,256,957.42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13,155,927.87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70,851,906.87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63,969,115.42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940,348,760.99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980,506,807.98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131,433,643.97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122,541,711.34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580" w:bottom="70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1,071,782,404.96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668,657,426.16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USBKEY</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573,048,576.16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356,848,689.65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动态令牌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291,955,876.61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198,010,527.12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940,348,760.99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611,479,600.44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131,433,643.97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57,177,825.72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5.23%</w:t>
            </w:r>
          </w:p>
        </w:tc>
      </w:tr>
    </w:tbl>
    <w:p>
      <w:pPr>
        <w:pStyle w:val="BodyText"/>
        <w:spacing w:line="240" w:lineRule="auto" w:before="51"/>
        <w:ind w:right="81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USB-Key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23,600,765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23,989,071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24,530,567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23,567,911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动态令牌系列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31,186,621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33,603,463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34,525,181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30,515,607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加密锁系列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2,488,997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2,540,196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2,298,391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卡及读写器系列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10,188,446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8,063,304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10,675,406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7,985,323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7,513,794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13,051,555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15,204,974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-46.64%</w:t>
            </w:r>
          </w:p>
        </w:tc>
      </w:tr>
    </w:tbl>
    <w:p>
      <w:pPr>
        <w:pStyle w:val="BodyText"/>
        <w:spacing w:line="240" w:lineRule="auto" w:before="51"/>
        <w:ind w:right="81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580" w:bottom="70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626,170,255.32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641,610,889.30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29,969,779.08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22,141,811.48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12,517,391.76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9,902,425.20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bl>
    <w:p>
      <w:pPr>
        <w:pStyle w:val="BodyText"/>
        <w:spacing w:line="240" w:lineRule="auto" w:before="51"/>
        <w:ind w:right="812"/>
        <w:jc w:val="left"/>
      </w:pPr>
      <w:r>
        <w:rPr/>
        <w:t>行业分类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626,170,255.32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641,610,889.30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29,969,779.08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22,141,811.48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12,517,391.76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9,902,425.20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t>公司主要销售客户情况</w:t>
      </w:r>
    </w:p>
    <w:p>
      <w:pPr>
        <w:spacing w:after="0" w:line="240" w:lineRule="auto"/>
        <w:jc w:val="left"/>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596,673,207.11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331,216,289.58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165,069,955.89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46,662,230.52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30,708,143.77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23,016,587.35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596,673,207.11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55.67%</w:t>
            </w:r>
          </w:p>
        </w:tc>
      </w:tr>
    </w:tbl>
    <w:p>
      <w:pPr>
        <w:pStyle w:val="BodyText"/>
        <w:spacing w:line="240" w:lineRule="auto" w:before="51"/>
        <w:ind w:right="812"/>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164,758,233.91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39,420,942.67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39,384,846.88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34,172,490.50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28,111,543.29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23,668,410.57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164,758,233.91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24.19%</w:t>
            </w:r>
          </w:p>
        </w:tc>
      </w:tr>
    </w:tbl>
    <w:p>
      <w:pPr>
        <w:pStyle w:val="BodyText"/>
        <w:spacing w:line="240" w:lineRule="auto" w:before="51"/>
        <w:ind w:right="812"/>
        <w:jc w:val="left"/>
      </w:pPr>
      <w:r>
        <w:rPr/>
        <w:t>主要供应商其他情况说明</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104,767,771.30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93,200,031.30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86,345,812.14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137,981,780.53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主要系上年同期公司控股子公司飞</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6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天万谷的生产资质对应的无形资产 余额一次性摊销所致；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-5,700,536.85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867,095.89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-757.43%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主要系汇兑损益减少所致。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118,343,498.99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120,396,616.46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81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报告期内公司一如既往地重视技术研发投入力度，报告期内研发投入费用</w:t>
      </w:r>
      <w:r>
        <w:rPr>
          <w:rFonts w:ascii="宋体" w:hAnsi="宋体" w:cs="宋体" w:eastAsia="宋体" w:hint="default"/>
          <w:spacing w:val="-2"/>
        </w:rPr>
        <w:t>11</w:t>
      </w:r>
      <w:r>
        <w:rPr>
          <w:rFonts w:ascii="Times New Roman" w:hAnsi="Times New Roman" w:cs="Times New Roman" w:eastAsia="Times New Roman" w:hint="default"/>
          <w:spacing w:val="-2"/>
        </w:rPr>
        <w:t>,</w:t>
      </w:r>
      <w:r>
        <w:rPr>
          <w:rFonts w:ascii="宋体" w:hAnsi="宋体" w:cs="宋体" w:eastAsia="宋体" w:hint="default"/>
          <w:spacing w:val="-2"/>
        </w:rPr>
        <w:t>859</w:t>
      </w:r>
      <w:r>
        <w:rPr>
          <w:rFonts w:ascii="Times New Roman" w:hAnsi="Times New Roman" w:cs="Times New Roman" w:eastAsia="Times New Roman" w:hint="default"/>
          <w:spacing w:val="-2"/>
        </w:rPr>
        <w:t>.</w:t>
      </w:r>
      <w:r>
        <w:rPr>
          <w:rFonts w:ascii="宋体" w:hAnsi="宋体" w:cs="宋体" w:eastAsia="宋体" w:hint="default"/>
          <w:spacing w:val="-2"/>
        </w:rPr>
        <w:t>82</w:t>
      </w:r>
      <w:r>
        <w:rPr>
          <w:spacing w:val="-2"/>
        </w:rPr>
        <w:t>万元，占营业收入的</w:t>
      </w:r>
      <w:r>
        <w:rPr>
          <w:rFonts w:ascii="宋体" w:hAnsi="宋体" w:cs="宋体" w:eastAsia="宋体" w:hint="default"/>
          <w:spacing w:val="-2"/>
        </w:rPr>
        <w:t>11.07%</w:t>
      </w:r>
      <w:r>
        <w:rPr>
          <w:spacing w:val="-2"/>
        </w:rPr>
        <w:t>，比上年</w:t>
      </w:r>
    </w:p>
    <w:p>
      <w:pPr>
        <w:pStyle w:val="BodyText"/>
        <w:spacing w:line="217" w:lineRule="exact"/>
        <w:ind w:right="812"/>
        <w:jc w:val="left"/>
      </w:pPr>
      <w:r>
        <w:rPr/>
        <w:t>同期增加</w:t>
      </w:r>
      <w:r>
        <w:rPr>
          <w:rFonts w:ascii="宋体" w:hAnsi="宋体" w:cs="宋体" w:eastAsia="宋体" w:hint="default"/>
        </w:rPr>
        <w:t>0.05%</w:t>
      </w:r>
      <w:r>
        <w:rPr/>
        <w:t>，报告期内，公司研发计划顺利展开，按计划完成了研发项目的立项、验收工作。主要研发项目如下：</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20"/>
        <w:gridCol w:w="1676"/>
        <w:gridCol w:w="2692"/>
        <w:gridCol w:w="2150"/>
        <w:gridCol w:w="2420"/>
      </w:tblGrid>
      <w:tr>
        <w:trPr>
          <w:trHeight w:val="66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项目介绍</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06" w:right="0"/>
              <w:jc w:val="left"/>
              <w:rPr>
                <w:rFonts w:ascii="宋体" w:hAnsi="宋体" w:cs="宋体" w:eastAsia="宋体" w:hint="default"/>
                <w:sz w:val="18"/>
                <w:szCs w:val="18"/>
              </w:rPr>
            </w:pPr>
            <w:r>
              <w:rPr>
                <w:rFonts w:ascii="宋体" w:hAnsi="宋体" w:cs="宋体" w:eastAsia="宋体" w:hint="default"/>
                <w:sz w:val="18"/>
                <w:szCs w:val="18"/>
              </w:rPr>
              <w:t>项目进展</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023" w:right="480" w:hanging="540"/>
              <w:jc w:val="left"/>
              <w:rPr>
                <w:rFonts w:ascii="宋体" w:hAnsi="宋体" w:cs="宋体" w:eastAsia="宋体" w:hint="default"/>
                <w:sz w:val="18"/>
                <w:szCs w:val="18"/>
              </w:rPr>
            </w:pPr>
            <w:r>
              <w:rPr>
                <w:rFonts w:ascii="宋体" w:hAnsi="宋体" w:cs="宋体" w:eastAsia="宋体" w:hint="default"/>
                <w:sz w:val="18"/>
                <w:szCs w:val="18"/>
              </w:rPr>
              <w:t>对公司生产经营的 影响</w:t>
            </w:r>
          </w:p>
        </w:tc>
      </w:tr>
      <w:tr>
        <w:trPr>
          <w:trHeight w:val="315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7"/>
              <w:jc w:val="left"/>
              <w:rPr>
                <w:rFonts w:ascii="宋体" w:hAnsi="宋体" w:cs="宋体" w:eastAsia="宋体" w:hint="default"/>
                <w:sz w:val="18"/>
                <w:szCs w:val="18"/>
              </w:rPr>
            </w:pPr>
            <w:r>
              <w:rPr>
                <w:rFonts w:ascii="宋体" w:hAnsi="宋体" w:cs="宋体" w:eastAsia="宋体" w:hint="default"/>
                <w:sz w:val="18"/>
                <w:szCs w:val="18"/>
              </w:rPr>
              <w:t>智能家居系统加密通 信解决方案研发项目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本项目通过研发设计智能家居系 </w:t>
            </w:r>
            <w:r>
              <w:rPr>
                <w:rFonts w:ascii="宋体" w:hAnsi="宋体" w:cs="宋体" w:eastAsia="宋体" w:hint="default"/>
                <w:spacing w:val="-2"/>
                <w:sz w:val="18"/>
                <w:szCs w:val="18"/>
              </w:rPr>
              <w:t>统加密通信解决方案，解决智能家</w:t>
            </w:r>
            <w:r>
              <w:rPr>
                <w:rFonts w:ascii="宋体" w:hAnsi="宋体" w:cs="宋体" w:eastAsia="宋体" w:hint="default"/>
                <w:sz w:val="18"/>
                <w:szCs w:val="18"/>
              </w:rPr>
              <w:t> </w:t>
            </w:r>
            <w:r>
              <w:rPr>
                <w:rFonts w:ascii="宋体" w:hAnsi="宋体" w:cs="宋体" w:eastAsia="宋体" w:hint="default"/>
                <w:spacing w:val="-2"/>
                <w:sz w:val="18"/>
                <w:szCs w:val="18"/>
              </w:rPr>
              <w:t>居设备被网路攻击的问题，有效对</w:t>
            </w:r>
            <w:r>
              <w:rPr>
                <w:rFonts w:ascii="宋体" w:hAnsi="宋体" w:cs="宋体" w:eastAsia="宋体" w:hint="default"/>
                <w:sz w:val="18"/>
                <w:szCs w:val="18"/>
              </w:rPr>
              <w:t> </w:t>
            </w:r>
            <w:r>
              <w:rPr>
                <w:rFonts w:ascii="宋体" w:hAnsi="宋体" w:cs="宋体" w:eastAsia="宋体" w:hint="default"/>
                <w:spacing w:val="-2"/>
                <w:sz w:val="18"/>
                <w:szCs w:val="18"/>
              </w:rPr>
              <w:t>抗非授权访问等外力威胁，保证移</w:t>
            </w:r>
            <w:r>
              <w:rPr>
                <w:rFonts w:ascii="宋体" w:hAnsi="宋体" w:cs="宋体" w:eastAsia="宋体" w:hint="default"/>
                <w:sz w:val="18"/>
                <w:szCs w:val="18"/>
              </w:rPr>
              <w:t> 动终端与智能家居设备的通信安 全，保护用户的人身财产安全。</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8"/>
              <w:jc w:val="both"/>
              <w:rPr>
                <w:rFonts w:ascii="宋体" w:hAnsi="宋体" w:cs="宋体" w:eastAsia="宋体" w:hint="default"/>
                <w:sz w:val="18"/>
                <w:szCs w:val="18"/>
              </w:rPr>
            </w:pPr>
            <w:r>
              <w:rPr>
                <w:rFonts w:ascii="宋体" w:hAnsi="宋体" w:cs="宋体" w:eastAsia="宋体" w:hint="default"/>
                <w:spacing w:val="13"/>
                <w:sz w:val="18"/>
                <w:szCs w:val="18"/>
              </w:rPr>
              <w:t>设计实现了适用于智能家</w:t>
            </w:r>
            <w:r>
              <w:rPr>
                <w:rFonts w:ascii="宋体" w:hAnsi="宋体" w:cs="宋体" w:eastAsia="宋体" w:hint="default"/>
                <w:sz w:val="18"/>
                <w:szCs w:val="18"/>
              </w:rPr>
              <w:t> </w:t>
            </w:r>
            <w:r>
              <w:rPr>
                <w:rFonts w:ascii="宋体" w:hAnsi="宋体" w:cs="宋体" w:eastAsia="宋体" w:hint="default"/>
                <w:spacing w:val="13"/>
                <w:sz w:val="18"/>
                <w:szCs w:val="18"/>
              </w:rPr>
              <w:t>居设备与云端服务之间协</w:t>
            </w:r>
            <w:r>
              <w:rPr>
                <w:rFonts w:ascii="宋体" w:hAnsi="宋体" w:cs="宋体" w:eastAsia="宋体" w:hint="default"/>
                <w:sz w:val="18"/>
                <w:szCs w:val="18"/>
              </w:rPr>
              <w:t> 商会话密钥的方法、系统、 移动终端及智能家居设备， </w:t>
            </w:r>
            <w:r>
              <w:rPr>
                <w:rFonts w:ascii="宋体" w:hAnsi="宋体" w:cs="宋体" w:eastAsia="宋体" w:hint="default"/>
                <w:spacing w:val="13"/>
                <w:sz w:val="18"/>
                <w:szCs w:val="18"/>
              </w:rPr>
              <w:t>能够有效解决智能家居设</w:t>
            </w:r>
            <w:r>
              <w:rPr>
                <w:rFonts w:ascii="宋体" w:hAnsi="宋体" w:cs="宋体" w:eastAsia="宋体" w:hint="default"/>
                <w:sz w:val="18"/>
                <w:szCs w:val="18"/>
              </w:rPr>
              <w:t> </w:t>
            </w:r>
            <w:r>
              <w:rPr>
                <w:rFonts w:ascii="宋体" w:hAnsi="宋体" w:cs="宋体" w:eastAsia="宋体" w:hint="default"/>
                <w:spacing w:val="-3"/>
                <w:sz w:val="18"/>
                <w:szCs w:val="18"/>
              </w:rPr>
              <w:t>备被网路攻击的问题，保证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了移动终端与智能家居设</w:t>
            </w:r>
            <w:r>
              <w:rPr>
                <w:rFonts w:ascii="宋体" w:hAnsi="宋体" w:cs="宋体" w:eastAsia="宋体" w:hint="default"/>
                <w:sz w:val="18"/>
                <w:szCs w:val="18"/>
              </w:rPr>
              <w:t> </w:t>
            </w:r>
            <w:r>
              <w:rPr>
                <w:rFonts w:ascii="宋体" w:hAnsi="宋体" w:cs="宋体" w:eastAsia="宋体" w:hint="default"/>
                <w:spacing w:val="-3"/>
                <w:sz w:val="18"/>
                <w:szCs w:val="18"/>
              </w:rPr>
              <w:t>备的通信安全，增强了用户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体验。本项目共申请</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项专</w:t>
            </w:r>
            <w:r>
              <w:rPr>
                <w:rFonts w:ascii="宋体" w:hAnsi="宋体" w:cs="宋体" w:eastAsia="宋体" w:hint="default"/>
                <w:spacing w:val="6"/>
                <w:sz w:val="18"/>
                <w:szCs w:val="18"/>
              </w:rPr>
              <w:t> </w:t>
            </w:r>
            <w:r>
              <w:rPr>
                <w:rFonts w:ascii="宋体" w:hAnsi="宋体" w:cs="宋体" w:eastAsia="宋体" w:hint="default"/>
                <w:sz w:val="18"/>
                <w:szCs w:val="18"/>
              </w:rPr>
              <w:t>利，包括</w:t>
            </w:r>
            <w:r>
              <w:rPr>
                <w:rFonts w:ascii="Times New Roman" w:hAnsi="Times New Roman" w:cs="Times New Roman" w:eastAsia="Times New Roman" w:hint="default"/>
                <w:sz w:val="18"/>
                <w:szCs w:val="18"/>
              </w:rPr>
              <w:t>1</w:t>
            </w:r>
            <w:r>
              <w:rPr>
                <w:rFonts w:ascii="宋体" w:hAnsi="宋体" w:cs="宋体" w:eastAsia="宋体" w:hint="default"/>
                <w:sz w:val="18"/>
                <w:szCs w:val="18"/>
              </w:rPr>
              <w:t>项发明专利。</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60"/>
              <w:jc w:val="both"/>
              <w:rPr>
                <w:rFonts w:ascii="宋体" w:hAnsi="宋体" w:cs="宋体" w:eastAsia="宋体" w:hint="default"/>
                <w:sz w:val="18"/>
                <w:szCs w:val="18"/>
              </w:rPr>
            </w:pPr>
            <w:r>
              <w:rPr>
                <w:rFonts w:ascii="宋体" w:hAnsi="宋体" w:cs="宋体" w:eastAsia="宋体" w:hint="default"/>
                <w:sz w:val="18"/>
                <w:szCs w:val="18"/>
              </w:rPr>
              <w:t>本项目以飞天诚信自主核心技 术为基础，能够提高智能家居 系统的安全性，有助于增强智 能家居系统的安全可控能力。 项目有较好的社会经济效益， 抗风险能力较强。</w:t>
            </w:r>
          </w:p>
        </w:tc>
      </w:tr>
      <w:tr>
        <w:trPr>
          <w:trHeight w:val="4091"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支持多种通信协议的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U2F</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设</w:t>
            </w:r>
            <w:r>
              <w:rPr>
                <w:rFonts w:ascii="宋体" w:hAnsi="宋体" w:cs="宋体" w:eastAsia="宋体" w:hint="default"/>
                <w:spacing w:val="-52"/>
                <w:sz w:val="18"/>
                <w:szCs w:val="18"/>
              </w:rPr>
              <w:t> </w:t>
            </w:r>
            <w:r>
              <w:rPr>
                <w:rFonts w:ascii="宋体" w:hAnsi="宋体" w:cs="宋体" w:eastAsia="宋体" w:hint="default"/>
                <w:sz w:val="18"/>
                <w:szCs w:val="18"/>
              </w:rPr>
              <w:t>备</w:t>
            </w:r>
            <w:r>
              <w:rPr>
                <w:rFonts w:ascii="宋体" w:hAnsi="宋体" w:cs="宋体" w:eastAsia="宋体" w:hint="default"/>
                <w:spacing w:val="-53"/>
                <w:sz w:val="18"/>
                <w:szCs w:val="18"/>
              </w:rPr>
              <w:t> </w:t>
            </w:r>
            <w:r>
              <w:rPr>
                <w:rFonts w:ascii="宋体" w:hAnsi="宋体" w:cs="宋体" w:eastAsia="宋体" w:hint="default"/>
                <w:sz w:val="18"/>
                <w:szCs w:val="18"/>
              </w:rPr>
              <w:t>研</w:t>
            </w:r>
            <w:r>
              <w:rPr>
                <w:rFonts w:ascii="宋体" w:hAnsi="宋体" w:cs="宋体" w:eastAsia="宋体" w:hint="default"/>
                <w:spacing w:val="-53"/>
                <w:sz w:val="18"/>
                <w:szCs w:val="18"/>
              </w:rPr>
              <w:t> </w:t>
            </w:r>
            <w:r>
              <w:rPr>
                <w:rFonts w:ascii="宋体" w:hAnsi="宋体" w:cs="宋体" w:eastAsia="宋体" w:hint="default"/>
                <w:sz w:val="18"/>
                <w:szCs w:val="18"/>
              </w:rPr>
              <w:t>发</w:t>
            </w:r>
            <w:r>
              <w:rPr>
                <w:rFonts w:ascii="宋体" w:hAnsi="宋体" w:cs="宋体" w:eastAsia="宋体" w:hint="default"/>
                <w:sz w:val="18"/>
                <w:szCs w:val="18"/>
              </w:rPr>
              <w:t> 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
              <w:jc w:val="both"/>
              <w:rPr>
                <w:rFonts w:ascii="宋体" w:hAnsi="宋体" w:cs="宋体" w:eastAsia="宋体" w:hint="default"/>
                <w:sz w:val="18"/>
                <w:szCs w:val="18"/>
              </w:rPr>
            </w:pPr>
            <w:r>
              <w:rPr>
                <w:rFonts w:ascii="宋体" w:hAnsi="宋体" w:cs="宋体" w:eastAsia="宋体" w:hint="default"/>
                <w:spacing w:val="9"/>
                <w:sz w:val="18"/>
                <w:szCs w:val="18"/>
              </w:rPr>
              <w:t>现有技术中大多通用第二因素协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议（</w:t>
            </w:r>
            <w:r>
              <w:rPr>
                <w:rFonts w:ascii="Times New Roman" w:hAnsi="Times New Roman" w:cs="Times New Roman" w:eastAsia="Times New Roman" w:hint="default"/>
                <w:sz w:val="18"/>
                <w:szCs w:val="18"/>
              </w:rPr>
              <w:t>U2F</w:t>
            </w:r>
            <w:r>
              <w:rPr>
                <w:rFonts w:ascii="宋体" w:hAnsi="宋体" w:cs="宋体" w:eastAsia="宋体" w:hint="default"/>
                <w:sz w:val="18"/>
                <w:szCs w:val="18"/>
              </w:rPr>
              <w:t>）设备只支持一种通信协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议，且设备协议类型和应用之间是</w:t>
            </w:r>
            <w:r>
              <w:rPr>
                <w:rFonts w:ascii="宋体" w:hAnsi="宋体" w:cs="宋体" w:eastAsia="宋体" w:hint="default"/>
                <w:sz w:val="18"/>
                <w:szCs w:val="18"/>
              </w:rPr>
              <w:t> 预先关联好的，即</w:t>
            </w:r>
            <w:r>
              <w:rPr>
                <w:rFonts w:ascii="Times New Roman" w:hAnsi="Times New Roman" w:cs="Times New Roman" w:eastAsia="Times New Roman" w:hint="default"/>
                <w:sz w:val="18"/>
                <w:szCs w:val="18"/>
              </w:rPr>
              <w:t>U2F</w:t>
            </w:r>
            <w:r>
              <w:rPr>
                <w:rFonts w:ascii="宋体" w:hAnsi="宋体" w:cs="宋体" w:eastAsia="宋体" w:hint="default"/>
                <w:sz w:val="18"/>
                <w:szCs w:val="18"/>
              </w:rPr>
              <w:t>设备仅能通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过一种设备协议访问设备中与之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预先关联的应用，限制了</w:t>
            </w:r>
            <w:r>
              <w:rPr>
                <w:rFonts w:ascii="Times New Roman" w:hAnsi="Times New Roman" w:cs="Times New Roman" w:eastAsia="Times New Roman" w:hint="default"/>
                <w:sz w:val="18"/>
                <w:szCs w:val="18"/>
              </w:rPr>
              <w:t>U2F</w:t>
            </w:r>
            <w:r>
              <w:rPr>
                <w:rFonts w:ascii="宋体" w:hAnsi="宋体" w:cs="宋体" w:eastAsia="宋体" w:hint="default"/>
                <w:sz w:val="18"/>
                <w:szCs w:val="18"/>
              </w:rPr>
              <w:t>设备</w:t>
            </w:r>
            <w:r>
              <w:rPr>
                <w:rFonts w:ascii="宋体" w:hAnsi="宋体" w:cs="宋体" w:eastAsia="宋体" w:hint="default"/>
                <w:spacing w:val="-80"/>
                <w:sz w:val="18"/>
                <w:szCs w:val="18"/>
              </w:rPr>
              <w:t> </w:t>
            </w:r>
            <w:r>
              <w:rPr>
                <w:rFonts w:ascii="宋体" w:hAnsi="宋体" w:cs="宋体" w:eastAsia="宋体" w:hint="default"/>
                <w:spacing w:val="-2"/>
                <w:sz w:val="18"/>
                <w:szCs w:val="18"/>
              </w:rPr>
              <w:t>的应用性，用户体验性较差。本项</w:t>
            </w:r>
            <w:r>
              <w:rPr>
                <w:rFonts w:ascii="宋体" w:hAnsi="宋体" w:cs="宋体" w:eastAsia="宋体" w:hint="default"/>
                <w:sz w:val="18"/>
                <w:szCs w:val="18"/>
              </w:rPr>
              <w:t> </w:t>
            </w:r>
            <w:r>
              <w:rPr>
                <w:rFonts w:ascii="宋体" w:hAnsi="宋体" w:cs="宋体" w:eastAsia="宋体" w:hint="default"/>
                <w:spacing w:val="9"/>
                <w:sz w:val="18"/>
                <w:szCs w:val="18"/>
              </w:rPr>
              <w:t>目通过研发支持多种通信协议的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FIDO </w:t>
            </w:r>
            <w:r>
              <w:rPr>
                <w:rFonts w:ascii="Times New Roman" w:hAnsi="Times New Roman" w:cs="Times New Roman" w:eastAsia="Times New Roman" w:hint="default"/>
                <w:spacing w:val="-4"/>
                <w:sz w:val="18"/>
                <w:szCs w:val="18"/>
              </w:rPr>
              <w:t>U2F</w:t>
            </w:r>
            <w:r>
              <w:rPr>
                <w:rFonts w:ascii="宋体" w:hAnsi="宋体" w:cs="宋体" w:eastAsia="宋体" w:hint="default"/>
                <w:spacing w:val="-4"/>
                <w:sz w:val="18"/>
                <w:szCs w:val="18"/>
              </w:rPr>
              <w:t>设备，增强</w:t>
            </w:r>
            <w:r>
              <w:rPr>
                <w:rFonts w:ascii="Times New Roman" w:hAnsi="Times New Roman" w:cs="Times New Roman" w:eastAsia="Times New Roman" w:hint="default"/>
                <w:spacing w:val="-4"/>
                <w:sz w:val="18"/>
                <w:szCs w:val="18"/>
              </w:rPr>
              <w:t>U2F</w:t>
            </w:r>
            <w:r>
              <w:rPr>
                <w:rFonts w:ascii="宋体" w:hAnsi="宋体" w:cs="宋体" w:eastAsia="宋体" w:hint="default"/>
                <w:spacing w:val="-4"/>
                <w:sz w:val="18"/>
                <w:szCs w:val="18"/>
              </w:rPr>
              <w:t>设备的应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用性，提升用户体验。</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本项目在架构设计、物理安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全设计、软件安全设计、密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钥管理体系设计等多个方 </w:t>
            </w:r>
            <w:r>
              <w:rPr>
                <w:rFonts w:ascii="宋体" w:hAnsi="宋体" w:cs="宋体" w:eastAsia="宋体" w:hint="default"/>
                <w:spacing w:val="-3"/>
                <w:sz w:val="18"/>
                <w:szCs w:val="18"/>
              </w:rPr>
              <w:t>向稳步推进，通过设计图审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查、源代码审查等方式对产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品进行全面的优化和安全 </w:t>
            </w:r>
            <w:r>
              <w:rPr>
                <w:rFonts w:ascii="宋体" w:hAnsi="宋体" w:cs="宋体" w:eastAsia="宋体" w:hint="default"/>
                <w:spacing w:val="-3"/>
                <w:sz w:val="18"/>
                <w:szCs w:val="18"/>
              </w:rPr>
              <w:t>加固，并使用成熟的第三方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评测环境进行</w:t>
            </w:r>
            <w:r>
              <w:rPr>
                <w:rFonts w:ascii="Times New Roman" w:hAnsi="Times New Roman" w:cs="Times New Roman" w:eastAsia="Times New Roman" w:hint="default"/>
                <w:sz w:val="18"/>
                <w:szCs w:val="18"/>
              </w:rPr>
              <w:t>debug</w:t>
            </w:r>
            <w:r>
              <w:rPr>
                <w:rFonts w:ascii="宋体" w:hAnsi="宋体" w:cs="宋体" w:eastAsia="宋体" w:hint="default"/>
                <w:sz w:val="18"/>
                <w:szCs w:val="18"/>
              </w:rPr>
              <w:t>测试来 验证各项改进措施的有效 </w:t>
            </w:r>
            <w:r>
              <w:rPr>
                <w:rFonts w:ascii="宋体" w:hAnsi="宋体" w:cs="宋体" w:eastAsia="宋体" w:hint="default"/>
                <w:spacing w:val="-3"/>
                <w:sz w:val="18"/>
                <w:szCs w:val="18"/>
              </w:rPr>
              <w:t>性，为在较短时间内完成开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发工作，并在国际市场进行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推广。本项目共申请</w:t>
            </w:r>
            <w:r>
              <w:rPr>
                <w:rFonts w:ascii="Times New Roman" w:hAnsi="Times New Roman" w:cs="Times New Roman" w:eastAsia="Times New Roman" w:hint="default"/>
                <w:sz w:val="18"/>
                <w:szCs w:val="18"/>
              </w:rPr>
              <w:t>2</w:t>
            </w:r>
            <w:r>
              <w:rPr>
                <w:rFonts w:ascii="宋体" w:hAnsi="宋体" w:cs="宋体" w:eastAsia="宋体" w:hint="default"/>
                <w:sz w:val="18"/>
                <w:szCs w:val="18"/>
              </w:rPr>
              <w:t>项专 利，包括</w:t>
            </w:r>
            <w:r>
              <w:rPr>
                <w:rFonts w:ascii="Times New Roman" w:hAnsi="Times New Roman" w:cs="Times New Roman" w:eastAsia="Times New Roman" w:hint="default"/>
                <w:sz w:val="18"/>
                <w:szCs w:val="18"/>
              </w:rPr>
              <w:t>1</w:t>
            </w:r>
            <w:r>
              <w:rPr>
                <w:rFonts w:ascii="宋体" w:hAnsi="宋体" w:cs="宋体" w:eastAsia="宋体" w:hint="default"/>
                <w:sz w:val="18"/>
                <w:szCs w:val="18"/>
              </w:rPr>
              <w:t>项发明专利。</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0"/>
              <w:jc w:val="both"/>
              <w:rPr>
                <w:rFonts w:ascii="宋体" w:hAnsi="宋体" w:cs="宋体" w:eastAsia="宋体" w:hint="default"/>
                <w:sz w:val="18"/>
                <w:szCs w:val="18"/>
              </w:rPr>
            </w:pPr>
            <w:r>
              <w:rPr>
                <w:rFonts w:ascii="宋体" w:hAnsi="宋体" w:cs="宋体" w:eastAsia="宋体" w:hint="default"/>
                <w:spacing w:val="3"/>
                <w:sz w:val="18"/>
                <w:szCs w:val="18"/>
              </w:rPr>
              <w:t>本项目以飞天诚信自主核心技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术为基础，对</w:t>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U2F</w:t>
            </w:r>
            <w:r>
              <w:rPr>
                <w:rFonts w:ascii="宋体" w:hAnsi="宋体" w:cs="宋体" w:eastAsia="宋体" w:hint="default"/>
                <w:sz w:val="18"/>
                <w:szCs w:val="18"/>
              </w:rPr>
              <w:t>设备进 </w:t>
            </w:r>
            <w:r>
              <w:rPr>
                <w:rFonts w:ascii="宋体" w:hAnsi="宋体" w:cs="宋体" w:eastAsia="宋体" w:hint="default"/>
                <w:spacing w:val="3"/>
                <w:sz w:val="18"/>
                <w:szCs w:val="18"/>
              </w:rPr>
              <w:t>行技术升级，研发生产新一代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FIDO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U2F</w:t>
            </w:r>
            <w:r>
              <w:rPr>
                <w:rFonts w:ascii="宋体" w:hAnsi="宋体" w:cs="宋体" w:eastAsia="宋体" w:hint="default"/>
                <w:sz w:val="18"/>
                <w:szCs w:val="18"/>
              </w:rPr>
              <w:t>设备产品，在国家大 </w:t>
            </w:r>
            <w:r>
              <w:rPr>
                <w:rFonts w:ascii="宋体" w:hAnsi="宋体" w:cs="宋体" w:eastAsia="宋体" w:hint="default"/>
                <w:spacing w:val="3"/>
                <w:sz w:val="18"/>
                <w:szCs w:val="18"/>
              </w:rPr>
              <w:t>力扶持的基础产业和前景广阔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的市场化产品之间架起了一座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桥梁，对上游基础产业有着拉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动作用。</w:t>
            </w:r>
          </w:p>
        </w:tc>
      </w:tr>
      <w:tr>
        <w:trPr>
          <w:trHeight w:val="2531"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无源指纹</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卡研发项</w:t>
            </w:r>
            <w:r>
              <w:rPr>
                <w:rFonts w:ascii="宋体" w:hAnsi="宋体" w:cs="宋体" w:eastAsia="宋体" w:hint="default"/>
                <w:sz w:val="18"/>
                <w:szCs w:val="18"/>
              </w:rPr>
              <w:t> 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0"/>
              <w:jc w:val="both"/>
              <w:rPr>
                <w:rFonts w:ascii="宋体" w:hAnsi="宋体" w:cs="宋体" w:eastAsia="宋体" w:hint="default"/>
                <w:sz w:val="18"/>
                <w:szCs w:val="18"/>
              </w:rPr>
            </w:pPr>
            <w:r>
              <w:rPr>
                <w:rFonts w:ascii="宋体" w:hAnsi="宋体" w:cs="宋体" w:eastAsia="宋体" w:hint="default"/>
                <w:spacing w:val="9"/>
                <w:sz w:val="18"/>
                <w:szCs w:val="18"/>
              </w:rPr>
              <w:t>本项目研发的无源指纹</w:t>
            </w:r>
            <w:r>
              <w:rPr>
                <w:rFonts w:ascii="Times New Roman" w:hAnsi="Times New Roman" w:cs="Times New Roman" w:eastAsia="Times New Roman" w:hint="default"/>
                <w:spacing w:val="9"/>
                <w:sz w:val="18"/>
                <w:szCs w:val="18"/>
              </w:rPr>
              <w:t>IC</w:t>
            </w:r>
            <w:r>
              <w:rPr>
                <w:rFonts w:ascii="宋体" w:hAnsi="宋体" w:cs="宋体" w:eastAsia="宋体" w:hint="default"/>
                <w:spacing w:val="9"/>
                <w:sz w:val="18"/>
                <w:szCs w:val="18"/>
              </w:rPr>
              <w:t>卡采用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了一种非接取电电路，与读写器分</w:t>
            </w:r>
            <w:r>
              <w:rPr>
                <w:rFonts w:ascii="宋体" w:hAnsi="宋体" w:cs="宋体" w:eastAsia="宋体" w:hint="default"/>
                <w:sz w:val="18"/>
                <w:szCs w:val="18"/>
              </w:rPr>
              <w:t> </w:t>
            </w:r>
            <w:r>
              <w:rPr>
                <w:rFonts w:ascii="宋体" w:hAnsi="宋体" w:cs="宋体" w:eastAsia="宋体" w:hint="default"/>
                <w:spacing w:val="9"/>
                <w:sz w:val="18"/>
                <w:szCs w:val="18"/>
              </w:rPr>
              <w:t>离地以非接触方式耦合，产生电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能，以供</w:t>
            </w:r>
            <w:r>
              <w:rPr>
                <w:rFonts w:ascii="Times New Roman" w:hAnsi="Times New Roman" w:cs="Times New Roman" w:eastAsia="Times New Roman" w:hint="default"/>
                <w:spacing w:val="-2"/>
                <w:sz w:val="18"/>
                <w:szCs w:val="18"/>
              </w:rPr>
              <w:t>IC</w:t>
            </w:r>
            <w:r>
              <w:rPr>
                <w:rFonts w:ascii="宋体" w:hAnsi="宋体" w:cs="宋体" w:eastAsia="宋体" w:hint="default"/>
                <w:spacing w:val="-2"/>
                <w:sz w:val="18"/>
                <w:szCs w:val="18"/>
              </w:rPr>
              <w:t>卡片中的集成功能电路</w:t>
            </w:r>
            <w:r>
              <w:rPr>
                <w:rFonts w:ascii="宋体" w:hAnsi="宋体" w:cs="宋体" w:eastAsia="宋体" w:hint="default"/>
                <w:spacing w:val="-88"/>
                <w:sz w:val="18"/>
                <w:szCs w:val="18"/>
              </w:rPr>
              <w:t> </w:t>
            </w:r>
            <w:r>
              <w:rPr>
                <w:rFonts w:ascii="宋体" w:hAnsi="宋体" w:cs="宋体" w:eastAsia="宋体" w:hint="default"/>
                <w:sz w:val="18"/>
                <w:szCs w:val="18"/>
              </w:rPr>
              <w:t>正常工作。</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28"/>
              <w:jc w:val="both"/>
              <w:rPr>
                <w:rFonts w:ascii="宋体" w:hAnsi="宋体" w:cs="宋体" w:eastAsia="宋体" w:hint="default"/>
                <w:sz w:val="18"/>
                <w:szCs w:val="18"/>
              </w:rPr>
            </w:pPr>
            <w:r>
              <w:rPr>
                <w:rFonts w:ascii="宋体" w:hAnsi="宋体" w:cs="宋体" w:eastAsia="宋体" w:hint="default"/>
                <w:sz w:val="18"/>
                <w:szCs w:val="18"/>
              </w:rPr>
              <w:t>目前，产品已经研发成功， 将指纹识别应用于</w:t>
            </w:r>
            <w:r>
              <w:rPr>
                <w:rFonts w:ascii="Times New Roman" w:hAnsi="Times New Roman" w:cs="Times New Roman" w:eastAsia="Times New Roman" w:hint="default"/>
                <w:sz w:val="18"/>
                <w:szCs w:val="18"/>
              </w:rPr>
              <w:t>IC</w:t>
            </w:r>
            <w:r>
              <w:rPr>
                <w:rFonts w:ascii="宋体" w:hAnsi="宋体" w:cs="宋体" w:eastAsia="宋体" w:hint="default"/>
                <w:sz w:val="18"/>
                <w:szCs w:val="18"/>
              </w:rPr>
              <w:t>卡中， </w:t>
            </w:r>
            <w:r>
              <w:rPr>
                <w:rFonts w:ascii="宋体" w:hAnsi="宋体" w:cs="宋体" w:eastAsia="宋体" w:hint="default"/>
                <w:spacing w:val="13"/>
                <w:sz w:val="18"/>
                <w:szCs w:val="18"/>
              </w:rPr>
              <w:t>不仅可以更好地实现安全</w:t>
            </w:r>
            <w:r>
              <w:rPr>
                <w:rFonts w:ascii="宋体" w:hAnsi="宋体" w:cs="宋体" w:eastAsia="宋体" w:hint="default"/>
                <w:sz w:val="18"/>
                <w:szCs w:val="18"/>
              </w:rPr>
              <w:t> 机制中个人身份鉴别功能， </w:t>
            </w:r>
            <w:r>
              <w:rPr>
                <w:rFonts w:ascii="宋体" w:hAnsi="宋体" w:cs="宋体" w:eastAsia="宋体" w:hint="default"/>
                <w:spacing w:val="-3"/>
                <w:sz w:val="18"/>
                <w:szCs w:val="18"/>
              </w:rPr>
              <w:t>弥补</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卡中的安全问题，同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3"/>
                <w:sz w:val="18"/>
                <w:szCs w:val="18"/>
              </w:rPr>
              <w:t>时也省去记忆密码带来的</w:t>
            </w:r>
            <w:r>
              <w:rPr>
                <w:rFonts w:ascii="宋体" w:hAnsi="宋体" w:cs="宋体" w:eastAsia="宋体" w:hint="default"/>
                <w:sz w:val="18"/>
                <w:szCs w:val="18"/>
              </w:rPr>
              <w:t> </w:t>
            </w:r>
            <w:r>
              <w:rPr>
                <w:rFonts w:ascii="宋体" w:hAnsi="宋体" w:cs="宋体" w:eastAsia="宋体" w:hint="default"/>
                <w:spacing w:val="5"/>
                <w:sz w:val="18"/>
                <w:szCs w:val="18"/>
              </w:rPr>
              <w:t>不便。本项目共申请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项专</w:t>
            </w:r>
            <w:r>
              <w:rPr>
                <w:rFonts w:ascii="宋体" w:hAnsi="宋体" w:cs="宋体" w:eastAsia="宋体" w:hint="default"/>
                <w:spacing w:val="6"/>
                <w:sz w:val="18"/>
                <w:szCs w:val="18"/>
              </w:rPr>
              <w:t> </w:t>
            </w:r>
            <w:r>
              <w:rPr>
                <w:rFonts w:ascii="宋体" w:hAnsi="宋体" w:cs="宋体" w:eastAsia="宋体" w:hint="default"/>
                <w:sz w:val="18"/>
                <w:szCs w:val="18"/>
              </w:rPr>
              <w:t>利，其中</w:t>
            </w:r>
            <w:r>
              <w:rPr>
                <w:rFonts w:ascii="Times New Roman" w:hAnsi="Times New Roman" w:cs="Times New Roman" w:eastAsia="Times New Roman" w:hint="default"/>
                <w:sz w:val="18"/>
                <w:szCs w:val="18"/>
              </w:rPr>
              <w:t>1</w:t>
            </w:r>
            <w:r>
              <w:rPr>
                <w:rFonts w:ascii="宋体" w:hAnsi="宋体" w:cs="宋体" w:eastAsia="宋体" w:hint="default"/>
                <w:sz w:val="18"/>
                <w:szCs w:val="18"/>
              </w:rPr>
              <w:t>项发明专利。</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3" w:right="0"/>
              <w:jc w:val="both"/>
              <w:rPr>
                <w:rFonts w:ascii="宋体" w:hAnsi="宋体" w:cs="宋体" w:eastAsia="宋体" w:hint="default"/>
                <w:sz w:val="18"/>
                <w:szCs w:val="18"/>
              </w:rPr>
            </w:pPr>
            <w:r>
              <w:rPr>
                <w:rFonts w:ascii="宋体" w:hAnsi="宋体" w:cs="宋体" w:eastAsia="宋体" w:hint="default"/>
                <w:spacing w:val="3"/>
                <w:sz w:val="18"/>
                <w:szCs w:val="18"/>
              </w:rPr>
              <w:t>本项目以飞天诚信的自主核心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技术为基础，自主研发无源指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纹</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卡产品。项目实施将推动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卡向更加安全、通用以及便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捷的方向发展，符合当前</w:t>
            </w:r>
            <w:r>
              <w:rPr>
                <w:rFonts w:ascii="Times New Roman" w:hAnsi="Times New Roman" w:cs="Times New Roman" w:eastAsia="Times New Roman" w:hint="default"/>
                <w:spacing w:val="3"/>
                <w:sz w:val="18"/>
                <w:szCs w:val="18"/>
              </w:rPr>
              <w:t>IC</w:t>
            </w:r>
            <w:r>
              <w:rPr>
                <w:rFonts w:ascii="宋体" w:hAnsi="宋体" w:cs="宋体" w:eastAsia="宋体" w:hint="default"/>
                <w:spacing w:val="3"/>
                <w:sz w:val="18"/>
                <w:szCs w:val="18"/>
              </w:rPr>
              <w:t>卡</w:t>
            </w:r>
            <w:r>
              <w:rPr>
                <w:rFonts w:ascii="宋体" w:hAnsi="宋体" w:cs="宋体" w:eastAsia="宋体" w:hint="default"/>
                <w:spacing w:val="-81"/>
                <w:sz w:val="18"/>
                <w:szCs w:val="18"/>
              </w:rPr>
              <w:t> </w:t>
            </w:r>
            <w:r>
              <w:rPr>
                <w:rFonts w:ascii="宋体" w:hAnsi="宋体" w:cs="宋体" w:eastAsia="宋体" w:hint="default"/>
                <w:sz w:val="18"/>
                <w:szCs w:val="18"/>
              </w:rPr>
              <w:t>技术发展趋势。</w:t>
            </w:r>
          </w:p>
        </w:tc>
      </w:tr>
    </w:tbl>
    <w:p>
      <w:pPr>
        <w:spacing w:after="0" w:line="307"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720"/>
        <w:gridCol w:w="1676"/>
        <w:gridCol w:w="2692"/>
        <w:gridCol w:w="2150"/>
        <w:gridCol w:w="2420"/>
      </w:tblGrid>
      <w:tr>
        <w:trPr>
          <w:trHeight w:val="1283"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4"/>
                <w:sz w:val="18"/>
                <w:szCs w:val="18"/>
              </w:rPr>
              <w:t> </w:t>
            </w:r>
            <w:r>
              <w:rPr>
                <w:rFonts w:ascii="宋体" w:hAnsi="宋体" w:cs="宋体" w:eastAsia="宋体" w:hint="default"/>
                <w:spacing w:val="32"/>
                <w:sz w:val="18"/>
                <w:szCs w:val="18"/>
              </w:rPr>
              <w:t>动态令牌芯片</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HSC08T1</w:t>
            </w:r>
            <w:r>
              <w:rPr>
                <w:rFonts w:ascii="宋体" w:hAnsi="宋体" w:cs="宋体" w:eastAsia="宋体" w:hint="default"/>
                <w:sz w:val="18"/>
                <w:szCs w:val="18"/>
              </w:rPr>
              <w:t>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13"/>
              <w:jc w:val="both"/>
              <w:rPr>
                <w:rFonts w:ascii="宋体" w:hAnsi="宋体" w:cs="宋体" w:eastAsia="宋体" w:hint="default"/>
                <w:sz w:val="18"/>
                <w:szCs w:val="18"/>
              </w:rPr>
            </w:pPr>
            <w:r>
              <w:rPr>
                <w:rFonts w:ascii="宋体" w:hAnsi="宋体" w:cs="宋体" w:eastAsia="宋体" w:hint="default"/>
                <w:spacing w:val="12"/>
                <w:sz w:val="18"/>
                <w:szCs w:val="18"/>
              </w:rPr>
              <w:t>本项目通过研发的</w:t>
            </w:r>
            <w:r>
              <w:rPr>
                <w:rFonts w:ascii="Times New Roman" w:hAnsi="Times New Roman" w:cs="Times New Roman" w:eastAsia="Times New Roman" w:hint="default"/>
                <w:spacing w:val="12"/>
                <w:sz w:val="18"/>
                <w:szCs w:val="18"/>
              </w:rPr>
              <w:t>OTP</w:t>
            </w:r>
            <w:r>
              <w:rPr>
                <w:rFonts w:ascii="宋体" w:hAnsi="宋体" w:cs="宋体" w:eastAsia="宋体" w:hint="default"/>
                <w:spacing w:val="12"/>
                <w:sz w:val="18"/>
                <w:szCs w:val="18"/>
              </w:rPr>
              <w:t>动态令牌</w:t>
            </w:r>
            <w:r>
              <w:rPr>
                <w:rFonts w:ascii="宋体" w:hAnsi="宋体" w:cs="宋体" w:eastAsia="宋体" w:hint="default"/>
                <w:spacing w:val="14"/>
                <w:sz w:val="18"/>
                <w:szCs w:val="18"/>
              </w:rPr>
              <w:t> </w:t>
            </w:r>
            <w:r>
              <w:rPr>
                <w:rFonts w:ascii="宋体" w:hAnsi="宋体" w:cs="宋体" w:eastAsia="宋体" w:hint="default"/>
                <w:spacing w:val="-2"/>
                <w:sz w:val="18"/>
                <w:szCs w:val="18"/>
              </w:rPr>
              <w:t>芯片，公司可利用此项目掌握低功</w:t>
            </w:r>
            <w:r>
              <w:rPr>
                <w:rFonts w:ascii="宋体" w:hAnsi="宋体" w:cs="宋体" w:eastAsia="宋体" w:hint="default"/>
                <w:sz w:val="18"/>
                <w:szCs w:val="18"/>
              </w:rPr>
              <w:t> </w:t>
            </w:r>
            <w:r>
              <w:rPr>
                <w:rFonts w:ascii="宋体" w:hAnsi="宋体" w:cs="宋体" w:eastAsia="宋体" w:hint="default"/>
                <w:spacing w:val="-2"/>
                <w:sz w:val="18"/>
                <w:szCs w:val="18"/>
              </w:rPr>
              <w:t>耗技术，为其他更复杂的低功耗产</w:t>
            </w:r>
            <w:r>
              <w:rPr>
                <w:rFonts w:ascii="宋体" w:hAnsi="宋体" w:cs="宋体" w:eastAsia="宋体" w:hint="default"/>
                <w:sz w:val="18"/>
                <w:szCs w:val="18"/>
              </w:rPr>
              <w:t> 品奠定基础。</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目前，产品处在芯片设计阶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段，尚未流片。</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3"/>
                <w:sz w:val="18"/>
                <w:szCs w:val="18"/>
              </w:rPr>
              <w:t>本项目主要是完善公司芯片产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品线，对公司生产经营无重大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影响。</w:t>
            </w:r>
          </w:p>
        </w:tc>
      </w:tr>
      <w:tr>
        <w:trPr>
          <w:trHeight w:val="2843"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低成本低功耗物联网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安全芯片</w:t>
            </w:r>
            <w:r>
              <w:rPr>
                <w:rFonts w:ascii="Times New Roman" w:hAnsi="Times New Roman" w:cs="Times New Roman" w:eastAsia="Times New Roman" w:hint="default"/>
                <w:spacing w:val="6"/>
                <w:sz w:val="18"/>
                <w:szCs w:val="18"/>
              </w:rPr>
              <w:t>HSC32I1</w:t>
            </w:r>
            <w:r>
              <w:rPr>
                <w:rFonts w:ascii="宋体" w:hAnsi="宋体" w:cs="宋体" w:eastAsia="宋体" w:hint="default"/>
                <w:spacing w:val="6"/>
                <w:sz w:val="18"/>
                <w:szCs w:val="18"/>
              </w:rPr>
              <w:t>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5"/>
                <w:sz w:val="18"/>
                <w:szCs w:val="18"/>
              </w:rPr>
              <w:t>针对目前</w:t>
            </w:r>
            <w:r>
              <w:rPr>
                <w:rFonts w:ascii="Times New Roman" w:hAnsi="Times New Roman" w:cs="Times New Roman" w:eastAsia="Times New Roman" w:hint="default"/>
                <w:spacing w:val="-5"/>
                <w:sz w:val="18"/>
                <w:szCs w:val="18"/>
              </w:rPr>
              <w:t>5G</w:t>
            </w:r>
            <w:r>
              <w:rPr>
                <w:rFonts w:ascii="宋体" w:hAnsi="宋体" w:cs="宋体" w:eastAsia="宋体" w:hint="default"/>
                <w:spacing w:val="-5"/>
                <w:sz w:val="18"/>
                <w:szCs w:val="18"/>
              </w:rPr>
              <w:t>通信技术的前景，未来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物联网应用将成为热点，当前市场</w:t>
            </w:r>
            <w:r>
              <w:rPr>
                <w:rFonts w:ascii="宋体" w:hAnsi="宋体" w:cs="宋体" w:eastAsia="宋体" w:hint="default"/>
                <w:sz w:val="18"/>
                <w:szCs w:val="18"/>
              </w:rPr>
              <w:t> </w:t>
            </w:r>
            <w:r>
              <w:rPr>
                <w:rFonts w:ascii="宋体" w:hAnsi="宋体" w:cs="宋体" w:eastAsia="宋体" w:hint="default"/>
                <w:spacing w:val="9"/>
                <w:sz w:val="18"/>
                <w:szCs w:val="18"/>
              </w:rPr>
              <w:t>上的安全芯片很少有专门针对物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联网应用的低成本低功耗的安全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芯片，为了适应市场抓住物联网安</w:t>
            </w:r>
            <w:r>
              <w:rPr>
                <w:rFonts w:ascii="宋体" w:hAnsi="宋体" w:cs="宋体" w:eastAsia="宋体" w:hint="default"/>
                <w:sz w:val="18"/>
                <w:szCs w:val="18"/>
              </w:rPr>
              <w:t> </w:t>
            </w:r>
            <w:r>
              <w:rPr>
                <w:rFonts w:ascii="宋体" w:hAnsi="宋体" w:cs="宋体" w:eastAsia="宋体" w:hint="default"/>
                <w:spacing w:val="-2"/>
                <w:sz w:val="18"/>
                <w:szCs w:val="18"/>
              </w:rPr>
              <w:t>全芯片的广扩市场机会，公司重点</w:t>
            </w:r>
            <w:r>
              <w:rPr>
                <w:rFonts w:ascii="宋体" w:hAnsi="宋体" w:cs="宋体" w:eastAsia="宋体" w:hint="default"/>
                <w:sz w:val="18"/>
                <w:szCs w:val="18"/>
              </w:rPr>
              <w:t> </w:t>
            </w:r>
            <w:r>
              <w:rPr>
                <w:rFonts w:ascii="宋体" w:hAnsi="宋体" w:cs="宋体" w:eastAsia="宋体" w:hint="default"/>
                <w:spacing w:val="9"/>
                <w:sz w:val="18"/>
                <w:szCs w:val="18"/>
              </w:rPr>
              <w:t>投入研发一款低成本低功耗的物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联网安全芯片，以满足各大厂商对</w:t>
            </w:r>
            <w:r>
              <w:rPr>
                <w:rFonts w:ascii="宋体" w:hAnsi="宋体" w:cs="宋体" w:eastAsia="宋体" w:hint="default"/>
                <w:sz w:val="18"/>
                <w:szCs w:val="18"/>
              </w:rPr>
              <w:t> 物联网安全芯片的需求。</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目前，产品已经完成芯片设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计流片，芯片已经开始对外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销售。</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both"/>
              <w:rPr>
                <w:rFonts w:ascii="宋体" w:hAnsi="宋体" w:cs="宋体" w:eastAsia="宋体" w:hint="default"/>
                <w:sz w:val="18"/>
                <w:szCs w:val="18"/>
              </w:rPr>
            </w:pPr>
            <w:r>
              <w:rPr>
                <w:rFonts w:ascii="宋体" w:hAnsi="宋体" w:cs="宋体" w:eastAsia="宋体" w:hint="default"/>
                <w:spacing w:val="3"/>
                <w:sz w:val="18"/>
                <w:szCs w:val="18"/>
              </w:rPr>
              <w:t>本产品作为公司面向物联应用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市场的第一款安全芯片，市场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前景较好。</w:t>
            </w:r>
          </w:p>
        </w:tc>
      </w:tr>
      <w:tr>
        <w:trPr>
          <w:trHeight w:val="128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国密版物联网安全芯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片</w:t>
            </w:r>
            <w:r>
              <w:rPr>
                <w:rFonts w:ascii="Times New Roman" w:hAnsi="Times New Roman" w:cs="Times New Roman" w:eastAsia="Times New Roman" w:hint="default"/>
                <w:sz w:val="18"/>
                <w:szCs w:val="18"/>
              </w:rPr>
              <w:t>HSC32C1</w:t>
            </w:r>
            <w:r>
              <w:rPr>
                <w:rFonts w:ascii="宋体" w:hAnsi="宋体" w:cs="宋体" w:eastAsia="宋体" w:hint="default"/>
                <w:sz w:val="18"/>
                <w:szCs w:val="18"/>
              </w:rPr>
              <w:t>项目</w:t>
            </w:r>
          </w:p>
        </w:tc>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7"/>
              <w:jc w:val="both"/>
              <w:rPr>
                <w:rFonts w:ascii="宋体" w:hAnsi="宋体" w:cs="宋体" w:eastAsia="宋体" w:hint="default"/>
                <w:sz w:val="18"/>
                <w:szCs w:val="18"/>
              </w:rPr>
            </w:pPr>
            <w:r>
              <w:rPr>
                <w:rFonts w:ascii="宋体" w:hAnsi="宋体" w:cs="宋体" w:eastAsia="宋体" w:hint="default"/>
                <w:sz w:val="18"/>
                <w:szCs w:val="18"/>
              </w:rPr>
              <w:t>该芯片支持国密算法，应用于智能 交通、物联网等各种嵌入式终端， 实现数据加解密，数字签名验签等 功能。</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目前，产品已经完成设计正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在进行芯片流片验证。</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both"/>
              <w:rPr>
                <w:rFonts w:ascii="宋体" w:hAnsi="宋体" w:cs="宋体" w:eastAsia="宋体" w:hint="default"/>
                <w:sz w:val="18"/>
                <w:szCs w:val="18"/>
              </w:rPr>
            </w:pPr>
            <w:r>
              <w:rPr>
                <w:rFonts w:ascii="宋体" w:hAnsi="宋体" w:cs="宋体" w:eastAsia="宋体" w:hint="default"/>
                <w:spacing w:val="3"/>
                <w:sz w:val="18"/>
                <w:szCs w:val="18"/>
              </w:rPr>
              <w:t>对公司生产经营的影响：本产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品进一步完善公司的产品线，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可应用于多个市场，市场前景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较好。</w:t>
            </w:r>
          </w:p>
        </w:tc>
      </w:tr>
    </w:tbl>
    <w:p>
      <w:pPr>
        <w:spacing w:line="240" w:lineRule="auto" w:before="5"/>
        <w:rPr>
          <w:rFonts w:ascii="宋体" w:hAnsi="宋体" w:cs="宋体" w:eastAsia="宋体" w:hint="default"/>
          <w:sz w:val="24"/>
          <w:szCs w:val="24"/>
        </w:rPr>
      </w:pPr>
    </w:p>
    <w:p>
      <w:pPr>
        <w:pStyle w:val="BodyText"/>
        <w:spacing w:line="240" w:lineRule="auto" w:before="44"/>
        <w:ind w:right="812"/>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118,598,215.97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121,578,601.92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111,175,625.63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254,716.98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580" w:bottom="70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4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OTP </w:t>
            </w:r>
            <w:r>
              <w:rPr>
                <w:rFonts w:ascii="宋体" w:hAnsi="宋体" w:cs="宋体" w:eastAsia="宋体" w:hint="default"/>
                <w:sz w:val="18"/>
                <w:szCs w:val="18"/>
              </w:rPr>
              <w:t>动态令牌芯片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HSC08T1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1,436,702.44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本项目通过研发的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动态 令牌芯片，公司可利用此项目 掌握低功耗技术，为其他更复 杂的低功耗产品奠定基础。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7"/>
              <w:jc w:val="left"/>
              <w:rPr>
                <w:rFonts w:ascii="宋体" w:hAnsi="宋体" w:cs="宋体" w:eastAsia="宋体" w:hint="default"/>
                <w:sz w:val="18"/>
                <w:szCs w:val="18"/>
              </w:rPr>
            </w:pPr>
            <w:r>
              <w:rPr>
                <w:rFonts w:ascii="宋体" w:hAnsi="宋体" w:cs="宋体" w:eastAsia="宋体" w:hint="default"/>
                <w:sz w:val="18"/>
                <w:szCs w:val="18"/>
              </w:rPr>
              <w:t>目前，产品处在芯片设计阶 段，尚未流片。</w:t>
            </w:r>
          </w:p>
        </w:tc>
      </w:tr>
    </w:tbl>
    <w:p>
      <w:pPr>
        <w:spacing w:after="0" w:line="316"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14" w:right="1122"/>
        <w:jc w:val="left"/>
      </w:pPr>
      <w:r>
        <w:rPr/>
        <w:t>公司将内部研究开发项目的支出，区分为研究阶段支出和开发阶段支出。研究阶段的支出，于发生时计入当期损益。 开发阶段的支出，同时满足下列条件的，才能予以资本化，即：（</w:t>
      </w:r>
      <w:r>
        <w:rPr>
          <w:rFonts w:ascii="Times New Roman" w:hAnsi="Times New Roman" w:cs="Times New Roman" w:eastAsia="Times New Roman" w:hint="default"/>
        </w:rPr>
        <w:t>1</w:t>
      </w:r>
      <w:r>
        <w:rPr/>
        <w:t>）完成该无形资产以使其能够使用或出售在技术上</w:t>
      </w:r>
    </w:p>
    <w:p>
      <w:pPr>
        <w:pStyle w:val="BodyText"/>
        <w:spacing w:line="304" w:lineRule="auto"/>
        <w:ind w:right="1132"/>
        <w:jc w:val="both"/>
      </w:pPr>
      <w:r>
        <w:rPr/>
        <w:t>具有可行性：动态令牌是公司的主营产品，在销售方面具有可行性。（</w:t>
      </w:r>
      <w:r>
        <w:rPr>
          <w:rFonts w:ascii="Times New Roman" w:hAnsi="Times New Roman" w:cs="Times New Roman" w:eastAsia="Times New Roman" w:hint="default"/>
        </w:rPr>
        <w:t>2</w:t>
      </w:r>
      <w:r>
        <w:rPr/>
        <w:t>）具有完成该无形资产并使用或出售的意图：北京 宏思开发此芯片，目的是用在飞天诚信的动态令牌上。（</w:t>
      </w:r>
      <w:r>
        <w:rPr>
          <w:rFonts w:ascii="Times New Roman" w:hAnsi="Times New Roman" w:cs="Times New Roman" w:eastAsia="Times New Roman" w:hint="default"/>
        </w:rPr>
        <w:t>3</w:t>
      </w:r>
      <w:r>
        <w:rPr/>
        <w:t>）无形资产产生经济利益的方式，包括能够证明运用该无形资产 </w:t>
      </w:r>
      <w:r>
        <w:rPr>
          <w:spacing w:val="-2"/>
        </w:rPr>
        <w:t>生产的产品存在市场或无形资产自身存在市场，无形资产将在内部使用的，能证明其有用性：公司动态令牌的年销售额超过</w:t>
      </w:r>
      <w:r>
        <w:rPr>
          <w:spacing w:val="-66"/>
        </w:rPr>
        <w:t> </w:t>
      </w:r>
      <w:r>
        <w:rPr>
          <w:spacing w:val="-66"/>
        </w:rPr>
      </w:r>
      <w:r>
        <w:rPr>
          <w:rFonts w:ascii="Times New Roman" w:hAnsi="Times New Roman" w:cs="Times New Roman" w:eastAsia="Times New Roman" w:hint="default"/>
          <w:spacing w:val="-2"/>
        </w:rPr>
        <w:t>3</w:t>
      </w:r>
      <w:r>
        <w:rPr>
          <w:spacing w:val="-2"/>
        </w:rPr>
        <w:t>亿元，具有成熟市场。（</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w:t>
      </w:r>
      <w:r>
        <w:rPr>
          <w:spacing w:val="-67"/>
        </w:rPr>
        <w:t> </w:t>
      </w:r>
      <w:r>
        <w:rPr>
          <w:spacing w:val="-67"/>
        </w:rPr>
      </w:r>
      <w:r>
        <w:rPr/>
        <w:t>无形资产：公司的资金能够支持完成此项目。（</w:t>
      </w:r>
      <w:r>
        <w:rPr>
          <w:rFonts w:ascii="Times New Roman" w:hAnsi="Times New Roman" w:cs="Times New Roman" w:eastAsia="Times New Roman" w:hint="default"/>
        </w:rPr>
        <w:t>5</w:t>
      </w:r>
      <w:r>
        <w:rPr/>
        <w:t>）归属于该无形资产开发阶段的支出能够可靠地计量：该项目单独核算， 能够可靠计量。</w:t>
      </w:r>
    </w:p>
    <w:p>
      <w:pPr>
        <w:pStyle w:val="BodyText"/>
        <w:spacing w:line="316" w:lineRule="auto" w:before="28"/>
        <w:ind w:left="514" w:right="812"/>
        <w:jc w:val="left"/>
      </w:pPr>
      <w:r>
        <w:rPr/>
        <w:t>不满足上述条件的开发支出计入当期损益。 公司研究开发项目在满足上述条件，通过技术可行性及经济可行性研究，形成项目立项后，进入开发阶段。 </w:t>
      </w:r>
      <w:r>
        <w:rPr>
          <w:spacing w:val="-2"/>
        </w:rPr>
        <w:t>公司设立了完善的研发休系，从产品的立项、评审、开发、测试、发布评审、发布等均建立了相应的流程或制度，建立</w:t>
      </w:r>
    </w:p>
    <w:p>
      <w:pPr>
        <w:pStyle w:val="BodyText"/>
        <w:spacing w:line="240" w:lineRule="auto" w:before="19"/>
        <w:ind w:right="0"/>
        <w:jc w:val="both"/>
      </w:pPr>
      <w:r>
        <w:rPr/>
        <w:t>了相应的控制措施和识别标识，确保资本化的准确。</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1,254,557,529.16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1,326,768,557.99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1,246,403,095.80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1,223,831,697.25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8,154,433.36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102,936,860.74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2,165,457,471.46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2,510,233,721.08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2,082,530,223.73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2,791,845,623.70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82,927,247.73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-281,611,902.62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20,922,548.11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42,963,356.15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-20,922,548.11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-42,963,356.15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74,234,193.73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-224,607,422.44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133.05%</w:t>
            </w:r>
          </w:p>
        </w:tc>
      </w:tr>
    </w:tbl>
    <w:p>
      <w:pPr>
        <w:pStyle w:val="BodyText"/>
        <w:spacing w:line="240" w:lineRule="auto" w:before="51"/>
        <w:ind w:right="812"/>
        <w:jc w:val="left"/>
      </w:pPr>
      <w:r>
        <w:rPr/>
        <w:t>相关数据同比发生重大变动的主要影响因素说明</w:t>
      </w:r>
    </w:p>
    <w:p>
      <w:pPr>
        <w:pStyle w:val="BodyText"/>
        <w:spacing w:line="240" w:lineRule="auto" w:before="116"/>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2"/>
        <w:ind w:right="1112"/>
        <w:jc w:val="left"/>
      </w:pPr>
      <w:r>
        <w:rPr>
          <w:rFonts w:ascii="Times New Roman" w:hAnsi="Times New Roman" w:cs="Times New Roman" w:eastAsia="Times New Roman" w:hint="default"/>
        </w:rPr>
        <w:t>1.</w:t>
      </w:r>
      <w:r>
        <w:rPr/>
        <w:t>报告期内，</w:t>
      </w:r>
      <w:r>
        <w:rPr>
          <w:spacing w:val="-65"/>
        </w:rPr>
        <w:t> </w:t>
      </w:r>
      <w:r>
        <w:rPr/>
        <w:t>经营活动产生的现金流量净额较上年同期减少</w:t>
      </w:r>
      <w:r>
        <w:rPr>
          <w:rFonts w:ascii="Times New Roman" w:hAnsi="Times New Roman" w:cs="Times New Roman" w:eastAsia="Times New Roman" w:hint="default"/>
        </w:rPr>
        <w:t>92.08%</w:t>
      </w:r>
      <w:r>
        <w:rPr/>
        <w:t>，其中经营活动现金流入较上年同期减少</w:t>
      </w:r>
      <w:r>
        <w:rPr>
          <w:rFonts w:ascii="Times New Roman" w:hAnsi="Times New Roman" w:cs="Times New Roman" w:eastAsia="Times New Roman" w:hint="default"/>
        </w:rPr>
        <w:t>5.44%</w:t>
      </w:r>
      <w:r>
        <w:rPr/>
        <w:t>，主要原 </w:t>
      </w:r>
      <w:r>
        <w:rPr>
          <w:spacing w:val="-1"/>
        </w:rPr>
        <w:t>因为本期销售商品、提供劳务收到的现金减少所致；经营活动现金流出较上年同期增加</w:t>
      </w:r>
      <w:r>
        <w:rPr>
          <w:rFonts w:ascii="Times New Roman" w:hAnsi="Times New Roman" w:cs="Times New Roman" w:eastAsia="Times New Roman" w:hint="default"/>
          <w:spacing w:val="-1"/>
        </w:rPr>
        <w:t>1.84%</w:t>
      </w:r>
      <w:r>
        <w:rPr>
          <w:spacing w:val="-1"/>
        </w:rPr>
        <w:t>，主要原因是本期支付给职工</w:t>
      </w:r>
      <w:r>
        <w:rPr>
          <w:spacing w:val="-45"/>
        </w:rPr>
        <w:t> </w:t>
      </w:r>
      <w:r>
        <w:rPr>
          <w:spacing w:val="-45"/>
        </w:rPr>
      </w:r>
      <w:r>
        <w:rPr/>
        <w:t>以及为职工支付的现金及支付的各项税费增加所致； </w:t>
      </w:r>
      <w:r>
        <w:rPr>
          <w:rFonts w:ascii="Times New Roman" w:hAnsi="Times New Roman" w:cs="Times New Roman" w:eastAsia="Times New Roman" w:hint="default"/>
        </w:rPr>
        <w:t>2.</w:t>
      </w:r>
      <w:r>
        <w:rPr/>
        <w:t>报告期内，投资活动产生的现金流量净额较上年同期增加</w:t>
      </w:r>
      <w:r>
        <w:rPr>
          <w:rFonts w:ascii="Times New Roman" w:hAnsi="Times New Roman" w:cs="Times New Roman" w:eastAsia="Times New Roman" w:hint="default"/>
        </w:rPr>
        <w:t>129.45%</w:t>
      </w:r>
      <w:r>
        <w:rPr/>
        <w:t>，主要系本期理财投入减少所致；</w:t>
      </w:r>
    </w:p>
    <w:p>
      <w:pPr>
        <w:pStyle w:val="BodyText"/>
        <w:spacing w:line="240" w:lineRule="auto" w:before="7"/>
        <w:ind w:right="812"/>
        <w:jc w:val="left"/>
      </w:pPr>
      <w:r>
        <w:rPr>
          <w:rFonts w:ascii="Times New Roman" w:hAnsi="Times New Roman" w:cs="Times New Roman" w:eastAsia="Times New Roman" w:hint="default"/>
        </w:rPr>
        <w:t>3.</w:t>
      </w:r>
      <w:r>
        <w:rPr/>
        <w:t>报告期内，筹资活动产生的现金流量净额较上年同期增加</w:t>
      </w:r>
      <w:r>
        <w:rPr>
          <w:rFonts w:ascii="Times New Roman" w:hAnsi="Times New Roman" w:cs="Times New Roman" w:eastAsia="Times New Roman" w:hint="default"/>
        </w:rPr>
        <w:t>51.30%</w:t>
      </w:r>
      <w:r>
        <w:rPr/>
        <w:t>，主要系本期分红减少所致；</w:t>
      </w:r>
    </w:p>
    <w:p>
      <w:pPr>
        <w:pStyle w:val="BodyText"/>
        <w:spacing w:line="340" w:lineRule="auto" w:before="63"/>
        <w:ind w:right="2772"/>
        <w:jc w:val="left"/>
      </w:pPr>
      <w:r>
        <w:rPr>
          <w:rFonts w:ascii="Times New Roman" w:hAnsi="Times New Roman" w:cs="Times New Roman" w:eastAsia="Times New Roman" w:hint="default"/>
        </w:rPr>
        <w:t>4.</w:t>
      </w:r>
      <w:r>
        <w:rPr/>
        <w:t>报告期内，现金及现金等价物净增加额较上年同期增加了</w:t>
      </w:r>
      <w:r>
        <w:rPr>
          <w:rFonts w:ascii="Times New Roman" w:hAnsi="Times New Roman" w:cs="Times New Roman" w:eastAsia="Times New Roman" w:hint="default"/>
        </w:rPr>
        <w:t>133.05%</w:t>
      </w:r>
      <w:r>
        <w:rPr/>
        <w:t>，主要系本期理财投入减少所致。 报告期内公司经营活动产生的现金净流量与本年度净利润存在重大差异的原因说明</w:t>
      </w:r>
    </w:p>
    <w:p>
      <w:pPr>
        <w:pStyle w:val="BodyText"/>
        <w:spacing w:line="338" w:lineRule="auto" w:before="40"/>
        <w:ind w:right="3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报告期内，经营活动产生的现金流量净额较本年度净利润差异为</w:t>
      </w:r>
      <w:r>
        <w:rPr>
          <w:rFonts w:ascii="Times New Roman" w:hAnsi="Times New Roman" w:cs="Times New Roman" w:eastAsia="Times New Roman" w:hint="default"/>
        </w:rPr>
        <w:t>12,859.30</w:t>
      </w:r>
      <w:r>
        <w:rPr/>
        <w:t>万元，具体如下：</w:t>
      </w:r>
    </w:p>
    <w:p>
      <w:pPr>
        <w:spacing w:after="0" w:line="338"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5031"/>
        <w:gridCol w:w="4653"/>
      </w:tblGrid>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4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134,047,430.18</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13,421,551.80</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11,945,315.37</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3,266,021.40</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1,950,330.17</w:t>
            </w:r>
          </w:p>
        </w:tc>
      </w:tr>
      <w:tr>
        <w:trPr>
          <w:trHeight w:val="714"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43,693.49</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134,918.12</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-1,084,164.99</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-25,055,787.54</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-972,925.28</w:t>
            </w:r>
            <w:r>
              <w:rPr>
                <w:rFonts w:ascii="Times New Roman"/>
                <w:sz w:val="18"/>
              </w:rPr>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-967,357.38</w:t>
            </w:r>
            <w:r>
              <w:rPr>
                <w:rFonts w:ascii="Times New Roman"/>
                <w:sz w:val="18"/>
              </w:rPr>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-47,662,588.66</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-33,156,033.45</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-37,872,630.73</w:t>
            </w:r>
          </w:p>
        </w:tc>
      </w:tr>
      <w:tr>
        <w:trPr>
          <w:trHeight w:val="714"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7"/>
              <w:jc w:val="left"/>
              <w:rPr>
                <w:rFonts w:ascii="宋体" w:hAnsi="宋体" w:cs="宋体" w:eastAsia="宋体" w:hint="default"/>
                <w:sz w:val="18"/>
                <w:szCs w:val="18"/>
              </w:rPr>
            </w:pPr>
            <w:r>
              <w:rPr>
                <w:rFonts w:ascii="宋体" w:hAnsi="宋体" w:cs="宋体" w:eastAsia="宋体" w:hint="default"/>
                <w:sz w:val="18"/>
                <w:szCs w:val="18"/>
              </w:rPr>
              <w:t>企业取得联营企业的投资成本小于取得投资时应享有被投资单 位可辨认净资产公允价值产生的收益</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-9,883,339.14</w:t>
            </w:r>
          </w:p>
        </w:tc>
      </w:tr>
      <w:tr>
        <w:trPr>
          <w:trHeight w:val="402" w:hRule="exact"/>
        </w:trPr>
        <w:tc>
          <w:tcPr>
            <w:tcW w:w="5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6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8,154,433.36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812"/>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25,055,787.54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16.34%</w:t>
            </w:r>
          </w:p>
        </w:tc>
        <w:tc>
          <w:tcPr>
            <w:tcW w:w="216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主要系取得理财收益所致。</w:t>
            </w:r>
          </w:p>
        </w:tc>
        <w:tc>
          <w:tcPr>
            <w:tcW w:w="234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13,421,551.80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主要系坏账损失、 存货跌 价损失、 固定资产减值损 失及可供出售金融资产减 值损失所致。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18,403,265.67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12.00%</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主要系取得与收益相关的 政府补助所致。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136,918.12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主要系非流动资产毁损报 废损失所致。</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主要系非流动资产处置损</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失所致。</w:t>
            </w: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662,539,376.2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588,138,656.27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29.86%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3.06%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主要系本期购买理财产品减少所致。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97,244,483.23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68,811,134.46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1.34%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主要系本期银行客户结算量增加所 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442,820,282.0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402,854,493.81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20.45%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1.55%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主要是库存产品增加所致。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47,264,091.69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4,842,083.86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2.10%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主要系本期购买深圳市瑞福达液晶 显示技术股份有限公司的股权所致。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29,603,257.61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37,245,267.40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156,915.24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85,629.91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549,742,556.4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699,253,902.45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主要系本期购买理财产品减少所致。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102,294,256.3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102,294,256.35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388"/>
        <w:gridCol w:w="3268"/>
        <w:gridCol w:w="3003"/>
      </w:tblGrid>
      <w:tr>
        <w:trPr>
          <w:trHeight w:val="34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0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9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10,637,972.14</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2" w:hRule="exact"/>
        </w:trPr>
        <w:tc>
          <w:tcPr>
            <w:tcW w:w="3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0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10,637,972.14</w:t>
            </w:r>
            <w:r>
              <w:rPr>
                <w:rFonts w:ascii="Times New Roman"/>
                <w:sz w:val="18"/>
              </w:rPr>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812"/>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111,242,881.14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202,857,350.00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-45.16%</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146"/>
        <w:jc w:val="right"/>
      </w:pPr>
      <w:r>
        <w:rPr/>
        <w:pict>
          <v:shape style="position:absolute;margin-left:56.459999pt;margin-top:-221.66832pt;width:478.95pt;height:239.4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55,818.99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支付股权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55,818.99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32.17%</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6,030.01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2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（一）实际募集资金金额、资金到账时间经中国证券监督管理委员会《关于核准飞天诚信科技股份有限公司首次公开发行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股票的批复》（证监许可</w:t>
                        </w:r>
                        <w:r>
                          <w:rPr>
                            <w:rFonts w:ascii="Times New Roman" w:hAnsi="Times New Roman" w:cs="Times New Roman" w:eastAsia="Times New Roman" w:hint="default"/>
                            <w:spacing w:val="-5"/>
                            <w:sz w:val="18"/>
                            <w:szCs w:val="18"/>
                          </w:rPr>
                          <w:t>[2014]578</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9"/>
                            <w:sz w:val="18"/>
                            <w:szCs w:val="18"/>
                          </w:rPr>
                          <w:t> </w:t>
                        </w:r>
                        <w:r>
                          <w:rPr>
                            <w:rFonts w:ascii="宋体" w:hAnsi="宋体" w:cs="宋体" w:eastAsia="宋体" w:hint="default"/>
                            <w:w w:val="99"/>
                            <w:sz w:val="18"/>
                            <w:szCs w:val="18"/>
                          </w:rPr>
                          <w:t>月于深圳证券交易所向社会公众公开发行人民币普通股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)2,376.00  </w:t>
                        </w:r>
                        <w:r>
                          <w:rPr>
                            <w:rFonts w:ascii="宋体" w:hAnsi="宋体" w:cs="宋体" w:eastAsia="宋体" w:hint="default"/>
                            <w:sz w:val="18"/>
                            <w:szCs w:val="18"/>
                          </w:rPr>
                          <w:t>万股，发行价为 </w:t>
                        </w:r>
                        <w:r>
                          <w:rPr>
                            <w:rFonts w:ascii="Times New Roman" w:hAnsi="Times New Roman" w:cs="Times New Roman" w:eastAsia="Times New Roman" w:hint="default"/>
                            <w:sz w:val="18"/>
                            <w:szCs w:val="18"/>
                          </w:rPr>
                          <w:t>33.13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股，股款以人民币缴足，共计人民币 </w:t>
                        </w:r>
                        <w:r>
                          <w:rPr>
                            <w:rFonts w:ascii="Times New Roman" w:hAnsi="Times New Roman" w:cs="Times New Roman" w:eastAsia="Times New Roman" w:hint="default"/>
                            <w:sz w:val="18"/>
                            <w:szCs w:val="18"/>
                          </w:rPr>
                          <w:t>78,716.88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万元，公司应募集资金人民币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66,293.13  </w:t>
                        </w:r>
                        <w:r>
                          <w:rPr>
                            <w:rFonts w:ascii="宋体" w:hAnsi="宋体" w:cs="宋体" w:eastAsia="宋体" w:hint="default"/>
                            <w:sz w:val="18"/>
                            <w:szCs w:val="18"/>
                          </w:rPr>
                          <w:t>万元，根据规定扣除承销及保荐费用、中介机构费和其他发行费用人民币 </w:t>
                        </w:r>
                        <w:r>
                          <w:rPr>
                            <w:rFonts w:ascii="Times New Roman" w:hAnsi="Times New Roman" w:cs="Times New Roman" w:eastAsia="Times New Roman" w:hint="default"/>
                            <w:sz w:val="18"/>
                            <w:szCs w:val="18"/>
                          </w:rPr>
                          <w:t>4,444.13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万元后，实际募集资金净额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为人民币 </w:t>
                        </w:r>
                        <w:r>
                          <w:rPr>
                            <w:rFonts w:ascii="Times New Roman" w:hAnsi="Times New Roman" w:cs="Times New Roman" w:eastAsia="Times New Roman" w:hint="default"/>
                            <w:sz w:val="18"/>
                            <w:szCs w:val="18"/>
                          </w:rPr>
                          <w:t>61,849.00  </w:t>
                        </w:r>
                        <w:r>
                          <w:rPr>
                            <w:rFonts w:ascii="宋体" w:hAnsi="宋体" w:cs="宋体" w:eastAsia="宋体" w:hint="default"/>
                            <w:sz w:val="18"/>
                            <w:szCs w:val="18"/>
                          </w:rPr>
                          <w:t>万元。上述募集资金于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日到账，募集资金到位情况已经瑞华会计师事务所（特殊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普通合伙</w:t>
                        </w:r>
                        <w:r>
                          <w:rPr>
                            <w:rFonts w:ascii="宋体" w:hAnsi="宋体" w:cs="宋体" w:eastAsia="宋体" w:hint="default"/>
                            <w:spacing w:val="-36"/>
                            <w:sz w:val="18"/>
                            <w:szCs w:val="18"/>
                          </w:rPr>
                          <w:t>）</w:t>
                        </w:r>
                        <w:r>
                          <w:rPr>
                            <w:rFonts w:ascii="宋体" w:hAnsi="宋体" w:cs="宋体" w:eastAsia="宋体" w:hint="default"/>
                            <w:sz w:val="18"/>
                            <w:szCs w:val="18"/>
                          </w:rPr>
                          <w:t>审</w:t>
                        </w:r>
                        <w:r>
                          <w:rPr>
                            <w:rFonts w:ascii="宋体" w:hAnsi="宋体" w:cs="宋体" w:eastAsia="宋体" w:hint="default"/>
                            <w:spacing w:val="-2"/>
                            <w:sz w:val="18"/>
                            <w:szCs w:val="18"/>
                          </w:rPr>
                          <w:t>验</w:t>
                        </w:r>
                        <w:r>
                          <w:rPr>
                            <w:rFonts w:ascii="宋体" w:hAnsi="宋体" w:cs="宋体" w:eastAsia="宋体" w:hint="default"/>
                            <w:spacing w:val="-36"/>
                            <w:sz w:val="18"/>
                            <w:szCs w:val="18"/>
                          </w:rPr>
                          <w:t>，</w:t>
                        </w:r>
                        <w:r>
                          <w:rPr>
                            <w:rFonts w:ascii="宋体" w:hAnsi="宋体" w:cs="宋体" w:eastAsia="宋体" w:hint="default"/>
                            <w:sz w:val="18"/>
                            <w:szCs w:val="18"/>
                          </w:rPr>
                          <w:t>并于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日出具瑞华验字</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 </w:t>
                        </w:r>
                        <w:r>
                          <w:rPr>
                            <w:rFonts w:ascii="Times New Roman" w:hAnsi="Times New Roman" w:cs="Times New Roman" w:eastAsia="Times New Roman" w:hint="default"/>
                            <w:sz w:val="18"/>
                            <w:szCs w:val="18"/>
                          </w:rPr>
                          <w:t>014600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126"/>
                            <w:sz w:val="18"/>
                            <w:szCs w:val="18"/>
                          </w:rPr>
                          <w:t>。</w:t>
                        </w:r>
                        <w:r>
                          <w:rPr>
                            <w:rFonts w:ascii="宋体" w:hAnsi="宋体" w:cs="宋体" w:eastAsia="宋体" w:hint="default"/>
                            <w:sz w:val="18"/>
                            <w:szCs w:val="18"/>
                          </w:rPr>
                          <w:t>（二</w:t>
                        </w:r>
                        <w:r>
                          <w:rPr>
                            <w:rFonts w:ascii="宋体" w:hAnsi="宋体" w:cs="宋体" w:eastAsia="宋体" w:hint="default"/>
                            <w:spacing w:val="-36"/>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11"/>
        <w:rPr>
          <w:rFonts w:ascii="宋体" w:hAnsi="宋体" w:cs="宋体" w:eastAsia="宋体" w:hint="default"/>
          <w:sz w:val="24"/>
          <w:szCs w:val="24"/>
        </w:rPr>
      </w:pPr>
    </w:p>
    <w:p>
      <w:pPr>
        <w:spacing w:line="1298"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2pt;height:64.95pt;mso-position-horizontal-relative:char;mso-position-vertical-relative:line" type="#_x0000_t202" filled="false" stroked="true" strokeweight=".48004pt" strokecolor="#000000">
            <w10:anchorlock/>
            <v:textbox inset="0,0,0,0">
              <w:txbxContent>
                <w:p>
                  <w:pPr>
                    <w:pStyle w:val="BodyText"/>
                    <w:spacing w:line="240" w:lineRule="auto" w:before="10"/>
                    <w:ind w:left="22" w:right="0"/>
                    <w:jc w:val="left"/>
                  </w:pPr>
                  <w:r>
                    <w:rPr/>
                    <w:t>本公司累计使用募集资金人民币</w:t>
                  </w:r>
                  <w:r>
                    <w:rPr>
                      <w:spacing w:val="-52"/>
                    </w:rPr>
                    <w:t> </w:t>
                  </w:r>
                  <w:r>
                    <w:rPr>
                      <w:rFonts w:ascii="Times New Roman" w:hAnsi="Times New Roman" w:cs="Times New Roman" w:eastAsia="Times New Roman" w:hint="default"/>
                    </w:rPr>
                    <w:t>55,818.99</w:t>
                  </w:r>
                  <w:r>
                    <w:rPr>
                      <w:rFonts w:ascii="Times New Roman" w:hAnsi="Times New Roman" w:cs="Times New Roman" w:eastAsia="Times New Roman" w:hint="default"/>
                      <w:spacing w:val="-7"/>
                    </w:rPr>
                    <w:t> </w:t>
                  </w:r>
                  <w:r>
                    <w:rPr/>
                    <w:t>万元，其中：以前年度使用</w:t>
                  </w:r>
                  <w:r>
                    <w:rPr>
                      <w:spacing w:val="-52"/>
                    </w:rPr>
                    <w:t> </w:t>
                  </w:r>
                  <w:r>
                    <w:rPr>
                      <w:rFonts w:ascii="Times New Roman" w:hAnsi="Times New Roman" w:cs="Times New Roman" w:eastAsia="Times New Roman" w:hint="default"/>
                    </w:rPr>
                    <w:t>53,921.69</w:t>
                  </w:r>
                  <w:r>
                    <w:rPr>
                      <w:rFonts w:ascii="Times New Roman" w:hAnsi="Times New Roman" w:cs="Times New Roman" w:eastAsia="Times New Roman" w:hint="default"/>
                      <w:spacing w:val="-7"/>
                    </w:rPr>
                    <w:t> </w:t>
                  </w:r>
                  <w:r>
                    <w:rPr/>
                    <w:t>万元，本报告期使用</w:t>
                  </w:r>
                  <w:r>
                    <w:rPr>
                      <w:spacing w:val="-52"/>
                    </w:rPr>
                    <w:t> </w:t>
                  </w:r>
                  <w:r>
                    <w:rPr>
                      <w:rFonts w:ascii="Times New Roman" w:hAnsi="Times New Roman" w:cs="Times New Roman" w:eastAsia="Times New Roman" w:hint="default"/>
                    </w:rPr>
                    <w:t>1,897.30</w:t>
                  </w:r>
                  <w:r>
                    <w:rPr>
                      <w:rFonts w:ascii="Times New Roman" w:hAnsi="Times New Roman" w:cs="Times New Roman" w:eastAsia="Times New Roman" w:hint="default"/>
                      <w:spacing w:val="-7"/>
                    </w:rPr>
                    <w:t> </w:t>
                  </w:r>
                  <w:r>
                    <w:rPr/>
                    <w:t>万元。截止</w:t>
                  </w:r>
                </w:p>
                <w:p>
                  <w:pPr>
                    <w:pStyle w:val="BodyText"/>
                    <w:spacing w:line="240" w:lineRule="auto" w:before="63"/>
                    <w:ind w:left="2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日，本公司累计使用金额人民币</w:t>
                  </w:r>
                  <w:r>
                    <w:rPr>
                      <w:spacing w:val="-47"/>
                    </w:rPr>
                    <w:t> </w:t>
                  </w:r>
                  <w:r>
                    <w:rPr>
                      <w:rFonts w:ascii="Times New Roman" w:hAnsi="Times New Roman" w:cs="Times New Roman" w:eastAsia="Times New Roman" w:hint="default"/>
                    </w:rPr>
                    <w:t>55,818.99</w:t>
                  </w:r>
                  <w:r>
                    <w:rPr>
                      <w:rFonts w:ascii="Times New Roman" w:hAnsi="Times New Roman" w:cs="Times New Roman" w:eastAsia="Times New Roman" w:hint="default"/>
                      <w:spacing w:val="-2"/>
                    </w:rPr>
                    <w:t> </w:t>
                  </w:r>
                  <w:r>
                    <w:rPr/>
                    <w:t>万元，募集资金专户余额为人民币</w:t>
                  </w:r>
                  <w:r>
                    <w:rPr>
                      <w:spacing w:val="-47"/>
                    </w:rPr>
                    <w:t> </w:t>
                  </w:r>
                  <w:r>
                    <w:rPr>
                      <w:rFonts w:ascii="Times New Roman" w:hAnsi="Times New Roman" w:cs="Times New Roman" w:eastAsia="Times New Roman" w:hint="default"/>
                    </w:rPr>
                    <w:t>6,030.01</w:t>
                  </w:r>
                  <w:r>
                    <w:rPr>
                      <w:rFonts w:ascii="Times New Roman" w:hAnsi="Times New Roman" w:cs="Times New Roman" w:eastAsia="Times New Roman" w:hint="default"/>
                      <w:spacing w:val="-2"/>
                    </w:rPr>
                    <w:t> </w:t>
                  </w:r>
                  <w:r>
                    <w:rPr/>
                    <w:t>万元，与实际募集</w:t>
                  </w:r>
                </w:p>
                <w:p>
                  <w:pPr>
                    <w:pStyle w:val="BodyText"/>
                    <w:spacing w:line="240" w:lineRule="auto" w:before="63"/>
                    <w:ind w:left="22" w:right="0"/>
                    <w:jc w:val="left"/>
                  </w:pPr>
                  <w:r>
                    <w:rPr/>
                    <w:t>资金净额人民币</w:t>
                  </w:r>
                  <w:r>
                    <w:rPr>
                      <w:spacing w:val="-55"/>
                    </w:rPr>
                    <w:t> </w:t>
                  </w:r>
                  <w:r>
                    <w:rPr>
                      <w:rFonts w:ascii="Times New Roman" w:hAnsi="Times New Roman" w:cs="Times New Roman" w:eastAsia="Times New Roman" w:hint="default"/>
                    </w:rPr>
                    <w:t>8,732.62</w:t>
                  </w:r>
                  <w:r>
                    <w:rPr>
                      <w:rFonts w:ascii="Times New Roman" w:hAnsi="Times New Roman" w:cs="Times New Roman" w:eastAsia="Times New Roman" w:hint="default"/>
                      <w:spacing w:val="-10"/>
                    </w:rPr>
                    <w:t> </w:t>
                  </w:r>
                  <w:r>
                    <w:rPr/>
                    <w:t>万元的差异金额为人民币</w:t>
                  </w:r>
                  <w:r>
                    <w:rPr>
                      <w:spacing w:val="-55"/>
                    </w:rPr>
                    <w:t> </w:t>
                  </w:r>
                  <w:r>
                    <w:rPr>
                      <w:rFonts w:ascii="Times New Roman" w:hAnsi="Times New Roman" w:cs="Times New Roman" w:eastAsia="Times New Roman" w:hint="default"/>
                    </w:rPr>
                    <w:t>2,702.61</w:t>
                  </w:r>
                  <w:r>
                    <w:rPr>
                      <w:rFonts w:ascii="Times New Roman" w:hAnsi="Times New Roman" w:cs="Times New Roman" w:eastAsia="Times New Roman" w:hint="default"/>
                      <w:spacing w:val="-10"/>
                    </w:rPr>
                    <w:t> </w:t>
                  </w:r>
                  <w:r>
                    <w:rPr/>
                    <w:t>万元，系募集资金累计利息收入扣除银行手续费支出后的净额</w:t>
                  </w:r>
                </w:p>
                <w:p>
                  <w:pPr>
                    <w:pStyle w:val="BodyText"/>
                    <w:spacing w:line="240" w:lineRule="auto" w:before="64"/>
                    <w:ind w:left="22" w:right="0"/>
                    <w:jc w:val="left"/>
                  </w:pPr>
                  <w:r>
                    <w:rPr>
                      <w:rFonts w:ascii="Times New Roman" w:hAnsi="Times New Roman" w:cs="Times New Roman" w:eastAsia="Times New Roman" w:hint="default"/>
                    </w:rPr>
                    <w:t>2,723.97</w:t>
                  </w:r>
                  <w:r>
                    <w:rPr>
                      <w:rFonts w:ascii="Times New Roman" w:hAnsi="Times New Roman" w:cs="Times New Roman" w:eastAsia="Times New Roman" w:hint="default"/>
                      <w:spacing w:val="-1"/>
                    </w:rPr>
                    <w:t> </w:t>
                  </w:r>
                  <w:r>
                    <w:rPr/>
                    <w:t>万元，补充流动资金</w:t>
                  </w:r>
                  <w:r>
                    <w:rPr>
                      <w:spacing w:val="-47"/>
                    </w:rPr>
                    <w:t> </w:t>
                  </w:r>
                  <w:r>
                    <w:rPr>
                      <w:rFonts w:ascii="Times New Roman" w:hAnsi="Times New Roman" w:cs="Times New Roman" w:eastAsia="Times New Roman" w:hint="default"/>
                    </w:rPr>
                    <w:t>21.36</w:t>
                  </w:r>
                  <w:r>
                    <w:rPr>
                      <w:rFonts w:ascii="Times New Roman" w:hAnsi="Times New Roman" w:cs="Times New Roman" w:eastAsia="Times New Roman" w:hint="default"/>
                      <w:spacing w:val="-2"/>
                    </w:rPr>
                    <w:t> </w:t>
                  </w:r>
                  <w:r>
                    <w:rPr/>
                    <w:t>万元。</w:t>
                  </w:r>
                </w:p>
              </w:txbxContent>
            </v:textbox>
          </v:shape>
        </w:pict>
      </w:r>
      <w:r>
        <w:rPr>
          <w:rFonts w:ascii="宋体" w:hAnsi="宋体" w:cs="宋体" w:eastAsia="宋体" w:hint="default"/>
          <w:position w:val="-25"/>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81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1"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635"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1.USB Key </w:t>
            </w:r>
            <w:r>
              <w:rPr>
                <w:rFonts w:ascii="宋体" w:hAnsi="宋体" w:cs="宋体" w:eastAsia="宋体" w:hint="default"/>
                <w:sz w:val="18"/>
                <w:szCs w:val="18"/>
              </w:rPr>
              <w:t>安全产 </w:t>
            </w:r>
            <w:r>
              <w:rPr>
                <w:rFonts w:ascii="宋体" w:hAnsi="宋体" w:cs="宋体" w:eastAsia="宋体" w:hint="default"/>
                <w:spacing w:val="-5"/>
                <w:sz w:val="18"/>
                <w:szCs w:val="18"/>
              </w:rPr>
              <w:t>品的技术升级、新产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品研发及产业化项</w:t>
            </w:r>
            <w:r>
              <w:rPr>
                <w:rFonts w:ascii="宋体" w:hAnsi="宋体" w:cs="宋体" w:eastAsia="宋体" w:hint="default"/>
                <w:sz w:val="18"/>
                <w:szCs w:val="18"/>
              </w:rPr>
              <w:t> 目</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9,236.0</w:t>
            </w: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9,236</w:t>
            </w:r>
          </w:p>
        </w:tc>
        <w:tc>
          <w:tcPr>
            <w:tcW w:w="720" w:type="dxa"/>
            <w:tcBorders>
              <w:top w:val="single" w:sz="4" w:space="0" w:color="000000"/>
              <w:left w:val="single" w:sz="4" w:space="0" w:color="000000"/>
              <w:bottom w:val="single" w:sz="4" w:space="0" w:color="FFFFFF"/>
              <w:right w:val="single" w:sz="4" w:space="0" w:color="000000"/>
            </w:tcBorders>
          </w:tcPr>
          <w:p>
            <w:pP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9,329.92</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101.02%</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5,920.56</w:t>
            </w: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42,686.2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0" w:hRule="exact"/>
        </w:trPr>
        <w:tc>
          <w:tcPr>
            <w:tcW w:w="1635" w:type="dxa"/>
            <w:tcBorders>
              <w:top w:val="single" w:sz="4" w:space="0" w:color="FFFFFF"/>
              <w:left w:val="single" w:sz="4" w:space="0" w:color="000000"/>
              <w:bottom w:val="single" w:sz="4" w:space="0" w:color="FFFFFF"/>
              <w:right w:val="single" w:sz="4" w:space="0" w:color="000000"/>
            </w:tcBorders>
            <w:shd w:val="clear" w:color="auto" w:fill="CCE8CF"/>
          </w:tcPr>
          <w:p>
            <w:pPr>
              <w:pStyle w:val="TableParagraph"/>
              <w:spacing w:line="309" w:lineRule="auto" w:before="123"/>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动态令牌认证系统 的研发及产业化项 目</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8,298.0</w:t>
            </w: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8,298</w:t>
            </w:r>
          </w:p>
        </w:tc>
        <w:tc>
          <w:tcPr>
            <w:tcW w:w="720" w:type="dxa"/>
            <w:tcBorders>
              <w:top w:val="single" w:sz="4" w:space="0" w:color="FFFFFF"/>
              <w:left w:val="single" w:sz="4" w:space="0" w:color="000000"/>
              <w:bottom w:val="single" w:sz="4" w:space="0" w:color="FFFFFF"/>
              <w:right w:val="single" w:sz="4" w:space="0" w:color="000000"/>
            </w:tcBorders>
          </w:tcPr>
          <w:p>
            <w:pP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8,379.67</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100.98%</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1,489.52</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0" w:hRule="exact"/>
        </w:trPr>
        <w:tc>
          <w:tcPr>
            <w:tcW w:w="1635" w:type="dxa"/>
            <w:tcBorders>
              <w:top w:val="single" w:sz="4" w:space="0" w:color="FFFFFF"/>
              <w:left w:val="single" w:sz="4" w:space="0" w:color="000000"/>
              <w:bottom w:val="single" w:sz="4" w:space="0" w:color="FFFFFF"/>
              <w:right w:val="single" w:sz="4" w:space="0" w:color="000000"/>
            </w:tcBorders>
            <w:shd w:val="clear" w:color="auto" w:fill="CCE8CF"/>
          </w:tcPr>
          <w:p>
            <w:pPr>
              <w:pStyle w:val="TableParagraph"/>
              <w:spacing w:line="309" w:lineRule="auto" w:before="123"/>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通用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卡平台 及智能卡的研发和 产业化项目</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8,977.0</w:t>
            </w: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7,577</w:t>
            </w:r>
          </w:p>
        </w:tc>
        <w:tc>
          <w:tcPr>
            <w:tcW w:w="720" w:type="dxa"/>
            <w:tcBorders>
              <w:top w:val="single" w:sz="4" w:space="0" w:color="FFFFFF"/>
              <w:left w:val="single" w:sz="4" w:space="0" w:color="000000"/>
              <w:bottom w:val="single" w:sz="4" w:space="0" w:color="FFFFFF"/>
              <w:right w:val="single" w:sz="4" w:space="0" w:color="000000"/>
            </w:tcBorders>
          </w:tcPr>
          <w:p>
            <w:pP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7,798.29</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102.92%</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-515.59</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-403.7</w:t>
            </w:r>
          </w:p>
        </w:tc>
        <w:tc>
          <w:tcPr>
            <w:tcW w:w="72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0" w:hRule="exact"/>
        </w:trPr>
        <w:tc>
          <w:tcPr>
            <w:tcW w:w="1635"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309" w:lineRule="auto" w:before="123"/>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高规格智能卡读写 器研发及产业化项 目</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2,756.0</w:t>
            </w: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2,756</w:t>
            </w:r>
          </w:p>
        </w:tc>
        <w:tc>
          <w:tcPr>
            <w:tcW w:w="720" w:type="dxa"/>
            <w:tcBorders>
              <w:top w:val="single" w:sz="4" w:space="0" w:color="FFFFFF"/>
              <w:left w:val="single" w:sz="4" w:space="0" w:color="000000"/>
              <w:bottom w:val="single" w:sz="4" w:space="0" w:color="000000"/>
              <w:right w:val="single" w:sz="4" w:space="0" w:color="000000"/>
            </w:tcBorders>
          </w:tcPr>
          <w:p>
            <w:pP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2,778.74</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100.83%</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690.98</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2,355.85</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0" w:hRule="exact"/>
        </w:trPr>
        <w:tc>
          <w:tcPr>
            <w:tcW w:w="16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21"/>
                <w:szCs w:val="21"/>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营销服务中心建设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2,084.0</w:t>
            </w:r>
          </w:p>
          <w:p>
            <w:pPr>
              <w:pStyle w:val="TableParagraph"/>
              <w:spacing w:line="240" w:lineRule="auto" w:before="124"/>
              <w:ind w:right="20"/>
              <w:jc w:val="righ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2,084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2,129.33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0" w:hRule="exact"/>
        </w:trPr>
        <w:tc>
          <w:tcPr>
            <w:tcW w:w="16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21"/>
                <w:szCs w:val="21"/>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身份认证云平台建 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13,898.</w:t>
            </w:r>
          </w:p>
          <w:p>
            <w:pPr>
              <w:pStyle w:val="TableParagraph"/>
              <w:spacing w:line="240" w:lineRule="auto" w:before="124"/>
              <w:ind w:right="20"/>
              <w:jc w:val="right"/>
              <w:rPr>
                <w:rFonts w:ascii="宋体" w:hAnsi="宋体" w:cs="宋体" w:eastAsia="宋体" w:hint="default"/>
                <w:sz w:val="18"/>
                <w:szCs w:val="18"/>
              </w:rPr>
            </w:pPr>
            <w:r>
              <w:rPr>
                <w:rFonts w:ascii="宋体"/>
                <w:sz w:val="18"/>
              </w:rPr>
              <w:t>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598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1,425.03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238.30%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269.44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170" w:hRule="exact"/>
        </w:trPr>
        <w:tc>
          <w:tcPr>
            <w:tcW w:w="1635" w:type="dxa"/>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21"/>
                <w:szCs w:val="21"/>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技术研发中心建设 项目</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16,600.</w:t>
            </w:r>
          </w:p>
          <w:p>
            <w:pPr>
              <w:pStyle w:val="TableParagraph"/>
              <w:spacing w:line="240" w:lineRule="auto" w:before="124"/>
              <w:ind w:right="20"/>
              <w:jc w:val="right"/>
              <w:rPr>
                <w:rFonts w:ascii="宋体" w:hAnsi="宋体" w:cs="宋体" w:eastAsia="宋体" w:hint="default"/>
                <w:sz w:val="18"/>
                <w:szCs w:val="18"/>
              </w:rPr>
            </w:pPr>
            <w:r>
              <w:rPr>
                <w:rFonts w:ascii="宋体"/>
                <w:sz w:val="18"/>
              </w:rPr>
              <w:t>00</w:t>
            </w: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11,402.</w:t>
            </w:r>
          </w:p>
          <w:p>
            <w:pPr>
              <w:pStyle w:val="TableParagraph"/>
              <w:spacing w:line="240" w:lineRule="auto" w:before="76"/>
              <w:ind w:right="22"/>
              <w:jc w:val="right"/>
              <w:rPr>
                <w:rFonts w:ascii="宋体" w:hAnsi="宋体" w:cs="宋体" w:eastAsia="宋体" w:hint="default"/>
                <w:sz w:val="18"/>
                <w:szCs w:val="18"/>
              </w:rPr>
            </w:pPr>
            <w:r>
              <w:rPr>
                <w:rFonts w:ascii="宋体"/>
                <w:sz w:val="18"/>
              </w:rPr>
              <w:t>5</w:t>
            </w:r>
          </w:p>
        </w:tc>
        <w:tc>
          <w:tcPr>
            <w:tcW w:w="720" w:type="dxa"/>
            <w:tcBorders>
              <w:top w:val="single" w:sz="4" w:space="0" w:color="000000"/>
              <w:left w:val="single" w:sz="4" w:space="0" w:color="000000"/>
              <w:bottom w:val="single" w:sz="4" w:space="0" w:color="FFFFFF"/>
              <w:right w:val="single" w:sz="4" w:space="0" w:color="000000"/>
            </w:tcBorders>
          </w:tcPr>
          <w:p>
            <w:pP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106.40%</w:t>
            </w: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FFFFFF"/>
              <w:right w:val="single" w:sz="4" w:space="0" w:color="000000"/>
            </w:tcBorders>
          </w:tcPr>
          <w:p>
            <w:pPr/>
          </w:p>
        </w:tc>
        <w:tc>
          <w:tcPr>
            <w:tcW w:w="722" w:type="dxa"/>
            <w:tcBorders>
              <w:top w:val="single" w:sz="4" w:space="0" w:color="000000"/>
              <w:left w:val="single" w:sz="4" w:space="0" w:color="000000"/>
              <w:bottom w:val="single" w:sz="4" w:space="0" w:color="FFFFFF"/>
              <w:right w:val="single" w:sz="4" w:space="0" w:color="000000"/>
            </w:tcBorders>
          </w:tcPr>
          <w:p>
            <w:pPr/>
          </w:p>
        </w:tc>
        <w:tc>
          <w:tcPr>
            <w:tcW w:w="72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0" w:hRule="exact"/>
        </w:trPr>
        <w:tc>
          <w:tcPr>
            <w:tcW w:w="1635" w:type="dxa"/>
            <w:tcBorders>
              <w:top w:val="single" w:sz="4" w:space="0" w:color="FFFFFF"/>
              <w:left w:val="single" w:sz="4" w:space="0" w:color="000000"/>
              <w:bottom w:val="single" w:sz="4" w:space="0" w:color="000000"/>
              <w:right w:val="single" w:sz="4" w:space="0" w:color="000000"/>
            </w:tcBorders>
            <w:shd w:val="clear" w:color="auto" w:fill="CCE8CF"/>
          </w:tcPr>
          <w:p>
            <w:pPr>
              <w:pStyle w:val="TableParagraph"/>
              <w:spacing w:line="240" w:lineRule="auto" w:before="9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宏思电子股权收</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FFFFFF"/>
              <w:left w:val="single" w:sz="4" w:space="0" w:color="000000"/>
              <w:bottom w:val="single" w:sz="4" w:space="0" w:color="000000"/>
              <w:right w:val="single" w:sz="4" w:space="0" w:color="000000"/>
            </w:tcBorders>
          </w:tcPr>
          <w:p>
            <w:pP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5"/>
              <w:ind w:right="22"/>
              <w:jc w:val="right"/>
              <w:rPr>
                <w:rFonts w:ascii="宋体" w:hAnsi="宋体" w:cs="宋体" w:eastAsia="宋体" w:hint="default"/>
                <w:sz w:val="18"/>
                <w:szCs w:val="18"/>
              </w:rPr>
            </w:pPr>
            <w:r>
              <w:rPr>
                <w:rFonts w:ascii="宋体"/>
                <w:sz w:val="18"/>
              </w:rPr>
              <w:t>19,897.</w:t>
            </w:r>
          </w:p>
        </w:tc>
        <w:tc>
          <w:tcPr>
            <w:tcW w:w="7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left="146" w:right="0"/>
              <w:jc w:val="left"/>
              <w:rPr>
                <w:rFonts w:ascii="Times New Roman" w:hAnsi="Times New Roman" w:cs="Times New Roman" w:eastAsia="Times New Roman" w:hint="default"/>
                <w:sz w:val="18"/>
                <w:szCs w:val="18"/>
              </w:rPr>
            </w:pPr>
            <w:r>
              <w:rPr>
                <w:rFonts w:ascii="Times New Roman"/>
                <w:sz w:val="18"/>
              </w:rPr>
              <w:t>1,897.3</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5"/>
              <w:ind w:left="65" w:right="0"/>
              <w:jc w:val="left"/>
              <w:rPr>
                <w:rFonts w:ascii="Times New Roman" w:hAnsi="Times New Roman" w:cs="Times New Roman" w:eastAsia="Times New Roman" w:hint="default"/>
                <w:sz w:val="18"/>
                <w:szCs w:val="18"/>
              </w:rPr>
            </w:pPr>
            <w:r>
              <w:rPr>
                <w:rFonts w:ascii="Times New Roman"/>
                <w:sz w:val="18"/>
              </w:rPr>
              <w:t>11,846.2</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59.54%</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2,715.86</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z w:val="18"/>
              </w:rPr>
              <w:t>4,280.26</w:t>
            </w:r>
          </w:p>
        </w:tc>
        <w:tc>
          <w:tcPr>
            <w:tcW w:w="7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2.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67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9"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41"/>
                          <w:jc w:val="left"/>
                          <w:rPr>
                            <w:rFonts w:ascii="宋体" w:hAnsi="宋体" w:cs="宋体" w:eastAsia="宋体" w:hint="default"/>
                            <w:sz w:val="18"/>
                            <w:szCs w:val="18"/>
                          </w:rPr>
                        </w:pPr>
                        <w:r>
                          <w:rPr>
                            <w:rFonts w:ascii="宋体"/>
                            <w:sz w:val="18"/>
                          </w:rPr>
                          <w:t>1,849.00</w:t>
                        </w:r>
                      </w:p>
                    </w:tc>
                    <w:tc>
                      <w:tcPr>
                        <w:tcW w:w="722" w:type="dxa"/>
                        <w:vMerge w:val="restart"/>
                        <w:tcBorders>
                          <w:top w:val="single" w:sz="4" w:space="0" w:color="000000"/>
                          <w:left w:val="single" w:sz="9"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61,849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1,897.3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55,818.9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65,626.9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bottom w:val="single" w:sz="4" w:space="0" w:color="000000"/>
                          <w:right w:val="single" w:sz="9" w:space="0" w:color="FFFFFF"/>
                        </w:tcBorders>
                      </w:tcPr>
                      <w:p>
                        <w:pPr/>
                      </w:p>
                    </w:tc>
                    <w:tc>
                      <w:tcPr>
                        <w:tcW w:w="722" w:type="dxa"/>
                        <w:vMerge/>
                        <w:tcBorders>
                          <w:left w:val="single" w:sz="9" w:space="0" w:color="FFFFFF"/>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vMerge/>
                        <w:tcBorders>
                          <w:left w:val="single" w:sz="9" w:space="0" w:color="FFFFFF"/>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9"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9"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61,849</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61,849</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1,897.3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55,818.9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65,626.9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6</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3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卡平台及智能卡的研发和产业化项目计划投入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年多的建 设，已经基本达到预期可使用目标，但是销售情况未达到预期目标。</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月经第二届 第二十三次董事会及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年第二次临时股东大会审议通过，调整投资总额为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7,577.00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未来如有投资需求，可通过自有资金的投入，接续项目的推进和运转。</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营销服务中心建设 项目，不直接产生经济效益。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身份认证云平台建设项目计划投入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13,898.00</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万元，原计划</w:t>
                        </w:r>
                        <w:r>
                          <w:rPr>
                            <w:rFonts w:ascii="宋体" w:hAnsi="宋体" w:cs="宋体" w:eastAsia="宋体" w:hint="default"/>
                            <w:sz w:val="18"/>
                            <w:szCs w:val="18"/>
                          </w:rPr>
                          <w:t> 通过自建</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来提供认证服务，但随着技术的发展，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 </w:t>
                        </w:r>
                        <w:r>
                          <w:rPr>
                            <w:rFonts w:ascii="宋体" w:hAnsi="宋体" w:cs="宋体" w:eastAsia="宋体" w:hint="default"/>
                            <w:spacing w:val="-4"/>
                            <w:sz w:val="18"/>
                            <w:szCs w:val="18"/>
                          </w:rPr>
                          <w:t>务的方式实现，极大地降低了投入成本；该项目经过近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年的研发，系统功能已经得以实现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但是市场情况不尽理想，项目上线后在国内的推广未能达到预期效果，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月经第二 届第二十三次董事会及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4"/>
                            <w:sz w:val="18"/>
                            <w:szCs w:val="18"/>
                          </w:rPr>
                          <w:t>年第二次临时股东大会审议通过，调整投资总额为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技术研发中心建设项目计划投入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16,600.00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万元，经过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年多的建设，已经基本达到预期目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8"/>
                            <w:sz w:val="18"/>
                            <w:szCs w:val="18"/>
                          </w:rPr>
                          <w:t>标，</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月经第二届第二十三次董事会及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年第二次临时股东大会审议通过，调整</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投资总额为 </w:t>
                        </w:r>
                        <w:r>
                          <w:rPr>
                            <w:rFonts w:ascii="Times New Roman" w:hAnsi="Times New Roman" w:cs="Times New Roman" w:eastAsia="Times New Roman" w:hint="default"/>
                            <w:sz w:val="18"/>
                            <w:szCs w:val="18"/>
                          </w:rPr>
                          <w:t>11,402.50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r>
                  <w:tr>
                    <w:trPr>
                      <w:trHeight w:val="1650"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shd w:val="clear" w:color="auto" w:fill="CCE8CF"/>
                      </w:tcPr>
                      <w:p>
                        <w:pPr>
                          <w:pStyle w:val="TableParagraph"/>
                          <w:spacing w:line="300"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身份认证云平台建设项目计划投入 </w:t>
                        </w:r>
                        <w:r>
                          <w:rPr>
                            <w:rFonts w:ascii="Times New Roman" w:hAnsi="Times New Roman" w:cs="Times New Roman" w:eastAsia="Times New Roman" w:hint="default"/>
                            <w:sz w:val="18"/>
                            <w:szCs w:val="18"/>
                          </w:rPr>
                          <w:t>13,898.00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万元，原计划通过自建</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来提供认证服 务，但随着技术的发展，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 入成本；该项目经过近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年的研发，系统功能已经得以实现，但是市场情况不尽理想，项目</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上线后在国内的推广未能达到预期效果，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月经第二届第二十三次董事会及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年第二次临时股东大会审议通过，调整投资总额为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34"/>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36"/>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60"/>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在募集资金到位前，本公司以自筹资金对上述募集资金项目先行投入</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投资金额计人民币 </w:t>
            </w:r>
            <w:r>
              <w:rPr>
                <w:rFonts w:ascii="Times New Roman" w:hAnsi="Times New Roman" w:cs="Times New Roman" w:eastAsia="Times New Roman" w:hint="default"/>
                <w:sz w:val="18"/>
                <w:szCs w:val="18"/>
              </w:rPr>
              <w:t>82,724,577.41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日，公司第二届第五次董事会决议以募集资金转换前期投 入的自筹资金。</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尚未使用的募集资金存放于公司募集资金专户管理。</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812"/>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身份认证云 平台建设项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11,846.22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2" w:right="0"/>
              <w:jc w:val="left"/>
              <w:rPr>
                <w:rFonts w:ascii="Times New Roman" w:hAnsi="Times New Roman" w:cs="Times New Roman" w:eastAsia="Times New Roman" w:hint="default"/>
                <w:sz w:val="18"/>
                <w:szCs w:val="18"/>
              </w:rPr>
            </w:pPr>
            <w:r>
              <w:rPr>
                <w:rFonts w:ascii="宋体"/>
                <w:sz w:val="18"/>
              </w:rPr>
              <w:t>89.07</w:t>
            </w: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2,715.86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技术研发中 心建设项目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5,197.5</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宏思股权收 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通用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 能卡的研发 和产业化项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19,897.5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11,846.22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2,715.86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240" w:lineRule="auto" w:before="52"/>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日，公司第二届第二十三次董事会及第二届第十六次监事会审议通过</w:t>
            </w:r>
          </w:p>
          <w:p>
            <w:pPr>
              <w:pStyle w:val="TableParagraph"/>
              <w:spacing w:line="304" w:lineRule="auto" w:before="61"/>
              <w:ind w:left="17" w:right="20"/>
              <w:jc w:val="both"/>
              <w:rPr>
                <w:rFonts w:ascii="宋体" w:hAnsi="宋体" w:cs="宋体" w:eastAsia="宋体" w:hint="default"/>
                <w:sz w:val="18"/>
                <w:szCs w:val="18"/>
              </w:rPr>
            </w:pPr>
            <w:r>
              <w:rPr>
                <w:rFonts w:ascii="宋体" w:hAnsi="宋体" w:cs="宋体" w:eastAsia="宋体" w:hint="default"/>
                <w:spacing w:val="-3"/>
                <w:sz w:val="18"/>
                <w:szCs w:val="18"/>
              </w:rPr>
              <w:t>《关于变更募集资金用途的议案》和《对外投资购买股权的议案》，独立董事发表了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明确同意意见，保荐机构国信证券股份有限公司出具了专项审核意见，</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年第二次临时股东大会，审议通过《关于变更募集资金用途的议 案》和《对外投资购买股权》的议案，同意公司以募投项目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通用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Java </w:t>
            </w:r>
            <w:r>
              <w:rPr>
                <w:rFonts w:ascii="宋体" w:hAnsi="宋体" w:cs="宋体" w:eastAsia="宋体" w:hint="default"/>
                <w:sz w:val="18"/>
                <w:szCs w:val="18"/>
              </w:rPr>
              <w:t>卡平台及智能 </w:t>
            </w:r>
            <w:r>
              <w:rPr>
                <w:rFonts w:ascii="宋体" w:hAnsi="宋体" w:cs="宋体" w:eastAsia="宋体" w:hint="default"/>
                <w:spacing w:val="-2"/>
                <w:sz w:val="18"/>
                <w:szCs w:val="18"/>
              </w:rPr>
              <w:t>卡的研发和产业化项目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身份认证云平台建设项目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技术研发中心建设项目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中的</w:t>
            </w:r>
          </w:p>
        </w:tc>
      </w:tr>
      <w:tr>
        <w:trPr>
          <w:trHeight w:val="705"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608"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872"/>
        <w:gridCol w:w="6699"/>
      </w:tblGrid>
      <w:tr>
        <w:trPr>
          <w:trHeight w:val="348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19,897.50 </w:t>
            </w:r>
            <w:r>
              <w:rPr>
                <w:rFonts w:ascii="宋体" w:hAnsi="宋体" w:cs="宋体" w:eastAsia="宋体" w:hint="default"/>
                <w:sz w:val="18"/>
                <w:szCs w:val="18"/>
              </w:rPr>
              <w:t>万元，用以购买北京宏思电子技术有限责任公司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91.36%</w:t>
            </w:r>
            <w:r>
              <w:rPr>
                <w:rFonts w:ascii="宋体" w:hAnsi="宋体" w:cs="宋体" w:eastAsia="宋体" w:hint="default"/>
                <w:sz w:val="18"/>
                <w:szCs w:val="18"/>
              </w:rPr>
              <w:t>股权，上述项目如</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有不足部分将使用公司自有资金投入。决议文件详见公司于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日发布在指定信息披露网站巨潮资讯网的公告。</w:t>
            </w:r>
            <w:r>
              <w:rPr>
                <w:rFonts w:ascii="Times New Roman" w:hAnsi="Times New Roman" w:cs="Times New Roman" w:eastAsia="Times New Roman" w:hint="default"/>
                <w:sz w:val="18"/>
                <w:szCs w:val="18"/>
              </w:rPr>
              <w:t>1.</w:t>
            </w:r>
            <w:r>
              <w:rPr>
                <w:rFonts w:ascii="宋体" w:hAnsi="宋体" w:cs="宋体" w:eastAsia="宋体" w:hint="default"/>
                <w:sz w:val="18"/>
                <w:szCs w:val="18"/>
              </w:rPr>
              <w:t>身份认证云平台建设项</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目计划投入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13,898.00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万元，原计划通过自建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私有云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来提供认证服务，但随着技术的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w:t>
            </w:r>
            <w:r>
              <w:rPr>
                <w:rFonts w:ascii="Times New Roman" w:hAnsi="Times New Roman" w:cs="Times New Roman" w:eastAsia="Times New Roman" w:hint="default"/>
                <w:sz w:val="18"/>
                <w:szCs w:val="18"/>
              </w:rPr>
              <w:t>“</w:t>
            </w:r>
            <w:r>
              <w:rPr>
                <w:rFonts w:ascii="宋体" w:hAnsi="宋体" w:cs="宋体" w:eastAsia="宋体" w:hint="default"/>
                <w:sz w:val="18"/>
                <w:szCs w:val="18"/>
              </w:rPr>
              <w:t>私有云</w:t>
            </w:r>
            <w:r>
              <w:rPr>
                <w:rFonts w:ascii="Times New Roman" w:hAnsi="Times New Roman" w:cs="Times New Roman" w:eastAsia="Times New Roman" w:hint="default"/>
                <w:sz w:val="18"/>
                <w:szCs w:val="18"/>
              </w:rPr>
              <w:t>”</w:t>
            </w:r>
            <w:r>
              <w:rPr>
                <w:rFonts w:ascii="宋体" w:hAnsi="宋体" w:cs="宋体" w:eastAsia="宋体" w:hint="default"/>
                <w:sz w:val="18"/>
                <w:szCs w:val="18"/>
              </w:rPr>
              <w:t>可以通过租赁</w:t>
            </w:r>
            <w:r>
              <w:rPr>
                <w:rFonts w:ascii="Times New Roman" w:hAnsi="Times New Roman" w:cs="Times New Roman" w:eastAsia="Times New Roman" w:hint="default"/>
                <w:sz w:val="18"/>
                <w:szCs w:val="18"/>
              </w:rPr>
              <w:t>“</w:t>
            </w:r>
            <w:r>
              <w:rPr>
                <w:rFonts w:ascii="宋体" w:hAnsi="宋体" w:cs="宋体" w:eastAsia="宋体" w:hint="default"/>
                <w:sz w:val="18"/>
                <w:szCs w:val="18"/>
              </w:rPr>
              <w:t>公共云</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服务的方式实现，极大地降低了投入成本；该 项目经过近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年的研发，系统功能已经得以实现，但是项目上线后在国内的推广未能</w:t>
            </w:r>
          </w:p>
          <w:p>
            <w:pPr>
              <w:pStyle w:val="TableParagraph"/>
              <w:spacing w:line="309" w:lineRule="auto" w:before="13"/>
              <w:ind w:left="23" w:right="3"/>
              <w:jc w:val="both"/>
              <w:rPr>
                <w:rFonts w:ascii="宋体" w:hAnsi="宋体" w:cs="宋体" w:eastAsia="宋体" w:hint="default"/>
                <w:sz w:val="18"/>
                <w:szCs w:val="18"/>
              </w:rPr>
            </w:pPr>
            <w:r>
              <w:rPr>
                <w:rFonts w:ascii="宋体" w:hAnsi="宋体" w:cs="宋体" w:eastAsia="宋体" w:hint="default"/>
                <w:sz w:val="18"/>
                <w:szCs w:val="18"/>
              </w:rPr>
              <w:t>达到预期效果。</w:t>
            </w:r>
            <w:r>
              <w:rPr>
                <w:rFonts w:ascii="Times New Roman" w:hAnsi="Times New Roman" w:cs="Times New Roman" w:eastAsia="Times New Roman" w:hint="default"/>
                <w:sz w:val="18"/>
                <w:szCs w:val="18"/>
              </w:rPr>
              <w:t>2.</w:t>
            </w:r>
            <w:r>
              <w:rPr>
                <w:rFonts w:ascii="宋体" w:hAnsi="宋体" w:cs="宋体" w:eastAsia="宋体" w:hint="default"/>
                <w:sz w:val="18"/>
                <w:szCs w:val="18"/>
              </w:rPr>
              <w:t>技术研发中心建设项目，经过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年多的建设，已经基本达到预期目 标。</w:t>
            </w:r>
            <w:r>
              <w:rPr>
                <w:rFonts w:ascii="Times New Roman" w:hAnsi="Times New Roman" w:cs="Times New Roman" w:eastAsia="Times New Roman" w:hint="default"/>
                <w:sz w:val="18"/>
                <w:szCs w:val="18"/>
              </w:rPr>
              <w:t>3.</w:t>
            </w:r>
            <w:r>
              <w:rPr>
                <w:rFonts w:ascii="宋体" w:hAnsi="宋体" w:cs="宋体" w:eastAsia="宋体" w:hint="default"/>
                <w:sz w:val="18"/>
                <w:szCs w:val="18"/>
              </w:rPr>
              <w:t>通用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卡平台及智能卡的研发和产业化项目计划，经过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年多的建设，已经 基本达到预期可使用目标，但是销售情况未达到预期目标。变更上述募集资金项目有 助于提高募集资金使用效率，有利于公司的长远发展，符合公司及全体股东的利益， 不存在变相改变募集资金投向、损害股东利益的情况。</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214" w:right="1032"/>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14"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214" w:right="1032"/>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1032"/>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20" w:right="0"/>
        </w:sectPr>
      </w:pPr>
    </w:p>
    <w:p>
      <w:pPr>
        <w:pStyle w:val="BodyText"/>
        <w:spacing w:line="240" w:lineRule="auto" w:before="44"/>
        <w:ind w:left="2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21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3" w:right="0"/>
        <w:jc w:val="left"/>
      </w:pPr>
      <w:r>
        <w:rPr/>
        <w:t>单位：元</w:t>
      </w:r>
    </w:p>
    <w:p>
      <w:pPr>
        <w:spacing w:after="0" w:line="240" w:lineRule="auto"/>
        <w:jc w:val="left"/>
        <w:sectPr>
          <w:type w:val="continuous"/>
          <w:pgSz w:w="11910" w:h="16840"/>
          <w:pgMar w:top="1580" w:bottom="700" w:left="920" w:right="0"/>
          <w:cols w:num="2" w:equalWidth="0">
            <w:col w:w="4909" w:space="4010"/>
            <w:col w:w="2071"/>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电子产品销 售、信息电 子技术服务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14,520,000.0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144,085,224.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126,508,458.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101,241,709.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14,011,503.5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15,045,827.8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left="214" w:right="1032"/>
        <w:jc w:val="left"/>
      </w:pPr>
      <w:r>
        <w:rPr/>
        <w:t>报告期内取得和处置子公司的情况</w:t>
      </w:r>
    </w:p>
    <w:p>
      <w:pPr>
        <w:pStyle w:val="BodyText"/>
        <w:spacing w:line="338" w:lineRule="auto" w:before="117"/>
        <w:ind w:left="214"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85"/>
        <w:gridCol w:w="2354"/>
        <w:gridCol w:w="4217"/>
      </w:tblGrid>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901" w:right="180" w:hanging="721"/>
              <w:jc w:val="left"/>
              <w:rPr>
                <w:rFonts w:ascii="宋体" w:hAnsi="宋体" w:cs="宋体" w:eastAsia="宋体" w:hint="default"/>
                <w:sz w:val="18"/>
                <w:szCs w:val="18"/>
              </w:rPr>
            </w:pPr>
            <w:r>
              <w:rPr>
                <w:rFonts w:ascii="宋体" w:hAnsi="宋体" w:cs="宋体" w:eastAsia="宋体" w:hint="default"/>
                <w:sz w:val="18"/>
                <w:szCs w:val="18"/>
              </w:rPr>
              <w:t>报告期内取得和处置子公 司方式</w:t>
            </w:r>
          </w:p>
        </w:tc>
        <w:tc>
          <w:tcPr>
            <w:tcW w:w="4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93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580" w:bottom="7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285"/>
        <w:gridCol w:w="2354"/>
        <w:gridCol w:w="4217"/>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飞天香港有限公司</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目前对公司整体生产经营和业绩不产生重大影响。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214"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574" w:right="1032"/>
        <w:jc w:val="left"/>
        <w:rPr>
          <w:b w:val="0"/>
          <w:bCs w:val="0"/>
        </w:rPr>
      </w:pPr>
      <w:r>
        <w:rPr/>
        <w:t>一、行业发展趋势</w:t>
      </w:r>
      <w:r>
        <w:rPr>
          <w:b w:val="0"/>
          <w:bCs w:val="0"/>
        </w:rPr>
      </w:r>
    </w:p>
    <w:p>
      <w:pPr>
        <w:pStyle w:val="BodyText"/>
        <w:spacing w:line="307" w:lineRule="auto" w:before="76"/>
        <w:ind w:left="214" w:right="1032" w:firstLine="360"/>
        <w:jc w:val="left"/>
      </w:pPr>
      <w:r>
        <w:rPr/>
        <w:t>身份认证是网络应用服务中的必然环节</w:t>
      </w:r>
      <w:r>
        <w:rPr>
          <w:rFonts w:ascii="Times New Roman" w:hAnsi="Times New Roman" w:cs="Times New Roman" w:eastAsia="Times New Roman" w:hint="default"/>
        </w:rPr>
        <w:t>, </w:t>
      </w:r>
      <w:r>
        <w:rPr/>
        <w:t>随着电子商务、网上支付等业务的广泛开展</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身份认证技术将有更广阔的发展 </w:t>
      </w:r>
      <w:r>
        <w:rPr>
          <w:spacing w:val="-2"/>
        </w:rPr>
        <w:t>前景。世界经济论坛《</w:t>
      </w:r>
      <w:r>
        <w:rPr>
          <w:rFonts w:ascii="Times New Roman" w:hAnsi="Times New Roman" w:cs="Times New Roman" w:eastAsia="Times New Roman" w:hint="default"/>
          <w:spacing w:val="-2"/>
        </w:rPr>
        <w:t>2018</w:t>
      </w:r>
      <w:r>
        <w:rPr>
          <w:spacing w:val="-2"/>
        </w:rPr>
        <w:t>全球风险报告》将大规模网络攻击和数据泄露纳入当今世界面临的重大风险之列，位列第三和第</w:t>
      </w:r>
      <w:r>
        <w:rPr>
          <w:spacing w:val="-62"/>
        </w:rPr>
        <w:t> </w:t>
      </w:r>
      <w:r>
        <w:rPr>
          <w:spacing w:val="-62"/>
        </w:rPr>
      </w:r>
      <w:r>
        <w:rPr>
          <w:spacing w:val="-2"/>
        </w:rPr>
        <w:t>四，紧跟在极端天气事件和自然灾害之后。身份认证在安全系统中的地位极其重要，是最基本的安全服务，其它的安全服务</w:t>
      </w:r>
      <w:r>
        <w:rPr>
          <w:spacing w:val="-66"/>
        </w:rPr>
        <w:t> </w:t>
      </w:r>
      <w:r>
        <w:rPr>
          <w:spacing w:val="-66"/>
        </w:rPr>
      </w:r>
      <w:r>
        <w:rPr/>
        <w:t>都要依赖于它。 身份认证技术在各种不同领域中都有着很重要地位，是安全保障的核心。身份验证技术不仅应用在政府机关、军事等领域， 在其他领域，如：在金融领域，随着金融信息化、网络化潮流</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如何保证信息的安全</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准确鉴别个人身份已成为金融认证领</w:t>
      </w:r>
      <w:r>
        <w:rPr>
          <w:spacing w:val="-75"/>
        </w:rPr>
        <w:t> </w:t>
      </w:r>
      <w:r>
        <w:rPr>
          <w:spacing w:val="-75"/>
        </w:rPr>
      </w:r>
      <w:r>
        <w:rPr/>
        <w:t>域的首要问题；在物流网领域，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日，关键信息系统、网络安全和数据安全领域的领导者泰雷兹宣布，根据其最</w:t>
      </w:r>
      <w:r>
        <w:rPr>
          <w:spacing w:val="-82"/>
        </w:rPr>
        <w:t> </w:t>
      </w:r>
      <w:r>
        <w:rPr>
          <w:spacing w:val="-82"/>
        </w:rPr>
      </w:r>
      <w:r>
        <w:rPr/>
        <w:t>新发布的《</w:t>
      </w:r>
      <w:r>
        <w:rPr>
          <w:rFonts w:ascii="Times New Roman" w:hAnsi="Times New Roman" w:cs="Times New Roman" w:eastAsia="Times New Roman" w:hint="default"/>
        </w:rPr>
        <w:t>2018</w:t>
      </w:r>
      <w:r>
        <w:rPr/>
        <w:t>年全球公钥基础设施趋势研究报告》，物联网（</w:t>
      </w:r>
      <w:r>
        <w:rPr>
          <w:rFonts w:ascii="Times New Roman" w:hAnsi="Times New Roman" w:cs="Times New Roman" w:eastAsia="Times New Roman" w:hint="default"/>
        </w:rPr>
        <w:t>IoT</w:t>
      </w:r>
      <w:r>
        <w:rPr/>
        <w:t>）是推动使用公钥基础设施（</w:t>
      </w:r>
      <w:r>
        <w:rPr>
          <w:rFonts w:ascii="Times New Roman" w:hAnsi="Times New Roman" w:cs="Times New Roman" w:eastAsia="Times New Roman" w:hint="default"/>
        </w:rPr>
        <w:t>PKI</w:t>
      </w:r>
      <w:r>
        <w:rPr/>
        <w:t>）的应用程序部署的</w:t>
      </w:r>
      <w:r>
        <w:rPr>
          <w:spacing w:val="-14"/>
        </w:rPr>
        <w:t> </w:t>
      </w:r>
      <w:r>
        <w:rPr>
          <w:spacing w:val="-14"/>
        </w:rPr>
      </w:r>
      <w:r>
        <w:rPr/>
        <w:t>增长最快的趋势。</w:t>
      </w:r>
    </w:p>
    <w:p>
      <w:pPr>
        <w:spacing w:line="240" w:lineRule="auto" w:before="11"/>
        <w:rPr>
          <w:rFonts w:ascii="宋体" w:hAnsi="宋体" w:cs="宋体" w:eastAsia="宋体" w:hint="default"/>
          <w:sz w:val="25"/>
          <w:szCs w:val="25"/>
        </w:rPr>
      </w:pPr>
    </w:p>
    <w:p>
      <w:pPr>
        <w:pStyle w:val="Heading5"/>
        <w:spacing w:line="240" w:lineRule="auto"/>
        <w:ind w:left="574" w:right="1032"/>
        <w:jc w:val="left"/>
        <w:rPr>
          <w:b w:val="0"/>
          <w:bCs w:val="0"/>
        </w:rPr>
      </w:pPr>
      <w:r>
        <w:rPr/>
        <w:t>二、公司未来发展机遇</w:t>
      </w:r>
      <w:r>
        <w:rPr>
          <w:b w:val="0"/>
          <w:bCs w:val="0"/>
        </w:rPr>
      </w:r>
    </w:p>
    <w:p>
      <w:pPr>
        <w:pStyle w:val="BodyText"/>
        <w:spacing w:line="300" w:lineRule="auto" w:before="76"/>
        <w:ind w:left="574" w:right="1032"/>
        <w:jc w:val="left"/>
      </w:pPr>
      <w:r>
        <w:rPr>
          <w:rFonts w:ascii="Times New Roman" w:hAnsi="Times New Roman" w:cs="Times New Roman" w:eastAsia="Times New Roman" w:hint="default"/>
        </w:rPr>
        <w:t>1</w:t>
      </w:r>
      <w:r>
        <w:rPr/>
        <w:t>、信息安全形势严峻，世界各主要国家加强网络和信息安全领域的布局和竞争 </w:t>
      </w:r>
      <w:r>
        <w:rPr>
          <w:spacing w:val="-2"/>
        </w:rPr>
        <w:t>近年来，全球网络安全威胁仍然呈现爆发式增长的态势，各类网络攻击、信息数据泄露和网络犯罪现象层出不穷，国际</w:t>
      </w:r>
    </w:p>
    <w:p>
      <w:pPr>
        <w:pStyle w:val="BodyText"/>
        <w:spacing w:line="316" w:lineRule="auto" w:before="31"/>
        <w:ind w:left="214" w:right="1133"/>
        <w:jc w:val="both"/>
      </w:pPr>
      <w:r>
        <w:rPr>
          <w:spacing w:val="-2"/>
        </w:rPr>
        <w:t>信息安全环境日益严峻。世界各主要国家对此高度重视并持续加大投入，积极展开信息安全领域的布局和竞争。网络安全如</w:t>
      </w:r>
      <w:r>
        <w:rPr>
          <w:spacing w:val="-66"/>
        </w:rPr>
        <w:t> </w:t>
      </w:r>
      <w:r>
        <w:rPr>
          <w:spacing w:val="-66"/>
        </w:rPr>
      </w:r>
      <w:r>
        <w:rPr/>
        <w:t>今归属国家安全范畴，不再被认为是孤立的实体。</w:t>
      </w:r>
    </w:p>
    <w:p>
      <w:pPr>
        <w:pStyle w:val="BodyText"/>
        <w:spacing w:line="300" w:lineRule="auto" w:before="19"/>
        <w:ind w:left="574" w:right="1032"/>
        <w:jc w:val="left"/>
      </w:pPr>
      <w:r>
        <w:rPr>
          <w:rFonts w:ascii="Times New Roman" w:hAnsi="Times New Roman" w:cs="Times New Roman" w:eastAsia="Times New Roman" w:hint="default"/>
        </w:rPr>
        <w:t>2</w:t>
      </w:r>
      <w:r>
        <w:rPr/>
        <w:t>、中国信息安全行业迎来发展的战略机遇期 </w:t>
      </w:r>
      <w:r>
        <w:rPr>
          <w:spacing w:val="-2"/>
        </w:rPr>
        <w:t>伴随着计算机、网络、通信等技术的快速发展，网络信息安全产品加速创新；与此同时，国家高度重视网络安全和信息</w:t>
      </w:r>
    </w:p>
    <w:p>
      <w:pPr>
        <w:pStyle w:val="BodyText"/>
        <w:spacing w:line="316" w:lineRule="auto" w:before="31"/>
        <w:ind w:left="214" w:right="1131"/>
        <w:jc w:val="both"/>
      </w:pPr>
      <w:r>
        <w:rPr>
          <w:spacing w:val="-2"/>
        </w:rPr>
        <w:t>化工作，陆续出台了《网络安全法》、《国家信息化发展战略纲要》等一系列促进网络信息安全产业发展的法律、法规和产</w:t>
      </w:r>
      <w:r>
        <w:rPr>
          <w:spacing w:val="-70"/>
        </w:rPr>
        <w:t> </w:t>
      </w:r>
      <w:r>
        <w:rPr>
          <w:spacing w:val="-70"/>
        </w:rPr>
      </w:r>
      <w:r>
        <w:rPr>
          <w:spacing w:val="-2"/>
        </w:rPr>
        <w:t>业政策；中国信息安全行业迎来发展的战略机遇期。中国有庞大的网络安全事务规模、生活也更加依赖网络和移动服务，因</w:t>
      </w:r>
      <w:r>
        <w:rPr>
          <w:spacing w:val="-66"/>
        </w:rPr>
        <w:t> </w:t>
      </w:r>
      <w:r>
        <w:rPr>
          <w:spacing w:val="-66"/>
        </w:rPr>
      </w:r>
      <w:r>
        <w:rPr/>
        <w:t>此，中国信息安全行业迎来发展的战略机遇期。</w:t>
      </w:r>
    </w:p>
    <w:p>
      <w:pPr>
        <w:pStyle w:val="BodyText"/>
        <w:spacing w:line="300" w:lineRule="auto" w:before="19"/>
        <w:ind w:left="574" w:right="1032"/>
        <w:jc w:val="left"/>
      </w:pPr>
      <w:r>
        <w:rPr>
          <w:rFonts w:ascii="Times New Roman" w:hAnsi="Times New Roman" w:cs="Times New Roman" w:eastAsia="Times New Roman" w:hint="default"/>
        </w:rPr>
        <w:t>3</w:t>
      </w:r>
      <w:r>
        <w:rPr/>
        <w:t>、网络的快速发展，身份认证市场将面临市场增长需求 </w:t>
      </w:r>
      <w:r>
        <w:rPr>
          <w:spacing w:val="-2"/>
        </w:rPr>
        <w:t>近年来，移动通信和智能终端技术的进步，推动了移动互联网的快速发展。网络身份认证是信息安全防护第一关口，具</w:t>
      </w:r>
    </w:p>
    <w:p>
      <w:pPr>
        <w:pStyle w:val="BodyText"/>
        <w:spacing w:line="309" w:lineRule="auto" w:before="31"/>
        <w:ind w:left="214" w:right="1133"/>
        <w:jc w:val="both"/>
      </w:pPr>
      <w:r>
        <w:rPr>
          <w:spacing w:val="-2"/>
        </w:rPr>
        <w:t>备重要地位。身份认证信息安全行业的下游行业目前主要以银行业为主，现已逐步发展到证券、工商税务、电子政务、电子</w:t>
      </w:r>
      <w:r>
        <w:rPr>
          <w:spacing w:val="-66"/>
        </w:rPr>
        <w:t> </w:t>
      </w:r>
      <w:r>
        <w:rPr>
          <w:spacing w:val="-66"/>
        </w:rPr>
      </w:r>
      <w:r>
        <w:rPr/>
        <w:t>商务、企事业</w:t>
      </w:r>
      <w:r>
        <w:rPr>
          <w:rFonts w:ascii="Times New Roman" w:hAnsi="Times New Roman" w:cs="Times New Roman" w:eastAsia="Times New Roman" w:hint="default"/>
        </w:rPr>
        <w:t>OA/VPN </w:t>
      </w:r>
      <w:r>
        <w:rPr/>
        <w:t>系统、第三方支付、移动支付、云计算、</w:t>
      </w:r>
      <w:r>
        <w:rPr>
          <w:rFonts w:ascii="Times New Roman" w:hAnsi="Times New Roman" w:cs="Times New Roman" w:eastAsia="Times New Roman" w:hint="default"/>
        </w:rPr>
        <w:t>IC</w:t>
      </w:r>
      <w:r>
        <w:rPr>
          <w:rFonts w:ascii="Times New Roman" w:hAnsi="Times New Roman" w:cs="Times New Roman" w:eastAsia="Times New Roman" w:hint="default"/>
          <w:spacing w:val="7"/>
        </w:rPr>
        <w:t> </w:t>
      </w:r>
      <w:r>
        <w:rPr/>
        <w:t>卡等众多领域。随着网上银行的推广和发展以及其他信 息系统安全性要求的提高，身份认证市场将面临市场增长需求。</w:t>
      </w:r>
    </w:p>
    <w:p>
      <w:pPr>
        <w:spacing w:line="240" w:lineRule="auto" w:before="9"/>
        <w:rPr>
          <w:rFonts w:ascii="宋体" w:hAnsi="宋体" w:cs="宋体" w:eastAsia="宋体" w:hint="default"/>
          <w:sz w:val="25"/>
          <w:szCs w:val="25"/>
        </w:rPr>
      </w:pPr>
    </w:p>
    <w:p>
      <w:pPr>
        <w:pStyle w:val="Heading5"/>
        <w:spacing w:line="240" w:lineRule="auto"/>
        <w:ind w:left="599" w:right="1032"/>
        <w:jc w:val="left"/>
        <w:rPr>
          <w:b w:val="0"/>
          <w:bCs w:val="0"/>
        </w:rPr>
      </w:pPr>
      <w:r>
        <w:rPr/>
        <w:t>三、公司</w:t>
      </w:r>
      <w:r>
        <w:rPr>
          <w:rFonts w:ascii="Times New Roman" w:hAnsi="Times New Roman" w:cs="Times New Roman" w:eastAsia="Times New Roman" w:hint="default"/>
        </w:rPr>
        <w:t>2019</w:t>
      </w:r>
      <w:r>
        <w:rPr/>
        <w:t>年度经营计划</w:t>
      </w:r>
      <w:r>
        <w:rPr>
          <w:b w:val="0"/>
          <w:bCs w:val="0"/>
        </w:rPr>
      </w:r>
    </w:p>
    <w:p>
      <w:pPr>
        <w:pStyle w:val="BodyText"/>
        <w:spacing w:line="240" w:lineRule="auto" w:before="63"/>
        <w:ind w:left="664" w:right="1032"/>
        <w:jc w:val="left"/>
      </w:pPr>
      <w:r>
        <w:rPr>
          <w:rFonts w:ascii="Times New Roman" w:hAnsi="Times New Roman" w:cs="Times New Roman" w:eastAsia="Times New Roman" w:hint="default"/>
        </w:rPr>
        <w:t>2019</w:t>
      </w:r>
      <w:r>
        <w:rPr/>
        <w:t>年，公司将着重做好以下经营工作：</w:t>
      </w:r>
    </w:p>
    <w:p>
      <w:pPr>
        <w:pStyle w:val="BodyText"/>
        <w:spacing w:line="300" w:lineRule="auto" w:before="63"/>
        <w:ind w:left="214" w:right="1120" w:firstLine="360"/>
        <w:jc w:val="left"/>
      </w:pPr>
      <w:r>
        <w:rPr>
          <w:rFonts w:ascii="Times New Roman" w:hAnsi="Times New Roman" w:cs="Times New Roman" w:eastAsia="Times New Roman" w:hint="default"/>
        </w:rPr>
        <w:t>1.</w:t>
      </w:r>
      <w:r>
        <w:rPr/>
        <w:t>在</w:t>
      </w:r>
      <w:r>
        <w:rPr>
          <w:rFonts w:ascii="Times New Roman" w:hAnsi="Times New Roman" w:cs="Times New Roman" w:eastAsia="Times New Roman" w:hint="default"/>
        </w:rPr>
        <w:t>USB Key</w:t>
      </w:r>
      <w:r>
        <w:rPr/>
        <w:t>、</w:t>
      </w:r>
      <w:r>
        <w:rPr>
          <w:rFonts w:ascii="Times New Roman" w:hAnsi="Times New Roman" w:cs="Times New Roman" w:eastAsia="Times New Roman" w:hint="default"/>
        </w:rPr>
        <w:t>OTP</w:t>
      </w:r>
      <w:r>
        <w:rPr/>
        <w:t>既有产品领域，努力提高市场占有率以及蓝牙</w:t>
      </w:r>
      <w:r>
        <w:rPr>
          <w:rFonts w:ascii="Times New Roman" w:hAnsi="Times New Roman" w:cs="Times New Roman" w:eastAsia="Times New Roman" w:hint="default"/>
        </w:rPr>
        <w:t>USB</w:t>
      </w:r>
      <w:r>
        <w:rPr>
          <w:rFonts w:ascii="Times New Roman" w:hAnsi="Times New Roman" w:cs="Times New Roman" w:eastAsia="Times New Roman" w:hint="default"/>
          <w:spacing w:val="27"/>
        </w:rPr>
        <w:t> </w:t>
      </w:r>
      <w:r>
        <w:rPr>
          <w:rFonts w:ascii="Times New Roman" w:hAnsi="Times New Roman" w:cs="Times New Roman" w:eastAsia="Times New Roman" w:hint="default"/>
        </w:rPr>
        <w:t>Key</w:t>
      </w:r>
      <w:r>
        <w:rPr/>
        <w:t>等高端产品的销量，以削减产品价格降低带 来的影响。</w:t>
      </w:r>
    </w:p>
    <w:p>
      <w:pPr>
        <w:pStyle w:val="BodyText"/>
        <w:spacing w:line="300" w:lineRule="auto" w:before="32"/>
        <w:ind w:left="214" w:right="1130" w:firstLine="360"/>
        <w:jc w:val="left"/>
      </w:pPr>
      <w:r>
        <w:rPr>
          <w:rFonts w:ascii="Times New Roman" w:hAnsi="Times New Roman" w:cs="Times New Roman" w:eastAsia="Times New Roman" w:hint="default"/>
          <w:spacing w:val="-1"/>
        </w:rPr>
        <w:t>2.</w:t>
      </w:r>
      <w:r>
        <w:rPr>
          <w:spacing w:val="-1"/>
        </w:rPr>
        <w:t>在芯片领域，以北京宏思为基础，将安全芯片设计能力与公司嵌入式操作系统优势进行深度整合，积极开拓安全芯片</w:t>
      </w:r>
      <w:r>
        <w:rPr/>
        <w:t> 在物联网、智能交通、智能家电、公共安全、版权保护、工业控制等领域的应用。</w:t>
      </w:r>
    </w:p>
    <w:p>
      <w:pPr>
        <w:pStyle w:val="BodyText"/>
        <w:spacing w:line="300" w:lineRule="auto" w:before="31"/>
        <w:ind w:left="214" w:right="1032" w:firstLine="360"/>
        <w:jc w:val="left"/>
      </w:pPr>
      <w:r>
        <w:rPr>
          <w:rFonts w:ascii="Times New Roman" w:hAnsi="Times New Roman" w:cs="Times New Roman" w:eastAsia="Times New Roman" w:hint="default"/>
        </w:rPr>
        <w:t>3.</w:t>
      </w:r>
      <w:r>
        <w:rPr/>
        <w:t>在卡产品领域，继续快速推动公司基于可视卡创新技术和有源卡技术在智能卡领域（交通卡、金融卡、</w:t>
      </w:r>
      <w:r>
        <w:rPr>
          <w:rFonts w:ascii="Times New Roman" w:hAnsi="Times New Roman" w:cs="Times New Roman" w:eastAsia="Times New Roman" w:hint="default"/>
        </w:rPr>
        <w:t>eID</w:t>
      </w:r>
      <w:r>
        <w:rPr/>
        <w:t>卡、网络 认证）等业务领域的发展。</w:t>
      </w:r>
    </w:p>
    <w:p>
      <w:pPr>
        <w:spacing w:after="0" w:line="300" w:lineRule="auto"/>
        <w:jc w:val="left"/>
        <w:sectPr>
          <w:pgSz w:w="11910" w:h="16840"/>
          <w:pgMar w:header="877" w:footer="979" w:top="1100" w:bottom="1160" w:left="92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812"/>
        <w:jc w:val="left"/>
      </w:pPr>
      <w:r>
        <w:rPr>
          <w:rFonts w:ascii="Times New Roman" w:hAnsi="Times New Roman" w:cs="Times New Roman" w:eastAsia="Times New Roman" w:hint="default"/>
        </w:rPr>
        <w:t>4.</w:t>
      </w:r>
      <w:r>
        <w:rPr/>
        <w:t>在海外市场，稳步开拓市场；积极参与产品认证，以提升公司的竞争力。</w:t>
      </w:r>
    </w:p>
    <w:p>
      <w:pPr>
        <w:pStyle w:val="BodyText"/>
        <w:spacing w:line="240" w:lineRule="auto" w:before="63"/>
        <w:ind w:left="514" w:right="812"/>
        <w:jc w:val="left"/>
      </w:pPr>
      <w:r>
        <w:rPr>
          <w:rFonts w:ascii="Times New Roman" w:hAnsi="Times New Roman" w:cs="Times New Roman" w:eastAsia="Times New Roman" w:hint="default"/>
        </w:rPr>
        <w:t>5.</w:t>
      </w:r>
      <w:r>
        <w:rPr/>
        <w:t>在管理工作方面。做好产品研发和技术储备，提升公司核心竞争力。对内加强管理，节能增效。</w:t>
      </w:r>
    </w:p>
    <w:p>
      <w:pPr>
        <w:spacing w:line="240" w:lineRule="auto" w:before="1"/>
        <w:rPr>
          <w:rFonts w:ascii="宋体" w:hAnsi="宋体" w:cs="宋体" w:eastAsia="宋体" w:hint="default"/>
          <w:sz w:val="24"/>
          <w:szCs w:val="24"/>
        </w:rPr>
      </w:pPr>
    </w:p>
    <w:p>
      <w:pPr>
        <w:pStyle w:val="Heading2"/>
        <w:spacing w:line="240" w:lineRule="auto"/>
        <w:ind w:right="812"/>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30.179993pt;width:290.95pt;height:20.8pt;mso-position-horizontal-relative:page;mso-position-vertical-relative:page;z-index:-1080760" coordorigin="4857,12604" coordsize="5819,416">
            <v:group style="position:absolute;left:4868;top:12615;width:2;height:393" coordorigin="4868,12615" coordsize="2,393">
              <v:shape style="position:absolute;left:4868;top:12615;width:2;height:393" coordorigin="4868,12615" coordsize="0,393" path="m4868,12615l4868,13008e" filled="false" stroked="true" strokeweight="1.160pt" strokecolor="#ffffff">
                <v:path arrowok="t"/>
              </v:shape>
            </v:group>
            <v:group style="position:absolute;left:4880;top:12615;width:5796;height:393" coordorigin="4880,12615" coordsize="5796,393">
              <v:shape style="position:absolute;left:4880;top:12615;width:5796;height:393" coordorigin="4880,12615" coordsize="5796,393" path="m4880,13008l10675,13008,10675,12615,4880,12615,4880,1300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报告期内普通股利润分配政策，特别是现金分红政策的制定、执行或调整情况</w:t>
      </w:r>
    </w:p>
    <w:p>
      <w:pPr>
        <w:pStyle w:val="BodyText"/>
        <w:spacing w:line="319"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15</w:t>
      </w:r>
      <w:r>
        <w:rPr>
          <w:spacing w:val="-5"/>
        </w:rPr>
        <w:t>日，公司</w:t>
      </w:r>
      <w:r>
        <w:rPr>
          <w:rFonts w:ascii="Times New Roman" w:hAnsi="Times New Roman" w:cs="Times New Roman" w:eastAsia="Times New Roman" w:hint="default"/>
          <w:spacing w:val="-5"/>
        </w:rPr>
        <w:t>2017</w:t>
      </w:r>
      <w:r>
        <w:rPr>
          <w:spacing w:val="-5"/>
        </w:rPr>
        <w:t>年度股东大会审议通过了《关于公司</w:t>
      </w:r>
      <w:r>
        <w:rPr>
          <w:rFonts w:ascii="Times New Roman" w:hAnsi="Times New Roman" w:cs="Times New Roman" w:eastAsia="Times New Roman" w:hint="default"/>
          <w:spacing w:val="-5"/>
        </w:rPr>
        <w:t>2017</w:t>
      </w:r>
      <w:r>
        <w:rPr>
          <w:spacing w:val="-5"/>
        </w:rPr>
        <w:t>年度利润分配分案的议案》，以</w:t>
      </w:r>
      <w:r>
        <w:rPr>
          <w:rFonts w:ascii="Times New Roman" w:hAnsi="Times New Roman" w:cs="Times New Roman" w:eastAsia="Times New Roman" w:hint="default"/>
          <w:spacing w:val="-5"/>
        </w:rPr>
        <w:t>2017</w:t>
      </w:r>
      <w:r>
        <w:rPr>
          <w:spacing w:val="-5"/>
        </w:rPr>
        <w:t>年末总股本</w:t>
      </w:r>
      <w:r>
        <w:rPr>
          <w:rFonts w:ascii="Times New Roman" w:hAnsi="Times New Roman" w:cs="Times New Roman" w:eastAsia="Times New Roman" w:hint="default"/>
          <w:spacing w:val="-5"/>
        </w:rPr>
        <w:t>418,044,000</w:t>
      </w:r>
      <w:r>
        <w:rPr>
          <w:rFonts w:ascii="Times New Roman" w:hAnsi="Times New Roman" w:cs="Times New Roman" w:eastAsia="Times New Roman" w:hint="default"/>
        </w:rPr>
        <w:t> </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元（含税），总计</w:t>
      </w:r>
      <w:r>
        <w:rPr>
          <w:rFonts w:ascii="Times New Roman" w:hAnsi="Times New Roman" w:cs="Times New Roman" w:eastAsia="Times New Roman" w:hint="default"/>
        </w:rPr>
        <w:t>20,902,200.00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日，公司发布《</w:t>
      </w:r>
      <w:r>
        <w:rPr>
          <w:rFonts w:ascii="Times New Roman" w:hAnsi="Times New Roman" w:cs="Times New Roman" w:eastAsia="Times New Roman" w:hint="default"/>
        </w:rPr>
        <w:t>2017</w:t>
      </w:r>
      <w:r>
        <w:rPr/>
        <w:t>年度权益分派实施</w:t>
      </w:r>
    </w:p>
    <w:p>
      <w:pPr>
        <w:pStyle w:val="BodyText"/>
        <w:spacing w:line="300" w:lineRule="auto"/>
        <w:ind w:right="812"/>
        <w:jc w:val="left"/>
      </w:pPr>
      <w:r>
        <w:rPr>
          <w:spacing w:val="-2"/>
        </w:rPr>
        <w:t>公告》，权益分派的股权登记日为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日，除权除息日为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日。报告期内，利润分配方案已按照股东大会</w:t>
      </w:r>
      <w:r>
        <w:rPr>
          <w:spacing w:val="-52"/>
        </w:rPr>
        <w:t> </w:t>
      </w:r>
      <w:r>
        <w:rPr>
          <w:spacing w:val="-52"/>
        </w:rPr>
      </w:r>
      <w:r>
        <w:rPr/>
        <w:t>的决议执行完毕。</w:t>
      </w:r>
    </w:p>
    <w:p>
      <w:pPr>
        <w:spacing w:line="240" w:lineRule="auto" w:before="6"/>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812"/>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418,044,000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796,434,134.94</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6.459999pt;margin-top:-36.548309pt;width:479.2pt;height:8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年，经天职国际会计师事务所审计，公司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年度母公司的净利润为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98,366,826.34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元，扣减法定盈余公积后，本年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度可供投资者分配的利润为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88,530,14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董事会决议以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年度实现的可供分配利润的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23.61%</w:t>
                        </w:r>
                        <w:r>
                          <w:rPr>
                            <w:rFonts w:ascii="宋体" w:hAnsi="宋体" w:cs="宋体" w:eastAsia="宋体" w:hint="default"/>
                            <w:sz w:val="18"/>
                            <w:szCs w:val="18"/>
                          </w:rPr>
                          <w:t>向股东分配现金股利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418,044,000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，总计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20,902,200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元。本利润分配方案尚需提交公司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right="81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8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2016</w:t>
      </w:r>
      <w:r>
        <w:rPr/>
        <w:t>年，经天职国际会计师事务所审计，公司</w:t>
      </w:r>
      <w:r>
        <w:rPr>
          <w:rFonts w:ascii="Times New Roman" w:hAnsi="Times New Roman" w:cs="Times New Roman" w:eastAsia="Times New Roman" w:hint="default"/>
        </w:rPr>
        <w:t>2016</w:t>
      </w:r>
      <w:r>
        <w:rPr/>
        <w:t>年度实现归属于母公司的净利润</w:t>
      </w:r>
      <w:r>
        <w:rPr>
          <w:rFonts w:ascii="Times New Roman" w:hAnsi="Times New Roman" w:cs="Times New Roman" w:eastAsia="Times New Roman" w:hint="default"/>
        </w:rPr>
        <w:t>119,589,574.17</w:t>
      </w:r>
      <w:r>
        <w:rPr/>
        <w:t>元，扣减法定盈余公积 后，本年度可供投资者分配的利润为</w:t>
      </w:r>
      <w:r>
        <w:rPr>
          <w:spacing w:val="-19"/>
        </w:rPr>
        <w:t> </w:t>
      </w:r>
      <w:r>
        <w:rPr>
          <w:rFonts w:ascii="Times New Roman" w:hAnsi="Times New Roman" w:cs="Times New Roman" w:eastAsia="Times New Roman" w:hint="default"/>
        </w:rPr>
        <w:t>107,630,616.75</w:t>
      </w:r>
      <w:r>
        <w:rPr/>
        <w:t>元。董事会决议以</w:t>
      </w:r>
      <w:r>
        <w:rPr>
          <w:rFonts w:ascii="Times New Roman" w:hAnsi="Times New Roman" w:cs="Times New Roman" w:eastAsia="Times New Roman" w:hint="default"/>
        </w:rPr>
        <w:t>2016</w:t>
      </w:r>
      <w:r>
        <w:rPr/>
        <w:t>年度实现的可供分配利润的</w:t>
      </w:r>
      <w:r>
        <w:rPr>
          <w:rFonts w:ascii="Times New Roman" w:hAnsi="Times New Roman" w:cs="Times New Roman" w:eastAsia="Times New Roman" w:hint="default"/>
        </w:rPr>
        <w:t>30%</w:t>
      </w:r>
      <w:r>
        <w:rPr/>
        <w:t>向股东分配现金 股利。公司</w:t>
      </w:r>
      <w:r>
        <w:rPr>
          <w:rFonts w:ascii="Times New Roman" w:hAnsi="Times New Roman" w:cs="Times New Roman" w:eastAsia="Times New Roman" w:hint="default"/>
        </w:rPr>
        <w:t>2016</w:t>
      </w:r>
      <w:r>
        <w:rPr/>
        <w:t>年度利润分配预案为：以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418,044,000</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 </w:t>
      </w:r>
      <w:r>
        <w:rPr>
          <w:rFonts w:ascii="Times New Roman" w:hAnsi="Times New Roman" w:cs="Times New Roman" w:eastAsia="Times New Roman" w:hint="default"/>
          <w:spacing w:val="-2"/>
        </w:rPr>
        <w:t>2.2017</w:t>
      </w:r>
      <w:r>
        <w:rPr>
          <w:spacing w:val="-2"/>
        </w:rPr>
        <w:t>年，经天职国际会计师事务所审计，公司</w:t>
      </w:r>
      <w:r>
        <w:rPr>
          <w:rFonts w:ascii="Times New Roman" w:hAnsi="Times New Roman" w:cs="Times New Roman" w:eastAsia="Times New Roman" w:hint="default"/>
          <w:spacing w:val="-2"/>
        </w:rPr>
        <w:t>2017</w:t>
      </w:r>
      <w:r>
        <w:rPr>
          <w:spacing w:val="-2"/>
        </w:rPr>
        <w:t>年度母公司的净利润为</w:t>
      </w:r>
      <w:r>
        <w:rPr>
          <w:rFonts w:ascii="Times New Roman" w:hAnsi="Times New Roman" w:cs="Times New Roman" w:eastAsia="Times New Roman" w:hint="default"/>
          <w:spacing w:val="-2"/>
        </w:rPr>
        <w:t>104,580,630.60</w:t>
      </w:r>
      <w:r>
        <w:rPr>
          <w:spacing w:val="-2"/>
        </w:rPr>
        <w:t>元，扣减法定盈余公积后，本年度</w:t>
      </w:r>
      <w:r>
        <w:rPr>
          <w:spacing w:val="-47"/>
        </w:rPr>
        <w:t> </w:t>
      </w:r>
      <w:r>
        <w:rPr>
          <w:spacing w:val="-47"/>
        </w:rPr>
      </w:r>
      <w:r>
        <w:rPr/>
        <w:t>可供投资者分配的利润为</w:t>
      </w:r>
      <w:r>
        <w:rPr>
          <w:rFonts w:ascii="Times New Roman" w:hAnsi="Times New Roman" w:cs="Times New Roman" w:eastAsia="Times New Roman" w:hint="default"/>
        </w:rPr>
        <w:t>94,122,567.54</w:t>
      </w:r>
      <w:r>
        <w:rPr/>
        <w:t>元。董事会决议以</w:t>
      </w:r>
      <w:r>
        <w:rPr>
          <w:rFonts w:ascii="Times New Roman" w:hAnsi="Times New Roman" w:cs="Times New Roman" w:eastAsia="Times New Roman" w:hint="default"/>
        </w:rPr>
        <w:t>2017</w:t>
      </w:r>
      <w:r>
        <w:rPr/>
        <w:t>年度实现的可供分配利润的</w:t>
      </w:r>
      <w:r>
        <w:rPr>
          <w:rFonts w:ascii="Times New Roman" w:hAnsi="Times New Roman" w:cs="Times New Roman" w:eastAsia="Times New Roman" w:hint="default"/>
        </w:rPr>
        <w:t>22.21%</w:t>
      </w:r>
      <w:r>
        <w:rPr/>
        <w:t>向股东分配现金股利。公司 </w:t>
      </w:r>
      <w:r>
        <w:rPr>
          <w:rFonts w:ascii="Times New Roman" w:hAnsi="Times New Roman" w:cs="Times New Roman" w:eastAsia="Times New Roman" w:hint="default"/>
          <w:spacing w:val="-2"/>
        </w:rPr>
        <w:t>2017</w:t>
      </w:r>
      <w:r>
        <w:rPr>
          <w:spacing w:val="-2"/>
        </w:rPr>
        <w:t>年度利润分配预案为：以</w:t>
      </w:r>
      <w:r>
        <w:rPr>
          <w:rFonts w:ascii="Times New Roman" w:hAnsi="Times New Roman" w:cs="Times New Roman" w:eastAsia="Times New Roman" w:hint="default"/>
          <w:spacing w:val="-2"/>
        </w:rPr>
        <w:t>2017</w:t>
      </w:r>
      <w:r>
        <w:rPr>
          <w:spacing w:val="-2"/>
        </w:rPr>
        <w:t>年末总股本</w:t>
      </w:r>
      <w:r>
        <w:rPr>
          <w:rFonts w:ascii="Times New Roman" w:hAnsi="Times New Roman" w:cs="Times New Roman" w:eastAsia="Times New Roman" w:hint="default"/>
          <w:spacing w:val="-2"/>
        </w:rPr>
        <w:t>418,044,000</w:t>
      </w:r>
      <w:r>
        <w:rPr>
          <w:spacing w:val="-2"/>
        </w:rPr>
        <w:t>股为基数，每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w:t>
      </w:r>
      <w:r>
        <w:rPr>
          <w:spacing w:val="-2"/>
        </w:rPr>
        <w:t>元（含税），总计</w:t>
      </w:r>
      <w:r>
        <w:rPr>
          <w:rFonts w:ascii="Times New Roman" w:hAnsi="Times New Roman" w:cs="Times New Roman" w:eastAsia="Times New Roman" w:hint="default"/>
          <w:spacing w:val="-2"/>
        </w:rPr>
        <w:t>20,902,200.00</w:t>
      </w:r>
      <w:r>
        <w:rPr>
          <w:rFonts w:ascii="Times New Roman" w:hAnsi="Times New Roman" w:cs="Times New Roman" w:eastAsia="Times New Roman" w:hint="default"/>
          <w:spacing w:val="14"/>
        </w:rPr>
        <w:t> </w:t>
      </w:r>
      <w:r>
        <w:rPr/>
        <w:t>元。本利润分配方案尚需提交公司</w:t>
      </w:r>
      <w:r>
        <w:rPr>
          <w:rFonts w:ascii="Times New Roman" w:hAnsi="Times New Roman" w:cs="Times New Roman" w:eastAsia="Times New Roman" w:hint="default"/>
        </w:rPr>
        <w:t>2017</w:t>
      </w:r>
      <w:r>
        <w:rPr/>
        <w:t>年度股东大会审议。 </w:t>
      </w:r>
      <w:r>
        <w:rPr>
          <w:rFonts w:ascii="Times New Roman" w:hAnsi="Times New Roman" w:cs="Times New Roman" w:eastAsia="Times New Roman" w:hint="default"/>
        </w:rPr>
        <w:t>3.2018</w:t>
      </w:r>
      <w:r>
        <w:rPr/>
        <w:t>年，经天职国际会计师事务所审计，公司</w:t>
      </w:r>
      <w:r>
        <w:rPr>
          <w:rFonts w:ascii="Times New Roman" w:hAnsi="Times New Roman" w:cs="Times New Roman" w:eastAsia="Times New Roman" w:hint="default"/>
        </w:rPr>
        <w:t>2018</w:t>
      </w:r>
      <w:r>
        <w:rPr/>
        <w:t>年度母公司的净利润为</w:t>
      </w:r>
      <w:r>
        <w:rPr>
          <w:rFonts w:ascii="Times New Roman" w:hAnsi="Times New Roman" w:cs="Times New Roman" w:eastAsia="Times New Roman" w:hint="default"/>
        </w:rPr>
        <w:t>98,366,826.34</w:t>
      </w:r>
      <w:r>
        <w:rPr/>
        <w:t>元，扣减法定盈余公积后，本年度 可供投资者分配的利润为</w:t>
      </w:r>
      <w:r>
        <w:rPr>
          <w:rFonts w:ascii="Times New Roman" w:hAnsi="Times New Roman" w:cs="Times New Roman" w:eastAsia="Times New Roman" w:hint="default"/>
        </w:rPr>
        <w:t>88,530,143.71</w:t>
      </w:r>
      <w:r>
        <w:rPr/>
        <w:t>元。董事会决议以</w:t>
      </w:r>
      <w:r>
        <w:rPr>
          <w:rFonts w:ascii="Times New Roman" w:hAnsi="Times New Roman" w:cs="Times New Roman" w:eastAsia="Times New Roman" w:hint="default"/>
        </w:rPr>
        <w:t>2018</w:t>
      </w:r>
      <w:r>
        <w:rPr/>
        <w:t>年度实现的可供分配利润的</w:t>
      </w:r>
      <w:r>
        <w:rPr>
          <w:rFonts w:ascii="Times New Roman" w:hAnsi="Times New Roman" w:cs="Times New Roman" w:eastAsia="Times New Roman" w:hint="default"/>
        </w:rPr>
        <w:t>23.61%</w:t>
      </w:r>
      <w:r>
        <w:rPr/>
        <w:t>向股东分配现金股利。公司 </w:t>
      </w:r>
      <w:r>
        <w:rPr>
          <w:rFonts w:ascii="Times New Roman" w:hAnsi="Times New Roman" w:cs="Times New Roman" w:eastAsia="Times New Roman" w:hint="default"/>
          <w:spacing w:val="-2"/>
        </w:rPr>
        <w:t>2018</w:t>
      </w:r>
      <w:r>
        <w:rPr>
          <w:spacing w:val="-2"/>
        </w:rPr>
        <w:t>年度利润分配预案为：以</w:t>
      </w:r>
      <w:r>
        <w:rPr>
          <w:rFonts w:ascii="Times New Roman" w:hAnsi="Times New Roman" w:cs="Times New Roman" w:eastAsia="Times New Roman" w:hint="default"/>
          <w:spacing w:val="-2"/>
        </w:rPr>
        <w:t>2018</w:t>
      </w:r>
      <w:r>
        <w:rPr>
          <w:spacing w:val="-2"/>
        </w:rPr>
        <w:t>年末总股本</w:t>
      </w:r>
      <w:r>
        <w:rPr>
          <w:rFonts w:ascii="Times New Roman" w:hAnsi="Times New Roman" w:cs="Times New Roman" w:eastAsia="Times New Roman" w:hint="default"/>
          <w:spacing w:val="-2"/>
        </w:rPr>
        <w:t>418,044,000</w:t>
      </w:r>
      <w:r>
        <w:rPr>
          <w:spacing w:val="-2"/>
        </w:rPr>
        <w:t>股为基数，每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w:t>
      </w:r>
      <w:r>
        <w:rPr>
          <w:spacing w:val="-2"/>
        </w:rPr>
        <w:t>元（含税），总计</w:t>
      </w:r>
      <w:r>
        <w:rPr>
          <w:rFonts w:ascii="Times New Roman" w:hAnsi="Times New Roman" w:cs="Times New Roman" w:eastAsia="Times New Roman" w:hint="default"/>
          <w:spacing w:val="-2"/>
        </w:rPr>
        <w:t>20,902,200</w:t>
      </w:r>
      <w:r>
        <w:rPr>
          <w:spacing w:val="-2"/>
        </w:rPr>
        <w:t>元。</w:t>
      </w:r>
      <w:r>
        <w:rPr>
          <w:spacing w:val="-79"/>
        </w:rPr>
        <w:t> </w:t>
      </w:r>
      <w:r>
        <w:rPr/>
        <w:t>本利润分配方案尚需提交公司</w:t>
      </w:r>
      <w:r>
        <w:rPr>
          <w:rFonts w:ascii="Times New Roman" w:hAnsi="Times New Roman" w:cs="Times New Roman" w:eastAsia="Times New Roman" w:hint="default"/>
        </w:rPr>
        <w:t>2018</w:t>
      </w:r>
      <w:r>
        <w:rPr/>
        <w:t>年度股东大会审议。</w:t>
      </w:r>
    </w:p>
    <w:p>
      <w:pPr>
        <w:spacing w:line="240" w:lineRule="auto" w:before="7"/>
        <w:rPr>
          <w:rFonts w:ascii="宋体" w:hAnsi="宋体" w:cs="宋体" w:eastAsia="宋体" w:hint="default"/>
          <w:sz w:val="24"/>
          <w:szCs w:val="24"/>
        </w:rPr>
      </w:pPr>
    </w:p>
    <w:p>
      <w:pPr>
        <w:pStyle w:val="BodyText"/>
        <w:spacing w:line="240" w:lineRule="auto" w:before="44"/>
        <w:ind w:right="812"/>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133,273,482.46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15.68%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125,174,450.29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16.70%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20,902,200.00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16.70%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119,589,574.17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34.96%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34.96%</w:t>
            </w:r>
          </w:p>
        </w:tc>
      </w:tr>
    </w:tbl>
    <w:p>
      <w:pPr>
        <w:pStyle w:val="BodyText"/>
        <w:spacing w:line="240" w:lineRule="auto" w:before="51"/>
        <w:ind w:right="812"/>
        <w:jc w:val="left"/>
      </w:pPr>
      <w:r>
        <w:rPr/>
        <w:t>公司报告期内盈利且母公司可供普通股股东分配利润为正但未提出普通股现金红利分配预案</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812"/>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25"/>
        <w:gridCol w:w="1137"/>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67"/>
              <w:jc w:val="center"/>
              <w:rPr>
                <w:rFonts w:ascii="宋体" w:hAnsi="宋体" w:cs="宋体" w:eastAsia="宋体" w:hint="default"/>
                <w:sz w:val="18"/>
                <w:szCs w:val="18"/>
              </w:rPr>
            </w:pPr>
            <w:r>
              <w:rPr>
                <w:rFonts w:ascii="宋体" w:hAnsi="宋体" w:cs="宋体" w:eastAsia="宋体" w:hint="default"/>
                <w:sz w:val="18"/>
                <w:szCs w:val="18"/>
              </w:rPr>
              <w:t>收购报告书或权益变动报告书中所</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34.420013pt;margin-top:110.699982pt;width:89.1pt;height:311.05pt;mso-position-horizontal-relative:page;mso-position-vertical-relative:page;z-index:-1080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0" w:right="0"/>
                    <w:jc w:val="left"/>
                  </w:pPr>
                  <w:r>
                    <w:rPr/>
                    <w:t>个月内，</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首发限售承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公司实际控 </w:t>
            </w:r>
            <w:r>
              <w:rPr>
                <w:rFonts w:ascii="宋体" w:hAnsi="宋体" w:cs="宋体" w:eastAsia="宋体" w:hint="default"/>
                <w:spacing w:val="-2"/>
                <w:sz w:val="18"/>
                <w:szCs w:val="18"/>
              </w:rPr>
              <w:t>制人、董事长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黄煜承诺：主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动向公司申 报其所直接 和间接持有 的公司股份 及其变动情 </w:t>
            </w:r>
            <w:r>
              <w:rPr>
                <w:rFonts w:ascii="宋体" w:hAnsi="宋体" w:cs="宋体" w:eastAsia="宋体" w:hint="default"/>
                <w:spacing w:val="-2"/>
                <w:sz w:val="18"/>
                <w:szCs w:val="18"/>
              </w:rPr>
              <w:t>况；自公司股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票上市之日 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不转让或者 委托他人管 理其直接或 者间接持有 的公司本次</w:t>
            </w:r>
          </w:p>
          <w:p>
            <w:pPr>
              <w:pStyle w:val="TableParagraph"/>
              <w:spacing w:line="316" w:lineRule="auto" w:before="19"/>
              <w:ind w:left="22" w:right="-1"/>
              <w:jc w:val="left"/>
              <w:rPr>
                <w:rFonts w:ascii="宋体" w:hAnsi="宋体" w:cs="宋体" w:eastAsia="宋体" w:hint="default"/>
                <w:sz w:val="18"/>
                <w:szCs w:val="18"/>
              </w:rPr>
            </w:pPr>
            <w:r>
              <w:rPr>
                <w:rFonts w:ascii="宋体" w:hAnsi="宋体" w:cs="宋体" w:eastAsia="宋体" w:hint="default"/>
                <w:sz w:val="18"/>
                <w:szCs w:val="18"/>
              </w:rPr>
              <w:t>发行前股份， 也不由公司 回购其直接 或者间接持 有的公司本 次发行前股 份；上述锁定 期满后的两 年内，本人减 持所持发行 人股份每年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减持价格不 低于本次发 行的发行价， 如自公司首 次公开发行 股票至上述 减持公告之 日公司发生 过派息、送 股、资本公积 转增股本等 除权除息事 项的，发行价 格应相应调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2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3"/>
                <w:sz w:val="20"/>
                <w:szCs w:val="20"/>
              </w:rPr>
              <w:pict>
                <v:group style="width:55.85pt;height:311.05pt;mso-position-horizontal-relative:char;mso-position-vertical-relative:line" coordorigin="0,0" coordsize="1117,6221">
                  <v:group style="position:absolute;left:0;top:0;width:1117;height:6221" coordorigin="0,0" coordsize="1117,6221">
                    <v:shape style="position:absolute;left:0;top:0;width:1117;height:6221" coordorigin="0,0" coordsize="1117,6221" path="m0,6220l1116,6220,1116,0,0,0,0,6220xe" filled="true" fillcolor="#ffffff" stroked="false">
                      <v:path arrowok="t"/>
                      <v:fill type="solid"/>
                    </v:shape>
                  </v:group>
                </v:group>
              </w:pict>
            </w:r>
            <w:r>
              <w:rPr>
                <w:rFonts w:ascii="Times New Roman" w:hAnsi="Times New Roman" w:cs="Times New Roman" w:eastAsia="Times New Roman" w:hint="default"/>
                <w:position w:val="-12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整；上述锁定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在担任公司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员的任职期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过其所直接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内不转让其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司股份；在申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内通过证券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交易所挂牌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占其所直接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数的比例不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50%</w:t>
            </w:r>
            <w:r>
              <w:rPr>
                <w:rFonts w:ascii="宋体" w:hAnsi="宋体" w:cs="宋体" w:eastAsia="宋体" w:hint="default"/>
                <w:spacing w:val="-11"/>
                <w:sz w:val="18"/>
                <w:szCs w:val="18"/>
              </w:rPr>
              <w:t>；上</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述锁定期届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前提下，方可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）上述锁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定期届满且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没有延长锁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情形，如有锁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定延长期，则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顺延</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）如</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发生股东需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向投资者进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行赔偿的情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形，该等股东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已经全额承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李伟、陆舟、 韩雪峰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首发限售承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主动向公司 申报其所直 接和间接持 有的公司股 份及其变动 情况；自公司 股票上市交 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让或委托他 人管理其所 直接或间接 持有的公司 本次发行前 股份，也不由 公司回购其 直接或间接 持有的股份； 在上述锁定 期满后的两 年内，每年减 持不超过本 人所持有公 司股份总数 </w:t>
            </w:r>
            <w:r>
              <w:rPr>
                <w:rFonts w:ascii="Times New Roman" w:hAnsi="Times New Roman" w:cs="Times New Roman" w:eastAsia="Times New Roman" w:hint="default"/>
                <w:sz w:val="18"/>
                <w:szCs w:val="18"/>
              </w:rPr>
              <w:t>20%</w:t>
            </w:r>
            <w:r>
              <w:rPr>
                <w:rFonts w:ascii="宋体" w:hAnsi="宋体" w:cs="宋体" w:eastAsia="宋体" w:hint="default"/>
                <w:sz w:val="18"/>
                <w:szCs w:val="18"/>
              </w:rPr>
              <w:t>。在首次 公开发行股 票上市之日</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申报离职的， 自申报离职 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内不转让直 接或间接本 人所持公司 股份，且在申 报离任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p>
            <w:pPr>
              <w:pStyle w:val="TableParagraph"/>
              <w:spacing w:line="314" w:lineRule="auto" w:before="1"/>
              <w:ind w:left="22" w:right="103"/>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内通过证券 交易所挂牌 交易出售公 司股票数量 占本人所直 接和间接持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诺人均严格 </w:t>
            </w:r>
            <w:r>
              <w:rPr>
                <w:rFonts w:ascii="宋体" w:hAnsi="宋体" w:cs="宋体" w:eastAsia="宋体" w:hint="default"/>
                <w:spacing w:val="-5"/>
                <w:sz w:val="18"/>
                <w:szCs w:val="18"/>
              </w:rPr>
              <w:t>遵守承诺，不</w:t>
            </w:r>
            <w:r>
              <w:rPr>
                <w:rFonts w:ascii="宋体" w:hAnsi="宋体" w:cs="宋体" w:eastAsia="宋体" w:hint="default"/>
                <w:sz w:val="18"/>
                <w:szCs w:val="18"/>
              </w:rPr>
              <w:t> 存在违反承 诺的情形。</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91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有公司股票 总数的比例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如本人在上 述锁定期满 后两年内减 持所持发行 人股票的，减 持价格不低 于本次发行 的发行价，如 自公司首次 公开发行股 票至上述减 持公告之日 公司发生过 派息、送股、 资本公积转 增股本等除 权除息事项 的，发行价格 应相应调整。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股份的情况 下，本人承诺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将不以任何 方式直接或 间接经营任 何与飞天诚 信的主营业 务有竞争或 可能构成竞 </w:t>
            </w:r>
            <w:r>
              <w:rPr>
                <w:rFonts w:ascii="宋体" w:hAnsi="宋体" w:cs="宋体" w:eastAsia="宋体" w:hint="default"/>
                <w:spacing w:val="-2"/>
                <w:sz w:val="18"/>
                <w:szCs w:val="18"/>
              </w:rPr>
              <w:t>争的业务，以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避免与飞天 诚信构成同 </w:t>
            </w:r>
            <w:r>
              <w:rPr>
                <w:rFonts w:ascii="宋体" w:hAnsi="宋体" w:cs="宋体" w:eastAsia="宋体" w:hint="default"/>
                <w:spacing w:val="-2"/>
                <w:sz w:val="18"/>
                <w:szCs w:val="18"/>
              </w:rPr>
              <w:t>业竞争；在飞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天诚信依法 存续期间且 本人仍然为 飞天诚信第 一大股东或 持有飞天诚 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份的情况下， 若因其所从 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李伟、陆舟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竞业禁止承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截至承诺函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股份的情况 下，本人承诺 将不以任何 方式直接或 间接经营任 何与飞天诚 信的主营业 务有竞争或 可能构成竞 争的业务，以 避免与飞天 诚信构成同 业竞争；在飞 天诚信依法 存续期间且 本人仍然为 飞天诚信第 一大股东或 持有飞天诚</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份的情况下， 若因其所从 事的业务与 飞天诚信的 业务发生重 合而可能构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竞业禁止承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截至承诺函 出具之日，本 人未以任何 方式直接或 间接从事与 飞天诚信相 竞争的业务， 亦未直接或 间接控制其 他与飞天诚 信业务相竞 争的企业。在 飞天诚信依 法存续期间 且本人仍然 为飞天诚信 第一大股东 或持有飞天 诚信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股份的情况 下，本人承诺 将不以任何 方式直接或 间接经营任 何与飞天诚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1"/>
              <w:ind w:left="22" w:right="82"/>
              <w:jc w:val="left"/>
              <w:rPr>
                <w:rFonts w:ascii="宋体" w:hAnsi="宋体" w:cs="宋体" w:eastAsia="宋体" w:hint="default"/>
                <w:sz w:val="18"/>
                <w:szCs w:val="18"/>
              </w:rPr>
            </w:pPr>
            <w:r>
              <w:rPr>
                <w:rFonts w:ascii="宋体" w:hAnsi="宋体" w:cs="宋体" w:eastAsia="宋体" w:hint="default"/>
                <w:sz w:val="18"/>
                <w:szCs w:val="18"/>
              </w:rPr>
              <w:t>作为持股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以上的大股 东期间。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履行完毕，承</w:t>
            </w:r>
            <w:r>
              <w:rPr>
                <w:rFonts w:ascii="宋体" w:hAnsi="宋体" w:cs="宋体" w:eastAsia="宋体" w:hint="default"/>
                <w:sz w:val="18"/>
                <w:szCs w:val="18"/>
              </w:rPr>
              <w:t> 诺期间承诺 人均严格遵 </w:t>
            </w:r>
            <w:r>
              <w:rPr>
                <w:rFonts w:ascii="宋体" w:hAnsi="宋体" w:cs="宋体" w:eastAsia="宋体" w:hint="default"/>
                <w:spacing w:val="-5"/>
                <w:sz w:val="18"/>
                <w:szCs w:val="18"/>
              </w:rPr>
              <w:t>守承诺，不存</w:t>
            </w:r>
            <w:r>
              <w:rPr>
                <w:rFonts w:ascii="宋体" w:hAnsi="宋体" w:cs="宋体" w:eastAsia="宋体" w:hint="default"/>
                <w:sz w:val="18"/>
                <w:szCs w:val="18"/>
              </w:rPr>
              <w:t> 在违反承诺 的情形。</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信的主营业 务有竞争或 可能构成竞 </w:t>
            </w:r>
            <w:r>
              <w:rPr>
                <w:rFonts w:ascii="宋体" w:hAnsi="宋体" w:cs="宋体" w:eastAsia="宋体" w:hint="default"/>
                <w:spacing w:val="-2"/>
                <w:sz w:val="18"/>
                <w:szCs w:val="18"/>
              </w:rPr>
              <w:t>争的业务，以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避免与飞天 诚信构成同 </w:t>
            </w:r>
            <w:r>
              <w:rPr>
                <w:rFonts w:ascii="宋体" w:hAnsi="宋体" w:cs="宋体" w:eastAsia="宋体" w:hint="default"/>
                <w:spacing w:val="-2"/>
                <w:sz w:val="18"/>
                <w:szCs w:val="18"/>
              </w:rPr>
              <w:t>业竞争；在飞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天诚信依法 存续期间且 本人仍然为 飞天诚信第 一大股东或 持有飞天诚 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份的情况下， 若因其所从 事的业务与 飞天诚信的 业务发生重 合而可能构 成同业竞争， 则飞天诚信 有权在同等 条件下优先 收购该等业 务所涉资产 或股权，以避 免与飞天诚 信的业务构 成同业竞争； 如因其违反 承诺函而给 飞天诚信造 成损失的，本 人同意对由 此而给飞天 诚信造成的 损失予以赔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3"/>
        <w:spacing w:line="259" w:lineRule="auto" w:before="35"/>
        <w:ind w:right="812"/>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2"/>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812"/>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1122" w:firstLine="420"/>
        <w:jc w:val="left"/>
      </w:pP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日发布了《关于修订印发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号），对一</w:t>
      </w:r>
      <w:r>
        <w:rPr/>
        <w:t> 般企业财务报表格式进行了修订。</w:t>
      </w:r>
      <w:r>
        <w:rPr>
          <w:spacing w:val="-19"/>
        </w:rPr>
        <w:t> </w:t>
      </w:r>
      <w:r>
        <w:rPr/>
        <w:t>本公司执行上述规定的主要影响如下：</w:t>
      </w:r>
    </w:p>
    <w:p>
      <w:pPr>
        <w:spacing w:line="240" w:lineRule="auto" w:before="10"/>
        <w:rPr>
          <w:rFonts w:ascii="宋体" w:hAnsi="宋体" w:cs="宋体" w:eastAsia="宋体" w:hint="default"/>
          <w:sz w:val="10"/>
          <w:szCs w:val="10"/>
        </w:rPr>
      </w:pPr>
    </w:p>
    <w:tbl>
      <w:tblPr>
        <w:tblW w:w="0" w:type="auto"/>
        <w:jc w:val="left"/>
        <w:tblInd w:w="260" w:type="dxa"/>
        <w:tblLayout w:type="fixed"/>
        <w:tblCellMar>
          <w:top w:w="0" w:type="dxa"/>
          <w:left w:w="0" w:type="dxa"/>
          <w:bottom w:w="0" w:type="dxa"/>
          <w:right w:w="0" w:type="dxa"/>
        </w:tblCellMar>
        <w:tblLook w:val="01E0"/>
      </w:tblPr>
      <w:tblGrid>
        <w:gridCol w:w="2614"/>
        <w:gridCol w:w="5962"/>
      </w:tblGrid>
      <w:tr>
        <w:trPr>
          <w:trHeight w:val="3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0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将应收账款与应收票据合并为</w:t>
            </w:r>
          </w:p>
          <w:p>
            <w:pPr>
              <w:pStyle w:val="TableParagraph"/>
              <w:spacing w:line="240" w:lineRule="auto" w:before="76"/>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98,557,673.23</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69,874,484.41</w:t>
            </w:r>
            <w:r>
              <w:rPr>
                <w:rFonts w:ascii="宋体" w:hAnsi="宋体" w:cs="宋体" w:eastAsia="宋体" w:hint="default"/>
                <w:sz w:val="18"/>
                <w:szCs w:val="18"/>
              </w:rPr>
              <w:t>元</w:t>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76"/>
              <w:jc w:val="left"/>
              <w:rPr>
                <w:rFonts w:ascii="宋体" w:hAnsi="宋体" w:cs="宋体" w:eastAsia="宋体" w:hint="default"/>
                <w:sz w:val="18"/>
                <w:szCs w:val="18"/>
              </w:rPr>
            </w:pPr>
            <w:r>
              <w:rPr>
                <w:rFonts w:ascii="宋体" w:hAnsi="宋体" w:cs="宋体" w:eastAsia="宋体" w:hint="default"/>
                <w:sz w:val="18"/>
                <w:szCs w:val="18"/>
              </w:rPr>
              <w:t>将应收利息、应收股利与其他应 收款合并为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1"/>
                <w:sz w:val="18"/>
                <w:szCs w:val="18"/>
              </w:rPr>
              <w:t>其他应收款</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日列示金额</w:t>
            </w:r>
            <w:r>
              <w:rPr>
                <w:rFonts w:ascii="Times New Roman" w:hAnsi="Times New Roman" w:cs="Times New Roman" w:eastAsia="Times New Roman" w:hint="default"/>
                <w:spacing w:val="-1"/>
                <w:sz w:val="18"/>
                <w:szCs w:val="18"/>
              </w:rPr>
              <w:t>8,836,478.76</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日列示金</w:t>
            </w:r>
            <w:r>
              <w:rPr>
                <w:rFonts w:ascii="宋体" w:hAnsi="宋体" w:cs="宋体" w:eastAsia="宋体" w:hint="default"/>
                <w:spacing w:val="-88"/>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9,199,518.23</w:t>
            </w:r>
            <w:r>
              <w:rPr>
                <w:rFonts w:ascii="宋体" w:hAnsi="宋体" w:cs="宋体" w:eastAsia="宋体" w:hint="default"/>
                <w:sz w:val="18"/>
                <w:szCs w:val="18"/>
              </w:rPr>
              <w:t>元</w:t>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left"/>
              <w:rPr>
                <w:rFonts w:ascii="宋体" w:hAnsi="宋体" w:cs="宋体" w:eastAsia="宋体" w:hint="default"/>
                <w:sz w:val="18"/>
                <w:szCs w:val="18"/>
              </w:rPr>
            </w:pPr>
            <w:r>
              <w:rPr>
                <w:rFonts w:ascii="宋体" w:hAnsi="宋体" w:cs="宋体" w:eastAsia="宋体" w:hint="default"/>
                <w:sz w:val="18"/>
                <w:szCs w:val="18"/>
              </w:rPr>
              <w:t>将应付票据与应付账款合并为</w:t>
            </w:r>
          </w:p>
          <w:p>
            <w:pPr>
              <w:pStyle w:val="TableParagraph"/>
              <w:spacing w:line="240" w:lineRule="auto" w:before="76"/>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82,563,306.90</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100,004,878.46</w:t>
            </w:r>
            <w:r>
              <w:rPr>
                <w:rFonts w:ascii="宋体" w:hAnsi="宋体" w:cs="宋体" w:eastAsia="宋体" w:hint="default"/>
                <w:sz w:val="18"/>
                <w:szCs w:val="18"/>
              </w:rPr>
              <w:t>元</w:t>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76"/>
              <w:jc w:val="left"/>
              <w:rPr>
                <w:rFonts w:ascii="宋体" w:hAnsi="宋体" w:cs="宋体" w:eastAsia="宋体" w:hint="default"/>
                <w:sz w:val="18"/>
                <w:szCs w:val="18"/>
              </w:rPr>
            </w:pPr>
            <w:r>
              <w:rPr>
                <w:rFonts w:ascii="宋体" w:hAnsi="宋体" w:cs="宋体" w:eastAsia="宋体" w:hint="default"/>
                <w:sz w:val="18"/>
                <w:szCs w:val="18"/>
              </w:rPr>
              <w:t>将应付利息、应付股利与其他应 付款合并为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67"/>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日列示金额</w:t>
            </w:r>
            <w:r>
              <w:rPr>
                <w:rFonts w:ascii="Times New Roman" w:hAnsi="Times New Roman" w:cs="Times New Roman" w:eastAsia="Times New Roman" w:hint="default"/>
                <w:sz w:val="18"/>
                <w:szCs w:val="18"/>
              </w:rPr>
              <w:t>6,094,845.83</w:t>
            </w:r>
            <w:r>
              <w:rPr>
                <w:rFonts w:ascii="宋体" w:hAnsi="宋体" w:cs="宋体" w:eastAsia="宋体" w:hint="default"/>
                <w:sz w:val="18"/>
                <w:szCs w:val="18"/>
              </w:rPr>
              <w:t>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日列示 金额</w:t>
            </w:r>
            <w:r>
              <w:rPr>
                <w:rFonts w:ascii="Times New Roman" w:hAnsi="Times New Roman" w:cs="Times New Roman" w:eastAsia="Times New Roman" w:hint="default"/>
                <w:sz w:val="18"/>
                <w:szCs w:val="18"/>
              </w:rPr>
              <w:t>3,247,514.57</w:t>
            </w:r>
            <w:r>
              <w:rPr>
                <w:rFonts w:ascii="宋体" w:hAnsi="宋体" w:cs="宋体" w:eastAsia="宋体" w:hint="default"/>
                <w:sz w:val="18"/>
                <w:szCs w:val="18"/>
              </w:rPr>
              <w:t>元</w:t>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6" w:right="76"/>
              <w:jc w:val="left"/>
              <w:rPr>
                <w:rFonts w:ascii="宋体" w:hAnsi="宋体" w:cs="宋体" w:eastAsia="宋体" w:hint="default"/>
                <w:sz w:val="18"/>
                <w:szCs w:val="18"/>
              </w:rPr>
            </w:pPr>
            <w:r>
              <w:rPr>
                <w:rFonts w:ascii="宋体" w:hAnsi="宋体" w:cs="宋体" w:eastAsia="宋体" w:hint="default"/>
                <w:sz w:val="18"/>
                <w:szCs w:val="18"/>
              </w:rPr>
              <w:t>新增研发费用报表项目，研发费 用不再在管理费用项目列示</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年度增加研发费用</w:t>
            </w:r>
            <w:r>
              <w:rPr>
                <w:rFonts w:ascii="Times New Roman" w:hAnsi="Times New Roman" w:cs="Times New Roman" w:eastAsia="Times New Roman" w:hint="default"/>
                <w:sz w:val="18"/>
                <w:szCs w:val="18"/>
              </w:rPr>
              <w:t>118,343,498.99</w:t>
            </w:r>
            <w:r>
              <w:rPr>
                <w:rFonts w:ascii="宋体" w:hAnsi="宋体" w:cs="宋体" w:eastAsia="宋体" w:hint="default"/>
                <w:sz w:val="18"/>
                <w:szCs w:val="18"/>
              </w:rPr>
              <w:t>元，减少管理费用</w:t>
            </w:r>
            <w:r>
              <w:rPr>
                <w:rFonts w:ascii="Times New Roman" w:hAnsi="Times New Roman" w:cs="Times New Roman" w:eastAsia="Times New Roman" w:hint="default"/>
                <w:sz w:val="18"/>
                <w:szCs w:val="18"/>
              </w:rPr>
              <w:t>118,343,498.99</w:t>
            </w:r>
            <w:r>
              <w:rPr>
                <w:rFonts w:ascii="宋体" w:hAnsi="宋体" w:cs="宋体" w:eastAsia="宋体" w:hint="default"/>
                <w:sz w:val="18"/>
                <w:szCs w:val="18"/>
              </w:rPr>
              <w:t>元；</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年度增加研发费用</w:t>
            </w:r>
            <w:r>
              <w:rPr>
                <w:rFonts w:ascii="Times New Roman" w:hAnsi="Times New Roman" w:cs="Times New Roman" w:eastAsia="Times New Roman" w:hint="default"/>
                <w:sz w:val="18"/>
                <w:szCs w:val="18"/>
              </w:rPr>
              <w:t>120,396,616.46</w:t>
            </w:r>
            <w:r>
              <w:rPr>
                <w:rFonts w:ascii="宋体" w:hAnsi="宋体" w:cs="宋体" w:eastAsia="宋体" w:hint="default"/>
                <w:sz w:val="18"/>
                <w:szCs w:val="18"/>
              </w:rPr>
              <w:t>元，减少管理费用</w:t>
            </w:r>
            <w:r>
              <w:rPr>
                <w:rFonts w:ascii="Times New Roman" w:hAnsi="Times New Roman" w:cs="Times New Roman" w:eastAsia="Times New Roman" w:hint="default"/>
                <w:sz w:val="18"/>
                <w:szCs w:val="18"/>
              </w:rPr>
              <w:t>120,396,616.46</w:t>
            </w:r>
            <w:r>
              <w:rPr>
                <w:rFonts w:ascii="宋体" w:hAnsi="宋体" w:cs="宋体" w:eastAsia="宋体" w:hint="default"/>
                <w:sz w:val="18"/>
                <w:szCs w:val="18"/>
              </w:rPr>
              <w:t>元</w:t>
            </w:r>
          </w:p>
        </w:tc>
      </w:tr>
      <w:tr>
        <w:trPr>
          <w:trHeight w:val="6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 w:right="16"/>
              <w:jc w:val="left"/>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 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59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年度增加利息费用</w:t>
            </w:r>
            <w:r>
              <w:rPr>
                <w:rFonts w:ascii="Times New Roman" w:hAnsi="Times New Roman" w:cs="Times New Roman" w:eastAsia="Times New Roman" w:hint="default"/>
                <w:sz w:val="18"/>
                <w:szCs w:val="18"/>
              </w:rPr>
              <w:t>-13,879.55</w:t>
            </w:r>
            <w:r>
              <w:rPr>
                <w:rFonts w:ascii="宋体" w:hAnsi="宋体" w:cs="宋体" w:eastAsia="宋体" w:hint="default"/>
                <w:sz w:val="18"/>
                <w:szCs w:val="18"/>
              </w:rPr>
              <w:t>元，增加利息收入</w:t>
            </w:r>
            <w:r>
              <w:rPr>
                <w:rFonts w:ascii="Times New Roman" w:hAnsi="Times New Roman" w:cs="Times New Roman" w:eastAsia="Times New Roman" w:hint="default"/>
                <w:sz w:val="18"/>
                <w:szCs w:val="18"/>
              </w:rPr>
              <w:t>2,285,979.49</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宋体" w:hAnsi="宋体" w:cs="宋体" w:eastAsia="宋体" w:hint="default"/>
                <w:sz w:val="18"/>
                <w:szCs w:val="18"/>
              </w:rPr>
              <w:t>年 度增加利息费用</w:t>
            </w:r>
            <w:r>
              <w:rPr>
                <w:rFonts w:ascii="Times New Roman" w:hAnsi="Times New Roman" w:cs="Times New Roman" w:eastAsia="Times New Roman" w:hint="default"/>
                <w:sz w:val="18"/>
                <w:szCs w:val="18"/>
              </w:rPr>
              <w:t>3,420.20</w:t>
            </w:r>
            <w:r>
              <w:rPr>
                <w:rFonts w:ascii="宋体" w:hAnsi="宋体" w:cs="宋体" w:eastAsia="宋体" w:hint="default"/>
                <w:sz w:val="18"/>
                <w:szCs w:val="18"/>
              </w:rPr>
              <w:t>元，增加利息收入</w:t>
            </w:r>
            <w:r>
              <w:rPr>
                <w:rFonts w:ascii="Times New Roman" w:hAnsi="Times New Roman" w:cs="Times New Roman" w:eastAsia="Times New Roman" w:hint="default"/>
                <w:sz w:val="18"/>
                <w:szCs w:val="18"/>
              </w:rPr>
              <w:t>3,765,832.71</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812"/>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after="0" w:line="3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r>
        <w:rPr/>
        <w:pict>
          <v:shape style="position:absolute;margin-left:123.32pt;margin-top:668.919983pt;width:60pt;height:100.4pt;mso-position-horizontal-relative:page;mso-position-vertical-relative:page;z-index:-10806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129.5pt;margin-top:668.919983pt;width:53.85pt;height:100.4pt;mso-position-horizontal-relative:page;mso-position-vertical-relative:page;z-index:-1080592" coordorigin="2590,13378" coordsize="1077,2008">
            <v:shape style="position:absolute;left:2590;top:13378;width:1077;height:2008" coordorigin="2590,13378" coordsize="1077,2008" path="m2590,15386l3666,15386,3666,13378,2590,13378,2590,15386xe" filled="true" fillcolor="#ffffff" stroked="false">
              <v:path arrowok="t"/>
              <v:fill type="solid"/>
            </v:shape>
            <w10:wrap type="none"/>
          </v:group>
        </w:pict>
      </w:r>
    </w:p>
    <w:p>
      <w:pPr>
        <w:pStyle w:val="Heading2"/>
        <w:spacing w:line="240" w:lineRule="auto" w:before="26"/>
        <w:ind w:right="812"/>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812"/>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本年度，公司聘请天职国际会计师事务所（特殊普通合伙）实施内部控制审计。</w:t>
      </w:r>
    </w:p>
    <w:p>
      <w:pPr>
        <w:spacing w:line="240" w:lineRule="auto" w:before="7"/>
        <w:rPr>
          <w:rFonts w:ascii="宋体" w:hAnsi="宋体" w:cs="宋体" w:eastAsia="宋体" w:hint="default"/>
          <w:sz w:val="19"/>
          <w:szCs w:val="19"/>
        </w:rPr>
      </w:pPr>
    </w:p>
    <w:p>
      <w:pPr>
        <w:pStyle w:val="Heading2"/>
        <w:spacing w:line="240" w:lineRule="auto"/>
        <w:ind w:right="812"/>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2"/>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812"/>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pict>
          <v:shape style="position:absolute;margin-left:114.32pt;margin-top:53.23172pt;width:69pt;height:100.4pt;mso-position-horizontal-relative:page;mso-position-vertical-relative:paragraph;z-index:-1080640" type="#_x0000_t202" filled="false" stroked="false">
            <v:textbox inset="0,0,0,0">
              <w:txbxContent>
                <w:p>
                  <w:pPr>
                    <w:pStyle w:val="BodyText"/>
                    <w:spacing w:line="240" w:lineRule="auto" w:before="51"/>
                    <w:ind w:left="0" w:right="0"/>
                    <w:jc w:val="left"/>
                  </w:pPr>
                  <w:r>
                    <w:rPr/>
                    <w:t>日，</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19"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316"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公司起诉北京信 安世纪科技有限 </w:t>
            </w:r>
            <w:r>
              <w:rPr>
                <w:rFonts w:ascii="宋体" w:hAnsi="宋体" w:cs="宋体" w:eastAsia="宋体" w:hint="default"/>
                <w:spacing w:val="-6"/>
                <w:sz w:val="18"/>
                <w:szCs w:val="18"/>
              </w:rPr>
              <w:t>公司、武汉信安珞</w:t>
            </w:r>
            <w:r>
              <w:rPr>
                <w:rFonts w:ascii="宋体" w:hAnsi="宋体" w:cs="宋体" w:eastAsia="宋体" w:hint="default"/>
                <w:sz w:val="18"/>
                <w:szCs w:val="18"/>
              </w:rPr>
              <w:t> 珈科技有限公司 侵犯本公司（原 告）第</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ZL201010580896.</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号发明专利权的</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pacing w:val="-13"/>
                <w:sz w:val="18"/>
                <w:szCs w:val="18"/>
              </w:rPr>
              <w:t>行为，请求法院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z w:val="18"/>
                <w:szCs w:val="18"/>
              </w:rPr>
              <w:t>被告立即销毁所</w:t>
            </w:r>
            <w:r>
              <w:rPr>
                <w:rFonts w:ascii="宋体" w:hAnsi="宋体" w:cs="宋体" w:eastAsia="宋体" w:hint="default"/>
                <w:sz w:val="18"/>
                <w:szCs w:val="18"/>
              </w:rPr>
              <w:t> 有库存侵权产品、</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007" w:lineRule="exact"/>
              <w:ind w:right="-51"/>
              <w:jc w:val="left"/>
              <w:rPr>
                <w:rFonts w:ascii="宋体" w:hAnsi="宋体" w:cs="宋体" w:eastAsia="宋体" w:hint="default"/>
                <w:sz w:val="20"/>
                <w:szCs w:val="20"/>
              </w:rPr>
            </w:pPr>
            <w:r>
              <w:rPr>
                <w:rFonts w:ascii="宋体" w:hAnsi="宋体" w:cs="宋体" w:eastAsia="宋体" w:hint="default"/>
                <w:position w:val="-39"/>
                <w:sz w:val="20"/>
                <w:szCs w:val="20"/>
              </w:rPr>
              <w:pict>
                <v:group style="width:53.85pt;height:100.4pt;mso-position-horizontal-relative:char;mso-position-vertical-relative:line" coordorigin="0,0" coordsize="1077,2008">
                  <v:group style="position:absolute;left:0;top:0;width:1077;height:2008" coordorigin="0,0" coordsize="1077,2008">
                    <v:shape style="position:absolute;left:0;top:0;width:1077;height:2008" coordorigin="0,0" coordsize="1077,2008" path="m0,2008l1076,2008,1076,0,0,0,0,2008xe" filled="true" fillcolor="#ffffff" stroked="false">
                      <v:path arrowok="t"/>
                      <v:fill type="solid"/>
                    </v:shape>
                  </v:group>
                </v:group>
              </w:pict>
            </w:r>
            <w:r>
              <w:rPr>
                <w:rFonts w:ascii="宋体" w:hAnsi="宋体" w:cs="宋体" w:eastAsia="宋体" w:hint="default"/>
                <w:position w:val="-39"/>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二审判决： 驳回上诉， 维持原判。</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9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被告北京信安 世纪科技股份有 限公司于本判决 生效之日起，立 即停止实施侵犯 原告飞天诚信科 技股份有限公司 第</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201010580896.7</w:t>
            </w:r>
          </w:p>
          <w:p>
            <w:pPr>
              <w:pStyle w:val="TableParagraph"/>
              <w:spacing w:line="309" w:lineRule="auto" w:before="65"/>
              <w:ind w:left="22" w:right="2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一种交易报 文的处理方法、 设备和系统</w:t>
            </w:r>
            <w:r>
              <w:rPr>
                <w:rFonts w:ascii="Times New Roman" w:hAnsi="Times New Roman" w:cs="Times New Roman" w:eastAsia="Times New Roman" w:hint="default"/>
                <w:sz w:val="18"/>
                <w:szCs w:val="18"/>
              </w:rPr>
              <w:t>”</w:t>
            </w:r>
            <w:r>
              <w:rPr>
                <w:rFonts w:ascii="宋体" w:hAnsi="宋体" w:cs="宋体" w:eastAsia="宋体" w:hint="default"/>
                <w:sz w:val="18"/>
                <w:szCs w:val="18"/>
              </w:rPr>
              <w:t>发 明专利权的涉案 </w:t>
            </w:r>
            <w:r>
              <w:rPr>
                <w:rFonts w:ascii="宋体" w:hAnsi="宋体" w:cs="宋体" w:eastAsia="宋体" w:hint="default"/>
                <w:spacing w:val="-7"/>
                <w:sz w:val="18"/>
                <w:szCs w:val="18"/>
              </w:rPr>
              <w:t>行为；</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被告武汉</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07" w:lineRule="auto"/>
              <w:ind w:left="24"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 收到被告支付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万经济 损失赔偿款及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元合理诉 讼支出。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60" w:lineRule="auto"/>
        <w:jc w:val="both"/>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454"/>
        <w:gridCol w:w="1086"/>
        <w:gridCol w:w="1265"/>
        <w:gridCol w:w="954"/>
        <w:gridCol w:w="1392"/>
        <w:gridCol w:w="1266"/>
        <w:gridCol w:w="1080"/>
        <w:gridCol w:w="1076"/>
      </w:tblGrid>
      <w:tr>
        <w:trPr>
          <w:trHeight w:val="13780"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生产侵权产品的 专用设备及含有 侵权产品的宣传 资料；</w:t>
            </w:r>
            <w:r>
              <w:rPr>
                <w:rFonts w:ascii="Times New Roman" w:hAnsi="Times New Roman" w:cs="Times New Roman" w:eastAsia="Times New Roman" w:hint="default"/>
                <w:sz w:val="18"/>
                <w:szCs w:val="18"/>
              </w:rPr>
              <w:t>3.</w:t>
            </w:r>
            <w:r>
              <w:rPr>
                <w:rFonts w:ascii="宋体" w:hAnsi="宋体" w:cs="宋体" w:eastAsia="宋体" w:hint="default"/>
                <w:sz w:val="18"/>
                <w:szCs w:val="18"/>
              </w:rPr>
              <w:t>判令被告 赔偿原告经济损 失及为制止侵权 行为支出的合理 费用共计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万人</w:t>
            </w:r>
            <w:r>
              <w:rPr>
                <w:rFonts w:ascii="宋体" w:hAnsi="宋体" w:cs="宋体" w:eastAsia="宋体" w:hint="default"/>
                <w:spacing w:val="-2"/>
                <w:sz w:val="18"/>
                <w:szCs w:val="18"/>
              </w:rPr>
              <w:t> </w:t>
            </w:r>
            <w:r>
              <w:rPr>
                <w:rFonts w:ascii="宋体" w:hAnsi="宋体" w:cs="宋体" w:eastAsia="宋体" w:hint="default"/>
                <w:sz w:val="18"/>
                <w:szCs w:val="18"/>
              </w:rPr>
              <w:t>民币。</w:t>
            </w:r>
          </w:p>
        </w:tc>
        <w:tc>
          <w:tcPr>
            <w:tcW w:w="10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7"/>
              <w:jc w:val="both"/>
              <w:rPr>
                <w:rFonts w:ascii="宋体" w:hAnsi="宋体" w:cs="宋体" w:eastAsia="宋体" w:hint="default"/>
                <w:sz w:val="18"/>
                <w:szCs w:val="18"/>
              </w:rPr>
            </w:pPr>
            <w:r>
              <w:rPr>
                <w:rFonts w:ascii="宋体" w:hAnsi="宋体" w:cs="宋体" w:eastAsia="宋体" w:hint="default"/>
                <w:sz w:val="18"/>
                <w:szCs w:val="18"/>
              </w:rPr>
              <w:t>信安珞珈科技有 限公司于本判决 生效之日起，立 即停止实施侵犯 原告飞天诚信科 技股份有限公司 第</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201010580896.7</w:t>
            </w:r>
          </w:p>
          <w:p>
            <w:pPr>
              <w:pStyle w:val="TableParagraph"/>
              <w:spacing w:line="314" w:lineRule="auto" w:before="65"/>
              <w:ind w:left="22" w:right="2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一种交易报 文的处理方法、 设备和系统</w:t>
            </w:r>
            <w:r>
              <w:rPr>
                <w:rFonts w:ascii="Times New Roman" w:hAnsi="Times New Roman" w:cs="Times New Roman" w:eastAsia="Times New Roman" w:hint="default"/>
                <w:sz w:val="18"/>
                <w:szCs w:val="18"/>
              </w:rPr>
              <w:t>”</w:t>
            </w:r>
            <w:r>
              <w:rPr>
                <w:rFonts w:ascii="宋体" w:hAnsi="宋体" w:cs="宋体" w:eastAsia="宋体" w:hint="default"/>
                <w:sz w:val="18"/>
                <w:szCs w:val="18"/>
              </w:rPr>
              <w:t>发 明专利权的涉案 </w:t>
            </w:r>
            <w:r>
              <w:rPr>
                <w:rFonts w:ascii="宋体" w:hAnsi="宋体" w:cs="宋体" w:eastAsia="宋体" w:hint="default"/>
                <w:spacing w:val="-7"/>
                <w:sz w:val="18"/>
                <w:szCs w:val="18"/>
              </w:rPr>
              <w:t>行为；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被告北京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信安世纪科技股 份有限公司、被 告武汉信安珞珈 科技有限公司于 本判决书生效之 日起十日内共同 赔偿飞天诚信科 技股份有限公司 经济损失二十万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被告武汉信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安珞珈科技有限 公司于本判决生 效之日起十日内 赔偿原告飞天诚 信科技股份有限 公司经济损失一 百八十万元；</w:t>
            </w:r>
            <w:r>
              <w:rPr>
                <w:rFonts w:ascii="Times New Roman" w:hAnsi="Times New Roman" w:cs="Times New Roman" w:eastAsia="Times New Roman" w:hint="default"/>
                <w:sz w:val="18"/>
                <w:szCs w:val="18"/>
              </w:rPr>
              <w:t>5. </w:t>
            </w:r>
            <w:r>
              <w:rPr>
                <w:rFonts w:ascii="宋体" w:hAnsi="宋体" w:cs="宋体" w:eastAsia="宋体" w:hint="default"/>
                <w:sz w:val="18"/>
                <w:szCs w:val="18"/>
              </w:rPr>
              <w:t>被告北京信安世 纪科技股份有限 公司、被告武汉 信安珞珈科技有 限公司于本判决 书生效之日起十 日内共同赔偿飞 天诚信科技股份 有限公司诉讼合 理支出三千元； </w:t>
            </w:r>
            <w:r>
              <w:rPr>
                <w:rFonts w:ascii="Times New Roman" w:hAnsi="Times New Roman" w:cs="Times New Roman" w:eastAsia="Times New Roman" w:hint="default"/>
                <w:sz w:val="18"/>
                <w:szCs w:val="18"/>
              </w:rPr>
              <w:t>6.</w:t>
            </w:r>
            <w:r>
              <w:rPr>
                <w:rFonts w:ascii="宋体" w:hAnsi="宋体" w:cs="宋体" w:eastAsia="宋体" w:hint="default"/>
                <w:sz w:val="18"/>
                <w:szCs w:val="18"/>
              </w:rPr>
              <w:t>驳回原告飞天 诚信科技股份有 限公司的其它诉 讼请求。</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114.32pt;margin-top:72.47998pt;width:69pt;height:148.25pt;mso-position-horizontal-relative:page;mso-position-vertical-relative:page;z-index:-1080544" type="#_x0000_t202" filled="false" stroked="false">
            <v:textbox inset="0,0,0,0">
              <w:txbxContent>
                <w:p>
                  <w:pPr>
                    <w:pStyle w:val="BodyText"/>
                    <w:spacing w:line="240" w:lineRule="auto" w:before="51"/>
                    <w:ind w:left="0" w:right="0"/>
                    <w:jc w:val="left"/>
                  </w:pPr>
                  <w:r>
                    <w:rPr/>
                    <w:t>日，</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6330" w:hRule="exact"/>
        </w:trPr>
        <w:tc>
          <w:tcPr>
            <w:tcW w:w="145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p>
          <w:p>
            <w:pPr>
              <w:pStyle w:val="TableParagraph"/>
              <w:spacing w:line="316" w:lineRule="auto" w:before="63"/>
              <w:ind w:left="22" w:right="15"/>
              <w:jc w:val="left"/>
              <w:rPr>
                <w:rFonts w:ascii="宋体" w:hAnsi="宋体" w:cs="宋体" w:eastAsia="宋体" w:hint="default"/>
                <w:sz w:val="18"/>
                <w:szCs w:val="18"/>
              </w:rPr>
            </w:pPr>
            <w:r>
              <w:rPr>
                <w:rFonts w:ascii="宋体" w:hAnsi="宋体" w:cs="宋体" w:eastAsia="宋体" w:hint="default"/>
                <w:sz w:val="18"/>
                <w:szCs w:val="18"/>
              </w:rPr>
              <w:t>公司起诉北京信 安世纪科技有限 </w:t>
            </w:r>
            <w:r>
              <w:rPr>
                <w:rFonts w:ascii="宋体" w:hAnsi="宋体" w:cs="宋体" w:eastAsia="宋体" w:hint="default"/>
                <w:spacing w:val="-6"/>
                <w:sz w:val="18"/>
                <w:szCs w:val="18"/>
              </w:rPr>
              <w:t>公司、武汉信安珞</w:t>
            </w:r>
            <w:r>
              <w:rPr>
                <w:rFonts w:ascii="宋体" w:hAnsi="宋体" w:cs="宋体" w:eastAsia="宋体" w:hint="default"/>
                <w:sz w:val="18"/>
                <w:szCs w:val="18"/>
              </w:rPr>
              <w:t> 珈科技有限公司 侵害本公司（原 告）第</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ZL200610002902.</w:t>
            </w:r>
          </w:p>
          <w:p>
            <w:pPr>
              <w:pStyle w:val="TableParagraph"/>
              <w:spacing w:line="307" w:lineRule="auto" w:before="65"/>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号发明专利权的 行为，请求法院： </w:t>
            </w:r>
            <w:r>
              <w:rPr>
                <w:rFonts w:ascii="Times New Roman" w:hAnsi="Times New Roman" w:cs="Times New Roman" w:eastAsia="Times New Roman" w:hint="default"/>
                <w:sz w:val="18"/>
                <w:szCs w:val="18"/>
              </w:rPr>
              <w:t>1.</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pacing w:val="-6"/>
                <w:sz w:val="18"/>
                <w:szCs w:val="18"/>
              </w:rPr>
              <w:t>被告一、被告二共</w:t>
            </w:r>
            <w:r>
              <w:rPr>
                <w:rFonts w:ascii="宋体" w:hAnsi="宋体" w:cs="宋体" w:eastAsia="宋体" w:hint="default"/>
                <w:sz w:val="18"/>
                <w:szCs w:val="18"/>
              </w:rPr>
              <w:t> 同向原告赔偿</w:t>
            </w:r>
          </w:p>
          <w:p>
            <w:pPr>
              <w:pStyle w:val="TableParagraph"/>
              <w:spacing w:line="314" w:lineRule="auto" w:before="26"/>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 两被告承担本案 的诉讼费用和原 告为制止侵权行 为所支出的合理 费用。</w:t>
            </w:r>
          </w:p>
        </w:tc>
        <w:tc>
          <w:tcPr>
            <w:tcW w:w="1086" w:type="dxa"/>
            <w:tcBorders>
              <w:top w:val="single" w:sz="4" w:space="0" w:color="000000"/>
              <w:left w:val="single" w:sz="9" w:space="0" w:color="FFFFFF"/>
              <w:bottom w:val="single" w:sz="4" w:space="0" w:color="000000"/>
              <w:right w:val="single" w:sz="4" w:space="0" w:color="000000"/>
            </w:tcBorders>
          </w:tcPr>
          <w:p>
            <w:pPr>
              <w:pStyle w:val="TableParagraph"/>
              <w:spacing w:line="296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53.85pt;height:148.25pt;mso-position-horizontal-relative:char;mso-position-vertical-relative:line" coordorigin="0,0" coordsize="1077,2965">
                  <v:group style="position:absolute;left:0;top:0;width:1077;height:2965" coordorigin="0,0" coordsize="1077,2965">
                    <v:shape style="position:absolute;left:0;top:0;width:1077;height:2965" coordorigin="0,0" coordsize="1077,2965" path="m0,2964l1076,2964,1076,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18"/>
              <w:jc w:val="left"/>
              <w:rPr>
                <w:rFonts w:ascii="宋体" w:hAnsi="宋体" w:cs="宋体" w:eastAsia="宋体" w:hint="default"/>
                <w:sz w:val="18"/>
                <w:szCs w:val="18"/>
              </w:rPr>
            </w:pPr>
            <w:r>
              <w:rPr>
                <w:rFonts w:ascii="宋体" w:hAnsi="宋体" w:cs="宋体" w:eastAsia="宋体" w:hint="default"/>
                <w:sz w:val="18"/>
                <w:szCs w:val="18"/>
              </w:rPr>
              <w:t>二审判决： 驳回上诉， 维持原判。 原判决：驳 回原告飞 天诚信的 诉讼请求。</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601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314"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公司起诉北京 信安世纪科技有 </w:t>
            </w:r>
            <w:r>
              <w:rPr>
                <w:rFonts w:ascii="宋体" w:hAnsi="宋体" w:cs="宋体" w:eastAsia="宋体" w:hint="default"/>
                <w:spacing w:val="-6"/>
                <w:sz w:val="18"/>
                <w:szCs w:val="18"/>
              </w:rPr>
              <w:t>限公司、武汉信安</w:t>
            </w:r>
            <w:r>
              <w:rPr>
                <w:rFonts w:ascii="宋体" w:hAnsi="宋体" w:cs="宋体" w:eastAsia="宋体" w:hint="default"/>
                <w:sz w:val="18"/>
                <w:szCs w:val="18"/>
              </w:rPr>
              <w:t> 珞珈科技有限公 </w:t>
            </w:r>
            <w:r>
              <w:rPr>
                <w:rFonts w:ascii="宋体" w:hAnsi="宋体" w:cs="宋体" w:eastAsia="宋体" w:hint="default"/>
                <w:spacing w:val="-6"/>
                <w:sz w:val="18"/>
                <w:szCs w:val="18"/>
              </w:rPr>
              <w:t>司侵害本公司（原</w:t>
            </w:r>
            <w:r>
              <w:rPr>
                <w:rFonts w:ascii="宋体" w:hAnsi="宋体" w:cs="宋体" w:eastAsia="宋体" w:hint="default"/>
                <w:sz w:val="18"/>
                <w:szCs w:val="18"/>
              </w:rPr>
              <w:t> 告）第</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ZL200620012396.</w:t>
            </w:r>
          </w:p>
          <w:p>
            <w:pPr>
              <w:pStyle w:val="TableParagraph"/>
              <w:spacing w:line="309" w:lineRule="auto" w:before="6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号实用新型专利 权，请求法院</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pacing w:val="-6"/>
                <w:sz w:val="18"/>
                <w:szCs w:val="18"/>
              </w:rPr>
              <w:t>被告一、被告二共</w:t>
            </w:r>
            <w:r>
              <w:rPr>
                <w:rFonts w:ascii="宋体" w:hAnsi="宋体" w:cs="宋体" w:eastAsia="宋体" w:hint="default"/>
                <w:sz w:val="18"/>
                <w:szCs w:val="18"/>
              </w:rPr>
              <w:t> 同向原告赔偿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判令两被 告承担本案的诉 讼费用和原告为 制止侵权行为所 支出的合理费用。</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2018.7.27</w:t>
            </w:r>
          </w:p>
          <w:p>
            <w:pPr>
              <w:pStyle w:val="TableParagraph"/>
              <w:spacing w:line="319" w:lineRule="auto" w:before="65"/>
              <w:ind w:left="23" w:right="18"/>
              <w:jc w:val="left"/>
              <w:rPr>
                <w:rFonts w:ascii="宋体" w:hAnsi="宋体" w:cs="宋体" w:eastAsia="宋体" w:hint="default"/>
                <w:sz w:val="18"/>
                <w:szCs w:val="18"/>
              </w:rPr>
            </w:pPr>
            <w:r>
              <w:rPr>
                <w:rFonts w:ascii="宋体" w:hAnsi="宋体" w:cs="宋体" w:eastAsia="宋体" w:hint="default"/>
                <w:sz w:val="18"/>
                <w:szCs w:val="18"/>
              </w:rPr>
              <w:t>一审判决： 驳回原告 飞天诚信 的诉讼请 求。</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97"/>
              <w:jc w:val="both"/>
              <w:rPr>
                <w:rFonts w:ascii="宋体" w:hAnsi="宋体" w:cs="宋体" w:eastAsia="宋体" w:hint="default"/>
                <w:sz w:val="18"/>
                <w:szCs w:val="18"/>
              </w:rPr>
            </w:pPr>
            <w:r>
              <w:rPr>
                <w:rFonts w:ascii="宋体" w:hAnsi="宋体" w:cs="宋体" w:eastAsia="宋体" w:hint="default"/>
                <w:sz w:val="18"/>
                <w:szCs w:val="18"/>
              </w:rPr>
              <w:t>原告飞天诚信公 司提起上诉，二 审已开庭，尚未 审理终结。</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1338"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316" w:lineRule="auto" w:before="61"/>
              <w:ind w:left="22" w:right="23"/>
              <w:jc w:val="left"/>
              <w:rPr>
                <w:rFonts w:ascii="宋体" w:hAnsi="宋体" w:cs="宋体" w:eastAsia="宋体" w:hint="default"/>
                <w:sz w:val="18"/>
                <w:szCs w:val="18"/>
              </w:rPr>
            </w:pPr>
            <w:r>
              <w:rPr>
                <w:rFonts w:ascii="宋体" w:hAnsi="宋体" w:cs="宋体" w:eastAsia="宋体" w:hint="default"/>
                <w:spacing w:val="-6"/>
                <w:sz w:val="18"/>
                <w:szCs w:val="18"/>
              </w:rPr>
              <w:t>日，公司起诉北京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信安世纪科技有 </w:t>
            </w:r>
            <w:r>
              <w:rPr>
                <w:rFonts w:ascii="宋体" w:hAnsi="宋体" w:cs="宋体" w:eastAsia="宋体" w:hint="default"/>
                <w:spacing w:val="-6"/>
                <w:sz w:val="18"/>
                <w:szCs w:val="18"/>
              </w:rPr>
              <w:t>限公司、武汉信安</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一审已判 决，被告提 出上诉。</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二审判决：撤销 一审判决，驳回 原告飞天诚信公 司的起诉</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60" w:lineRule="auto"/>
        <w:jc w:val="both"/>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114.32pt;margin-top:309.019989pt;width:69pt;height:148.25pt;mso-position-horizontal-relative:page;mso-position-vertical-relative:page;z-index:-1080496" type="#_x0000_t202" filled="false" stroked="false">
            <v:textbox inset="0,0,0,0">
              <w:txbxContent>
                <w:p>
                  <w:pPr>
                    <w:pStyle w:val="BodyText"/>
                    <w:spacing w:line="240" w:lineRule="auto" w:before="51"/>
                    <w:ind w:left="0" w:right="0"/>
                    <w:jc w:val="left"/>
                  </w:pPr>
                  <w:r>
                    <w:rPr/>
                    <w:t>日，</w:t>
                  </w:r>
                </w:p>
              </w:txbxContent>
            </v:textbox>
            <w10:wrap type="none"/>
          </v:shape>
        </w:pict>
      </w:r>
      <w:r>
        <w:rPr/>
        <w:pict>
          <v:shape style="position:absolute;margin-left:322.243011pt;margin-top:706.559998pt;width:104.9pt;height:61.4pt;mso-position-horizontal-relative:page;mso-position-vertical-relative:page;z-index:-1080472" type="#_x0000_t202" filled="false" stroked="false">
            <v:textbox inset="0,0,0,0">
              <w:txbxContent>
                <w:p>
                  <w:pPr>
                    <w:pStyle w:val="BodyText"/>
                    <w:spacing w:line="208" w:lineRule="exact"/>
                    <w:ind w:left="0" w:right="0"/>
                    <w:jc w:val="left"/>
                  </w:pPr>
                  <w:r>
                    <w:rPr/>
                    <w:t>尚未开庭。</w:t>
                  </w:r>
                </w:p>
              </w:txbxContent>
            </v:textbox>
            <w10:wrap type="none"/>
          </v:shape>
        </w:pict>
      </w:r>
      <w:r>
        <w:rPr/>
        <w:pict>
          <v:group style="position:absolute;margin-left:129.5pt;margin-top:309.019989pt;width:53.85pt;height:148.25pt;mso-position-horizontal-relative:page;mso-position-vertical-relative:page;z-index:-1080448" coordorigin="2590,6180" coordsize="1077,2965">
            <v:shape style="position:absolute;left:2590;top:6180;width:1077;height:2965" coordorigin="2590,6180" coordsize="1077,2965" path="m2590,9145l3666,9145,3666,6180,2590,6180,2590,914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51"/>
        <w:gridCol w:w="424"/>
        <w:gridCol w:w="662"/>
        <w:gridCol w:w="1265"/>
        <w:gridCol w:w="954"/>
        <w:gridCol w:w="1392"/>
        <w:gridCol w:w="1266"/>
        <w:gridCol w:w="1080"/>
        <w:gridCol w:w="1076"/>
      </w:tblGrid>
      <w:tr>
        <w:trPr>
          <w:trHeight w:val="4731"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珞珈科技有限公 </w:t>
            </w:r>
            <w:r>
              <w:rPr>
                <w:rFonts w:ascii="宋体" w:hAnsi="宋体" w:cs="宋体" w:eastAsia="宋体" w:hint="default"/>
                <w:spacing w:val="-6"/>
                <w:sz w:val="18"/>
                <w:szCs w:val="18"/>
              </w:rPr>
              <w:t>司侵害本公司（原</w:t>
            </w:r>
            <w:r>
              <w:rPr>
                <w:rFonts w:ascii="宋体" w:hAnsi="宋体" w:cs="宋体" w:eastAsia="宋体" w:hint="default"/>
                <w:sz w:val="18"/>
                <w:szCs w:val="18"/>
              </w:rPr>
              <w:t> 告）第</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ZL200910089302.</w:t>
            </w:r>
          </w:p>
          <w:p>
            <w:pPr>
              <w:pStyle w:val="TableParagraph"/>
              <w:spacing w:line="309" w:lineRule="auto" w:before="6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号发明专利权， 请求法院判令</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判令两被告停止 侵权行为；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w:t>
            </w:r>
            <w:r>
              <w:rPr>
                <w:rFonts w:ascii="宋体" w:hAnsi="宋体" w:cs="宋体" w:eastAsia="宋体" w:hint="default"/>
                <w:spacing w:val="-2"/>
                <w:sz w:val="18"/>
                <w:szCs w:val="18"/>
              </w:rPr>
              <w:t> </w:t>
            </w:r>
            <w:r>
              <w:rPr>
                <w:rFonts w:ascii="宋体" w:hAnsi="宋体" w:cs="宋体" w:eastAsia="宋体" w:hint="default"/>
                <w:spacing w:val="-6"/>
                <w:sz w:val="18"/>
                <w:szCs w:val="18"/>
              </w:rPr>
              <w:t>被告一、被告二共</w:t>
            </w:r>
            <w:r>
              <w:rPr>
                <w:rFonts w:ascii="宋体" w:hAnsi="宋体" w:cs="宋体" w:eastAsia="宋体" w:hint="default"/>
                <w:sz w:val="18"/>
                <w:szCs w:val="18"/>
              </w:rPr>
              <w:t> 同向原告赔偿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判令两被 告承担本案的诉 讼费用和原告为 制止侵权行为所 支出的合理费用。</w:t>
            </w:r>
          </w:p>
        </w:tc>
        <w:tc>
          <w:tcPr>
            <w:tcW w:w="1086" w:type="dxa"/>
            <w:gridSpan w:val="2"/>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316"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公司起诉北京信 安世纪科技有限 </w:t>
            </w:r>
            <w:r>
              <w:rPr>
                <w:rFonts w:ascii="宋体" w:hAnsi="宋体" w:cs="宋体" w:eastAsia="宋体" w:hint="default"/>
                <w:spacing w:val="-6"/>
                <w:sz w:val="18"/>
                <w:szCs w:val="18"/>
              </w:rPr>
              <w:t>公司、武汉信安珞</w:t>
            </w:r>
            <w:r>
              <w:rPr>
                <w:rFonts w:ascii="宋体" w:hAnsi="宋体" w:cs="宋体" w:eastAsia="宋体" w:hint="default"/>
                <w:sz w:val="18"/>
                <w:szCs w:val="18"/>
              </w:rPr>
              <w:t> 珈科技有限公司 侵害本公司（原 告）第</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ZL200820108005.</w:t>
            </w:r>
          </w:p>
          <w:p>
            <w:pPr>
              <w:pStyle w:val="TableParagraph"/>
              <w:spacing w:line="309" w:lineRule="auto" w:before="6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号实用新型专利 权，请求法院：</w:t>
            </w:r>
            <w:r>
              <w:rPr>
                <w:rFonts w:ascii="Times New Roman" w:hAnsi="Times New Roman" w:cs="Times New Roman" w:eastAsia="Times New Roman" w:hint="default"/>
                <w:sz w:val="18"/>
                <w:szCs w:val="18"/>
              </w:rPr>
              <w:t>1. </w:t>
            </w:r>
            <w:r>
              <w:rPr>
                <w:rFonts w:ascii="宋体" w:hAnsi="宋体" w:cs="宋体" w:eastAsia="宋体" w:hint="default"/>
                <w:sz w:val="18"/>
                <w:szCs w:val="18"/>
              </w:rPr>
              <w:t>判令被告停止侵 权行为；</w:t>
            </w:r>
            <w:r>
              <w:rPr>
                <w:rFonts w:ascii="Times New Roman" w:hAnsi="Times New Roman" w:cs="Times New Roman" w:eastAsia="Times New Roman" w:hint="default"/>
                <w:sz w:val="18"/>
                <w:szCs w:val="18"/>
              </w:rPr>
              <w:t>2.</w:t>
            </w:r>
            <w:r>
              <w:rPr>
                <w:rFonts w:ascii="宋体" w:hAnsi="宋体" w:cs="宋体" w:eastAsia="宋体" w:hint="default"/>
                <w:sz w:val="18"/>
                <w:szCs w:val="18"/>
              </w:rPr>
              <w:t>判令被 </w:t>
            </w:r>
            <w:r>
              <w:rPr>
                <w:rFonts w:ascii="宋体" w:hAnsi="宋体" w:cs="宋体" w:eastAsia="宋体" w:hint="default"/>
                <w:spacing w:val="-6"/>
                <w:sz w:val="18"/>
                <w:szCs w:val="18"/>
              </w:rPr>
              <w:t>告一、被告二共同</w:t>
            </w:r>
            <w:r>
              <w:rPr>
                <w:rFonts w:ascii="宋体" w:hAnsi="宋体" w:cs="宋体" w:eastAsia="宋体" w:hint="default"/>
                <w:sz w:val="18"/>
                <w:szCs w:val="18"/>
              </w:rPr>
              <w:t> 向原告赔偿</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3.</w:t>
            </w:r>
            <w:r>
              <w:rPr>
                <w:rFonts w:ascii="宋体" w:hAnsi="宋体" w:cs="宋体" w:eastAsia="宋体" w:hint="default"/>
                <w:sz w:val="18"/>
                <w:szCs w:val="18"/>
              </w:rPr>
              <w:t>依法判令两 被告承担本案的 诉讼费用和原告 为制止侵权行为 所支出的合理费 用。</w:t>
            </w:r>
          </w:p>
        </w:tc>
        <w:tc>
          <w:tcPr>
            <w:tcW w:w="424" w:type="dxa"/>
            <w:tcBorders>
              <w:top w:val="single" w:sz="4" w:space="0" w:color="000000"/>
              <w:left w:val="single" w:sz="4" w:space="0" w:color="000000"/>
              <w:bottom w:val="single" w:sz="4" w:space="0" w:color="000000"/>
              <w:right w:val="nil" w:sz="6" w:space="0" w:color="auto"/>
            </w:tcBorders>
          </w:tcPr>
          <w:p>
            <w:pPr/>
          </w:p>
        </w:tc>
        <w:tc>
          <w:tcPr>
            <w:tcW w:w="6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62" w:right="0"/>
              <w:jc w:val="lef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尚未开庭 审理</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9" w:lineRule="auto" w:before="61"/>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日，涉案专利的 无效程序口审在 专利复审委员会 进行；</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日，复审委</w:t>
            </w:r>
            <w:r>
              <w:rPr>
                <w:rFonts w:ascii="宋体" w:hAnsi="宋体" w:cs="宋体" w:eastAsia="宋体" w:hint="default"/>
                <w:sz w:val="18"/>
                <w:szCs w:val="18"/>
              </w:rPr>
              <w:t> 作出决定：维持 专利权全部有 效。截止本公告 日，该案尚未审 理终结。</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2859"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北京信安世纪科 技有限公司因发 明专利权无效行 </w:t>
            </w:r>
            <w:r>
              <w:rPr>
                <w:rFonts w:ascii="宋体" w:hAnsi="宋体" w:cs="宋体" w:eastAsia="宋体" w:hint="default"/>
                <w:spacing w:val="-6"/>
                <w:sz w:val="18"/>
                <w:szCs w:val="18"/>
              </w:rPr>
              <w:t>政纠纷一案，对专</w:t>
            </w:r>
            <w:r>
              <w:rPr>
                <w:rFonts w:ascii="宋体" w:hAnsi="宋体" w:cs="宋体" w:eastAsia="宋体" w:hint="default"/>
                <w:sz w:val="18"/>
                <w:szCs w:val="18"/>
              </w:rPr>
              <w:t> 利复审委员会所 做出第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号无</w:t>
            </w:r>
            <w:r>
              <w:rPr>
                <w:rFonts w:ascii="宋体" w:hAnsi="宋体" w:cs="宋体" w:eastAsia="宋体" w:hint="default"/>
                <w:spacing w:val="-2"/>
                <w:sz w:val="18"/>
                <w:szCs w:val="18"/>
              </w:rPr>
              <w:t> </w:t>
            </w:r>
            <w:r>
              <w:rPr>
                <w:rFonts w:ascii="宋体" w:hAnsi="宋体" w:cs="宋体" w:eastAsia="宋体" w:hint="default"/>
                <w:sz w:val="18"/>
                <w:szCs w:val="18"/>
              </w:rPr>
              <w:t>效宣告审查决定</w:t>
            </w:r>
            <w:r>
              <w:rPr>
                <w:rFonts w:ascii="宋体" w:hAnsi="宋体" w:cs="宋体" w:eastAsia="宋体" w:hint="default"/>
                <w:sz w:val="18"/>
                <w:szCs w:val="18"/>
              </w:rPr>
              <w:t> </w:t>
            </w:r>
            <w:r>
              <w:rPr>
                <w:rFonts w:ascii="宋体" w:hAnsi="宋体" w:cs="宋体" w:eastAsia="宋体" w:hint="default"/>
                <w:spacing w:val="-6"/>
                <w:sz w:val="18"/>
                <w:szCs w:val="18"/>
              </w:rPr>
              <w:t>不服，向北京知识</w:t>
            </w:r>
            <w:r>
              <w:rPr>
                <w:rFonts w:ascii="宋体" w:hAnsi="宋体" w:cs="宋体" w:eastAsia="宋体" w:hint="default"/>
                <w:sz w:val="18"/>
                <w:szCs w:val="18"/>
              </w:rPr>
              <w:t> 产权法院提出行</w:t>
            </w:r>
          </w:p>
        </w:tc>
        <w:tc>
          <w:tcPr>
            <w:tcW w:w="10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二审已开 庭， </w:t>
            </w:r>
            <w:r>
              <w:rPr>
                <w:rFonts w:ascii="Times New Roman" w:hAnsi="Times New Roman" w:cs="Times New Roman" w:eastAsia="Times New Roman" w:hint="default"/>
                <w:sz w:val="18"/>
                <w:szCs w:val="18"/>
              </w:rPr>
              <w:t>2018.7.27</w:t>
            </w:r>
          </w:p>
          <w:p>
            <w:pPr>
              <w:pStyle w:val="TableParagraph"/>
              <w:spacing w:line="219" w:lineRule="exact"/>
              <w:ind w:left="23" w:right="0"/>
              <w:jc w:val="left"/>
              <w:rPr>
                <w:rFonts w:ascii="宋体" w:hAnsi="宋体" w:cs="宋体" w:eastAsia="宋体" w:hint="default"/>
                <w:sz w:val="18"/>
                <w:szCs w:val="18"/>
              </w:rPr>
            </w:pPr>
            <w:r>
              <w:rPr>
                <w:rFonts w:ascii="宋体" w:hAnsi="宋体" w:cs="宋体" w:eastAsia="宋体" w:hint="default"/>
                <w:sz w:val="18"/>
                <w:szCs w:val="18"/>
              </w:rPr>
              <w:t>收二审行</w:t>
            </w:r>
          </w:p>
          <w:p>
            <w:pPr>
              <w:pStyle w:val="TableParagraph"/>
              <w:spacing w:line="316" w:lineRule="auto" w:before="77"/>
              <w:ind w:left="23" w:right="20"/>
              <w:jc w:val="left"/>
              <w:rPr>
                <w:rFonts w:ascii="宋体" w:hAnsi="宋体" w:cs="宋体" w:eastAsia="宋体" w:hint="default"/>
                <w:sz w:val="18"/>
                <w:szCs w:val="18"/>
              </w:rPr>
            </w:pPr>
            <w:r>
              <w:rPr>
                <w:rFonts w:ascii="宋体" w:hAnsi="宋体" w:cs="宋体" w:eastAsia="宋体" w:hint="default"/>
                <w:sz w:val="18"/>
                <w:szCs w:val="18"/>
              </w:rPr>
              <w:t>政裁定：撤 销北京知 识产权法 院的行政 判决、发回</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97"/>
              <w:jc w:val="both"/>
              <w:rPr>
                <w:rFonts w:ascii="宋体" w:hAnsi="宋体" w:cs="宋体" w:eastAsia="宋体" w:hint="default"/>
                <w:sz w:val="18"/>
                <w:szCs w:val="18"/>
              </w:rPr>
            </w:pPr>
            <w:r>
              <w:rPr>
                <w:rFonts w:ascii="宋体" w:hAnsi="宋体" w:cs="宋体" w:eastAsia="宋体" w:hint="default"/>
                <w:sz w:val="18"/>
                <w:szCs w:val="18"/>
              </w:rPr>
              <w:t>截止本公告日， 该案发回一审重 审后，</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122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2.8pt;height:61.4pt;mso-position-horizontal-relative:char;mso-position-vertical-relative:line" coordorigin="0,0" coordsize="1256,1228">
                  <v:group style="position:absolute;left:0;top:0;width:1256;height:1228" coordorigin="0,0" coordsize="1256,1228">
                    <v:shape style="position:absolute;left:0;top:0;width:1256;height:1228" coordorigin="0,0" coordsize="1256,1228" path="m0,1228l1256,1228,1256,0,0,0,0,122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39"/>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bl>
    <w:p>
      <w:pPr>
        <w:spacing w:after="0" w:line="360" w:lineRule="auto"/>
        <w:jc w:val="both"/>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114.32pt;margin-top:72.47998pt;width:69pt;height:189.3pt;mso-position-horizontal-relative:page;mso-position-vertical-relative:page;z-index:-1080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jc w:val="left"/>
                  </w:pPr>
                  <w:r>
                    <w:rPr/>
                    <w:t>日，</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18"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政诉讼，公司作为</w:t>
            </w:r>
          </w:p>
        </w:tc>
        <w:tc>
          <w:tcPr>
            <w:tcW w:w="1086" w:type="dxa"/>
            <w:vMerge w:val="restart"/>
            <w:tcBorders>
              <w:top w:val="single" w:sz="4" w:space="0" w:color="000000"/>
              <w:left w:val="single" w:sz="4" w:space="0" w:color="000000"/>
              <w:right w:val="single" w:sz="4" w:space="0" w:color="000000"/>
            </w:tcBorders>
          </w:tcPr>
          <w:p>
            <w:pPr>
              <w:pStyle w:val="TableParagraph"/>
              <w:spacing w:line="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3.85pt;height:189.3pt;mso-position-horizontal-relative:char;mso-position-vertical-relative:line" coordorigin="0,0" coordsize="1077,3786">
                  <v:group style="position:absolute;left:0;top:0;width:1077;height:3786" coordorigin="0,0" coordsize="1077,3786">
                    <v:shape style="position:absolute;left:0;top:0;width:1077;height:3786" coordorigin="0,0" coordsize="1077,3786" path="m0,3785l1076,3785,1076,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265" w:type="dxa"/>
            <w:vMerge w:val="restart"/>
            <w:tcBorders>
              <w:top w:val="single" w:sz="4" w:space="0" w:color="000000"/>
              <w:left w:val="single" w:sz="4" w:space="0" w:color="000000"/>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重审。</w:t>
            </w:r>
          </w:p>
        </w:tc>
        <w:tc>
          <w:tcPr>
            <w:tcW w:w="1392"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第三人参加诉讼。</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北京知识产权法</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院判决被告专利</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复审委员会撤销</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27698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号无效宣</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告审查决定，判令</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被告重新做出审</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查决定。公司对一</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审判决不服，上诉</w:t>
            </w:r>
          </w:p>
        </w:tc>
        <w:tc>
          <w:tcPr>
            <w:tcW w:w="1086"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至北京市高院。</w:t>
            </w:r>
          </w:p>
        </w:tc>
        <w:tc>
          <w:tcPr>
            <w:tcW w:w="1086"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专利复审委员会</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日就公司第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200610114238.2</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号专利作出第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月，北京</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号无效宣告</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请求审查决定书， 公司不服该无效 </w:t>
            </w:r>
            <w:r>
              <w:rPr>
                <w:rFonts w:ascii="宋体" w:hAnsi="宋体" w:cs="宋体" w:eastAsia="宋体" w:hint="default"/>
                <w:spacing w:val="-6"/>
                <w:sz w:val="18"/>
                <w:szCs w:val="18"/>
              </w:rPr>
              <w:t>宣告决定书，向北</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8"/>
              <w:jc w:val="left"/>
              <w:rPr>
                <w:rFonts w:ascii="宋体" w:hAnsi="宋体" w:cs="宋体" w:eastAsia="宋体" w:hint="default"/>
                <w:sz w:val="18"/>
                <w:szCs w:val="18"/>
              </w:rPr>
            </w:pPr>
            <w:r>
              <w:rPr>
                <w:rFonts w:ascii="宋体" w:hAnsi="宋体" w:cs="宋体" w:eastAsia="宋体" w:hint="default"/>
                <w:sz w:val="18"/>
                <w:szCs w:val="18"/>
              </w:rPr>
              <w:t>法院作出 一审判决： 驳回原告</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97"/>
              <w:jc w:val="both"/>
              <w:rPr>
                <w:rFonts w:ascii="宋体" w:hAnsi="宋体" w:cs="宋体" w:eastAsia="宋体" w:hint="default"/>
                <w:sz w:val="18"/>
                <w:szCs w:val="18"/>
              </w:rPr>
            </w:pPr>
            <w:r>
              <w:rPr>
                <w:rFonts w:ascii="宋体" w:hAnsi="宋体" w:cs="宋体" w:eastAsia="宋体" w:hint="default"/>
                <w:sz w:val="18"/>
                <w:szCs w:val="18"/>
              </w:rPr>
              <w:t>原告飞天诚信公 司已提起上诉， 尚未开庭。</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360" w:lineRule="auto" w:before="6"/>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京知识产权法院</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飞天诚信</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提起行政诉讼，请</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公司的诉</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求法院判决撤销</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讼请求。</w:t>
            </w: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28304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号无效宣</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告请求审查决定</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专利复审委员会</w:t>
            </w:r>
          </w:p>
        </w:tc>
        <w:tc>
          <w:tcPr>
            <w:tcW w:w="1086"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4"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日就公司第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200910089302.X</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号专利作出第</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29837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号无效宣告</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请求审查决定书， 北京信安世纪科 技有限公司不服 该无效宣告决定</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98"/>
              <w:jc w:val="left"/>
              <w:rPr>
                <w:rFonts w:ascii="宋体" w:hAnsi="宋体" w:cs="宋体" w:eastAsia="宋体" w:hint="default"/>
                <w:sz w:val="18"/>
                <w:szCs w:val="18"/>
              </w:rPr>
            </w:pPr>
            <w:r>
              <w:rPr>
                <w:rFonts w:ascii="宋体" w:hAnsi="宋体" w:cs="宋体" w:eastAsia="宋体" w:hint="default"/>
                <w:sz w:val="18"/>
                <w:szCs w:val="18"/>
              </w:rPr>
              <w:t>尚未开庭 审理</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7"/>
              <w:jc w:val="both"/>
              <w:rPr>
                <w:rFonts w:ascii="宋体" w:hAnsi="宋体" w:cs="宋体" w:eastAsia="宋体" w:hint="default"/>
                <w:sz w:val="18"/>
                <w:szCs w:val="18"/>
              </w:rPr>
            </w:pPr>
            <w:r>
              <w:rPr>
                <w:rFonts w:ascii="宋体" w:hAnsi="宋体" w:cs="宋体" w:eastAsia="宋体" w:hint="default"/>
                <w:sz w:val="18"/>
                <w:szCs w:val="18"/>
              </w:rPr>
              <w:t>截止本公告日， 该案尚未审理终 结。</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60" w:lineRule="auto"/>
              <w:ind w:left="22" w:right="42"/>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z w:val="18"/>
                <w:szCs w:val="18"/>
              </w:rPr>
              <w:t>http://www.c ninfo.com.cn/</w:t>
            </w: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书，向北京知识产</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权法院提起行政</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诉讼，请求法院判</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决撤销第</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29837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无效宣告请求审</w:t>
            </w:r>
          </w:p>
        </w:tc>
        <w:tc>
          <w:tcPr>
            <w:tcW w:w="1086"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4" w:type="dxa"/>
            <w:tcBorders>
              <w:top w:val="nil" w:sz="6" w:space="0" w:color="auto"/>
              <w:left w:val="single" w:sz="4" w:space="0" w:color="000000"/>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查决定书。</w:t>
            </w:r>
          </w:p>
        </w:tc>
        <w:tc>
          <w:tcPr>
            <w:tcW w:w="1086"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4"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204"/>
        <w:ind w:right="812"/>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812"/>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2"/>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812"/>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812"/>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812"/>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812"/>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812"/>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8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《关于公司对外投资暨关联交易的公告》，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月，公司和公司董事李伟共同对外投资，公司以现金</w:t>
      </w:r>
      <w:r>
        <w:rPr>
          <w:rFonts w:ascii="Times New Roman" w:hAnsi="Times New Roman" w:cs="Times New Roman" w:eastAsia="Times New Roman" w:hint="default"/>
        </w:rPr>
        <w:t>2,000</w:t>
      </w:r>
      <w:r>
        <w:rPr/>
        <w:t>万元对深 </w:t>
      </w:r>
      <w:r>
        <w:rPr>
          <w:spacing w:val="-3"/>
        </w:rPr>
        <w:t>圳市万通顺达科技股份有限公司进行增资，占增资后目标公司注册资本的</w:t>
      </w:r>
      <w:r>
        <w:rPr>
          <w:rFonts w:ascii="Times New Roman" w:hAnsi="Times New Roman" w:cs="Times New Roman" w:eastAsia="Times New Roman" w:hint="default"/>
          <w:spacing w:val="-3"/>
        </w:rPr>
        <w:t>3.33%</w:t>
      </w:r>
      <w:r>
        <w:rPr>
          <w:spacing w:val="-3"/>
        </w:rPr>
        <w:t>，李伟亦同时出资</w:t>
      </w:r>
      <w:r>
        <w:rPr>
          <w:rFonts w:ascii="Times New Roman" w:hAnsi="Times New Roman" w:cs="Times New Roman" w:eastAsia="Times New Roman" w:hint="default"/>
          <w:spacing w:val="-3"/>
        </w:rPr>
        <w:t>1,000</w:t>
      </w:r>
      <w:r>
        <w:rPr>
          <w:spacing w:val="-3"/>
        </w:rPr>
        <w:t>万元对目标公司增资，</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812"/>
        <w:jc w:val="left"/>
      </w:pPr>
      <w:r>
        <w:rPr/>
        <w:t>占增资后目标公司注册资本的</w:t>
      </w:r>
      <w:r>
        <w:rPr>
          <w:rFonts w:ascii="Times New Roman" w:hAnsi="Times New Roman" w:cs="Times New Roman" w:eastAsia="Times New Roman" w:hint="default"/>
        </w:rPr>
        <w:t>1.67%</w:t>
      </w:r>
      <w:r>
        <w:rPr/>
        <w:t>。</w:t>
      </w:r>
    </w:p>
    <w:p>
      <w:pPr>
        <w:pStyle w:val="BodyText"/>
        <w:spacing w:line="300" w:lineRule="auto" w:before="63"/>
        <w:ind w:right="812"/>
        <w:jc w:val="left"/>
      </w:pPr>
      <w:r>
        <w:rPr>
          <w:rFonts w:ascii="Times New Roman" w:hAnsi="Times New Roman" w:cs="Times New Roman" w:eastAsia="Times New Roman" w:hint="default"/>
          <w:spacing w:val="-3"/>
        </w:rPr>
        <w:t>2.</w:t>
      </w:r>
      <w:r>
        <w:rPr>
          <w:spacing w:val="-3"/>
        </w:rPr>
        <w:t>《关于公司收购股权暨关联交易的公告》，公司于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spacing w:val="-3"/>
        </w:rPr>
        <w:t>日收到北京仲裁委员会出具的裁决书，裁决公司以总价</w:t>
      </w:r>
      <w:r>
        <w:rPr>
          <w:rFonts w:ascii="Times New Roman" w:hAnsi="Times New Roman" w:cs="Times New Roman" w:eastAsia="Times New Roman" w:hint="default"/>
          <w:spacing w:val="-3"/>
        </w:rPr>
        <w:t>1,450</w:t>
      </w:r>
      <w:r>
        <w:rPr>
          <w:rFonts w:ascii="Times New Roman" w:hAnsi="Times New Roman" w:cs="Times New Roman" w:eastAsia="Times New Roman" w:hint="default"/>
          <w:spacing w:val="-35"/>
        </w:rPr>
        <w:t> </w:t>
      </w:r>
      <w:r>
        <w:rPr>
          <w:spacing w:val="-3"/>
        </w:rPr>
        <w:t>万元（公司已支付</w:t>
      </w:r>
      <w:r>
        <w:rPr>
          <w:rFonts w:ascii="Times New Roman" w:hAnsi="Times New Roman" w:cs="Times New Roman" w:eastAsia="Times New Roman" w:hint="default"/>
          <w:spacing w:val="-3"/>
        </w:rPr>
        <w:t>200</w:t>
      </w:r>
      <w:r>
        <w:rPr>
          <w:spacing w:val="-3"/>
        </w:rPr>
        <w:t>万元）的现金购买黄建良持有的飞天万谷</w:t>
      </w:r>
      <w:r>
        <w:rPr>
          <w:rFonts w:ascii="Times New Roman" w:hAnsi="Times New Roman" w:cs="Times New Roman" w:eastAsia="Times New Roman" w:hint="default"/>
          <w:spacing w:val="-3"/>
        </w:rPr>
        <w:t>40%</w:t>
      </w:r>
      <w:r>
        <w:rPr>
          <w:spacing w:val="-3"/>
        </w:rPr>
        <w:t>的股权。黄建良曾担任公司副经理，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日辞职，</w:t>
      </w:r>
      <w:r>
        <w:rPr>
          <w:spacing w:val="-50"/>
        </w:rPr>
        <w:t> </w:t>
      </w:r>
      <w:r>
        <w:rPr>
          <w:spacing w:val="-50"/>
        </w:rPr>
      </w:r>
      <w:r>
        <w:rPr/>
        <w:t>距裁决时不足十二个月，根据相关规定，黄建良先生为公司的关联自然人，本裁决案件涉及的股权收购构成关联交易。</w:t>
      </w:r>
    </w:p>
    <w:p>
      <w:pPr>
        <w:spacing w:line="240" w:lineRule="auto" w:before="0"/>
        <w:rPr>
          <w:rFonts w:ascii="宋体" w:hAnsi="宋体" w:cs="宋体" w:eastAsia="宋体" w:hint="default"/>
          <w:sz w:val="18"/>
          <w:szCs w:val="18"/>
        </w:rPr>
      </w:pPr>
    </w:p>
    <w:p>
      <w:pPr>
        <w:pStyle w:val="BodyText"/>
        <w:spacing w:line="240" w:lineRule="auto" w:before="149"/>
        <w:ind w:right="812"/>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关于公司对外投资暨关联交易的公告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8"/>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2018-046</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关于公司收购股权暨关联交易的公告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58"/>
                <w:sz w:val="18"/>
                <w:szCs w:val="18"/>
              </w:rPr>
              <w:t> </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2018-064</w:t>
            </w: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3"/>
        <w:spacing w:line="240" w:lineRule="auto"/>
        <w:ind w:right="812"/>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812"/>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812"/>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812"/>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580" w:bottom="700" w:left="980" w:right="0"/>
          <w:cols w:num="2" w:equalWidth="0">
            <w:col w:w="1955" w:space="6785"/>
            <w:col w:w="2190"/>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自有及募集资金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541,000,000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自有及募集资金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541,000,000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580" w:bottom="70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44.01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42"/>
              <w:jc w:val="both"/>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4" w:right="0"/>
              <w:jc w:val="center"/>
              <w:rPr>
                <w:rFonts w:ascii="Times New Roman" w:hAnsi="Times New Roman" w:cs="Times New Roman" w:eastAsia="Times New Roman" w:hint="default"/>
                <w:sz w:val="18"/>
                <w:szCs w:val="18"/>
              </w:rPr>
            </w:pPr>
            <w:r>
              <w:rPr>
                <w:rFonts w:ascii="Times New Roman"/>
                <w:sz w:val="18"/>
              </w:rPr>
              <w:t>223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223.00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3.91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49.32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49.32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70.42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70.42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12.33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25.40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100.33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100.33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47.65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181.23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49.32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71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闲置 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主要 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95.88</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于货 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11.59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11.59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88.77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210.85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210.85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73.42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64.25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64.25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41.23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59.18</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47.34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浦发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于信 用类 债券</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11.34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招商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于金 融资 产和 金融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177"/>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券等 金融 资产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50.55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50.55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主要 投资 于货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77"/>
              <w:jc w:val="left"/>
              <w:rPr>
                <w:rFonts w:ascii="宋体" w:hAnsi="宋体" w:cs="宋体" w:eastAsia="宋体" w:hint="default"/>
                <w:sz w:val="18"/>
                <w:szCs w:val="18"/>
              </w:rPr>
            </w:pPr>
            <w:r>
              <w:rPr>
                <w:rFonts w:ascii="宋体" w:hAnsi="宋体" w:cs="宋体" w:eastAsia="宋体" w:hint="default"/>
                <w:sz w:val="18"/>
                <w:szCs w:val="18"/>
              </w:rPr>
              <w:t>广发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于货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券等 金融 资产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4.20%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3" w:right="0"/>
              <w:jc w:val="left"/>
              <w:rPr>
                <w:rFonts w:ascii="Times New Roman" w:hAnsi="Times New Roman" w:cs="Times New Roman" w:eastAsia="Times New Roman" w:hint="default"/>
                <w:sz w:val="18"/>
                <w:szCs w:val="18"/>
              </w:rPr>
            </w:pPr>
            <w:r>
              <w:rPr>
                <w:rFonts w:ascii="Times New Roman"/>
                <w:sz w:val="18"/>
              </w:rPr>
              <w:t>79.03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49.32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25.40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100.60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于固 定收 益类 工具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4.63%</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闲置</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于货 币市 场工 具</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80" w:right="0"/>
              <w:jc w:val="center"/>
              <w:rPr>
                <w:rFonts w:ascii="Times New Roman" w:hAnsi="Times New Roman" w:cs="Times New Roman" w:eastAsia="Times New Roman" w:hint="default"/>
                <w:sz w:val="18"/>
                <w:szCs w:val="18"/>
              </w:rPr>
            </w:pPr>
            <w:r>
              <w:rPr>
                <w:rFonts w:ascii="Times New Roman"/>
                <w:sz w:val="18"/>
              </w:rPr>
              <w:t>4.7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4.47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4.19</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10.97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10.97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闲置 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投资 于货 币市 场工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80" w:right="0"/>
              <w:jc w:val="center"/>
              <w:rPr>
                <w:rFonts w:ascii="Times New Roman" w:hAnsi="Times New Roman" w:cs="Times New Roman" w:eastAsia="Times New Roman" w:hint="default"/>
                <w:sz w:val="18"/>
                <w:szCs w:val="18"/>
              </w:rPr>
            </w:pPr>
            <w:r>
              <w:rPr>
                <w:rFonts w:ascii="Times New Roman"/>
                <w:sz w:val="18"/>
              </w:rPr>
              <w:t>3.5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10.60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68.44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45.87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32.36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38.57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资产 等</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77"/>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投资 债券 和货 币市 场工 </w:t>
            </w:r>
            <w:r>
              <w:rPr>
                <w:rFonts w:ascii="宋体" w:hAnsi="宋体" w:cs="宋体" w:eastAsia="宋体" w:hint="default"/>
                <w:spacing w:val="-12"/>
                <w:sz w:val="18"/>
                <w:szCs w:val="18"/>
              </w:rPr>
              <w:t>具，债</w:t>
            </w:r>
            <w:r>
              <w:rPr>
                <w:rFonts w:ascii="宋体" w:hAnsi="宋体" w:cs="宋体" w:eastAsia="宋体" w:hint="default"/>
                <w:sz w:val="18"/>
                <w:szCs w:val="18"/>
              </w:rPr>
              <w:t> 券类 资产 等</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628.78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1,973.</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63</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t>委托理财出现预期无法收回本金或存在其他可能导致减值的情形</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812"/>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812"/>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t>公司在实现自我发展成长的同时，积极履行企业应尽的义务，承担社会责任。</w:t>
      </w:r>
    </w:p>
    <w:p>
      <w:pPr>
        <w:pStyle w:val="BodyText"/>
        <w:spacing w:line="312" w:lineRule="auto" w:before="115"/>
        <w:ind w:right="812"/>
        <w:jc w:val="left"/>
      </w:pPr>
      <w:r>
        <w:rPr>
          <w:rFonts w:ascii="Times New Roman" w:hAnsi="Times New Roman" w:cs="Times New Roman" w:eastAsia="Times New Roman" w:hint="default"/>
        </w:rPr>
        <w:t>1</w:t>
      </w:r>
      <w:r>
        <w:rPr/>
        <w:t>．加强信息披露，保障股东权益 </w:t>
      </w:r>
      <w:r>
        <w:rPr>
          <w:spacing w:val="-2"/>
        </w:rPr>
        <w:t>公司严格按照《公司法》、《深圳证券交易所创业板股票上市规则》、《上市公司信息披露管理办法》等相关法律法规的要</w:t>
      </w:r>
      <w:r>
        <w:rPr>
          <w:spacing w:val="-67"/>
        </w:rPr>
        <w:t> </w:t>
      </w:r>
      <w:r>
        <w:rPr>
          <w:spacing w:val="-67"/>
        </w:rPr>
      </w:r>
      <w:r>
        <w:rPr>
          <w:spacing w:val="-2"/>
        </w:rPr>
        <w:t>求，及时、准确、真实、完整地进行信息披露，保障了股东的知情权；同时公司非常重视对股东的合理回报，制定了相对稳</w:t>
      </w:r>
      <w:r>
        <w:rPr>
          <w:spacing w:val="-70"/>
        </w:rPr>
        <w:t> </w:t>
      </w:r>
      <w:r>
        <w:rPr>
          <w:spacing w:val="-70"/>
        </w:rPr>
      </w:r>
      <w:r>
        <w:rPr/>
        <w:t>定的利润分配政策回报股东。</w:t>
      </w:r>
    </w:p>
    <w:p>
      <w:pPr>
        <w:pStyle w:val="BodyText"/>
        <w:spacing w:line="309" w:lineRule="auto" w:before="22"/>
        <w:ind w:right="812"/>
        <w:jc w:val="left"/>
      </w:pPr>
      <w:r>
        <w:rPr>
          <w:rFonts w:ascii="Times New Roman" w:hAnsi="Times New Roman" w:cs="Times New Roman" w:eastAsia="Times New Roman" w:hint="default"/>
        </w:rPr>
        <w:t>2.</w:t>
      </w:r>
      <w:r>
        <w:rPr/>
        <w:t>贯彻以人为本，保障员工权益 </w:t>
      </w:r>
      <w:r>
        <w:rPr>
          <w:spacing w:val="-2"/>
        </w:rPr>
        <w:t>公司一直坚持以人为本的人才理念，实施企业人才战略，严格遵守《劳动法》、《劳动合同法》等相关法律法规，给公司员</w:t>
      </w:r>
      <w:r>
        <w:rPr>
          <w:spacing w:val="-67"/>
        </w:rPr>
        <w:t> </w:t>
      </w:r>
      <w:r>
        <w:rPr>
          <w:spacing w:val="-67"/>
        </w:rPr>
      </w:r>
      <w:r>
        <w:rPr/>
        <w:t>工提供相当的收入水平、良好的工作环境和提升的机会。</w:t>
      </w:r>
    </w:p>
    <w:p>
      <w:pPr>
        <w:pStyle w:val="BodyText"/>
        <w:spacing w:line="309" w:lineRule="auto" w:before="24"/>
        <w:ind w:right="812"/>
        <w:jc w:val="left"/>
      </w:pPr>
      <w:r>
        <w:rPr>
          <w:rFonts w:ascii="Times New Roman" w:hAnsi="Times New Roman" w:cs="Times New Roman" w:eastAsia="Times New Roman" w:hint="default"/>
        </w:rPr>
        <w:t>3.</w:t>
      </w:r>
      <w:r>
        <w:rPr/>
        <w:t>坚持依法经营，履行社会责任 </w:t>
      </w:r>
      <w:r>
        <w:rPr>
          <w:spacing w:val="-2"/>
        </w:rPr>
        <w:t>公司始终将依法经营作为公司运行的基本原则，注重企业经济效益与社会效益的同步共赢。公司及时缴纳各项税款，积极发</w:t>
      </w:r>
      <w:r>
        <w:rPr>
          <w:spacing w:val="-66"/>
        </w:rPr>
        <w:t> </w:t>
      </w:r>
      <w:r>
        <w:rPr>
          <w:spacing w:val="-66"/>
        </w:rPr>
      </w:r>
      <w:r>
        <w:rPr/>
        <w:t>展就业，促进当地经济的发展。</w:t>
      </w:r>
    </w:p>
    <w:p>
      <w:pPr>
        <w:spacing w:after="0" w:line="309"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812"/>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12"/>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812"/>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812"/>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 本公司及子公司不属于环境保护部门公布的重点排污单位。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812"/>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812"/>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812"/>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2"/>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52.62%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48.98%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52.62%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48.98%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52.62%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48.98%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47.38%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51.02%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47.38%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213,266,9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51.02%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418,044,0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812"/>
        <w:jc w:val="left"/>
      </w:pPr>
      <w:r>
        <w:rPr/>
        <w:t>股份变动的原因</w:t>
      </w:r>
    </w:p>
    <w:p>
      <w:pPr>
        <w:pStyle w:val="BodyText"/>
        <w:spacing w:line="319"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4"/>
        </w:rPr>
        <w:t>1.2018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4</w:t>
      </w:r>
      <w:r>
        <w:rPr>
          <w:spacing w:val="-4"/>
        </w:rPr>
        <w:t>日，公司首次公开发行股票前持股的董事李伟、陆舟、韩雪峰，承诺到期，解除首发前限售股份</w:t>
      </w:r>
      <w:r>
        <w:rPr>
          <w:rFonts w:ascii="Times New Roman" w:hAnsi="Times New Roman" w:cs="Times New Roman" w:eastAsia="Times New Roman" w:hint="default"/>
          <w:spacing w:val="-4"/>
        </w:rPr>
        <w:t>107,397,374</w:t>
      </w:r>
      <w:r>
        <w:rPr>
          <w:rFonts w:ascii="Times New Roman" w:hAnsi="Times New Roman" w:cs="Times New Roman" w:eastAsia="Times New Roman" w:hint="default"/>
          <w:spacing w:val="27"/>
        </w:rPr>
        <w:t> </w:t>
      </w:r>
      <w:r>
        <w:rPr/>
        <w:t>股，</w:t>
      </w:r>
      <w:r>
        <w:rPr>
          <w:spacing w:val="-83"/>
        </w:rPr>
        <w:t> </w:t>
      </w:r>
      <w:r>
        <w:rPr/>
        <w:t>高管锁定股增加</w:t>
      </w:r>
      <w:r>
        <w:rPr>
          <w:rFonts w:ascii="Times New Roman" w:hAnsi="Times New Roman" w:cs="Times New Roman" w:eastAsia="Times New Roman" w:hint="default"/>
        </w:rPr>
        <w:t>102,109,022</w:t>
      </w:r>
      <w:r>
        <w:rPr/>
        <w:t>股。</w:t>
      </w:r>
    </w:p>
    <w:p>
      <w:pPr>
        <w:pStyle w:val="BodyText"/>
        <w:spacing w:line="300" w:lineRule="auto"/>
        <w:ind w:right="812"/>
        <w:jc w:val="left"/>
      </w:pPr>
      <w:r>
        <w:rPr>
          <w:rFonts w:ascii="Times New Roman" w:hAnsi="Times New Roman" w:cs="Times New Roman" w:eastAsia="Times New Roman" w:hint="default"/>
          <w:spacing w:val="-1"/>
        </w:rPr>
        <w:t>2.2018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29</w:t>
      </w:r>
      <w:r>
        <w:rPr>
          <w:spacing w:val="-1"/>
        </w:rPr>
        <w:t>日，公司首次公开发行股票前持股的控制股东黄煜，承诺到期，解除首发前限售股份</w:t>
      </w:r>
      <w:r>
        <w:rPr>
          <w:rFonts w:ascii="Times New Roman" w:hAnsi="Times New Roman" w:cs="Times New Roman" w:eastAsia="Times New Roman" w:hint="default"/>
          <w:spacing w:val="-1"/>
        </w:rPr>
        <w:t>26,671,889</w:t>
      </w:r>
      <w:r>
        <w:rPr>
          <w:spacing w:val="-1"/>
        </w:rPr>
        <w:t>股，高管锁定</w:t>
      </w:r>
      <w:r>
        <w:rPr>
          <w:spacing w:val="-69"/>
        </w:rPr>
        <w:t> </w:t>
      </w:r>
      <w:r>
        <w:rPr>
          <w:spacing w:val="-69"/>
        </w:rPr>
      </w:r>
      <w:r>
        <w:rPr/>
        <w:t>股增加</w:t>
      </w:r>
      <w:r>
        <w:rPr>
          <w:rFonts w:ascii="Times New Roman" w:hAnsi="Times New Roman" w:cs="Times New Roman" w:eastAsia="Times New Roman" w:hint="default"/>
        </w:rPr>
        <w:t>16,758,316</w:t>
      </w:r>
      <w:r>
        <w:rPr/>
        <w:t>股。</w:t>
      </w:r>
    </w:p>
    <w:p>
      <w:pPr>
        <w:pStyle w:val="BodyText"/>
        <w:spacing w:line="240" w:lineRule="auto" w:before="53"/>
        <w:ind w:right="812"/>
        <w:jc w:val="left"/>
      </w:pPr>
      <w:r>
        <w:rPr/>
        <w:t>股份变动的批准情况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812"/>
        <w:jc w:val="left"/>
      </w:pPr>
      <w:r>
        <w:rPr/>
        <w:t>公司认为必要或证券监管机构要求披露的其他内容</w:t>
      </w:r>
    </w:p>
    <w:p>
      <w:pPr>
        <w:pStyle w:val="BodyText"/>
        <w:spacing w:line="240" w:lineRule="auto" w:before="116"/>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110,743,157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26,671,889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16,758,316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100,829,584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73"/>
              <w:jc w:val="both"/>
              <w:rPr>
                <w:rFonts w:ascii="宋体" w:hAnsi="宋体" w:cs="宋体" w:eastAsia="宋体" w:hint="default"/>
                <w:sz w:val="18"/>
                <w:szCs w:val="18"/>
              </w:rPr>
            </w:pPr>
            <w:r>
              <w:rPr>
                <w:rFonts w:ascii="宋体" w:hAnsi="宋体" w:cs="宋体" w:eastAsia="宋体" w:hint="default"/>
                <w:sz w:val="18"/>
                <w:szCs w:val="18"/>
              </w:rPr>
              <w:t>首发前个人类限 售股；高管锁定 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2019-6-26</w:t>
            </w:r>
            <w:r>
              <w:rPr>
                <w:rFonts w:ascii="宋体" w:hAnsi="宋体" w:cs="宋体" w:eastAsia="宋体" w:hint="default"/>
                <w:sz w:val="18"/>
                <w:szCs w:val="18"/>
              </w:rPr>
              <w:t>；高管</w:t>
            </w:r>
          </w:p>
          <w:p>
            <w:pPr>
              <w:pStyle w:val="TableParagraph"/>
              <w:spacing w:line="319"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锁定股每年按上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44,734,102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44,734,102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41,938,221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41,938,221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本期解除</w:t>
            </w:r>
            <w:r>
              <w:rPr>
                <w:rFonts w:ascii="Times New Roman" w:hAnsi="Times New Roman" w:cs="Times New Roman" w:eastAsia="Times New Roman" w:hint="default"/>
                <w:sz w:val="18"/>
                <w:szCs w:val="18"/>
              </w:rPr>
              <w:t>“</w:t>
            </w:r>
            <w:r>
              <w:rPr>
                <w:rFonts w:ascii="宋体" w:hAnsi="宋体" w:cs="宋体" w:eastAsia="宋体" w:hint="default"/>
                <w:sz w:val="18"/>
                <w:szCs w:val="18"/>
              </w:rPr>
              <w:t>首发 </w:t>
            </w:r>
            <w:r>
              <w:rPr>
                <w:rFonts w:ascii="宋体" w:hAnsi="宋体" w:cs="宋体" w:eastAsia="宋体" w:hint="default"/>
                <w:spacing w:val="-5"/>
                <w:sz w:val="18"/>
                <w:szCs w:val="18"/>
              </w:rPr>
              <w:t>前限售股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锁定股每年按上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42,107,805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42,107,805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39,476,067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39,476,067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本期解除</w:t>
            </w:r>
            <w:r>
              <w:rPr>
                <w:rFonts w:ascii="Times New Roman" w:hAnsi="Times New Roman" w:cs="Times New Roman" w:eastAsia="Times New Roman" w:hint="default"/>
                <w:sz w:val="18"/>
                <w:szCs w:val="18"/>
              </w:rPr>
              <w:t>“</w:t>
            </w:r>
            <w:r>
              <w:rPr>
                <w:rFonts w:ascii="宋体" w:hAnsi="宋体" w:cs="宋体" w:eastAsia="宋体" w:hint="default"/>
                <w:sz w:val="18"/>
                <w:szCs w:val="18"/>
              </w:rPr>
              <w:t>首发 </w:t>
            </w:r>
            <w:r>
              <w:rPr>
                <w:rFonts w:ascii="宋体" w:hAnsi="宋体" w:cs="宋体" w:eastAsia="宋体" w:hint="default"/>
                <w:spacing w:val="-5"/>
                <w:sz w:val="18"/>
                <w:szCs w:val="18"/>
              </w:rPr>
              <w:t>前限售股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锁定股每年按上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20,555,467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20,555,467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20,694,734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20,694,734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本期解除</w:t>
            </w:r>
            <w:r>
              <w:rPr>
                <w:rFonts w:ascii="Times New Roman" w:hAnsi="Times New Roman" w:cs="Times New Roman" w:eastAsia="Times New Roman" w:hint="default"/>
                <w:sz w:val="18"/>
                <w:szCs w:val="18"/>
              </w:rPr>
              <w:t>“</w:t>
            </w:r>
            <w:r>
              <w:rPr>
                <w:rFonts w:ascii="宋体" w:hAnsi="宋体" w:cs="宋体" w:eastAsia="宋体" w:hint="default"/>
                <w:sz w:val="18"/>
                <w:szCs w:val="18"/>
              </w:rPr>
              <w:t>首发 </w:t>
            </w:r>
            <w:r>
              <w:rPr>
                <w:rFonts w:ascii="宋体" w:hAnsi="宋体" w:cs="宋体" w:eastAsia="宋体" w:hint="default"/>
                <w:spacing w:val="-5"/>
                <w:sz w:val="18"/>
                <w:szCs w:val="18"/>
              </w:rPr>
              <w:t>前限售股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锁定股每年按上 年末持股数的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高管锁定股每年 按上年末持股数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闫岩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高管锁定股每年 按上年末持股数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219,979,009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134,069,263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118,867,338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204,777,084</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812"/>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812"/>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27pt;width:85.6pt;height:31.25pt;mso-position-horizontal-relative:page;mso-position-vertical-relative:paragraph;z-index:-1080376" type="#_x0000_t202" filled="false" stroked="false">
            <v:textbox inset="0,0,0,0">
              <w:txbxContent>
                <w:p>
                  <w:pPr>
                    <w:pStyle w:val="BodyText"/>
                    <w:spacing w:line="206" w:lineRule="exact"/>
                    <w:ind w:left="0" w:right="0"/>
                    <w:jc w:val="left"/>
                  </w:pPr>
                  <w:r>
                    <w:rPr/>
                    <w:t>（如有）</w:t>
                  </w:r>
                </w:p>
              </w:txbxContent>
            </v:textbox>
            <w10:wrap type="none"/>
          </v:shape>
        </w:pict>
      </w:r>
      <w:r>
        <w:rPr/>
        <w:pict>
          <v:group style="position:absolute;margin-left:482.399994pt;margin-top:70.551727pt;width:52.45pt;height:31.25pt;mso-position-horizontal-relative:page;mso-position-vertical-relative:paragraph;z-index:-1080352" coordorigin="9648,1411" coordsize="1049,625">
            <v:shape style="position:absolute;left:9648;top:1411;width:1049;height:625" coordorigin="9648,1411" coordsize="1049,625"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32,252</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31,257</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31.90%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133,359,4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100,829,5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32,529,86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5" w:space="0" w:color="D2D2D2"/>
              <w:left w:val="single" w:sz="4" w:space="0" w:color="000000"/>
              <w:bottom w:val="single" w:sz="4" w:space="0" w:color="000000"/>
              <w:right w:val="single" w:sz="4" w:space="0" w:color="000000"/>
            </w:tcBorders>
          </w:tcPr>
          <w:p>
            <w:pPr/>
          </w:p>
        </w:tc>
        <w:tc>
          <w:tcPr>
            <w:tcW w:w="1350" w:type="dxa"/>
            <w:gridSpan w:val="3"/>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13.38%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41,938,22</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12.59%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39,476,06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20,694,73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20,694,73</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5,545,400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5,545,400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2,489,172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2,489,172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2,433,704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1,825,278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608,426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常州高新技术产</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业开发区常能电 器有限公司</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余永康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1,404,100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1,404,100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戎国平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32,529,862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32,529,862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13,979,407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13,979,407</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13,158,689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13,158,689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5,545,400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5,545,400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2,489,172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常州高新技术产业开发区常能电器 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余永康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戎国平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1,077,261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1,077,261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中国建设银行股份有限公司－华商 盛世成长混合型证券投资基金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余永康通过投资者信用证券账户持有公司公司股份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股；戎国平通过投资者</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信用证券账户持有公司公司股份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81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81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p>
      <w:pPr>
        <w:spacing w:after="0" w:line="357" w:lineRule="auto"/>
        <w:jc w:val="lef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月至今任公司董事长，兼任中国计算机学会计算机安全专委会及信 息保密专委会委员。</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812"/>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812"/>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月至今任公司董事长，兼任中国计算机学会计算机安全专委会及信息保密专委会 委员。</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812"/>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2"/>
        <w:rPr>
          <w:rFonts w:ascii="宋体" w:hAnsi="宋体" w:cs="宋体" w:eastAsia="宋体" w:hint="default"/>
          <w:sz w:val="14"/>
          <w:szCs w:val="14"/>
        </w:rPr>
      </w:pPr>
    </w:p>
    <w:p>
      <w:pPr>
        <w:spacing w:line="3735" w:lineRule="exact"/>
        <w:ind w:left="1356"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131" cy="23717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1131" cy="237172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16"/>
          <w:szCs w:val="16"/>
        </w:rPr>
      </w:pPr>
    </w:p>
    <w:p>
      <w:pPr>
        <w:pStyle w:val="BodyText"/>
        <w:spacing w:line="240" w:lineRule="auto"/>
        <w:ind w:right="812"/>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812"/>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812"/>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812"/>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812"/>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55,917,62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52,634,75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25,694,33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20,694,73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监事会主 席，人力 资源总监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职工监 事，读卡 器部经理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监事，销 售经理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2,433,704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2,433,704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书、市场 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271,133,0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2"/>
        <w:rPr>
          <w:rFonts w:ascii="宋体" w:hAnsi="宋体" w:cs="宋体" w:eastAsia="宋体" w:hint="default"/>
          <w:b/>
          <w:bCs/>
          <w:sz w:val="18"/>
          <w:szCs w:val="18"/>
        </w:rPr>
      </w:pPr>
    </w:p>
    <w:p>
      <w:pPr>
        <w:pStyle w:val="Heading2"/>
        <w:spacing w:line="240" w:lineRule="auto" w:before="26"/>
        <w:ind w:right="812"/>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823"/>
        <w:gridCol w:w="375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公司现任董事、监事、高级管理人员专业背景、主要工作经历以及目前在公司的主要职责</w:t>
      </w:r>
    </w:p>
    <w:p>
      <w:pPr>
        <w:pStyle w:val="Heading5"/>
        <w:spacing w:line="240" w:lineRule="auto" w:before="115"/>
        <w:ind w:left="154" w:right="812"/>
        <w:jc w:val="left"/>
        <w:rPr>
          <w:b w:val="0"/>
          <w:bCs w:val="0"/>
        </w:rPr>
      </w:pPr>
      <w:r>
        <w:rPr/>
        <w:t>（一）董事会成员（共</w:t>
      </w:r>
      <w:r>
        <w:rPr>
          <w:rFonts w:ascii="Times New Roman" w:hAnsi="Times New Roman" w:cs="Times New Roman" w:eastAsia="Times New Roman" w:hint="default"/>
        </w:rPr>
        <w:t>5</w:t>
      </w:r>
      <w:r>
        <w:rPr/>
        <w:t>人）</w:t>
      </w:r>
      <w:r>
        <w:rPr>
          <w:b w:val="0"/>
          <w:bCs w:val="0"/>
        </w:rPr>
      </w:r>
    </w:p>
    <w:p>
      <w:pPr>
        <w:pStyle w:val="BodyText"/>
        <w:spacing w:line="240" w:lineRule="auto" w:before="63"/>
        <w:ind w:left="514" w:right="812"/>
        <w:jc w:val="left"/>
      </w:pPr>
      <w:r>
        <w:rPr/>
        <w:t>黄</w:t>
      </w:r>
      <w:r>
        <w:rPr>
          <w:spacing w:val="38"/>
        </w:rPr>
        <w:t> </w:t>
      </w:r>
      <w:r>
        <w:rPr/>
        <w:t>煜先生，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-1994</w:t>
      </w:r>
      <w:r>
        <w:rPr/>
        <w:t>年就职于北</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9"/>
        <w:jc w:val="both"/>
      </w:pPr>
      <w:r>
        <w:rPr>
          <w:spacing w:val="-1"/>
        </w:rPr>
        <w:t>京科星电子技术有限公司，</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-1998</w:t>
      </w:r>
      <w:r>
        <w:rPr>
          <w:spacing w:val="-1"/>
        </w:rPr>
        <w:t>年在北京市中关村从事个体经营，</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月创立北京飞天诚信科技有限公司，</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33"/>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11</w:t>
      </w:r>
      <w:r>
        <w:rPr>
          <w:spacing w:val="-1"/>
        </w:rPr>
        <w:t>月任公司董事长、总经理，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月至今任公司董事长；现兼任中国计算机学会计算机安全专委会及信息</w:t>
      </w:r>
      <w:r>
        <w:rPr>
          <w:spacing w:val="-82"/>
        </w:rPr>
        <w:t> </w:t>
      </w:r>
      <w:r>
        <w:rPr>
          <w:spacing w:val="-82"/>
        </w:rPr>
      </w:r>
      <w:r>
        <w:rPr/>
        <w:t>保密专委会委员。</w:t>
      </w:r>
    </w:p>
    <w:p>
      <w:pPr>
        <w:pStyle w:val="BodyText"/>
        <w:spacing w:line="312" w:lineRule="auto" w:before="31"/>
        <w:ind w:right="1085" w:firstLine="360"/>
        <w:jc w:val="both"/>
      </w:pPr>
      <w:r>
        <w:rPr/>
        <w:t>李</w:t>
      </w:r>
      <w:r>
        <w:rPr>
          <w:spacing w:val="53"/>
        </w:rPr>
        <w:t> </w:t>
      </w:r>
      <w:r>
        <w:rPr/>
        <w:t>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7</w:t>
      </w:r>
      <w:r>
        <w:rPr/>
        <w:t>月出生，教授级高级工程师。</w:t>
      </w:r>
      <w:r>
        <w:rPr>
          <w:rFonts w:ascii="宋体" w:hAnsi="宋体" w:cs="宋体" w:eastAsia="宋体" w:hint="default"/>
        </w:rPr>
        <w:t>1992</w:t>
      </w:r>
      <w:r>
        <w:rPr/>
        <w:t>年</w:t>
      </w:r>
      <w:r>
        <w:rPr>
          <w:rFonts w:ascii="宋体" w:hAnsi="宋体" w:cs="宋体" w:eastAsia="宋体" w:hint="default"/>
        </w:rPr>
        <w:t>7</w:t>
      </w:r>
      <w:r>
        <w:rPr/>
        <w:t>月，北京交通大学计算机及应用专业本科毕业，学士学位。 </w:t>
      </w:r>
      <w:r>
        <w:rPr>
          <w:rFonts w:ascii="宋体" w:hAnsi="宋体" w:cs="宋体" w:eastAsia="宋体" w:hint="default"/>
        </w:rPr>
        <w:t>1998</w:t>
      </w:r>
      <w:r>
        <w:rPr/>
        <w:t>年</w:t>
      </w:r>
      <w:r>
        <w:rPr>
          <w:rFonts w:ascii="宋体" w:hAnsi="宋体" w:cs="宋体" w:eastAsia="宋体" w:hint="default"/>
        </w:rPr>
        <w:t>6</w:t>
      </w:r>
      <w:r>
        <w:rPr/>
        <w:t>月作为创始人之一，创办飞天诚信科技股份有限公司，</w:t>
      </w:r>
      <w:r>
        <w:rPr>
          <w:rFonts w:ascii="宋体" w:hAnsi="宋体" w:cs="宋体" w:eastAsia="宋体" w:hint="default"/>
        </w:rPr>
        <w:t>1998</w:t>
      </w:r>
      <w:r>
        <w:rPr/>
        <w:t>年</w:t>
      </w:r>
      <w:r>
        <w:rPr>
          <w:rFonts w:ascii="宋体" w:hAnsi="宋体" w:cs="宋体" w:eastAsia="宋体" w:hint="default"/>
        </w:rPr>
        <w:t>6</w:t>
      </w:r>
      <w:r>
        <w:rPr/>
        <w:t>月</w:t>
      </w:r>
      <w:r>
        <w:rPr>
          <w:rFonts w:ascii="宋体" w:hAnsi="宋体" w:cs="宋体" w:eastAsia="宋体" w:hint="default"/>
        </w:rPr>
        <w:t>-2010</w:t>
      </w:r>
      <w:r>
        <w:rPr/>
        <w:t>年</w:t>
      </w:r>
      <w:r>
        <w:rPr>
          <w:rFonts w:ascii="宋体" w:hAnsi="宋体" w:cs="宋体" w:eastAsia="宋体" w:hint="default"/>
        </w:rPr>
        <w:t>11</w:t>
      </w:r>
      <w:r>
        <w:rPr/>
        <w:t>月任公司董事、副总经理，</w:t>
      </w:r>
      <w:r>
        <w:rPr>
          <w:rFonts w:ascii="宋体" w:hAnsi="宋体" w:cs="宋体" w:eastAsia="宋体" w:hint="default"/>
        </w:rPr>
        <w:t>2010</w:t>
      </w:r>
      <w:r>
        <w:rPr/>
        <w:t>年</w:t>
      </w:r>
      <w:r>
        <w:rPr>
          <w:rFonts w:ascii="宋体" w:hAnsi="宋体" w:cs="宋体" w:eastAsia="宋体" w:hint="default"/>
        </w:rPr>
        <w:t>12</w:t>
      </w:r>
      <w:r>
        <w:rPr/>
        <w:t>月 </w:t>
      </w:r>
      <w:r>
        <w:rPr>
          <w:spacing w:val="-2"/>
        </w:rPr>
        <w:t>至今任公司董事、总经理；同时，兼任海淀区政协委员、全国金融标准化技术委员会专家、中国计算机学会信息保密专委会</w:t>
      </w:r>
      <w:r>
        <w:rPr>
          <w:spacing w:val="-66"/>
        </w:rPr>
        <w:t> </w:t>
      </w:r>
      <w:r>
        <w:rPr>
          <w:spacing w:val="-66"/>
        </w:rPr>
      </w:r>
      <w:r>
        <w:rPr/>
        <w:t>委员、中国保密协会产业分会委员、密码行业标准化技术委员会委员等职务。</w:t>
      </w:r>
    </w:p>
    <w:p>
      <w:pPr>
        <w:pStyle w:val="BodyText"/>
        <w:spacing w:line="300" w:lineRule="auto" w:before="22"/>
        <w:ind w:right="1129" w:firstLine="360"/>
        <w:jc w:val="both"/>
      </w:pPr>
      <w:r>
        <w:rPr/>
        <w:t>陆</w:t>
      </w:r>
      <w:r>
        <w:rPr>
          <w:spacing w:val="39"/>
        </w:rPr>
        <w:t> </w:t>
      </w:r>
      <w:r>
        <w:rPr/>
        <w:t>舟先生，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1992</w:t>
      </w:r>
      <w:r>
        <w:rPr/>
        <w:t>年毕业于北方交通大学计算机技术与应用专业，本科学历。</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年担任铁道 部直属通信处技术工程师，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月至今任公司董事、副总经理、总工程师。</w:t>
      </w:r>
    </w:p>
    <w:p>
      <w:pPr>
        <w:pStyle w:val="BodyText"/>
        <w:spacing w:line="300" w:lineRule="auto" w:before="13"/>
        <w:ind w:right="1130" w:firstLine="360"/>
        <w:jc w:val="both"/>
      </w:pPr>
      <w:r>
        <w:rPr/>
        <w:t>李</w:t>
      </w:r>
      <w:r>
        <w:rPr>
          <w:spacing w:val="53"/>
        </w:rPr>
        <w:t> </w:t>
      </w:r>
      <w:r>
        <w:rPr/>
        <w:t>琪女士，</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月出生，中国国籍，无境外永久居留权，毕业于北京师范大学，中国注册会计师、注册资产评估 </w:t>
      </w:r>
      <w:r>
        <w:rPr>
          <w:spacing w:val="-2"/>
        </w:rPr>
        <w:t>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2012</w:t>
      </w:r>
      <w:r>
        <w:rPr>
          <w:spacing w:val="-2"/>
        </w:rPr>
        <w:t>年任汉华评值有限公司中国业务部总经理、董事，现任中发国际资产评估有限公司董事、总经理。于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日起担任公司独立董事。</w:t>
      </w:r>
    </w:p>
    <w:p>
      <w:pPr>
        <w:pStyle w:val="BodyText"/>
        <w:spacing w:line="300" w:lineRule="auto" w:before="13"/>
        <w:ind w:right="1175" w:firstLine="360"/>
        <w:jc w:val="both"/>
      </w:pPr>
      <w:r>
        <w:rPr/>
        <w:t>黄</w:t>
      </w:r>
      <w:r>
        <w:rPr>
          <w:spacing w:val="53"/>
        </w:rPr>
        <w:t> </w:t>
      </w:r>
      <w:r>
        <w:rPr/>
        <w:t>涛先生，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6</w:t>
      </w:r>
      <w:r>
        <w:rPr/>
        <w:t>月出生，中国国籍，无境外永久居留权，毕业于中国科学技术大学，软件专业博士学位。</w:t>
      </w:r>
      <w:r>
        <w:rPr>
          <w:rFonts w:ascii="Times New Roman" w:hAnsi="Times New Roman" w:cs="Times New Roman" w:eastAsia="Times New Roman" w:hint="default"/>
        </w:rPr>
        <w:t>1994</w:t>
      </w:r>
      <w:r>
        <w:rPr/>
        <w:t>年 至今中科院软件所工作，先后任副主任、主任、研究员、副所长等职。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日起担任公司独立董事。</w:t>
      </w:r>
    </w:p>
    <w:p>
      <w:pPr>
        <w:pStyle w:val="Heading5"/>
        <w:spacing w:line="240" w:lineRule="auto" w:before="13"/>
        <w:ind w:left="515" w:right="812"/>
        <w:jc w:val="left"/>
        <w:rPr>
          <w:b w:val="0"/>
          <w:bCs w:val="0"/>
        </w:rPr>
      </w:pPr>
      <w:r>
        <w:rPr/>
        <w:t>（二）监事会成员（共</w:t>
      </w:r>
      <w:r>
        <w:rPr>
          <w:rFonts w:ascii="Times New Roman" w:hAnsi="Times New Roman" w:cs="Times New Roman" w:eastAsia="Times New Roman" w:hint="default"/>
        </w:rPr>
        <w:t>3</w:t>
      </w:r>
      <w:r>
        <w:rPr/>
        <w:t>人）</w:t>
      </w:r>
      <w:r>
        <w:rPr>
          <w:b w:val="0"/>
          <w:bCs w:val="0"/>
        </w:rPr>
      </w:r>
    </w:p>
    <w:p>
      <w:pPr>
        <w:pStyle w:val="BodyText"/>
        <w:spacing w:line="300" w:lineRule="auto" w:before="63"/>
        <w:ind w:right="1130" w:firstLine="360"/>
        <w:jc w:val="both"/>
      </w:pPr>
      <w:r>
        <w:rPr/>
        <w:t>田</w:t>
      </w:r>
      <w:r>
        <w:rPr>
          <w:spacing w:val="36"/>
        </w:rPr>
        <w:t> </w:t>
      </w:r>
      <w:r>
        <w:rPr/>
        <w:t>端先生，男，出生于</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1998.9-2002.6</w:t>
      </w:r>
      <w:r>
        <w:rPr/>
        <w:t>，中国人民大学人力资源管理专业学习；</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月在 广州攀达国际集团公司人力资源部任职人力专员；</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月至今在飞天诚信科技股份有限公司人力资源部任经理。</w:t>
      </w:r>
    </w:p>
    <w:p>
      <w:pPr>
        <w:pStyle w:val="BodyText"/>
        <w:spacing w:line="300" w:lineRule="auto" w:before="13"/>
        <w:ind w:right="1130" w:firstLine="360"/>
        <w:jc w:val="both"/>
      </w:pPr>
      <w:r>
        <w:rPr>
          <w:spacing w:val="-3"/>
        </w:rPr>
        <w:t>孙晓东先生，男，</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20</w:t>
      </w:r>
      <w:r>
        <w:rPr>
          <w:spacing w:val="-3"/>
        </w:rPr>
        <w:t>日出生</w:t>
      </w:r>
      <w:r>
        <w:rPr>
          <w:rFonts w:ascii="Times New Roman" w:hAnsi="Times New Roman" w:cs="Times New Roman" w:eastAsia="Times New Roman" w:hint="default"/>
          <w:spacing w:val="-3"/>
        </w:rPr>
        <w:t>,1998</w:t>
      </w:r>
      <w:r>
        <w:rPr>
          <w:spacing w:val="-3"/>
        </w:rPr>
        <w:t>年毕业于沈阳工业大学计算机及应用专业</w:t>
      </w:r>
      <w:r>
        <w:rPr>
          <w:rFonts w:ascii="Times New Roman" w:hAnsi="Times New Roman" w:cs="Times New Roman" w:eastAsia="Times New Roman" w:hint="default"/>
          <w:spacing w:val="-3"/>
        </w:rPr>
        <w:t>,</w:t>
      </w:r>
      <w:r>
        <w:rPr>
          <w:spacing w:val="-3"/>
        </w:rPr>
        <w:t>专科学历，中级经济师职称。</w:t>
      </w:r>
      <w:r>
        <w:rPr>
          <w:rFonts w:ascii="Times New Roman" w:hAnsi="Times New Roman" w:cs="Times New Roman" w:eastAsia="Times New Roman" w:hint="default"/>
          <w:spacing w:val="-3"/>
        </w:rPr>
        <w:t>1998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12</w:t>
      </w:r>
      <w:r>
        <w:rPr>
          <w:spacing w:val="-1"/>
        </w:rPr>
        <w:t>月在沈阳恒新电脑有限责任公司从事销售工作；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月在北京昌霖电脑从事销售工作</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t>月加入飞天诚信</w:t>
      </w:r>
      <w:r>
        <w:rPr>
          <w:rFonts w:ascii="Times New Roman" w:hAnsi="Times New Roman" w:cs="Times New Roman" w:eastAsia="Times New Roman" w:hint="default"/>
        </w:rPr>
        <w:t>,</w:t>
      </w:r>
      <w:r>
        <w:rPr/>
        <w:t>历任</w:t>
      </w:r>
      <w:r>
        <w:rPr>
          <w:rFonts w:ascii="Times New Roman" w:hAnsi="Times New Roman" w:cs="Times New Roman" w:eastAsia="Times New Roman" w:hint="default"/>
        </w:rPr>
        <w:t>epass</w:t>
      </w:r>
      <w:r>
        <w:rPr/>
        <w:t>销售经理、加密锁销售部经理、销售总监助理，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月至今任飞天诚信销售经理。</w:t>
      </w:r>
    </w:p>
    <w:p>
      <w:pPr>
        <w:pStyle w:val="BodyText"/>
        <w:spacing w:line="300" w:lineRule="auto" w:before="13"/>
        <w:ind w:right="1130" w:firstLine="360"/>
        <w:jc w:val="both"/>
      </w:pPr>
      <w:r>
        <w:rPr>
          <w:spacing w:val="-1"/>
        </w:rPr>
        <w:t>张英魁先生，</w:t>
      </w:r>
      <w:r>
        <w:rPr>
          <w:rFonts w:ascii="Times New Roman" w:hAnsi="Times New Roman" w:cs="Times New Roman" w:eastAsia="Times New Roman" w:hint="default"/>
          <w:spacing w:val="-1"/>
        </w:rPr>
        <w:t>1981</w:t>
      </w:r>
      <w:r>
        <w:rPr>
          <w:spacing w:val="-1"/>
        </w:rPr>
        <w:t>年</w:t>
      </w:r>
      <w:r>
        <w:rPr>
          <w:rFonts w:ascii="Times New Roman" w:hAnsi="Times New Roman" w:cs="Times New Roman" w:eastAsia="Times New Roman" w:hint="default"/>
          <w:spacing w:val="-1"/>
        </w:rPr>
        <w:t>7</w:t>
      </w:r>
      <w:r>
        <w:rPr>
          <w:spacing w:val="-1"/>
        </w:rPr>
        <w:t>月出生，</w:t>
      </w:r>
      <w:r>
        <w:rPr>
          <w:rFonts w:ascii="Times New Roman" w:hAnsi="Times New Roman" w:cs="Times New Roman" w:eastAsia="Times New Roman" w:hint="default"/>
          <w:spacing w:val="-1"/>
        </w:rPr>
        <w:t>2003</w:t>
      </w:r>
      <w:r>
        <w:rPr>
          <w:spacing w:val="-1"/>
        </w:rPr>
        <w:t>年毕业于中央民族大学电子信息工程专业，本科学历。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月在北京</w:t>
      </w:r>
      <w:r>
        <w:rPr/>
        <w:t> </w:t>
      </w:r>
      <w:r>
        <w:rPr>
          <w:spacing w:val="-1"/>
        </w:rPr>
        <w:t>黑眼睛数据设备有限公司工作，</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月在北京恒嘉电子技术研究所工作，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月加入公司，历任硬件部经</w:t>
      </w:r>
      <w:r>
        <w:rPr>
          <w:spacing w:val="-81"/>
        </w:rPr>
        <w:t> </w:t>
      </w:r>
      <w:r>
        <w:rPr>
          <w:spacing w:val="-81"/>
        </w:rPr>
      </w:r>
      <w:r>
        <w:rPr/>
        <w:t>理、读卡器部经理。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月至今任公司职工监事、读卡器部经理。</w:t>
      </w:r>
    </w:p>
    <w:p>
      <w:pPr>
        <w:pStyle w:val="Heading5"/>
        <w:spacing w:line="240" w:lineRule="auto" w:before="13"/>
        <w:ind w:left="515" w:right="812"/>
        <w:jc w:val="left"/>
        <w:rPr>
          <w:b w:val="0"/>
          <w:bCs w:val="0"/>
        </w:rPr>
      </w:pPr>
      <w:r>
        <w:rPr/>
        <w:t>（三）高级管理人员（共</w:t>
      </w:r>
      <w:r>
        <w:rPr>
          <w:rFonts w:ascii="Times New Roman" w:hAnsi="Times New Roman" w:cs="Times New Roman" w:eastAsia="Times New Roman" w:hint="default"/>
        </w:rPr>
        <w:t>11</w:t>
      </w:r>
      <w:r>
        <w:rPr/>
        <w:t>人）</w:t>
      </w:r>
      <w:r>
        <w:rPr>
          <w:b w:val="0"/>
          <w:bCs w:val="0"/>
        </w:rPr>
      </w:r>
    </w:p>
    <w:p>
      <w:pPr>
        <w:pStyle w:val="BodyText"/>
        <w:spacing w:line="240" w:lineRule="auto" w:before="63"/>
        <w:ind w:left="514" w:right="812"/>
        <w:jc w:val="left"/>
      </w:pPr>
      <w:r>
        <w:rPr/>
        <w:t>李</w:t>
      </w:r>
      <w:r>
        <w:rPr>
          <w:spacing w:val="53"/>
        </w:rPr>
        <w:t> </w:t>
      </w:r>
      <w:r>
        <w:rPr/>
        <w:t>伟先生，公司总经理，参见本节内容之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300" w:lineRule="auto" w:before="63"/>
        <w:ind w:left="514" w:right="812"/>
        <w:jc w:val="left"/>
      </w:pPr>
      <w:r>
        <w:rPr/>
        <w:t>陆</w:t>
      </w:r>
      <w:r>
        <w:rPr>
          <w:spacing w:val="54"/>
        </w:rPr>
        <w:t> </w:t>
      </w:r>
      <w:r>
        <w:rPr/>
        <w:t>舟先生，公司副总经理、总工程师，参见本节内容之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w:t>
      </w:r>
      <w:r>
        <w:rPr>
          <w:spacing w:val="-2"/>
        </w:rPr>
        <w:t>于华章先生，</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w:t>
      </w:r>
      <w:r>
        <w:rPr>
          <w:rFonts w:ascii="Times New Roman" w:hAnsi="Times New Roman" w:cs="Times New Roman" w:eastAsia="Times New Roman" w:hint="default"/>
          <w:spacing w:val="-2"/>
        </w:rPr>
        <w:t>1993</w:t>
      </w:r>
      <w:r>
        <w:rPr>
          <w:spacing w:val="-2"/>
        </w:rPr>
        <w:t>年毕业于解放军信息工程大学应用数学本科专业，</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月获中国科学院研究生院</w:t>
      </w:r>
    </w:p>
    <w:p>
      <w:pPr>
        <w:pStyle w:val="BodyText"/>
        <w:spacing w:line="300" w:lineRule="auto" w:before="13"/>
        <w:ind w:right="1130"/>
        <w:jc w:val="both"/>
      </w:pPr>
      <w:r>
        <w:rPr>
          <w:spacing w:val="-1"/>
        </w:rPr>
        <w:t>计算机技术领域工程硕士学位。</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-2000</w:t>
      </w:r>
      <w:r>
        <w:rPr>
          <w:spacing w:val="-1"/>
        </w:rPr>
        <w:t>年担任解放军总参谋部助理研究员，</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-2002</w:t>
      </w:r>
      <w:r>
        <w:rPr>
          <w:spacing w:val="-1"/>
        </w:rPr>
        <w:t>年担任北大青鸟科技股份有限</w:t>
      </w:r>
      <w:r>
        <w:rPr>
          <w:spacing w:val="-49"/>
        </w:rPr>
        <w:t> </w:t>
      </w:r>
      <w:r>
        <w:rPr/>
        <w:t>公司部门经理，</w:t>
      </w:r>
      <w:r>
        <w:rPr>
          <w:rFonts w:ascii="Times New Roman" w:hAnsi="Times New Roman" w:cs="Times New Roman" w:eastAsia="Times New Roman" w:hint="default"/>
        </w:rPr>
        <w:t>2002</w:t>
      </w:r>
      <w:r>
        <w:rPr/>
        <w:t>年至今任公司副总经理。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月兼任北京坚石信安科技有限公司执行董事、经理。</w:t>
      </w:r>
    </w:p>
    <w:p>
      <w:pPr>
        <w:pStyle w:val="BodyText"/>
        <w:spacing w:line="300" w:lineRule="auto" w:before="13"/>
        <w:ind w:right="1039" w:firstLine="360"/>
        <w:jc w:val="left"/>
      </w:pPr>
      <w:r>
        <w:rPr>
          <w:spacing w:val="-1"/>
        </w:rPr>
        <w:t>郑相启先生，</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w:t>
      </w:r>
      <w:r>
        <w:rPr>
          <w:spacing w:val="-1"/>
        </w:rPr>
        <w:t>月出生，</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月毕业于太原机械学院测试技术系仪表与测试技术专业，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7</w:t>
      </w:r>
      <w:r>
        <w:rPr>
          <w:spacing w:val="-1"/>
        </w:rPr>
        <w:t>月，</w:t>
      </w:r>
      <w:r>
        <w:rPr/>
        <w:t> 在北京理工大学机电工程学院，脱产学习智能控制与模式识别专业，硕士学位。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月，在华北工学院测试 技术系工作；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月历任首都师范大学（中科院计算所）计算机应用联合实验室教师、实验室副主任；</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月任北京鸿泰恒润科技发展有限公司技术总监；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月任公司副总工程师，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 副总经理、副总工程师。</w:t>
      </w:r>
    </w:p>
    <w:p>
      <w:pPr>
        <w:pStyle w:val="BodyText"/>
        <w:spacing w:line="300" w:lineRule="auto" w:before="31"/>
        <w:ind w:right="1129" w:firstLine="360"/>
        <w:jc w:val="both"/>
      </w:pPr>
      <w:r>
        <w:rPr/>
        <w:t>谢 梁先生，</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12</w:t>
      </w:r>
      <w:r>
        <w:rPr/>
        <w:t>月出生，</w:t>
      </w:r>
      <w:r>
        <w:rPr>
          <w:rFonts w:ascii="Times New Roman" w:hAnsi="Times New Roman" w:cs="Times New Roman" w:eastAsia="Times New Roman" w:hint="default"/>
        </w:rPr>
        <w:t>2001</w:t>
      </w:r>
      <w:r>
        <w:rPr/>
        <w:t>年毕业于中国科学院管理干部学院，计算机网络与通讯专业，</w:t>
      </w:r>
      <w:r>
        <w:rPr>
          <w:rFonts w:ascii="Times New Roman" w:hAnsi="Times New Roman" w:cs="Times New Roman" w:eastAsia="Times New Roman" w:hint="default"/>
        </w:rPr>
        <w:t>2011</w:t>
      </w:r>
      <w:r>
        <w:rPr/>
        <w:t>年毕业于兰州大 </w:t>
      </w:r>
      <w:r>
        <w:rPr>
          <w:spacing w:val="-5"/>
        </w:rPr>
        <w:t>学，工商管理专业，硕士学位。</w:t>
      </w:r>
      <w:r>
        <w:rPr>
          <w:rFonts w:ascii="Times New Roman" w:hAnsi="Times New Roman" w:cs="Times New Roman" w:eastAsia="Times New Roman" w:hint="default"/>
          <w:spacing w:val="-5"/>
        </w:rPr>
        <w:t>2001</w:t>
      </w:r>
      <w:r>
        <w:rPr>
          <w:spacing w:val="-5"/>
        </w:rPr>
        <w:t>年至今供职于公司，历任销售经理、上海办事处经理、华东营销中心总经理等职务，</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12</w:t>
      </w:r>
      <w:r>
        <w:rPr/>
        <w:t>月至今任副总经理。</w:t>
      </w:r>
    </w:p>
    <w:p>
      <w:pPr>
        <w:pStyle w:val="BodyText"/>
        <w:spacing w:line="300" w:lineRule="auto" w:before="13"/>
        <w:ind w:right="1139" w:firstLine="433"/>
        <w:jc w:val="both"/>
      </w:pPr>
      <w:r>
        <w:rPr/>
        <w:t>闫</w:t>
      </w:r>
      <w:r>
        <w:rPr>
          <w:spacing w:val="-2"/>
        </w:rPr>
        <w:t> </w:t>
      </w:r>
      <w:r>
        <w:rPr/>
        <w:t>岩先生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月在北京机电研究所担任工程师，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月在北大方 正科技电脑系统有限公司产品解决方案部任产品解决方案经理，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月历任北京捷德智能卡系统有限公司 产品经理，捷德（中国）信息科技有限公司产品经理，产品管理部负责人，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月至今任公司副总经理。</w:t>
      </w:r>
    </w:p>
    <w:p>
      <w:pPr>
        <w:pStyle w:val="BodyText"/>
        <w:spacing w:line="300" w:lineRule="auto" w:before="13"/>
        <w:ind w:right="1130" w:firstLine="360"/>
        <w:jc w:val="both"/>
      </w:pPr>
      <w:r>
        <w:rPr/>
        <w:t>李</w:t>
      </w:r>
      <w:r>
        <w:rPr>
          <w:spacing w:val="37"/>
        </w:rPr>
        <w:t> </w:t>
      </w:r>
      <w:r>
        <w:rPr>
          <w:spacing w:val="-2"/>
        </w:rPr>
        <w:t>懋先生，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日出生，</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1994</w:t>
      </w:r>
      <w:r>
        <w:rPr>
          <w:spacing w:val="-2"/>
        </w:rPr>
        <w:t>年，就读于西安理工大学印刷技术专业。</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月在中钞</w:t>
      </w:r>
      <w:r>
        <w:rPr/>
        <w:t> </w:t>
      </w:r>
      <w:r>
        <w:rPr>
          <w:spacing w:val="-2"/>
        </w:rPr>
        <w:t>信用卡厂工作，先后任车间副主任、生产技术部副主任、制卡部主任、市场营销部经理等职；</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月任中钞</w:t>
      </w:r>
      <w:r>
        <w:rPr>
          <w:spacing w:val="-55"/>
        </w:rPr>
        <w:t> </w:t>
      </w:r>
      <w:r>
        <w:rPr>
          <w:spacing w:val="-3"/>
        </w:rPr>
        <w:t>信用卡产业发展有限公司总经理助理、副总经理等职，期间曾兼任市场营销中心经理、</w:t>
      </w:r>
      <w:r>
        <w:rPr>
          <w:rFonts w:ascii="Times New Roman" w:hAnsi="Times New Roman" w:cs="Times New Roman" w:eastAsia="Times New Roman" w:hint="default"/>
          <w:spacing w:val="-3"/>
        </w:rPr>
        <w:t>IC</w:t>
      </w:r>
      <w:r>
        <w:rPr>
          <w:spacing w:val="-3"/>
        </w:rPr>
        <w:t>卡事业部总经理；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1</w:t>
      </w:r>
      <w:r>
        <w:rPr/>
        <w:t>月在中钞长城金融设备控股有限公司任副总经理。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日起任公司副总经理。</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r>
        <w:rPr/>
        <w:pict>
          <v:group style="position:absolute;margin-left:125.419998pt;margin-top:728.72998pt;width:66.75pt;height:40.9pt;mso-position-horizontal-relative:page;mso-position-vertical-relative:page;z-index:-1080304" coordorigin="2508,14575" coordsize="1335,818">
            <v:group style="position:absolute;left:2520;top:14586;width:2;height:393" coordorigin="2520,14586" coordsize="2,393">
              <v:shape style="position:absolute;left:2520;top:14586;width:2;height:393" coordorigin="2520,14586" coordsize="0,393" path="m2520,14586l2520,14978e" filled="false" stroked="true" strokeweight="1.140pt" strokecolor="#ffffff">
                <v:path arrowok="t"/>
              </v:shape>
            </v:group>
            <v:group style="position:absolute;left:2531;top:14586;width:1312;height:393" coordorigin="2531,14586" coordsize="1312,393">
              <v:shape style="position:absolute;left:2531;top:14586;width:1312;height:393" coordorigin="2531,14586" coordsize="1312,393" path="m2531,14978l3843,14978,3843,14586,2531,14586,2531,14978xe" filled="true" fillcolor="#ffffff" stroked="false">
                <v:path arrowok="t"/>
                <v:fill type="solid"/>
              </v:shape>
            </v:group>
            <v:group style="position:absolute;left:2520;top:14988;width:2;height:393" coordorigin="2520,14988" coordsize="2,393">
              <v:shape style="position:absolute;left:2520;top:14988;width:2;height:393" coordorigin="2520,14988" coordsize="0,393" path="m2520,14988l2520,15380e" filled="false" stroked="true" strokeweight="1.140pt" strokecolor="#ffffff">
                <v:path arrowok="t"/>
              </v:shape>
            </v:group>
            <v:group style="position:absolute;left:2531;top:14988;width:1312;height:393" coordorigin="2531,14988" coordsize="1312,393">
              <v:shape style="position:absolute;left:2531;top:14988;width:1312;height:393" coordorigin="2531,14988" coordsize="1312,393" path="m2531,15380l3843,15380,3843,14988,2531,14988,2531,15380xe" filled="true" fillcolor="#ffffff" stroked="false">
                <v:path arrowok="t"/>
                <v:fill type="solid"/>
              </v:shape>
            </v:group>
            <w10:wrap type="none"/>
          </v:group>
        </w:pict>
      </w:r>
    </w:p>
    <w:p>
      <w:pPr>
        <w:pStyle w:val="BodyText"/>
        <w:spacing w:line="307" w:lineRule="auto" w:before="44"/>
        <w:ind w:right="1139" w:firstLine="360"/>
        <w:jc w:val="both"/>
      </w:pPr>
      <w:r>
        <w:rPr/>
        <w:t>柴春峰先生（已离职），</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1998</w:t>
      </w:r>
      <w:r>
        <w:rPr/>
        <w:t>年就读于天津轻工业学院（天津科技大学）机械工程系化工设 备与机械专业，</w:t>
      </w:r>
      <w:r>
        <w:rPr>
          <w:spacing w:val="-19"/>
        </w:rPr>
        <w:t> </w:t>
      </w:r>
      <w:r>
        <w:rPr/>
        <w:t>获得学士学位。先后就职于天津环球磁卡股份有限公司、中钞信用卡厂、中钞信用卡产业发展有限公司、</w:t>
      </w:r>
      <w:r>
        <w:rPr/>
        <w:t> 中钞科堡现金处理技术（北京）有限公司；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月加入飞天诚信科技股份有限公司，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日任公司副总经理。现 为中国民主建国会会员。</w:t>
      </w:r>
    </w:p>
    <w:p>
      <w:pPr>
        <w:pStyle w:val="BodyText"/>
        <w:spacing w:line="300" w:lineRule="auto" w:before="26"/>
        <w:ind w:right="1132" w:firstLine="360"/>
        <w:jc w:val="both"/>
      </w:pPr>
      <w:r>
        <w:rPr>
          <w:spacing w:val="-2"/>
        </w:rPr>
        <w:t>郁群慧女士，</w:t>
      </w:r>
      <w:r>
        <w:rPr>
          <w:rFonts w:ascii="Times New Roman" w:hAnsi="Times New Roman" w:cs="Times New Roman" w:eastAsia="Times New Roman" w:hint="default"/>
          <w:spacing w:val="-2"/>
        </w:rPr>
        <w:t>1967</w:t>
      </w:r>
      <w:r>
        <w:rPr>
          <w:spacing w:val="-2"/>
        </w:rPr>
        <w:t>年出生，</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月获清华大学半导体物理与器件专业学士学位，</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月获清华大学半导体器件与</w:t>
      </w:r>
      <w:r>
        <w:rPr/>
        <w:t> 微电子学专业硕士学位。</w:t>
      </w:r>
      <w:r>
        <w:rPr>
          <w:rFonts w:ascii="Times New Roman" w:hAnsi="Times New Roman" w:cs="Times New Roman" w:eastAsia="Times New Roman" w:hint="default"/>
        </w:rPr>
        <w:t>1997</w:t>
      </w:r>
      <w:r>
        <w:rPr/>
        <w:t>年硕士毕业后留校在清华大学微电子学研究所工作。</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月加盟北京宏思电子技术有限责 任公司并工作至今，历任</w:t>
      </w:r>
      <w:r>
        <w:rPr>
          <w:rFonts w:ascii="Times New Roman" w:hAnsi="Times New Roman" w:cs="Times New Roman" w:eastAsia="Times New Roman" w:hint="default"/>
        </w:rPr>
        <w:t>IC</w:t>
      </w:r>
      <w:r>
        <w:rPr/>
        <w:t>设计部经理、技术总监、常务副总经理、董事总经理。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月任飞天诚信副总经理。</w:t>
      </w:r>
    </w:p>
    <w:p>
      <w:pPr>
        <w:pStyle w:val="BodyText"/>
        <w:spacing w:line="300" w:lineRule="auto" w:before="13"/>
        <w:ind w:right="1042" w:firstLine="360"/>
        <w:jc w:val="left"/>
      </w:pPr>
      <w:r>
        <w:rPr>
          <w:spacing w:val="-3"/>
        </w:rPr>
        <w:t>朱宝祥先生，</w:t>
      </w:r>
      <w:r>
        <w:rPr>
          <w:rFonts w:ascii="Times New Roman" w:hAnsi="Times New Roman" w:cs="Times New Roman" w:eastAsia="Times New Roman" w:hint="default"/>
          <w:spacing w:val="-3"/>
        </w:rPr>
        <w:t>1971</w:t>
      </w:r>
      <w:r>
        <w:rPr>
          <w:spacing w:val="-3"/>
        </w:rPr>
        <w:t>年出生，</w:t>
      </w:r>
      <w:r>
        <w:rPr>
          <w:rFonts w:ascii="Times New Roman" w:hAnsi="Times New Roman" w:cs="Times New Roman" w:eastAsia="Times New Roman" w:hint="default"/>
          <w:spacing w:val="-3"/>
        </w:rPr>
        <w:t>1994</w:t>
      </w:r>
      <w:r>
        <w:rPr>
          <w:spacing w:val="-3"/>
        </w:rPr>
        <w:t>年毕业于北京物资学院物资管理工程专业，</w:t>
      </w:r>
      <w:r>
        <w:rPr>
          <w:rFonts w:ascii="Times New Roman" w:hAnsi="Times New Roman" w:cs="Times New Roman" w:eastAsia="Times New Roman" w:hint="default"/>
          <w:spacing w:val="-3"/>
        </w:rPr>
        <w:t>2006</w:t>
      </w:r>
      <w:r>
        <w:rPr>
          <w:spacing w:val="-3"/>
        </w:rPr>
        <w:t>年取得香港中文大学工商管理硕士学位。</w:t>
      </w:r>
      <w:r>
        <w:rPr/>
        <w:t>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-1998</w:t>
      </w:r>
      <w:r>
        <w:rPr>
          <w:spacing w:val="-2"/>
        </w:rPr>
        <w:t>年任职于中国电子物资总公司，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-2005</w:t>
      </w:r>
      <w:r>
        <w:rPr>
          <w:spacing w:val="-2"/>
        </w:rPr>
        <w:t>年担任北京兴华会计师事务所审计经理，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-2010</w:t>
      </w:r>
      <w:r>
        <w:rPr>
          <w:spacing w:val="-2"/>
        </w:rPr>
        <w:t>年担任天职国</w:t>
      </w:r>
      <w:r>
        <w:rPr>
          <w:spacing w:val="-36"/>
        </w:rPr>
        <w:t> </w:t>
      </w:r>
      <w:r>
        <w:rPr/>
        <w:t>际会计师事务所审计经理，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月至今任公司财务总监。</w:t>
      </w:r>
    </w:p>
    <w:p>
      <w:pPr>
        <w:pStyle w:val="BodyText"/>
        <w:spacing w:line="300" w:lineRule="auto" w:before="13"/>
        <w:ind w:right="1129" w:firstLine="360"/>
        <w:jc w:val="both"/>
      </w:pPr>
      <w:r>
        <w:rPr/>
        <w:t>吴 彼女士，</w:t>
      </w:r>
      <w:r>
        <w:rPr>
          <w:rFonts w:ascii="Times New Roman" w:hAnsi="Times New Roman" w:cs="Times New Roman" w:eastAsia="Times New Roman" w:hint="default"/>
        </w:rPr>
        <w:t>1977</w:t>
      </w:r>
      <w:r>
        <w:rPr/>
        <w:t>年出生，</w:t>
      </w:r>
      <w:r>
        <w:rPr>
          <w:rFonts w:ascii="Times New Roman" w:hAnsi="Times New Roman" w:cs="Times New Roman" w:eastAsia="Times New Roman" w:hint="default"/>
        </w:rPr>
        <w:t>2000</w:t>
      </w:r>
      <w:r>
        <w:rPr/>
        <w:t>年毕业于沈阳工业大学电子信息工程学院计算机软件专业，</w:t>
      </w:r>
      <w:r>
        <w:rPr>
          <w:rFonts w:ascii="Times New Roman" w:hAnsi="Times New Roman" w:cs="Times New Roman" w:eastAsia="Times New Roman" w:hint="default"/>
        </w:rPr>
        <w:t>2014</w:t>
      </w:r>
      <w:r>
        <w:rPr/>
        <w:t>年毕业于华中科技大学 获工程硕士学位，工程师。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7</w:t>
      </w:r>
      <w:r>
        <w:rPr/>
        <w:t>月任职于北京利玛信息技术有限公司，历任产品研发部软件工程师，华北区 </w:t>
      </w:r>
      <w:r>
        <w:rPr>
          <w:spacing w:val="-1"/>
        </w:rPr>
        <w:t>售前售后咨询师，市场公关策划部经理，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月任北京南北天地科技有限公司市场部经理，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月至今在</w:t>
      </w:r>
      <w:r>
        <w:rPr>
          <w:spacing w:val="-79"/>
        </w:rPr>
        <w:t> </w:t>
      </w:r>
      <w:r>
        <w:rPr/>
        <w:t>公司任职，历任市场部副经理、经理、总监，现任公司董事会秘书、市场总监。</w:t>
      </w:r>
    </w:p>
    <w:p>
      <w:pPr>
        <w:spacing w:line="240" w:lineRule="auto" w:before="0"/>
        <w:rPr>
          <w:rFonts w:ascii="宋体" w:hAnsi="宋体" w:cs="宋体" w:eastAsia="宋体" w:hint="default"/>
          <w:sz w:val="18"/>
          <w:szCs w:val="18"/>
        </w:rPr>
      </w:pPr>
    </w:p>
    <w:p>
      <w:pPr>
        <w:pStyle w:val="BodyText"/>
        <w:spacing w:line="240" w:lineRule="auto" w:before="148"/>
        <w:ind w:right="812"/>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911"/>
        <w:gridCol w:w="1492"/>
        <w:gridCol w:w="1029"/>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0" w:right="5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国际资产评估有限公司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812"/>
        <w:jc w:val="left"/>
      </w:pPr>
      <w:r>
        <w:rPr/>
        <w:t>公司现任及报告期内离任董事、监事和高级管理人员近三年证券监管机构处罚的情况</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12"/>
        <w:jc w:val="left"/>
      </w:pPr>
      <w:r>
        <w:rPr/>
        <w:t>董事、监事、高级管理人员报酬的决策程序、确定依据、实际支付情况 </w:t>
      </w:r>
      <w:r>
        <w:rPr>
          <w:spacing w:val="-2"/>
        </w:rPr>
        <w:t>公司董事、监事报酬由股东大会决定，高级管理人员报酬由董事会决定；在公司担任工作职务的董事、监事、高级管理人员</w:t>
      </w:r>
      <w:r>
        <w:rPr>
          <w:spacing w:val="-66"/>
        </w:rPr>
        <w:t> </w:t>
      </w:r>
      <w:r>
        <w:rPr>
          <w:spacing w:val="-66"/>
        </w:rPr>
      </w:r>
      <w:r>
        <w:rPr>
          <w:spacing w:val="-2"/>
        </w:rPr>
        <w:t>报酬由公司支付，独立董事津贴根据股东大会所通过的决议来进行支付。</w:t>
      </w:r>
      <w:r>
        <w:rPr>
          <w:rFonts w:ascii="Times New Roman" w:hAnsi="Times New Roman" w:cs="Times New Roman" w:eastAsia="Times New Roman" w:hint="default"/>
          <w:spacing w:val="-2"/>
        </w:rPr>
        <w:t>2018</w:t>
      </w:r>
      <w:r>
        <w:rPr>
          <w:spacing w:val="-2"/>
        </w:rPr>
        <w:t>年公司董事、监事和高级管理人员</w:t>
      </w:r>
      <w:r>
        <w:rPr>
          <w:rFonts w:ascii="Times New Roman" w:hAnsi="Times New Roman" w:cs="Times New Roman" w:eastAsia="Times New Roman" w:hint="default"/>
          <w:spacing w:val="-2"/>
        </w:rPr>
        <w:t>19</w:t>
      </w:r>
      <w:r>
        <w:rPr>
          <w:spacing w:val="-2"/>
        </w:rPr>
        <w:t>人，实际</w:t>
      </w:r>
    </w:p>
    <w:p>
      <w:pPr>
        <w:pStyle w:val="BodyText"/>
        <w:spacing w:line="230" w:lineRule="exact"/>
        <w:ind w:right="812"/>
        <w:jc w:val="left"/>
      </w:pPr>
      <w:r>
        <w:rPr/>
        <w:t>支付</w:t>
      </w:r>
      <w:r>
        <w:rPr>
          <w:rFonts w:ascii="Times New Roman" w:hAnsi="Times New Roman" w:cs="Times New Roman" w:eastAsia="Times New Roman" w:hint="default"/>
        </w:rPr>
        <w:t>865.32</w:t>
      </w:r>
      <w:r>
        <w:rPr/>
        <w:t>万元。</w:t>
      </w:r>
    </w:p>
    <w:p>
      <w:pPr>
        <w:pStyle w:val="BodyText"/>
        <w:spacing w:line="240" w:lineRule="auto" w:before="103"/>
        <w:ind w:right="812"/>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99.221718pt;width:67.9pt;height:28.05pt;mso-position-horizontal-relative:page;mso-position-vertical-relative:paragraph;z-index:-1080328" coordorigin="3875,1984" coordsize="1358,561">
            <v:group style="position:absolute;left:3875;top:1984;width:1358;height:157" coordorigin="3875,1984" coordsize="1358,157">
              <v:shape style="position:absolute;left:3875;top:1984;width:1358;height:157" coordorigin="3875,1984" coordsize="1358,157" path="m3875,2141l5233,2141,5233,1984,3875,1984,3875,2141xe" filled="true" fillcolor="#ffffff" stroked="false">
                <v:path arrowok="t"/>
                <v:fill type="solid"/>
              </v:shape>
            </v:group>
            <v:group style="position:absolute;left:3887;top:2141;width:2;height:393" coordorigin="3887,2141" coordsize="2,393">
              <v:shape style="position:absolute;left:3887;top:2141;width:2;height:393" coordorigin="3887,2141" coordsize="0,393" path="m3887,2141l3887,2533e" filled="false" stroked="true" strokeweight="1.140pt" strokecolor="#ffffff">
                <v:path arrowok="t"/>
              </v:shape>
            </v:group>
            <v:group style="position:absolute;left:3898;top:2141;width:1312;height:393" coordorigin="3898,2141" coordsize="1312,393">
              <v:shape style="position:absolute;left:3898;top:2141;width:1312;height:393" coordorigin="3898,2141" coordsize="1312,393" path="m3898,2533l5210,2533,5210,2141,3898,2141,3898,2533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韩雪峰（已离职）</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9"/>
                <w:sz w:val="18"/>
                <w:szCs w:val="18"/>
              </w:rPr>
              <w:t>潘利华（已离职）</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监事会主席，人 力资源总监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职工监事，读卡 器部经理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董事会秘书、市 场总监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865.32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t>公司董事、高级管理人员报告期内被授予的股权激励情况</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w:t>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52" w:firstLine="360"/>
        <w:jc w:val="left"/>
      </w:pPr>
      <w:r>
        <w:rPr/>
        <w:t>公司秉承</w:t>
      </w:r>
      <w:r>
        <w:rPr>
          <w:rFonts w:ascii="Times New Roman" w:hAnsi="Times New Roman" w:cs="Times New Roman" w:eastAsia="Times New Roman" w:hint="default"/>
        </w:rPr>
        <w:t>“</w:t>
      </w:r>
      <w:r>
        <w:rPr/>
        <w:t>公平、公正</w:t>
      </w:r>
      <w:r>
        <w:rPr>
          <w:rFonts w:ascii="Times New Roman" w:hAnsi="Times New Roman" w:cs="Times New Roman" w:eastAsia="Times New Roman" w:hint="default"/>
        </w:rPr>
        <w:t>”</w:t>
      </w:r>
      <w:r>
        <w:rPr/>
        <w:t>原则，将员工的德、能、勤、效与薪酬紧密结合在一起，不断完善公平、健全的薪酬绩效体系， </w:t>
      </w:r>
      <w:r>
        <w:rPr>
          <w:spacing w:val="-2"/>
        </w:rPr>
        <w:t>保证员工薪酬的内部公平性与外部竞争性。公司针对不同的工作岗位，制订了不同的绩效管理方法，通过上述薪酬制度，有</w:t>
      </w:r>
      <w:r>
        <w:rPr>
          <w:spacing w:val="-66"/>
        </w:rPr>
        <w:t> </w:t>
      </w:r>
      <w:r>
        <w:rPr>
          <w:spacing w:val="-66"/>
        </w:rPr>
      </w:r>
      <w:r>
        <w:rPr/>
        <w:t>效地激发了员工工作的积极性和创造性。</w:t>
      </w:r>
    </w:p>
    <w:p>
      <w:pPr>
        <w:pStyle w:val="BodyText"/>
        <w:spacing w:line="338" w:lineRule="auto" w:before="65"/>
        <w:ind w:left="514" w:right="116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报告期内，计入营业成本部分的职工薪酬总额为</w:t>
      </w:r>
      <w:r>
        <w:rPr>
          <w:spacing w:val="-45"/>
        </w:rPr>
        <w:t> </w:t>
      </w:r>
      <w:r>
        <w:rPr>
          <w:rFonts w:ascii="宋体" w:hAnsi="宋体" w:cs="宋体" w:eastAsia="宋体" w:hint="default"/>
        </w:rPr>
        <w:t>2,996.98</w:t>
      </w:r>
      <w:r>
        <w:rPr>
          <w:rFonts w:ascii="宋体" w:hAnsi="宋体" w:cs="宋体" w:eastAsia="宋体" w:hint="default"/>
          <w:spacing w:val="-46"/>
        </w:rPr>
        <w:t> </w:t>
      </w:r>
      <w:r>
        <w:rPr/>
        <w:t>万元，占公司营业成本总额的</w:t>
      </w:r>
      <w:r>
        <w:rPr>
          <w:spacing w:val="-46"/>
        </w:rPr>
        <w:t> </w:t>
      </w:r>
      <w:r>
        <w:rPr>
          <w:rFonts w:ascii="宋体" w:hAnsi="宋体" w:cs="宋体" w:eastAsia="宋体" w:hint="default"/>
        </w:rPr>
        <w:t>4.48%</w:t>
      </w:r>
      <w:r>
        <w:rPr/>
        <w:t>；上年同期计入营业成</w:t>
      </w:r>
    </w:p>
    <w:p>
      <w:pPr>
        <w:pStyle w:val="BodyText"/>
        <w:spacing w:line="357" w:lineRule="auto" w:before="4"/>
        <w:ind w:left="514" w:right="1122" w:hanging="360"/>
        <w:jc w:val="left"/>
      </w:pPr>
      <w:r>
        <w:rPr/>
        <w:t>本部分的职工薪酬总额为</w:t>
      </w:r>
      <w:r>
        <w:rPr>
          <w:spacing w:val="-46"/>
        </w:rPr>
        <w:t> </w:t>
      </w:r>
      <w:r>
        <w:rPr>
          <w:rFonts w:ascii="宋体" w:hAnsi="宋体" w:cs="宋体" w:eastAsia="宋体" w:hint="default"/>
        </w:rPr>
        <w:t>2,214,18</w:t>
      </w:r>
      <w:r>
        <w:rPr>
          <w:rFonts w:ascii="宋体" w:hAnsi="宋体" w:cs="宋体" w:eastAsia="宋体" w:hint="default"/>
          <w:spacing w:val="-46"/>
        </w:rPr>
        <w:t> </w:t>
      </w:r>
      <w:r>
        <w:rPr/>
        <w:t>万元，占公司营业成本总额的</w:t>
      </w:r>
      <w:r>
        <w:rPr>
          <w:spacing w:val="-46"/>
        </w:rPr>
        <w:t> </w:t>
      </w:r>
      <w:r>
        <w:rPr>
          <w:rFonts w:ascii="宋体" w:hAnsi="宋体" w:cs="宋体" w:eastAsia="宋体" w:hint="default"/>
        </w:rPr>
        <w:t>3.29%</w:t>
      </w:r>
      <w:r>
        <w:rPr/>
        <w:t>，较上期增长</w:t>
      </w:r>
      <w:r>
        <w:rPr>
          <w:spacing w:val="-46"/>
        </w:rPr>
        <w:t> </w:t>
      </w:r>
      <w:r>
        <w:rPr>
          <w:rFonts w:ascii="宋体" w:hAnsi="宋体" w:cs="宋体" w:eastAsia="宋体" w:hint="default"/>
        </w:rPr>
        <w:t>1.19%</w:t>
      </w:r>
      <w:r>
        <w:rPr/>
        <w:t>。 公司主营利润对职工薪酬总额变化的敏感性较低。</w:t>
      </w:r>
      <w:r>
        <w:rPr>
          <w:rFonts w:ascii="宋体" w:hAnsi="宋体" w:cs="宋体" w:eastAsia="宋体" w:hint="default"/>
        </w:rPr>
        <w:t>2017</w:t>
      </w:r>
      <w:r>
        <w:rPr/>
        <w:t>年，核心技术人员</w:t>
      </w:r>
      <w:r>
        <w:rPr>
          <w:rFonts w:ascii="宋体" w:hAnsi="宋体" w:cs="宋体" w:eastAsia="宋体" w:hint="default"/>
        </w:rPr>
        <w:t>107</w:t>
      </w:r>
      <w:r>
        <w:rPr/>
        <w:t>人，占公司总人数的</w:t>
      </w:r>
      <w:r>
        <w:rPr>
          <w:rFonts w:ascii="宋体" w:hAnsi="宋体" w:cs="宋体" w:eastAsia="宋体" w:hint="default"/>
        </w:rPr>
        <w:t>11.51%</w:t>
      </w:r>
      <w:r>
        <w:rPr/>
        <w:t>，核心技术人</w:t>
      </w:r>
    </w:p>
    <w:p>
      <w:pPr>
        <w:pStyle w:val="BodyText"/>
        <w:spacing w:line="224" w:lineRule="exact"/>
        <w:ind w:right="812"/>
        <w:jc w:val="left"/>
      </w:pPr>
      <w:r>
        <w:rPr/>
        <w:t>员薪酬占公司薪酬总额的</w:t>
      </w:r>
      <w:r>
        <w:rPr>
          <w:rFonts w:ascii="宋体" w:hAnsi="宋体" w:cs="宋体" w:eastAsia="宋体" w:hint="default"/>
        </w:rPr>
        <w:t>11.61%</w:t>
      </w:r>
      <w:r>
        <w:rPr/>
        <w:t>；</w:t>
      </w:r>
      <w:r>
        <w:rPr>
          <w:rFonts w:ascii="宋体" w:hAnsi="宋体" w:cs="宋体" w:eastAsia="宋体" w:hint="default"/>
        </w:rPr>
        <w:t>2018</w:t>
      </w:r>
      <w:r>
        <w:rPr/>
        <w:t>年，核心技术人员</w:t>
      </w:r>
      <w:r>
        <w:rPr>
          <w:rFonts w:ascii="宋体" w:hAnsi="宋体" w:cs="宋体" w:eastAsia="宋体" w:hint="default"/>
        </w:rPr>
        <w:t>104</w:t>
      </w:r>
      <w:r>
        <w:rPr/>
        <w:t>人，占公司总人数的</w:t>
      </w:r>
      <w:r>
        <w:rPr>
          <w:rFonts w:ascii="宋体" w:hAnsi="宋体" w:cs="宋体" w:eastAsia="宋体" w:hint="default"/>
        </w:rPr>
        <w:t>11.13%</w:t>
      </w:r>
      <w:r>
        <w:rPr/>
        <w:t>，核心技术人员薪酬占公司薪酬总</w:t>
      </w:r>
    </w:p>
    <w:p>
      <w:pPr>
        <w:pStyle w:val="BodyText"/>
        <w:spacing w:line="240" w:lineRule="auto" w:before="76"/>
        <w:ind w:right="812"/>
        <w:jc w:val="left"/>
      </w:pPr>
      <w:r>
        <w:rPr/>
        <w:t>额的</w:t>
      </w:r>
      <w:r>
        <w:rPr>
          <w:rFonts w:ascii="宋体" w:hAnsi="宋体" w:cs="宋体" w:eastAsia="宋体" w:hint="default"/>
        </w:rPr>
        <w:t>12.40%</w:t>
      </w:r>
      <w:r>
        <w:rPr/>
        <w:t>，</w:t>
      </w:r>
      <w:r>
        <w:rPr>
          <w:rFonts w:ascii="宋体" w:hAnsi="宋体" w:cs="宋体" w:eastAsia="宋体" w:hint="default"/>
        </w:rPr>
        <w:t>2018</w:t>
      </w:r>
      <w:r>
        <w:rPr/>
        <w:t>核心技术人员薪酬占比较</w:t>
      </w:r>
      <w:r>
        <w:rPr>
          <w:rFonts w:ascii="宋体" w:hAnsi="宋体" w:cs="宋体" w:eastAsia="宋体" w:hint="default"/>
        </w:rPr>
        <w:t>2017</w:t>
      </w:r>
      <w:r>
        <w:rPr/>
        <w:t>年略有提升。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812"/>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报告期内公司制订了年度培训计划并认真落实，采用外部培训和内部培训相结合的方式，外部培训包含拓展培训、中高</w:t>
      </w:r>
      <w:r>
        <w:rPr/>
        <w:t> </w:t>
      </w:r>
      <w:r>
        <w:rPr>
          <w:spacing w:val="-2"/>
        </w:rPr>
        <w:t>层管理人员管理能力与素质等培训；内部培训每周进行一次，包含新员工入职培训、知识产权及专业技术等培训，公司员工</w:t>
      </w:r>
      <w:r>
        <w:rPr>
          <w:spacing w:val="-65"/>
        </w:rPr>
        <w:t> </w:t>
      </w:r>
      <w:r>
        <w:rPr>
          <w:spacing w:val="-65"/>
        </w:rPr>
      </w:r>
      <w:r>
        <w:rPr/>
        <w:t>共计</w:t>
      </w:r>
      <w:r>
        <w:rPr>
          <w:rFonts w:ascii="Times New Roman" w:hAnsi="Times New Roman" w:cs="Times New Roman" w:eastAsia="Times New Roman" w:hint="default"/>
        </w:rPr>
        <w:t>1261</w:t>
      </w:r>
      <w:r>
        <w:rPr/>
        <w:t>人次参加了培训，通过培训增强了公司各类人才的业务知识和岗位技能，保证了公司管理体系的有效运行。</w:t>
      </w:r>
    </w:p>
    <w:p>
      <w:pPr>
        <w:spacing w:line="240" w:lineRule="auto" w:before="13"/>
        <w:rPr>
          <w:rFonts w:ascii="宋体" w:hAnsi="宋体" w:cs="宋体" w:eastAsia="宋体" w:hint="default"/>
          <w:sz w:val="20"/>
          <w:szCs w:val="20"/>
        </w:rPr>
      </w:pPr>
    </w:p>
    <w:p>
      <w:pPr>
        <w:pStyle w:val="Heading3"/>
        <w:spacing w:line="240" w:lineRule="auto"/>
        <w:ind w:right="812"/>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2"/>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jc w:val="left"/>
      </w:pPr>
      <w:r>
        <w:rPr>
          <w:spacing w:val="-2"/>
        </w:rPr>
        <w:t>公司根据《公司法》、《上市公司治理准则》、《上市公司章程指引》、《上市公司股东大会规则》及其他相关法律、法规</w:t>
      </w:r>
      <w:r>
        <w:rPr>
          <w:spacing w:val="-72"/>
        </w:rPr>
        <w:t> </w:t>
      </w:r>
      <w:r>
        <w:rPr>
          <w:spacing w:val="-72"/>
        </w:rPr>
      </w:r>
      <w:r>
        <w:rPr/>
        <w:t>的要求，确立了由股东大会、董事会、监事会和经营管理层组成的公司治理结构，建立健全了股东大会、董事会、监事会、</w:t>
      </w:r>
      <w:r>
        <w:rPr/>
        <w:t> </w:t>
      </w:r>
      <w:r>
        <w:rPr>
          <w:spacing w:val="-2"/>
        </w:rPr>
        <w:t>独立董事、董事会秘书等相关制度。报告期内，调整了公司董事会的人员构成，董事会人数由</w:t>
      </w:r>
      <w:r>
        <w:rPr>
          <w:rFonts w:ascii="Times New Roman" w:hAnsi="Times New Roman" w:cs="Times New Roman" w:eastAsia="Times New Roman" w:hint="default"/>
          <w:spacing w:val="-2"/>
        </w:rPr>
        <w:t>7</w:t>
      </w:r>
      <w:r>
        <w:rPr>
          <w:spacing w:val="-2"/>
        </w:rPr>
        <w:t>人变更为</w:t>
      </w:r>
      <w:r>
        <w:rPr>
          <w:rFonts w:ascii="Times New Roman" w:hAnsi="Times New Roman" w:cs="Times New Roman" w:eastAsia="Times New Roman" w:hint="default"/>
          <w:spacing w:val="-2"/>
        </w:rPr>
        <w:t>5</w:t>
      </w:r>
      <w:r>
        <w:rPr>
          <w:spacing w:val="-2"/>
        </w:rPr>
        <w:t>人，并相应调整了</w:t>
      </w:r>
      <w:r>
        <w:rPr>
          <w:spacing w:val="-64"/>
        </w:rPr>
        <w:t> </w:t>
      </w:r>
      <w:r>
        <w:rPr>
          <w:spacing w:val="-64"/>
        </w:rPr>
      </w:r>
      <w:r>
        <w:rPr>
          <w:spacing w:val="-2"/>
        </w:rPr>
        <w:t>公司董事会下各专门委员会，取消了战略委员会，保留审计、提名、薪酬与考核等三个专门委员会。报告期内，公司股东大</w:t>
      </w:r>
      <w:r>
        <w:rPr>
          <w:spacing w:val="-67"/>
        </w:rPr>
        <w:t> </w:t>
      </w:r>
      <w:r>
        <w:rPr>
          <w:spacing w:val="-67"/>
        </w:rPr>
      </w:r>
      <w:r>
        <w:rPr>
          <w:spacing w:val="-2"/>
        </w:rPr>
        <w:t>会、董事会及专门委员会、监事会、独立董事、董事会秘书和管理层均严格按照《公司法》、《证券法》、《上市公司治理</w:t>
      </w:r>
      <w:r>
        <w:rPr>
          <w:spacing w:val="-72"/>
        </w:rPr>
        <w:t> </w:t>
      </w:r>
      <w:r>
        <w:rPr>
          <w:spacing w:val="-72"/>
        </w:rPr>
      </w:r>
      <w:r>
        <w:rPr>
          <w:spacing w:val="-2"/>
        </w:rPr>
        <w:t>准则》、《深圳证券交易所创业板股票上市规则》、《深圳证券交易所创业板上市公司规范运作指引》等法律、法规和中国</w:t>
      </w:r>
      <w:r>
        <w:rPr>
          <w:spacing w:val="-67"/>
        </w:rPr>
        <w:t> </w:t>
      </w:r>
      <w:r>
        <w:rPr>
          <w:spacing w:val="-67"/>
        </w:rPr>
      </w:r>
      <w:r>
        <w:rPr/>
        <w:t>证监会有关法律法规等的要求，履行各自的权利和义务，公司重大生产经营决策、投资决策及财务决策均按照《公司章程》 </w:t>
      </w:r>
      <w:r>
        <w:rPr>
          <w:spacing w:val="-2"/>
        </w:rPr>
        <w:t>及有关内控制度规定的程序和规则进行，截至报告期末，上述机构和人员依法运作，未出现违法、违规现象，能够切实履行</w:t>
      </w:r>
      <w:r>
        <w:rPr>
          <w:spacing w:val="-66"/>
        </w:rPr>
        <w:t> </w:t>
      </w:r>
      <w:r>
        <w:rPr>
          <w:spacing w:val="-66"/>
        </w:rPr>
      </w:r>
      <w:r>
        <w:rPr>
          <w:spacing w:val="-2"/>
        </w:rPr>
        <w:t>应尽的职责和义务，公司治理的实际状况符合《上市公司治理准则》和《深圳证券交易所创业板上市公司规范运作指引》的</w:t>
      </w:r>
      <w:r>
        <w:rPr>
          <w:spacing w:val="-66"/>
        </w:rPr>
        <w:t> </w:t>
      </w:r>
      <w:r>
        <w:rPr>
          <w:spacing w:val="-66"/>
        </w:rPr>
      </w:r>
      <w:r>
        <w:rPr/>
        <w:t>要求。</w:t>
      </w:r>
    </w:p>
    <w:p>
      <w:pPr>
        <w:pStyle w:val="BodyText"/>
        <w:spacing w:line="240" w:lineRule="auto" w:before="59"/>
        <w:ind w:right="812"/>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812"/>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12"/>
        <w:jc w:val="left"/>
      </w:pPr>
      <w:r>
        <w:rPr/>
        <w:t>（一）业务独立 </w:t>
      </w:r>
      <w:r>
        <w:rPr>
          <w:spacing w:val="-4"/>
        </w:rPr>
        <w:t>公司拥有独立完整的业务体系和自主经营能力，公司不依赖股东及其它关联方进行生产经营活动。控股股东除投资本公司外，</w:t>
      </w:r>
      <w:r>
        <w:rPr>
          <w:spacing w:val="-44"/>
        </w:rPr>
        <w:t> </w:t>
      </w:r>
      <w:r>
        <w:rPr>
          <w:spacing w:val="-44"/>
        </w:rPr>
      </w:r>
      <w:r>
        <w:rPr/>
        <w:t>并无其他经营性投资和参与经营的事项，其他主要股东也未从事与公司可能存在同业竞争的业务。</w:t>
      </w:r>
    </w:p>
    <w:p>
      <w:pPr>
        <w:pStyle w:val="BodyText"/>
        <w:spacing w:line="316" w:lineRule="auto" w:before="19"/>
        <w:ind w:right="812"/>
        <w:jc w:val="left"/>
      </w:pPr>
      <w:r>
        <w:rPr/>
        <w:t>（二）人员独立 </w:t>
      </w:r>
      <w:r>
        <w:rPr>
          <w:spacing w:val="-2"/>
        </w:rPr>
        <w:t>公司拥有独立的人事管理体系，公司董事、监事及高级管理人员按照《公司法》、《公司章程》等有关法律、法规和规定合</w:t>
      </w:r>
      <w:r>
        <w:rPr>
          <w:spacing w:val="-67"/>
        </w:rPr>
        <w:t> </w:t>
      </w:r>
      <w:r>
        <w:rPr>
          <w:spacing w:val="-67"/>
        </w:rPr>
      </w:r>
      <w:r>
        <w:rPr>
          <w:spacing w:val="-2"/>
        </w:rPr>
        <w:t>法产生；公司高级管理人员不存在在股东关联单位、业务相同或相近的其他单位担任除董事、监事以外职务的情况。公司员</w:t>
      </w:r>
      <w:r>
        <w:rPr>
          <w:spacing w:val="-66"/>
        </w:rPr>
        <w:t> </w:t>
      </w:r>
      <w:r>
        <w:rPr>
          <w:spacing w:val="-66"/>
        </w:rPr>
      </w:r>
      <w:r>
        <w:rPr/>
        <w:t>工独立，薪酬、社会保障等独立管理，具有完善的管理制度和体系。</w:t>
      </w:r>
    </w:p>
    <w:p>
      <w:pPr>
        <w:pStyle w:val="BodyText"/>
        <w:spacing w:line="316" w:lineRule="auto" w:before="19"/>
        <w:ind w:right="812"/>
        <w:jc w:val="left"/>
      </w:pPr>
      <w:r>
        <w:rPr/>
        <w:t>（三）资产独立 </w:t>
      </w:r>
      <w:r>
        <w:rPr>
          <w:spacing w:val="-2"/>
        </w:rPr>
        <w:t>公司具备资产的独立性和完整性，截至目前，不存在以自身资产、权益或信誉为控股股东提供担保的情形，不存在资产、资</w:t>
      </w:r>
      <w:r>
        <w:rPr>
          <w:spacing w:val="-66"/>
        </w:rPr>
        <w:t> </w:t>
      </w:r>
      <w:r>
        <w:rPr>
          <w:spacing w:val="-66"/>
        </w:rPr>
      </w:r>
      <w:r>
        <w:rPr/>
        <w:t>金被控股股东占用而损害公司利益的情况，公司对所有资产均具有完全控制支配权。</w:t>
      </w:r>
    </w:p>
    <w:p>
      <w:pPr>
        <w:pStyle w:val="BodyText"/>
        <w:spacing w:line="316" w:lineRule="auto" w:before="19"/>
        <w:ind w:right="812"/>
        <w:jc w:val="left"/>
      </w:pPr>
      <w:r>
        <w:rPr/>
        <w:t>（四）机构独立 </w:t>
      </w:r>
      <w:r>
        <w:rPr>
          <w:spacing w:val="-2"/>
        </w:rPr>
        <w:t>公司建立了股东大会、董事会、监事会等完备的治理结构，根据经营发展的需要，建立了符合公司实际情况的独立、完整的</w:t>
      </w:r>
      <w:r>
        <w:rPr>
          <w:spacing w:val="-66"/>
        </w:rPr>
        <w:t> </w:t>
      </w:r>
      <w:r>
        <w:rPr>
          <w:spacing w:val="-66"/>
        </w:rPr>
      </w:r>
      <w:r>
        <w:rPr>
          <w:spacing w:val="-2"/>
        </w:rPr>
        <w:t>经营管理机构。该等机构依照《公司章程》和内部管理制度体系独立行使自己的职权。公司自设立以来，生产经营和办公机</w:t>
      </w:r>
      <w:r>
        <w:rPr>
          <w:spacing w:val="-66"/>
        </w:rPr>
        <w:t> </w:t>
      </w:r>
      <w:r>
        <w:rPr>
          <w:spacing w:val="-66"/>
        </w:rPr>
      </w:r>
      <w:r>
        <w:rPr>
          <w:spacing w:val="-2"/>
        </w:rPr>
        <w:t>构完全独立，不存在与股东混合经营的情形。股东大会、董事会、监事会及董事会下属专业委员会等内部机构独立运作，不</w:t>
      </w:r>
      <w:r>
        <w:rPr>
          <w:spacing w:val="-66"/>
        </w:rPr>
        <w:t> </w:t>
      </w:r>
      <w:r>
        <w:rPr>
          <w:spacing w:val="-66"/>
        </w:rPr>
      </w:r>
      <w:r>
        <w:rPr/>
        <w:t>受其他单位或个人的干涉。</w:t>
      </w:r>
    </w:p>
    <w:p>
      <w:pPr>
        <w:pStyle w:val="BodyText"/>
        <w:spacing w:line="319" w:lineRule="auto" w:before="19"/>
        <w:ind w:right="812"/>
        <w:jc w:val="left"/>
      </w:pPr>
      <w:r>
        <w:rPr/>
        <w:t>（五）财务独立 </w:t>
      </w:r>
      <w:r>
        <w:rPr>
          <w:spacing w:val="-2"/>
        </w:rPr>
        <w:t>公司设有完整、独立的财务机构，配备了充足的专职财务会计人员，建立了独立的会计核算体系和财务管理制度，并独立开</w:t>
      </w:r>
      <w:r>
        <w:rPr>
          <w:spacing w:val="-66"/>
        </w:rPr>
        <w:t> </w:t>
      </w:r>
      <w:r>
        <w:rPr>
          <w:spacing w:val="-66"/>
        </w:rPr>
      </w:r>
      <w:r>
        <w:rPr>
          <w:spacing w:val="-2"/>
        </w:rPr>
        <w:t>设银行账户、独立纳税、独立做出财务决策。公司与控股股东在业务、人员、资产、机构、财务等方面完全分开，具有独立</w:t>
      </w:r>
      <w:r>
        <w:rPr>
          <w:spacing w:val="-67"/>
        </w:rPr>
        <w:t> </w:t>
      </w:r>
      <w:r>
        <w:rPr>
          <w:spacing w:val="-67"/>
        </w:rPr>
      </w:r>
      <w:r>
        <w:rPr/>
        <w:t>完整的业务及自主经营能力。</w:t>
      </w:r>
    </w:p>
    <w:p>
      <w:pPr>
        <w:spacing w:after="0" w:line="319"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812"/>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812"/>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812"/>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潘利华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812"/>
        <w:jc w:val="left"/>
      </w:pPr>
      <w:r>
        <w:rPr/>
        <w:t>连续两次未亲自出席董事会的说明：无</w:t>
      </w:r>
    </w:p>
    <w:p>
      <w:pPr>
        <w:spacing w:line="240" w:lineRule="auto" w:before="11"/>
        <w:rPr>
          <w:rFonts w:ascii="宋体" w:hAnsi="宋体" w:cs="宋体" w:eastAsia="宋体" w:hint="default"/>
          <w:sz w:val="26"/>
          <w:szCs w:val="26"/>
        </w:rPr>
      </w:pPr>
    </w:p>
    <w:p>
      <w:pPr>
        <w:pStyle w:val="Heading3"/>
        <w:spacing w:line="240" w:lineRule="auto"/>
        <w:ind w:right="812"/>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812"/>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t>独立董事对公司有关建议是否被采纳</w:t>
      </w:r>
    </w:p>
    <w:p>
      <w:pPr>
        <w:pStyle w:val="BodyText"/>
        <w:spacing w:line="35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报告期内独立董事对公司有关事项未提出异议。</w:t>
      </w:r>
    </w:p>
    <w:p>
      <w:pPr>
        <w:spacing w:line="240" w:lineRule="auto" w:before="8"/>
        <w:rPr>
          <w:rFonts w:ascii="宋体" w:hAnsi="宋体" w:cs="宋体" w:eastAsia="宋体" w:hint="default"/>
          <w:sz w:val="18"/>
          <w:szCs w:val="18"/>
        </w:rPr>
      </w:pPr>
    </w:p>
    <w:p>
      <w:pPr>
        <w:pStyle w:val="Heading2"/>
        <w:spacing w:line="240" w:lineRule="auto"/>
        <w:ind w:right="812"/>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2"/>
        <w:jc w:val="left"/>
      </w:pPr>
      <w:r>
        <w:rPr>
          <w:rFonts w:ascii="Times New Roman" w:hAnsi="Times New Roman" w:cs="Times New Roman" w:eastAsia="Times New Roman" w:hint="default"/>
          <w:spacing w:val="-1"/>
        </w:rPr>
        <w:t>1.</w:t>
      </w:r>
      <w:r>
        <w:rPr>
          <w:spacing w:val="-1"/>
        </w:rPr>
        <w:t>报告期内，审计委员会根据《公司法》、《证券法》、《上市公司治理准则》、《内部审计制度》及《审计委员会工作规</w:t>
      </w:r>
      <w:r>
        <w:rPr>
          <w:spacing w:val="-79"/>
        </w:rPr>
        <w:t> </w:t>
      </w:r>
      <w:r>
        <w:rPr>
          <w:spacing w:val="-79"/>
        </w:rPr>
      </w:r>
      <w:r>
        <w:rPr>
          <w:spacing w:val="-2"/>
        </w:rPr>
        <w:t>则》等有关规定，积极履行职责。报告期内，审计委员会共召开了六次会议，</w:t>
      </w:r>
      <w:r>
        <w:rPr>
          <w:rFonts w:ascii="Times New Roman" w:hAnsi="Times New Roman" w:cs="Times New Roman" w:eastAsia="Times New Roman" w:hint="default"/>
          <w:spacing w:val="-2"/>
        </w:rPr>
        <w:t>2018</w:t>
      </w:r>
      <w:r>
        <w:rPr>
          <w:spacing w:val="-2"/>
        </w:rPr>
        <w:t>年第一次会议审议了</w:t>
      </w:r>
      <w:r>
        <w:rPr>
          <w:rFonts w:ascii="Times New Roman" w:hAnsi="Times New Roman" w:cs="Times New Roman" w:eastAsia="Times New Roman" w:hint="default"/>
          <w:spacing w:val="-2"/>
        </w:rPr>
        <w:t>2017</w:t>
      </w:r>
      <w:r>
        <w:rPr>
          <w:spacing w:val="-2"/>
        </w:rPr>
        <w:t>年度报告相关事</w:t>
      </w:r>
      <w:r>
        <w:rPr>
          <w:spacing w:val="-58"/>
        </w:rPr>
        <w:t> </w:t>
      </w:r>
      <w:r>
        <w:rPr>
          <w:spacing w:val="-58"/>
        </w:rPr>
      </w:r>
      <w:r>
        <w:rPr>
          <w:spacing w:val="-2"/>
        </w:rPr>
        <w:t>项；</w:t>
      </w:r>
      <w:r>
        <w:rPr>
          <w:rFonts w:ascii="Times New Roman" w:hAnsi="Times New Roman" w:cs="Times New Roman" w:eastAsia="Times New Roman" w:hint="default"/>
          <w:spacing w:val="-2"/>
        </w:rPr>
        <w:t>2017</w:t>
      </w:r>
      <w:r>
        <w:rPr>
          <w:spacing w:val="-2"/>
        </w:rPr>
        <w:t>年第二次会议审议了</w:t>
      </w:r>
      <w:r>
        <w:rPr>
          <w:rFonts w:ascii="Times New Roman" w:hAnsi="Times New Roman" w:cs="Times New Roman" w:eastAsia="Times New Roman" w:hint="default"/>
          <w:spacing w:val="-2"/>
        </w:rPr>
        <w:t>2018</w:t>
      </w:r>
      <w:r>
        <w:rPr>
          <w:spacing w:val="-2"/>
        </w:rPr>
        <w:t>年第一季度报告相关事项；</w:t>
      </w:r>
      <w:r>
        <w:rPr>
          <w:rFonts w:ascii="Times New Roman" w:hAnsi="Times New Roman" w:cs="Times New Roman" w:eastAsia="Times New Roman" w:hint="default"/>
          <w:spacing w:val="-2"/>
        </w:rPr>
        <w:t>2018</w:t>
      </w:r>
      <w:r>
        <w:rPr>
          <w:spacing w:val="-2"/>
        </w:rPr>
        <w:t>年第三次会议审议了《关于公司对外投资暨关联交易的议</w:t>
      </w:r>
      <w:r>
        <w:rPr>
          <w:spacing w:val="-54"/>
        </w:rPr>
        <w:t> </w:t>
      </w:r>
      <w:r>
        <w:rPr>
          <w:spacing w:val="-54"/>
        </w:rPr>
      </w:r>
      <w:r>
        <w:rPr>
          <w:spacing w:val="-2"/>
        </w:rPr>
        <w:t>案》；</w:t>
      </w:r>
      <w:r>
        <w:rPr>
          <w:rFonts w:ascii="Times New Roman" w:hAnsi="Times New Roman" w:cs="Times New Roman" w:eastAsia="Times New Roman" w:hint="default"/>
          <w:spacing w:val="-2"/>
        </w:rPr>
        <w:t>2018</w:t>
      </w:r>
      <w:r>
        <w:rPr>
          <w:spacing w:val="-2"/>
        </w:rPr>
        <w:t>年第四次会议审议了《关于公司拟就仲裁案件达成调解暨关联交易的议案》和《关于公司日常关联交易预计的议</w:t>
      </w:r>
      <w:r>
        <w:rPr>
          <w:spacing w:val="-61"/>
        </w:rPr>
        <w:t> </w:t>
      </w:r>
      <w:r>
        <w:rPr>
          <w:spacing w:val="-61"/>
        </w:rPr>
      </w:r>
      <w:r>
        <w:rPr/>
        <w:t>案》；</w:t>
      </w:r>
      <w:r>
        <w:rPr>
          <w:rFonts w:ascii="Times New Roman" w:hAnsi="Times New Roman" w:cs="Times New Roman" w:eastAsia="Times New Roman" w:hint="default"/>
        </w:rPr>
        <w:t>2018</w:t>
      </w:r>
      <w:r>
        <w:rPr/>
        <w:t>年第五次会议审议了半年度报告相关事项；</w:t>
      </w:r>
      <w:r>
        <w:rPr>
          <w:rFonts w:ascii="Times New Roman" w:hAnsi="Times New Roman" w:cs="Times New Roman" w:eastAsia="Times New Roman" w:hint="default"/>
        </w:rPr>
        <w:t>2018</w:t>
      </w:r>
      <w:r>
        <w:rPr/>
        <w:t>年第六次会议审议了第三季度报告相关事项。 </w:t>
      </w:r>
      <w:r>
        <w:rPr>
          <w:rFonts w:ascii="Times New Roman" w:hAnsi="Times New Roman" w:cs="Times New Roman" w:eastAsia="Times New Roman" w:hint="default"/>
        </w:rPr>
        <w:t>2.</w:t>
      </w:r>
      <w:r>
        <w:rPr/>
        <w:t>薪酬和考核委员会履职情况 报告期内，薪酬与考核委员会召开了</w:t>
      </w:r>
      <w:r>
        <w:rPr>
          <w:rFonts w:ascii="Times New Roman" w:hAnsi="Times New Roman" w:cs="Times New Roman" w:eastAsia="Times New Roman" w:hint="default"/>
        </w:rPr>
        <w:t>1</w:t>
      </w:r>
      <w:r>
        <w:rPr/>
        <w:t>次会议，对董事和高级管理人员工作情况和薪酬事项进行了审核，报告期内，公司董 </w:t>
      </w:r>
      <w:r>
        <w:rPr>
          <w:spacing w:val="-2"/>
        </w:rPr>
        <w:t>事、监事和高级管理人员根据各自的分工，认真履行了相应的职责，参照行业内其他公司的薪酬水平，对高级管理人员的薪</w:t>
      </w:r>
      <w:r>
        <w:rPr>
          <w:spacing w:val="-66"/>
        </w:rPr>
        <w:t> </w:t>
      </w:r>
      <w:r>
        <w:rPr>
          <w:spacing w:val="-66"/>
        </w:rPr>
      </w:r>
      <w:r>
        <w:rPr/>
        <w:t>酬进行了调整。</w:t>
      </w:r>
    </w:p>
    <w:p>
      <w:pPr>
        <w:pStyle w:val="BodyText"/>
        <w:spacing w:line="312" w:lineRule="auto" w:before="29"/>
        <w:ind w:right="812"/>
        <w:jc w:val="left"/>
      </w:pPr>
      <w:r>
        <w:rPr>
          <w:rFonts w:ascii="Times New Roman" w:hAnsi="Times New Roman" w:cs="Times New Roman" w:eastAsia="Times New Roman" w:hint="default"/>
        </w:rPr>
        <w:t>3.</w:t>
      </w:r>
      <w:r>
        <w:rPr/>
        <w:t>提名委员会履职情况 </w:t>
      </w:r>
      <w:r>
        <w:rPr>
          <w:spacing w:val="-2"/>
        </w:rPr>
        <w:t>报告期内，提名委员会召开了两次会议，第一次会议提名委员会审议了目前董事会的规模和构成，认为能够满足公司经营活</w:t>
      </w:r>
      <w:r>
        <w:rPr>
          <w:spacing w:val="-66"/>
        </w:rPr>
        <w:t> </w:t>
      </w:r>
      <w:r>
        <w:rPr>
          <w:spacing w:val="-66"/>
        </w:rPr>
      </w:r>
      <w:r>
        <w:rPr>
          <w:spacing w:val="-2"/>
        </w:rPr>
        <w:t>动需要，并与公司资产规模和股权结构匹配，暂无需向公司董事会提议调整。第二次会议提名郁群慧女士担任公司的副总经</w:t>
      </w:r>
      <w:r>
        <w:rPr>
          <w:spacing w:val="-66"/>
        </w:rPr>
        <w:t> </w:t>
      </w:r>
      <w:r>
        <w:rPr>
          <w:spacing w:val="-66"/>
        </w:rPr>
      </w:r>
      <w:r>
        <w:rPr/>
        <w:t>理，并提交给董事会审议。</w:t>
      </w:r>
    </w:p>
    <w:p>
      <w:pPr>
        <w:pStyle w:val="BodyText"/>
        <w:spacing w:line="300" w:lineRule="auto" w:before="23"/>
        <w:ind w:right="812"/>
        <w:jc w:val="left"/>
      </w:pPr>
      <w:r>
        <w:rPr>
          <w:rFonts w:ascii="Times New Roman" w:hAnsi="Times New Roman" w:cs="Times New Roman" w:eastAsia="Times New Roman" w:hint="default"/>
        </w:rPr>
        <w:t>4.</w:t>
      </w:r>
      <w:r>
        <w:rPr/>
        <w:t>战略发展委员会履职情况 </w:t>
      </w:r>
      <w:r>
        <w:rPr>
          <w:spacing w:val="-2"/>
        </w:rPr>
        <w:t>报告期内，战略发展委员会委员会召开了一次会议，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日经</w:t>
      </w:r>
      <w:r>
        <w:rPr>
          <w:rFonts w:ascii="Times New Roman" w:hAnsi="Times New Roman" w:cs="Times New Roman" w:eastAsia="Times New Roman" w:hint="default"/>
          <w:spacing w:val="-2"/>
        </w:rPr>
        <w:t>2018</w:t>
      </w:r>
      <w:r>
        <w:rPr>
          <w:spacing w:val="-2"/>
        </w:rPr>
        <w:t>年第二次临时股东大会审议通过撤销了战略发展</w:t>
      </w:r>
      <w:r>
        <w:rPr>
          <w:spacing w:val="-51"/>
        </w:rPr>
        <w:t> </w:t>
      </w:r>
      <w:r>
        <w:rPr/>
        <w:t>委员会。</w:t>
      </w:r>
    </w:p>
    <w:p>
      <w:pPr>
        <w:spacing w:line="240" w:lineRule="auto" w:before="9"/>
        <w:rPr>
          <w:rFonts w:ascii="宋体" w:hAnsi="宋体" w:cs="宋体" w:eastAsia="宋体" w:hint="default"/>
          <w:sz w:val="21"/>
          <w:szCs w:val="21"/>
        </w:rPr>
      </w:pPr>
    </w:p>
    <w:p>
      <w:pPr>
        <w:pStyle w:val="Heading2"/>
        <w:spacing w:line="240" w:lineRule="auto"/>
        <w:ind w:right="812"/>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监事会在报告期内的监督活动中发现公司是否存在风险</w:t>
      </w:r>
    </w:p>
    <w:p>
      <w:pPr>
        <w:pStyle w:val="BodyText"/>
        <w:spacing w:line="338" w:lineRule="auto" w:before="117"/>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812"/>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jc w:val="both"/>
      </w:pPr>
      <w:r>
        <w:rPr>
          <w:spacing w:val="-2"/>
        </w:rPr>
        <w:t>公司建立了高级管理人员的薪酬与公司业绩挂钩的绩效考核与激励约束机制，公司高级管理人员实行基本年薪和年终绩效考</w:t>
      </w:r>
      <w:r>
        <w:rPr>
          <w:spacing w:val="-64"/>
        </w:rPr>
        <w:t> </w:t>
      </w:r>
      <w:r>
        <w:rPr>
          <w:spacing w:val="-64"/>
        </w:rPr>
      </w:r>
      <w:r>
        <w:rPr>
          <w:spacing w:val="-2"/>
        </w:rPr>
        <w:t>核相结合的薪酬制度。根据公司年度经营目标完成情况以及高级管理人员的工作业绩，由董事会薪酬与考核委员会对高级管</w:t>
      </w:r>
      <w:r>
        <w:rPr>
          <w:spacing w:val="-64"/>
        </w:rPr>
        <w:t> </w:t>
      </w:r>
      <w:r>
        <w:rPr>
          <w:spacing w:val="-64"/>
        </w:rPr>
      </w:r>
      <w:r>
        <w:rPr>
          <w:spacing w:val="-2"/>
        </w:rPr>
        <w:t>理人员进行年度绩效考核，并监督薪酬制度执行情况。公司则根据绩效考核结果兑现其绩效年薪，并进行奖惩。公司董事会</w:t>
      </w:r>
      <w:r>
        <w:rPr>
          <w:spacing w:val="-66"/>
        </w:rPr>
        <w:t> </w:t>
      </w:r>
      <w:r>
        <w:rPr>
          <w:spacing w:val="-66"/>
        </w:rPr>
      </w:r>
      <w:r>
        <w:rPr>
          <w:spacing w:val="-2"/>
        </w:rPr>
        <w:t>薪酬与考核委员会根据实际情况对公司高级管理人员进行考核后，一致认为：</w:t>
      </w:r>
      <w:r>
        <w:rPr>
          <w:rFonts w:ascii="Times New Roman" w:hAnsi="Times New Roman" w:cs="Times New Roman" w:eastAsia="Times New Roman" w:hint="default"/>
          <w:spacing w:val="-2"/>
        </w:rPr>
        <w:t>2018</w:t>
      </w:r>
      <w:r>
        <w:rPr>
          <w:spacing w:val="-2"/>
        </w:rPr>
        <w:t>年度公司高级管理人员薪酬方案遵守并执</w:t>
      </w:r>
      <w:r>
        <w:rPr>
          <w:spacing w:val="-59"/>
        </w:rPr>
        <w:t> </w:t>
      </w:r>
      <w:r>
        <w:rPr/>
        <w:t>行了公司薪酬管理制度。</w:t>
      </w:r>
    </w:p>
    <w:p>
      <w:pPr>
        <w:spacing w:after="0" w:line="314" w:lineRule="auto"/>
        <w:jc w:val="both"/>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812"/>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7.029999pt;margin-top:-152.708298pt;width:478.6pt;height:564.8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41"/>
                    <w:gridCol w:w="3039"/>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 w:right="-3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5"/>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4" w:lineRule="auto" w:before="52"/>
                          <w:ind w:left="4" w:right="-4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32"/>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pacing w:val="-33"/>
                            <w:sz w:val="18"/>
                            <w:szCs w:val="18"/>
                          </w:rPr>
                          <w:t> </w:t>
                        </w:r>
                        <w:r>
                          <w:rPr>
                            <w:rFonts w:ascii="宋体" w:hAnsi="宋体" w:cs="宋体" w:eastAsia="宋体" w:hint="default"/>
                            <w:sz w:val="18"/>
                            <w:szCs w:val="18"/>
                          </w:rPr>
                          <w:t>要缺陷：决策程序导致出现一般性失</w:t>
                        </w:r>
                        <w:r>
                          <w:rPr>
                            <w:rFonts w:ascii="宋体" w:hAnsi="宋体" w:cs="宋体" w:eastAsia="宋体" w:hint="default"/>
                            <w:sz w:val="18"/>
                            <w:szCs w:val="18"/>
                          </w:rPr>
                          <w:t>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10" w:lineRule="exact" w:before="14"/>
                          <w:ind w:left="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80"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both"/>
                          <w:rPr>
                            <w:rFonts w:ascii="宋体" w:hAnsi="宋体" w:cs="宋体" w:eastAsia="宋体" w:hint="default"/>
                            <w:sz w:val="18"/>
                            <w:szCs w:val="18"/>
                          </w:rPr>
                        </w:pP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p>
                      <w:p>
                        <w:pPr>
                          <w:pStyle w:val="TableParagraph"/>
                          <w:spacing w:line="312" w:lineRule="auto" w:before="63"/>
                          <w:ind w:left="4" w:right="91"/>
                          <w:jc w:val="both"/>
                          <w:rPr>
                            <w:rFonts w:ascii="宋体" w:hAnsi="宋体" w:cs="宋体" w:eastAsia="宋体" w:hint="default"/>
                            <w:sz w:val="18"/>
                            <w:szCs w:val="18"/>
                          </w:rPr>
                        </w:pP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4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我们认为，飞天诚信于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812"/>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8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812"/>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812"/>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812"/>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[2019]13481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王清峰、苏菊荣</w:t>
            </w:r>
          </w:p>
        </w:tc>
      </w:tr>
    </w:tbl>
    <w:p>
      <w:pPr>
        <w:pStyle w:val="BodyText"/>
        <w:spacing w:line="240" w:lineRule="auto" w:before="51"/>
        <w:ind w:left="3270" w:right="4246"/>
        <w:jc w:val="center"/>
      </w:pPr>
      <w:r>
        <w:rPr/>
        <w:t>审计报告正文</w:t>
      </w:r>
    </w:p>
    <w:p>
      <w:pPr>
        <w:pStyle w:val="BodyText"/>
        <w:spacing w:line="240" w:lineRule="auto" w:before="115"/>
        <w:ind w:left="0" w:right="1130"/>
        <w:jc w:val="right"/>
      </w:pPr>
      <w:r>
        <w:rPr>
          <w:spacing w:val="-1"/>
        </w:rPr>
        <w:t>天职业字</w:t>
      </w:r>
      <w:r>
        <w:rPr>
          <w:rFonts w:ascii="Times New Roman" w:hAnsi="Times New Roman" w:cs="Times New Roman" w:eastAsia="Times New Roman" w:hint="default"/>
          <w:spacing w:val="-1"/>
        </w:rPr>
        <w:t>[2019]13481</w:t>
      </w:r>
      <w:r>
        <w:rPr>
          <w:spacing w:val="-1"/>
        </w:rPr>
        <w:t>号</w:t>
      </w:r>
    </w:p>
    <w:p>
      <w:pPr>
        <w:spacing w:line="240" w:lineRule="auto" w:before="10"/>
        <w:rPr>
          <w:rFonts w:ascii="宋体" w:hAnsi="宋体" w:cs="宋体" w:eastAsia="宋体" w:hint="default"/>
          <w:sz w:val="19"/>
          <w:szCs w:val="19"/>
        </w:rPr>
      </w:pPr>
    </w:p>
    <w:p>
      <w:pPr>
        <w:spacing w:line="561" w:lineRule="auto" w:before="44"/>
        <w:ind w:left="636" w:right="7693" w:hanging="483"/>
        <w:jc w:val="left"/>
        <w:rPr>
          <w:rFonts w:ascii="宋体" w:hAnsi="宋体" w:cs="宋体" w:eastAsia="宋体" w:hint="default"/>
          <w:sz w:val="18"/>
          <w:szCs w:val="18"/>
        </w:rPr>
      </w:pPr>
      <w:r>
        <w:rPr>
          <w:rFonts w:ascii="宋体" w:hAnsi="宋体" w:cs="宋体" w:eastAsia="宋体" w:hint="default"/>
          <w:sz w:val="18"/>
          <w:szCs w:val="18"/>
        </w:rPr>
        <w:t>飞天诚信科技股份有限公司全体股东：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16" w:lineRule="auto" w:before="75"/>
        <w:ind w:right="1130" w:firstLine="482"/>
        <w:jc w:val="both"/>
      </w:pPr>
      <w:r>
        <w:rPr>
          <w:spacing w:val="-1"/>
        </w:rPr>
        <w:t>我们审计了后附的飞天诚信科技股份有限公司（以下简称“飞天诚信”）财务报表，包括</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w:t>
      </w:r>
      <w:r>
        <w:rPr/>
        <w:t> </w:t>
      </w:r>
      <w:r>
        <w:rPr>
          <w:spacing w:val="-2"/>
        </w:rPr>
        <w:t>公司资产负债表，</w:t>
      </w:r>
      <w:r>
        <w:rPr>
          <w:rFonts w:ascii="宋体" w:hAnsi="宋体" w:cs="宋体" w:eastAsia="宋体" w:hint="default"/>
          <w:spacing w:val="-2"/>
        </w:rPr>
        <w:t>2018</w:t>
      </w:r>
      <w:r>
        <w:rPr>
          <w:spacing w:val="-2"/>
        </w:rPr>
        <w:t>年度的合并及母公司利润表、合并及母公司现金流量表、合并及母公司股东权益变动表，以及财务报</w:t>
      </w:r>
      <w:r>
        <w:rPr>
          <w:spacing w:val="-61"/>
        </w:rPr>
        <w:t> </w:t>
      </w:r>
      <w:r>
        <w:rPr>
          <w:spacing w:val="-61"/>
        </w:rPr>
      </w:r>
      <w:r>
        <w:rPr/>
        <w:t>表附注。</w:t>
      </w:r>
    </w:p>
    <w:p>
      <w:pPr>
        <w:spacing w:line="240" w:lineRule="auto" w:before="11"/>
        <w:rPr>
          <w:rFonts w:ascii="宋体" w:hAnsi="宋体" w:cs="宋体" w:eastAsia="宋体" w:hint="default"/>
          <w:sz w:val="19"/>
          <w:szCs w:val="19"/>
        </w:rPr>
      </w:pPr>
    </w:p>
    <w:p>
      <w:pPr>
        <w:pStyle w:val="BodyText"/>
        <w:spacing w:line="316" w:lineRule="auto"/>
        <w:ind w:right="1129" w:firstLine="420"/>
        <w:jc w:val="both"/>
      </w:pPr>
      <w:r>
        <w:rPr/>
        <w:t>我们认为，后附的财务报表在所有重大方面按照企业会计准则的规定编制，公允反映了飞天诚信</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日的合 并及母公司财务状况以及</w:t>
      </w:r>
      <w:r>
        <w:rPr>
          <w:rFonts w:ascii="宋体" w:hAnsi="宋体" w:cs="宋体" w:eastAsia="宋体" w:hint="default"/>
        </w:rPr>
        <w:t>2018</w:t>
      </w:r>
      <w:r>
        <w:rPr/>
        <w:t>年度的合并及母公司经营成果和现金流量。</w:t>
      </w:r>
    </w:p>
    <w:p>
      <w:pPr>
        <w:spacing w:line="240" w:lineRule="auto" w:before="10"/>
        <w:rPr>
          <w:rFonts w:ascii="宋体" w:hAnsi="宋体" w:cs="宋体" w:eastAsia="宋体" w:hint="default"/>
          <w:sz w:val="19"/>
          <w:szCs w:val="19"/>
        </w:rPr>
      </w:pPr>
    </w:p>
    <w:p>
      <w:pPr>
        <w:pStyle w:val="Heading5"/>
        <w:spacing w:line="240" w:lineRule="auto"/>
        <w:ind w:right="812"/>
        <w:jc w:val="left"/>
        <w:rPr>
          <w:b w:val="0"/>
          <w:bCs w:val="0"/>
        </w:rPr>
      </w:pPr>
      <w:r>
        <w:rPr/>
        <w:t>二、形成审计意见的基础</w:t>
      </w:r>
      <w:r>
        <w:rPr>
          <w:b w:val="0"/>
          <w:bCs w:val="0"/>
        </w:rPr>
      </w:r>
    </w:p>
    <w:p>
      <w:pPr>
        <w:spacing w:line="240" w:lineRule="auto" w:before="0"/>
        <w:rPr>
          <w:rFonts w:ascii="宋体" w:hAnsi="宋体" w:cs="宋体" w:eastAsia="宋体" w:hint="default"/>
          <w:b/>
          <w:bCs/>
          <w:sz w:val="18"/>
          <w:szCs w:val="18"/>
        </w:rPr>
      </w:pPr>
    </w:p>
    <w:p>
      <w:pPr>
        <w:pStyle w:val="BodyText"/>
        <w:spacing w:line="367" w:lineRule="auto" w:before="148"/>
        <w:ind w:right="1131"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步阐述了我们在这些准则下的责任。按照中国注册会计师职业道德守则，我们独立于飞天诚信，并履行了职业道德方面的其</w:t>
      </w:r>
      <w:r>
        <w:rPr>
          <w:spacing w:val="-66"/>
        </w:rPr>
        <w:t> </w:t>
      </w:r>
      <w:r>
        <w:rPr>
          <w:spacing w:val="-66"/>
        </w:rPr>
      </w:r>
      <w:r>
        <w:rPr/>
        <w:t>他责任。我们相信，我们获取的审计证据是充分、适当的，为发表审计意见提供了基础。</w:t>
      </w:r>
    </w:p>
    <w:p>
      <w:pPr>
        <w:spacing w:line="240" w:lineRule="auto" w:before="6"/>
        <w:rPr>
          <w:rFonts w:ascii="宋体" w:hAnsi="宋体" w:cs="宋体" w:eastAsia="宋体" w:hint="default"/>
          <w:sz w:val="15"/>
          <w:szCs w:val="15"/>
        </w:rPr>
      </w:pPr>
    </w:p>
    <w:p>
      <w:pPr>
        <w:pStyle w:val="Heading5"/>
        <w:spacing w:line="240" w:lineRule="auto"/>
        <w:ind w:right="812"/>
        <w:jc w:val="left"/>
        <w:rPr>
          <w:b w:val="0"/>
          <w:bCs w:val="0"/>
        </w:rPr>
      </w:pPr>
      <w:r>
        <w:rPr/>
        <w:t>三、关键审计事项</w:t>
      </w:r>
      <w:r>
        <w:rPr>
          <w:b w:val="0"/>
          <w:bCs w:val="0"/>
        </w:rPr>
      </w:r>
    </w:p>
    <w:p>
      <w:pPr>
        <w:spacing w:line="240" w:lineRule="auto" w:before="0"/>
        <w:rPr>
          <w:rFonts w:ascii="宋体" w:hAnsi="宋体" w:cs="宋体" w:eastAsia="宋体" w:hint="default"/>
          <w:b/>
          <w:bCs/>
          <w:sz w:val="18"/>
          <w:szCs w:val="18"/>
        </w:rPr>
      </w:pPr>
    </w:p>
    <w:p>
      <w:pPr>
        <w:pStyle w:val="BodyText"/>
        <w:spacing w:line="367" w:lineRule="auto" w:before="148"/>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3795"/>
        <w:gridCol w:w="5558"/>
      </w:tblGrid>
      <w:tr>
        <w:trPr>
          <w:trHeight w:val="347" w:hRule="exact"/>
        </w:trPr>
        <w:tc>
          <w:tcPr>
            <w:tcW w:w="379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596"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9"/>
              <w:ind w:left="2" w:right="0"/>
              <w:jc w:val="left"/>
              <w:rPr>
                <w:rFonts w:ascii="宋体" w:hAnsi="宋体" w:cs="宋体" w:eastAsia="宋体" w:hint="default"/>
                <w:sz w:val="19"/>
                <w:szCs w:val="19"/>
              </w:rPr>
            </w:pPr>
            <w:r>
              <w:rPr>
                <w:rFonts w:ascii="宋体" w:hAnsi="宋体" w:cs="宋体" w:eastAsia="宋体" w:hint="default"/>
                <w:b/>
                <w:bCs/>
                <w:i/>
                <w:sz w:val="19"/>
                <w:szCs w:val="19"/>
              </w:rPr>
              <w:t>委托加工物资</w:t>
            </w:r>
            <w:r>
              <w:rPr>
                <w:rFonts w:ascii="宋体" w:hAnsi="宋体" w:cs="宋体" w:eastAsia="宋体" w:hint="default"/>
                <w:sz w:val="19"/>
                <w:szCs w:val="19"/>
              </w:rPr>
            </w:r>
          </w:p>
        </w:tc>
      </w:tr>
      <w:tr>
        <w:trPr>
          <w:trHeight w:val="1284"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2" w:firstLine="420"/>
              <w:jc w:val="both"/>
              <w:rPr>
                <w:rFonts w:ascii="宋体" w:hAnsi="宋体" w:cs="宋体" w:eastAsia="宋体" w:hint="default"/>
                <w:sz w:val="18"/>
                <w:szCs w:val="18"/>
              </w:rPr>
            </w:pPr>
            <w:r>
              <w:rPr>
                <w:rFonts w:ascii="宋体" w:hAnsi="宋体" w:cs="宋体" w:eastAsia="宋体" w:hint="default"/>
                <w:spacing w:val="-4"/>
                <w:sz w:val="18"/>
                <w:szCs w:val="18"/>
              </w:rPr>
              <w:t>如财务报表附注六、（五）所述，飞天诚信</w:t>
            </w:r>
            <w:r>
              <w:rPr>
                <w:rFonts w:ascii="宋体" w:hAnsi="宋体" w:cs="宋体" w:eastAsia="宋体" w:hint="default"/>
                <w:sz w:val="18"/>
                <w:szCs w:val="18"/>
              </w:rPr>
              <w:t> </w:t>
            </w:r>
            <w:r>
              <w:rPr>
                <w:rFonts w:ascii="宋体" w:hAnsi="宋体" w:cs="宋体" w:eastAsia="宋体" w:hint="default"/>
                <w:spacing w:val="8"/>
                <w:sz w:val="18"/>
                <w:szCs w:val="18"/>
              </w:rPr>
              <w:t>生产经营形成的主要资产为存货中的委托加工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物资。截至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日，飞天诚信委托加工</w:t>
            </w:r>
          </w:p>
        </w:tc>
        <w:tc>
          <w:tcPr>
            <w:tcW w:w="5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我们就委托加工物资执行的主要审计程序如下：</w:t>
            </w:r>
          </w:p>
          <w:p>
            <w:pPr>
              <w:pStyle w:val="TableParagraph"/>
              <w:spacing w:line="316" w:lineRule="auto" w:before="76"/>
              <w:ind w:left="2" w:right="2" w:firstLine="42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）了解、评价、测试与委托加工物资相关关键内部控制设计和</w:t>
            </w:r>
            <w:r>
              <w:rPr>
                <w:rFonts w:ascii="宋体" w:hAnsi="宋体" w:cs="宋体" w:eastAsia="宋体" w:hint="default"/>
                <w:sz w:val="18"/>
                <w:szCs w:val="18"/>
              </w:rPr>
              <w:t> 运行的有效性。</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339"/>
        <w:jc w:val="right"/>
      </w:pPr>
      <w:r>
        <w:rPr/>
        <w:pict>
          <v:shape style="position:absolute;margin-left:56.34pt;margin-top:-32.988297pt;width:468.75pt;height:349.2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5"/>
                    <w:gridCol w:w="5558"/>
                  </w:tblGrid>
                  <w:tr>
                    <w:trPr>
                      <w:trHeight w:val="1608" w:hRule="exact"/>
                    </w:trPr>
                    <w:tc>
                      <w:tcPr>
                        <w:tcW w:w="3795" w:type="dxa"/>
                        <w:tcBorders>
                          <w:top w:val="single" w:sz="6" w:space="0" w:color="000000"/>
                          <w:left w:val="single" w:sz="6" w:space="0" w:color="000000"/>
                          <w:bottom w:val="single" w:sz="10"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物资余额</w:t>
                        </w:r>
                        <w:r>
                          <w:rPr>
                            <w:rFonts w:ascii="宋体" w:hAnsi="宋体" w:cs="宋体" w:eastAsia="宋体" w:hint="default"/>
                            <w:sz w:val="18"/>
                            <w:szCs w:val="18"/>
                          </w:rPr>
                          <w:t>16,440.58</w:t>
                        </w:r>
                        <w:r>
                          <w:rPr>
                            <w:rFonts w:ascii="宋体" w:hAnsi="宋体" w:cs="宋体" w:eastAsia="宋体" w:hint="default"/>
                            <w:sz w:val="18"/>
                            <w:szCs w:val="18"/>
                          </w:rPr>
                          <w:t>万元。 委托加工物资实物存放于飞天诚信的加工商处， 对飞天诚信财务报表具有重大影响，为此我们将 委托加工物资列为关键审计事项</w:t>
                        </w:r>
                      </w:p>
                    </w:tc>
                    <w:tc>
                      <w:tcPr>
                        <w:tcW w:w="5558"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）获取委托加工物资明细表。</w:t>
                        </w:r>
                      </w:p>
                      <w:p>
                        <w:pPr>
                          <w:pStyle w:val="TableParagraph"/>
                          <w:spacing w:line="240" w:lineRule="auto" w:before="76"/>
                          <w:ind w:left="4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）抽取样本，检查委托加工物资资产负债表日后结算情况。</w:t>
                        </w:r>
                      </w:p>
                      <w:p>
                        <w:pPr>
                          <w:pStyle w:val="TableParagraph"/>
                          <w:spacing w:line="240" w:lineRule="auto" w:before="76"/>
                          <w:ind w:left="4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4</w:t>
                        </w:r>
                        <w:r>
                          <w:rPr>
                            <w:rFonts w:ascii="宋体" w:hAnsi="宋体" w:cs="宋体" w:eastAsia="宋体" w:hint="default"/>
                            <w:spacing w:val="-4"/>
                            <w:sz w:val="18"/>
                            <w:szCs w:val="18"/>
                          </w:rPr>
                          <w:t>）抽取样本，对委托加工物资实施抽监盘程序，进行现场观察</w:t>
                        </w:r>
                      </w:p>
                      <w:p>
                        <w:pPr>
                          <w:pStyle w:val="TableParagraph"/>
                          <w:spacing w:line="319" w:lineRule="auto" w:before="76"/>
                          <w:ind w:left="2" w:right="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）抽取样本，对委托加工物资执行函证，对未回函的样本实 施替代程序。</w:t>
                        </w:r>
                      </w:p>
                    </w:tc>
                  </w:tr>
                  <w:tr>
                    <w:trPr>
                      <w:trHeight w:val="334" w:hRule="exact"/>
                    </w:trPr>
                    <w:tc>
                      <w:tcPr>
                        <w:tcW w:w="9353"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b/>
                            <w:bCs/>
                            <w:sz w:val="18"/>
                            <w:szCs w:val="18"/>
                          </w:rPr>
                          <w:t>商誉减值</w:t>
                        </w:r>
                        <w:r>
                          <w:rPr>
                            <w:rFonts w:ascii="宋体" w:hAnsi="宋体" w:cs="宋体" w:eastAsia="宋体" w:hint="default"/>
                            <w:sz w:val="18"/>
                            <w:szCs w:val="18"/>
                          </w:rPr>
                        </w:r>
                      </w:p>
                    </w:tc>
                  </w:tr>
                  <w:tr>
                    <w:trPr>
                      <w:trHeight w:val="502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1" w:firstLine="420"/>
                          <w:jc w:val="left"/>
                          <w:rPr>
                            <w:rFonts w:ascii="宋体" w:hAnsi="宋体" w:cs="宋体" w:eastAsia="宋体" w:hint="default"/>
                            <w:sz w:val="18"/>
                            <w:szCs w:val="18"/>
                          </w:rPr>
                        </w:pPr>
                        <w:r>
                          <w:rPr>
                            <w:rFonts w:ascii="宋体" w:hAnsi="宋体" w:cs="宋体" w:eastAsia="宋体" w:hint="default"/>
                            <w:spacing w:val="-12"/>
                            <w:sz w:val="18"/>
                            <w:szCs w:val="18"/>
                          </w:rPr>
                          <w:t>如财务报表附注六、（十三）所述，截至</w:t>
                        </w:r>
                        <w:r>
                          <w:rPr>
                            <w:rFonts w:ascii="宋体" w:hAnsi="宋体" w:cs="宋体" w:eastAsia="宋体" w:hint="default"/>
                            <w:spacing w:val="-12"/>
                            <w:sz w:val="18"/>
                            <w:szCs w:val="18"/>
                          </w:rPr>
                          <w:t>2018</w:t>
                        </w:r>
                        <w:r>
                          <w:rPr>
                            <w:rFonts w:ascii="宋体" w:hAnsi="宋体" w:cs="宋体" w:eastAsia="宋体" w:hint="default"/>
                            <w:sz w:val="18"/>
                            <w:szCs w:val="18"/>
                          </w:rPr>
                          <w:t> </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日，飞天诚信商誉金额</w:t>
                        </w:r>
                        <w:r>
                          <w:rPr>
                            <w:rFonts w:ascii="宋体" w:hAnsi="宋体" w:cs="宋体" w:eastAsia="宋体" w:hint="default"/>
                            <w:sz w:val="18"/>
                            <w:szCs w:val="18"/>
                          </w:rPr>
                          <w:t>10,229.43</w:t>
                        </w:r>
                        <w:r>
                          <w:rPr>
                            <w:rFonts w:ascii="宋体" w:hAnsi="宋体" w:cs="宋体" w:eastAsia="宋体" w:hint="default"/>
                            <w:sz w:val="18"/>
                            <w:szCs w:val="18"/>
                          </w:rPr>
                          <w:t>万元 为</w:t>
                        </w:r>
                        <w:r>
                          <w:rPr>
                            <w:rFonts w:ascii="宋体" w:hAnsi="宋体" w:cs="宋体" w:eastAsia="宋体" w:hint="default"/>
                            <w:sz w:val="18"/>
                            <w:szCs w:val="18"/>
                          </w:rPr>
                          <w:t>2017</w:t>
                        </w:r>
                        <w:r>
                          <w:rPr>
                            <w:rFonts w:ascii="宋体" w:hAnsi="宋体" w:cs="宋体" w:eastAsia="宋体" w:hint="default"/>
                            <w:sz w:val="18"/>
                            <w:szCs w:val="18"/>
                          </w:rPr>
                          <w:t>年飞天诚信收购子公司形成。如果商誉有 发生减值的情况，对飞天诚信财务报表将产生重 大影响。</w:t>
                        </w:r>
                      </w:p>
                      <w:p>
                        <w:pPr>
                          <w:pStyle w:val="TableParagraph"/>
                          <w:spacing w:line="316" w:lineRule="auto" w:before="19"/>
                          <w:ind w:left="2" w:right="4" w:firstLine="420"/>
                          <w:jc w:val="left"/>
                          <w:rPr>
                            <w:rFonts w:ascii="宋体" w:hAnsi="宋体" w:cs="宋体" w:eastAsia="宋体" w:hint="default"/>
                            <w:sz w:val="18"/>
                            <w:szCs w:val="18"/>
                          </w:rPr>
                        </w:pPr>
                        <w:r>
                          <w:rPr>
                            <w:rFonts w:ascii="宋体" w:hAnsi="宋体" w:cs="宋体" w:eastAsia="宋体" w:hint="default"/>
                            <w:spacing w:val="5"/>
                            <w:sz w:val="18"/>
                            <w:szCs w:val="18"/>
                          </w:rPr>
                          <w:t>商誉的减值评估结果由管理层依据其聘任</w:t>
                        </w:r>
                        <w:r>
                          <w:rPr>
                            <w:rFonts w:ascii="宋体" w:hAnsi="宋体" w:cs="宋体" w:eastAsia="宋体" w:hint="default"/>
                            <w:sz w:val="18"/>
                            <w:szCs w:val="18"/>
                          </w:rPr>
                          <w:t> 的外部评估师编制的估值报告进行确定。</w:t>
                        </w:r>
                      </w:p>
                      <w:p>
                        <w:pPr>
                          <w:pStyle w:val="TableParagraph"/>
                          <w:spacing w:line="316" w:lineRule="auto" w:before="19"/>
                          <w:ind w:left="2" w:right="2" w:firstLine="422"/>
                          <w:jc w:val="both"/>
                          <w:rPr>
                            <w:rFonts w:ascii="宋体" w:hAnsi="宋体" w:cs="宋体" w:eastAsia="宋体" w:hint="default"/>
                            <w:sz w:val="18"/>
                            <w:szCs w:val="18"/>
                          </w:rPr>
                        </w:pPr>
                        <w:r>
                          <w:rPr>
                            <w:rFonts w:ascii="宋体" w:hAnsi="宋体" w:cs="宋体" w:eastAsia="宋体" w:hint="default"/>
                            <w:spacing w:val="5"/>
                            <w:sz w:val="18"/>
                            <w:szCs w:val="18"/>
                          </w:rPr>
                          <w:t>减值评估是依据所编制的折现自由现金流</w:t>
                        </w:r>
                        <w:r>
                          <w:rPr>
                            <w:rFonts w:ascii="宋体" w:hAnsi="宋体" w:cs="宋体" w:eastAsia="宋体" w:hint="default"/>
                            <w:sz w:val="18"/>
                            <w:szCs w:val="18"/>
                          </w:rPr>
                          <w:t> 预测而估计所收购子公司可收回金额。折现现金 流预测的编制涉及运用重大判断和估计，特别是 确定收入增长率、毛利率波动，以及由于商誉的 </w:t>
                        </w:r>
                        <w:r>
                          <w:rPr>
                            <w:rFonts w:ascii="宋体" w:hAnsi="宋体" w:cs="宋体" w:eastAsia="宋体" w:hint="default"/>
                            <w:spacing w:val="8"/>
                            <w:sz w:val="18"/>
                            <w:szCs w:val="18"/>
                          </w:rPr>
                          <w:t>减值预测和折现未来自由现金流量涉及重大不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确定性，管理层在选用假设和估计时可能出现偏</w:t>
                        </w:r>
                        <w:r>
                          <w:rPr>
                            <w:rFonts w:ascii="宋体" w:hAnsi="宋体" w:cs="宋体" w:eastAsia="宋体" w:hint="default"/>
                            <w:sz w:val="18"/>
                            <w:szCs w:val="18"/>
                          </w:rPr>
                          <w:t> 好的风险，所以我们将商誉的减值作为飞天诚信 </w:t>
                        </w:r>
                        <w:r>
                          <w:rPr>
                            <w:rFonts w:ascii="宋体" w:hAnsi="宋体" w:cs="宋体" w:eastAsia="宋体" w:hint="default"/>
                            <w:sz w:val="18"/>
                            <w:szCs w:val="18"/>
                          </w:rPr>
                          <w:t>2018</w:t>
                        </w:r>
                        <w:r>
                          <w:rPr>
                            <w:rFonts w:ascii="宋体" w:hAnsi="宋体" w:cs="宋体" w:eastAsia="宋体" w:hint="default"/>
                            <w:sz w:val="18"/>
                            <w:szCs w:val="18"/>
                          </w:rPr>
                          <w:t>年度关键审计事项。</w:t>
                        </w:r>
                      </w:p>
                    </w:tc>
                    <w:tc>
                      <w:tcPr>
                        <w:tcW w:w="5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我们就商誉减值执行的主要审计程序如下：</w:t>
                        </w:r>
                      </w:p>
                      <w:p>
                        <w:pPr>
                          <w:pStyle w:val="TableParagraph"/>
                          <w:tabs>
                            <w:tab w:pos="422" w:val="left" w:leader="none"/>
                          </w:tabs>
                          <w:spacing w:line="240" w:lineRule="auto" w:before="76"/>
                          <w:ind w:left="-109" w:right="1248"/>
                          <w:jc w:val="center"/>
                          <w:rPr>
                            <w:rFonts w:ascii="宋体" w:hAnsi="宋体" w:cs="宋体" w:eastAsia="宋体" w:hint="default"/>
                            <w:sz w:val="18"/>
                            <w:szCs w:val="18"/>
                          </w:rPr>
                        </w:pPr>
                        <w:r>
                          <w:rPr>
                            <w:rFonts w:ascii="宋体" w:hAnsi="宋体" w:cs="宋体" w:eastAsia="宋体" w:hint="default"/>
                            <w:sz w:val="18"/>
                            <w:szCs w:val="18"/>
                          </w:rPr>
                          <w:t>，</w:t>
                          <w:tab/>
                          <w:t>（</w:t>
                        </w:r>
                        <w:r>
                          <w:rPr>
                            <w:rFonts w:ascii="宋体" w:hAnsi="宋体" w:cs="宋体" w:eastAsia="宋体" w:hint="default"/>
                            <w:sz w:val="18"/>
                            <w:szCs w:val="18"/>
                          </w:rPr>
                          <w:t>1</w:t>
                        </w:r>
                        <w:r>
                          <w:rPr>
                            <w:rFonts w:ascii="宋体" w:hAnsi="宋体" w:cs="宋体" w:eastAsia="宋体" w:hint="default"/>
                            <w:sz w:val="18"/>
                            <w:szCs w:val="18"/>
                          </w:rPr>
                          <w:t>）了解与商誉减值测试相关的关键内部控制。</w:t>
                        </w:r>
                      </w:p>
                      <w:p>
                        <w:pPr>
                          <w:pStyle w:val="TableParagraph"/>
                          <w:spacing w:line="316" w:lineRule="auto" w:before="76"/>
                          <w:ind w:left="2" w:right="2" w:firstLine="42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）评价飞天诚信外聘评估机构的独立性、胜任能力、专业素质</w:t>
                        </w:r>
                        <w:r>
                          <w:rPr>
                            <w:rFonts w:ascii="宋体" w:hAnsi="宋体" w:cs="宋体" w:eastAsia="宋体" w:hint="default"/>
                            <w:sz w:val="18"/>
                            <w:szCs w:val="18"/>
                          </w:rPr>
                          <w:t> 和客观性。</w:t>
                        </w:r>
                      </w:p>
                      <w:p>
                        <w:pPr>
                          <w:pStyle w:val="TableParagraph"/>
                          <w:spacing w:line="316" w:lineRule="auto" w:before="19"/>
                          <w:ind w:left="2" w:right="1" w:firstLine="42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pacing w:val="-1"/>
                            <w:sz w:val="18"/>
                            <w:szCs w:val="18"/>
                          </w:rPr>
                          <w:t>）评价管理层估计所收购子公司可收回价值时采用的关键假设</w:t>
                        </w:r>
                        <w:r>
                          <w:rPr>
                            <w:rFonts w:ascii="宋体" w:hAnsi="宋体" w:cs="宋体" w:eastAsia="宋体" w:hint="default"/>
                            <w:sz w:val="18"/>
                            <w:szCs w:val="18"/>
                          </w:rPr>
                          <w:t> 和方法，如折现率、收入增长率等。</w:t>
                        </w:r>
                      </w:p>
                      <w:p>
                        <w:pPr>
                          <w:pStyle w:val="TableParagraph"/>
                          <w:spacing w:line="316" w:lineRule="auto" w:before="19"/>
                          <w:ind w:left="2" w:right="0" w:firstLine="42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4</w:t>
                        </w:r>
                        <w:r>
                          <w:rPr>
                            <w:rFonts w:ascii="宋体" w:hAnsi="宋体" w:cs="宋体" w:eastAsia="宋体" w:hint="default"/>
                            <w:spacing w:val="-1"/>
                            <w:sz w:val="18"/>
                            <w:szCs w:val="18"/>
                          </w:rPr>
                          <w:t>）通过将折现率与同行业类似企业的折现率进行比较，评价折</w:t>
                        </w:r>
                        <w:r>
                          <w:rPr>
                            <w:rFonts w:ascii="宋体" w:hAnsi="宋体" w:cs="宋体" w:eastAsia="宋体" w:hint="default"/>
                            <w:sz w:val="18"/>
                            <w:szCs w:val="18"/>
                          </w:rPr>
                          <w:t> 现的现金流量预测中采用的风险调整折现率。</w:t>
                        </w:r>
                      </w:p>
                      <w:p>
                        <w:pPr>
                          <w:pStyle w:val="TableParagraph"/>
                          <w:spacing w:line="316" w:lineRule="auto" w:before="19"/>
                          <w:ind w:left="2" w:right="-40"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）获取管理层的关键假设敏感性分析，包括折现现金流预测运 </w:t>
                        </w:r>
                        <w:r>
                          <w:rPr>
                            <w:rFonts w:ascii="宋体" w:hAnsi="宋体" w:cs="宋体" w:eastAsia="宋体" w:hint="default"/>
                            <w:spacing w:val="-2"/>
                            <w:sz w:val="18"/>
                            <w:szCs w:val="18"/>
                          </w:rPr>
                          <w:t>用的收入增长率和风险调整折现率，评价关键假设变动对管理层在其减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值评估发表的结论造成的影响，以及是否存在管理层偏好的任何迹象。</w:t>
                        </w:r>
                      </w:p>
                      <w:p>
                        <w:pPr>
                          <w:pStyle w:val="TableParagraph"/>
                          <w:spacing w:line="316" w:lineRule="auto" w:before="19"/>
                          <w:ind w:left="2" w:right="-10"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）通过对比上一年度的预测和本年度的业绩进行追溯性审核， 以评估管理层预测过程的可靠性和历史准确性。</w:t>
                        </w:r>
                      </w:p>
                      <w:p>
                        <w:pPr>
                          <w:pStyle w:val="TableParagraph"/>
                          <w:spacing w:line="316" w:lineRule="auto" w:before="19"/>
                          <w:ind w:left="362" w:right="8" w:hanging="36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3"/>
                            <w:sz w:val="18"/>
                            <w:szCs w:val="18"/>
                          </w:rPr>
                          <w:t> </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）评价在财务报表中有关商誉的减值评估的披露是否符合现行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会计准则的要求。</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5"/>
        <w:spacing w:line="240" w:lineRule="auto" w:before="44"/>
        <w:ind w:right="812"/>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67" w:lineRule="auto" w:before="148"/>
        <w:ind w:right="1113" w:firstLine="360"/>
        <w:jc w:val="left"/>
      </w:pPr>
      <w:r>
        <w:rPr/>
        <w:t>飞天诚信管理层（以下简称管理层）对其他信息负责。其他信息包括</w:t>
      </w:r>
      <w:r>
        <w:rPr>
          <w:spacing w:val="-40"/>
        </w:rPr>
        <w:t> </w:t>
      </w:r>
      <w:r>
        <w:rPr>
          <w:rFonts w:ascii="宋体" w:hAnsi="宋体" w:cs="宋体" w:eastAsia="宋体" w:hint="default"/>
        </w:rPr>
        <w:t>2018</w:t>
      </w:r>
      <w:r>
        <w:rPr>
          <w:rFonts w:ascii="宋体" w:hAnsi="宋体" w:cs="宋体" w:eastAsia="宋体" w:hint="default"/>
          <w:spacing w:val="-41"/>
        </w:rPr>
        <w:t> </w:t>
      </w:r>
      <w:r>
        <w:rPr/>
        <w:t>年年度报告中涵盖的信息，但不包括财务报 表和我们的审计报告。</w:t>
      </w:r>
    </w:p>
    <w:p>
      <w:pPr>
        <w:spacing w:line="240" w:lineRule="auto" w:before="2"/>
        <w:rPr>
          <w:rFonts w:ascii="宋体" w:hAnsi="宋体" w:cs="宋体" w:eastAsia="宋体" w:hint="default"/>
          <w:sz w:val="14"/>
          <w:szCs w:val="14"/>
        </w:rPr>
      </w:pPr>
    </w:p>
    <w:p>
      <w:pPr>
        <w:pStyle w:val="BodyText"/>
        <w:spacing w:line="240" w:lineRule="auto"/>
        <w:ind w:left="514" w:right="812"/>
        <w:jc w:val="left"/>
      </w:pPr>
      <w:r>
        <w:rPr/>
        <w:t>我们对财务报表发表的审计意见不涵盖其他信息，我们也不对其他信息发表任何形式的鉴证结论。</w:t>
      </w:r>
    </w:p>
    <w:p>
      <w:pPr>
        <w:spacing w:line="240" w:lineRule="auto" w:before="6"/>
        <w:rPr>
          <w:rFonts w:ascii="宋体" w:hAnsi="宋体" w:cs="宋体" w:eastAsia="宋体" w:hint="default"/>
          <w:sz w:val="21"/>
          <w:szCs w:val="21"/>
        </w:rPr>
      </w:pPr>
    </w:p>
    <w:p>
      <w:pPr>
        <w:pStyle w:val="BodyText"/>
        <w:spacing w:line="367" w:lineRule="auto"/>
        <w:ind w:right="812" w:firstLine="360"/>
        <w:jc w:val="left"/>
      </w:pPr>
      <w:r>
        <w:rPr>
          <w:spacing w:val="-2"/>
        </w:rPr>
        <w:t>结合我们对财务报表的审计，我们的责任是阅读其他信息，在此过程中，考虑其他信息是否与财务报表或我们在审计过</w:t>
      </w:r>
      <w:r>
        <w:rPr/>
        <w:t> 程中了解到的情况存在重大不一致或者存在重大错报。</w:t>
      </w:r>
    </w:p>
    <w:p>
      <w:pPr>
        <w:spacing w:line="240" w:lineRule="auto" w:before="2"/>
        <w:rPr>
          <w:rFonts w:ascii="宋体" w:hAnsi="宋体" w:cs="宋体" w:eastAsia="宋体" w:hint="default"/>
          <w:sz w:val="14"/>
          <w:szCs w:val="14"/>
        </w:rPr>
      </w:pPr>
    </w:p>
    <w:p>
      <w:pPr>
        <w:pStyle w:val="BodyText"/>
        <w:spacing w:line="367" w:lineRule="auto"/>
        <w:ind w:right="812"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6"/>
        <w:rPr>
          <w:rFonts w:ascii="宋体" w:hAnsi="宋体" w:cs="宋体" w:eastAsia="宋体" w:hint="default"/>
          <w:sz w:val="15"/>
          <w:szCs w:val="15"/>
        </w:rPr>
      </w:pPr>
    </w:p>
    <w:p>
      <w:pPr>
        <w:pStyle w:val="Heading5"/>
        <w:spacing w:line="240" w:lineRule="auto"/>
        <w:ind w:right="812"/>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18"/>
          <w:szCs w:val="18"/>
        </w:rPr>
      </w:pPr>
    </w:p>
    <w:p>
      <w:pPr>
        <w:pStyle w:val="BodyText"/>
        <w:spacing w:line="367" w:lineRule="auto" w:before="148"/>
        <w:ind w:right="812"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spacing w:line="240" w:lineRule="auto" w:before="2"/>
        <w:rPr>
          <w:rFonts w:ascii="宋体" w:hAnsi="宋体" w:cs="宋体" w:eastAsia="宋体" w:hint="default"/>
          <w:sz w:val="14"/>
          <w:szCs w:val="14"/>
        </w:rPr>
      </w:pPr>
    </w:p>
    <w:p>
      <w:pPr>
        <w:pStyle w:val="BodyText"/>
        <w:spacing w:line="367" w:lineRule="auto"/>
        <w:ind w:right="812" w:firstLine="360"/>
        <w:jc w:val="left"/>
      </w:pPr>
      <w:r>
        <w:rPr>
          <w:spacing w:val="-2"/>
        </w:rPr>
        <w:t>在编制财务报表时，管理层负责评估飞天诚信的持续经营能力，披露与持续经营相关的事项（如适用），并运用持续经</w:t>
      </w:r>
      <w:r>
        <w:rPr/>
        <w:t> 营假设，除非计划进行清算、终止运营或别无其他现实的选择。</w:t>
      </w:r>
    </w:p>
    <w:p>
      <w:pPr>
        <w:spacing w:line="240" w:lineRule="auto" w:before="2"/>
        <w:rPr>
          <w:rFonts w:ascii="宋体" w:hAnsi="宋体" w:cs="宋体" w:eastAsia="宋体" w:hint="default"/>
          <w:sz w:val="14"/>
          <w:szCs w:val="14"/>
        </w:rPr>
      </w:pPr>
    </w:p>
    <w:p>
      <w:pPr>
        <w:pStyle w:val="BodyText"/>
        <w:spacing w:line="240" w:lineRule="auto"/>
        <w:ind w:left="514" w:right="812"/>
        <w:jc w:val="left"/>
      </w:pPr>
      <w:r>
        <w:rPr/>
        <w:t>治理层负责监督飞天诚信的财务报告过程。</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Heading5"/>
        <w:spacing w:line="240" w:lineRule="auto" w:before="44"/>
        <w:ind w:right="812"/>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18"/>
          <w:szCs w:val="18"/>
        </w:rPr>
      </w:pPr>
    </w:p>
    <w:p>
      <w:pPr>
        <w:pStyle w:val="BodyText"/>
        <w:spacing w:line="367" w:lineRule="auto" w:before="148"/>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spacing w:line="240" w:lineRule="auto" w:before="2"/>
        <w:rPr>
          <w:rFonts w:ascii="宋体" w:hAnsi="宋体" w:cs="宋体" w:eastAsia="宋体" w:hint="default"/>
          <w:sz w:val="14"/>
          <w:szCs w:val="14"/>
        </w:rPr>
      </w:pPr>
    </w:p>
    <w:p>
      <w:pPr>
        <w:pStyle w:val="BodyText"/>
        <w:spacing w:line="240" w:lineRule="auto"/>
        <w:ind w:left="514" w:right="812"/>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1"/>
          <w:szCs w:val="21"/>
        </w:rPr>
      </w:pPr>
    </w:p>
    <w:p>
      <w:pPr>
        <w:pStyle w:val="BodyText"/>
        <w:spacing w:line="367" w:lineRule="auto"/>
        <w:ind w:right="1032"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2"/>
        <w:rPr>
          <w:rFonts w:ascii="宋体" w:hAnsi="宋体" w:cs="宋体" w:eastAsia="宋体" w:hint="default"/>
          <w:sz w:val="14"/>
          <w:szCs w:val="14"/>
        </w:rPr>
      </w:pPr>
    </w:p>
    <w:p>
      <w:pPr>
        <w:pStyle w:val="BodyText"/>
        <w:spacing w:line="240" w:lineRule="auto"/>
        <w:ind w:left="514" w:right="812"/>
        <w:jc w:val="left"/>
      </w:pPr>
      <w:r>
        <w:rPr/>
        <w:t>（</w:t>
      </w:r>
      <w:r>
        <w:rPr>
          <w:rFonts w:ascii="宋体" w:hAnsi="宋体" w:cs="宋体" w:eastAsia="宋体" w:hint="default"/>
        </w:rPr>
        <w:t>2</w:t>
      </w:r>
      <w:r>
        <w:rPr/>
        <w:t>）了解与审计相关的内部控制，以设计恰当的审计程序。</w:t>
      </w:r>
    </w:p>
    <w:p>
      <w:pPr>
        <w:spacing w:line="240" w:lineRule="auto" w:before="6"/>
        <w:rPr>
          <w:rFonts w:ascii="宋体" w:hAnsi="宋体" w:cs="宋体" w:eastAsia="宋体" w:hint="default"/>
          <w:sz w:val="21"/>
          <w:szCs w:val="21"/>
        </w:rPr>
      </w:pPr>
    </w:p>
    <w:p>
      <w:pPr>
        <w:pStyle w:val="BodyText"/>
        <w:spacing w:line="240" w:lineRule="auto"/>
        <w:ind w:left="514" w:right="812"/>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6"/>
        <w:rPr>
          <w:rFonts w:ascii="宋体" w:hAnsi="宋体" w:cs="宋体" w:eastAsia="宋体" w:hint="default"/>
          <w:sz w:val="21"/>
          <w:szCs w:val="21"/>
        </w:rPr>
      </w:pPr>
    </w:p>
    <w:p>
      <w:pPr>
        <w:pStyle w:val="BodyText"/>
        <w:spacing w:line="367" w:lineRule="auto"/>
        <w:ind w:right="1129" w:firstLine="360"/>
        <w:jc w:val="both"/>
      </w:pPr>
      <w:r>
        <w:rPr/>
        <w:t>（</w:t>
      </w:r>
      <w:r>
        <w:rPr>
          <w:rFonts w:ascii="宋体" w:hAnsi="宋体" w:cs="宋体" w:eastAsia="宋体" w:hint="default"/>
        </w:rPr>
        <w:t>4</w:t>
      </w:r>
      <w:r>
        <w:rPr/>
        <w:t>）对管理层使用持续经营假设的恰当性得出结论。同时，根据获取的审计证据，就可能导致对飞天诚信持续经营能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于截至审计报告日可获得的信息。然而，未来的事项或情况可能导致飞天诚信不能持续经营。</w:t>
      </w:r>
    </w:p>
    <w:p>
      <w:pPr>
        <w:spacing w:line="240" w:lineRule="auto" w:before="2"/>
        <w:rPr>
          <w:rFonts w:ascii="宋体" w:hAnsi="宋体" w:cs="宋体" w:eastAsia="宋体" w:hint="default"/>
          <w:sz w:val="14"/>
          <w:szCs w:val="14"/>
        </w:rPr>
      </w:pPr>
    </w:p>
    <w:p>
      <w:pPr>
        <w:pStyle w:val="BodyText"/>
        <w:spacing w:line="240" w:lineRule="auto"/>
        <w:ind w:left="514" w:right="812"/>
        <w:jc w:val="left"/>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spacing w:line="240" w:lineRule="auto" w:before="6"/>
        <w:rPr>
          <w:rFonts w:ascii="宋体" w:hAnsi="宋体" w:cs="宋体" w:eastAsia="宋体" w:hint="default"/>
          <w:sz w:val="21"/>
          <w:szCs w:val="21"/>
        </w:rPr>
      </w:pPr>
    </w:p>
    <w:p>
      <w:pPr>
        <w:pStyle w:val="BodyText"/>
        <w:spacing w:line="367" w:lineRule="auto"/>
        <w:ind w:right="1041" w:firstLine="360"/>
        <w:jc w:val="both"/>
      </w:pPr>
      <w:r>
        <w:rPr>
          <w:spacing w:val="-2"/>
        </w:rPr>
        <w:t>（</w:t>
      </w:r>
      <w:r>
        <w:rPr>
          <w:rFonts w:ascii="宋体" w:hAnsi="宋体" w:cs="宋体" w:eastAsia="宋体" w:hint="default"/>
          <w:spacing w:val="-2"/>
        </w:rPr>
        <w:t>6</w:t>
      </w:r>
      <w:r>
        <w:rPr>
          <w:spacing w:val="-2"/>
        </w:rPr>
        <w:t>）就飞天诚信实体或业务活动的财务信息获取充分、适当的审计证据，以对财务报表发表审计意见。我们负责指导、</w:t>
      </w:r>
      <w:r>
        <w:rPr/>
        <w:t> 监督和执行集团审计，并对审计意见承担全部责任。</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2"/>
        <w:rPr>
          <w:rFonts w:ascii="宋体" w:hAnsi="宋体" w:cs="宋体" w:eastAsia="宋体" w:hint="default"/>
          <w:sz w:val="14"/>
          <w:szCs w:val="14"/>
        </w:rPr>
      </w:pPr>
    </w:p>
    <w:p>
      <w:pPr>
        <w:pStyle w:val="BodyText"/>
        <w:spacing w:line="367" w:lineRule="auto"/>
        <w:ind w:right="113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从与治理层沟通过的事项中，我们确定哪些事项对本期合并财务报表审计最为重要，因而构成关键审计事项。我们在审</w:t>
      </w:r>
      <w:r>
        <w:rPr/>
        <w:t> </w:t>
      </w:r>
      <w:r>
        <w:rPr>
          <w:spacing w:val="-2"/>
        </w:rPr>
        <w:t>计报告中描述这些事项，除非法律法规禁止公开披露这些事项，或在极少数情形下，如果合理预期在审计报告中沟通某事项</w:t>
      </w:r>
      <w:r>
        <w:rPr>
          <w:spacing w:val="-66"/>
        </w:rPr>
        <w:t> </w:t>
      </w:r>
      <w:r>
        <w:rPr>
          <w:spacing w:val="-66"/>
        </w:rPr>
      </w:r>
      <w:r>
        <w:rPr/>
        <w:t>造成的负面后果超过在公众利益方面产生的益处，我们确定不应在审计报告中沟通该事项。</w:t>
      </w:r>
    </w:p>
    <w:p>
      <w:pPr>
        <w:spacing w:line="240" w:lineRule="auto" w:before="5"/>
        <w:rPr>
          <w:rFonts w:ascii="宋体" w:hAnsi="宋体" w:cs="宋体" w:eastAsia="宋体" w:hint="default"/>
          <w:sz w:val="16"/>
          <w:szCs w:val="16"/>
        </w:rPr>
      </w:pPr>
    </w:p>
    <w:p>
      <w:pPr>
        <w:pStyle w:val="Heading2"/>
        <w:spacing w:line="240" w:lineRule="auto"/>
        <w:ind w:right="812"/>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812"/>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20"/>
        <w:jc w:val="left"/>
      </w:pPr>
      <w:r>
        <w:rPr/>
        <w:t>编制单位：飞天诚信科技股份有限公司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3" w:equalWidth="0">
            <w:col w:w="3215" w:space="863"/>
            <w:col w:w="1639" w:space="3203"/>
            <w:col w:w="2010"/>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662,539,376.26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588,138,656.27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98,557,673.23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69,874,484.41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1,313,190.00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1,063,349.95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97,244,483.23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68,811,134.46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13,162,512.91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10,883,565.61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8,836,478.76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9,199,518.23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442,820,282.02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402,854,493.81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549,742,556.44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699,253,902.45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1,775,658,879.62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1,780,204,620.78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20,909,091.00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47,264,091.69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4,842,083.86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29,603,257.61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37,245,267.40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156,915.24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19,664,407.00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22,856,822.13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1,436,702.44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1,181,985.46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102,294,256.35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102,294,256.35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10,429,679.03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11,554,517.04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3,255,433.45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2,279,562.61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1,952,748.68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236,966,582.49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189,340,124.76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2,012,625,462.11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1,969,544,745.54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82,563,306.90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100,004,878.46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32,903,648.71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30,693,477.78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20,641,201.70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22,271,992.48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16,118,958.67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37,164,062.98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6,094,845.83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80,514,840.00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238,836,801.81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213,279,426.27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66"/>
        <w:gridCol w:w="3423"/>
        <w:gridCol w:w="2968"/>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9,399,091.05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12,901,309.53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2,527,251.97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3,492,992.45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11,926,343.02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95,984,301.98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250,763,144.83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309,263,728.25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345,687,008.56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2,840,303.27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-95,766.54</w:t>
            </w:r>
            <w:r>
              <w:rPr>
                <w:rFonts w:ascii="Times New Roman"/>
                <w:sz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111,481,562.48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101,644,879.85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873,209,831.44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770,675,231.61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1,751,262,705.75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1,653,927,028.98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10,599,611.53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6,353,988.31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1,761,862,317.28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1,660,281,017.29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2,012,625,462.11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1,969,544,745.54</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法定代表人：黄煜</w:t>
        <w:tab/>
        <w:t>主管会计工作负责人：朱宝祥</w:t>
        <w:tab/>
        <w:t>会计机构负责人：石井平</w:t>
      </w:r>
    </w:p>
    <w:p>
      <w:pPr>
        <w:spacing w:line="240" w:lineRule="auto" w:before="11"/>
        <w:rPr>
          <w:rFonts w:ascii="宋体" w:hAnsi="宋体" w:cs="宋体" w:eastAsia="宋体" w:hint="default"/>
          <w:sz w:val="26"/>
          <w:szCs w:val="26"/>
        </w:rPr>
      </w:pPr>
    </w:p>
    <w:p>
      <w:pPr>
        <w:pStyle w:val="Heading3"/>
        <w:spacing w:line="240" w:lineRule="auto"/>
        <w:ind w:right="812"/>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549,667,098.68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534,930,735.09</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51,384,522.29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36,871,244.93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430,470.00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50,954,052.29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36,871,244.93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7,597,864.40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9,752,401.10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7,834,580.50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11,609,816.43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416,051,037.51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361,499,144.45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509,699,027.71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659,011,558.97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1,542,234,131.09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1,613,674,900.97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315,476,935.08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243,347,760.62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18,797,471.82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22,166,012.22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156,915.24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2,071,135.24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2,527,086.52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10,081,885.28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10,731,753.82</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12,118,448.96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8,799,001.26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1,020,312.00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379,723,103.62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289,657,244.35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1,921,957,234.71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1,903,332,145.32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83,244,197.23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99,294,272.15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31,132,127.71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29,872,273.75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15,003,771.90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17,733,907.83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11,139,811.47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33,998,076.79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5,459,332.34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2,844,672.68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80,514,840.00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226,494,080.65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203,640,703.20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5,777,181.94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7,795,548.58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5,777,181.94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87,385,548.58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232,271,262.59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291,026,251.78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418,044,000.00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418,044,000.00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363,658,684.06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67,590.64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152,138.40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111,481,562.48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101,644,879.85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796,434,134.94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728,806,191.23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1,689,685,972.12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1,612,305,893.54</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1,921,957,234.71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1,903,332,145.32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12"/>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1,071,782,404.96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1,103,048,519.32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1,071,782,404.96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1,103,048,519.32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992,858,686.41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1,049,480,737.05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668,657,426.16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673,655,125.98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7,023,162.87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8,397,611.21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104,767,771.30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93,200,031.30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86,345,812.14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137,981,780.53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118,343,498.99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120,396,616.46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-5,700,536.85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867,095.89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-13,879.55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2,285,979.49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3,765,832.71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13,421,551.80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14,982,475.68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31,108,495.13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33,825,471.37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25,055,787.54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28,195,659.71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292,374.00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135,044,307.73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115,588,913.35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18,403,265.67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9,946,944.81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136,918.12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14,124.89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153,310,655.28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125,521,733.27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19,263,225.10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21,374,246.07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134,047,430.18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104,147,487.20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134,047,430.18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104,147,487.20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133,273,482.46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125,174,450.29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773,947.72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-21,026,963.09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-63,452.94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2,936,069.81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-63,452.94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2,936,069.81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-63,452.94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184,452.00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3,020,617.57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-247,904.94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136,983,499.99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104,084,034.26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136,209,552.27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125,110,997.35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773,947.72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-21,026,963.09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法定代表人：黄煜</w:t>
        <w:tab/>
        <w:t>主管会计工作负责人：朱宝祥</w:t>
        <w:tab/>
        <w:t>会计机构负责人：石井平</w:t>
      </w:r>
    </w:p>
    <w:p>
      <w:pPr>
        <w:spacing w:line="240" w:lineRule="auto" w:before="10"/>
        <w:rPr>
          <w:rFonts w:ascii="宋体" w:hAnsi="宋体" w:cs="宋体" w:eastAsia="宋体" w:hint="default"/>
          <w:sz w:val="26"/>
          <w:szCs w:val="26"/>
        </w:rPr>
      </w:pPr>
    </w:p>
    <w:p>
      <w:pPr>
        <w:pStyle w:val="Heading3"/>
        <w:spacing w:line="240" w:lineRule="auto"/>
        <w:ind w:right="812"/>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970,580,940.62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1,002,045,273.95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637,948,734.91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628,486,953.49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5,166,314.93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7,086,034.62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94,994,986.04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80,618,521.88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67,440,703.89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66,218,899.76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99,170,625.44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102,020,611.05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-5,453,984.95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1,330,836.37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1,960,584.28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3,257,098.79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27,114,088.63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55,290,506.31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28,525,884.28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32,003,438.01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22,377,147.09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21,545,746.82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-219,794.24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95,058,809.61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114,542,095.30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16,910,613.83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7,952,744.97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12,732.58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111,929,118.59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122,482,107.69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13,562,292.25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17,901,477.09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98,366,826.34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104,580,630.60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98,366,826.34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104,580,630.60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-84,547.76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98,282,278.58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104,765,082.60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12"/>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1,200,636,999.15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1,263,589,798.21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37,823,403.74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45,042,968.21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16,097,126.27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18,135,791.57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1,254,557,529.16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1,326,768,557.99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819,174,707.77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820,996,063.48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204,001,338.75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193,382,671.30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96,989,283.04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86,747,523.18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126,237,766.24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122,705,439.29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1,246,403,095.80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1,223,831,697.25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8,154,433.36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102,936,860.74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2,139,454,545.00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2,485,219,342.47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25,812,880.46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25,010,078.61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2,165,457,471.46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2,510,233,721.08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7,473,181.73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4,482,799.13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2,043,084,382.00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31,972,660.00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76,553,813.14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1,809,011.43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2,082,530,223.73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2,791,845,623.70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82,927,247.73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-281,611,902.62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20,902,200.00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41,845,320.20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20,922,548.11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42,963,356.15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-20,922,548.11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-42,963,356.15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4,075,060.75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-2,969,024.41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74,234,193.73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-224,607,422.44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577,667,210.39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802,274,632.83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651,901,404.12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577,667,210.39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12"/>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1,100,295,343.10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1,154,414,678.93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35,100,346.41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43,220,934.85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16,006,566.56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15,753,374.50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1,151,402,256.07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1,213,388,988.28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798,335,015.09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765,723,047.41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175,234,262.33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162,485,646.32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80,678,492.19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77,723,860.61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111,356,199.28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108,867,111.71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1,165,603,968.89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1,114,799,666.05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-14,201,712.82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98,589,322.23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2,381,219,342.47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23,117,990.07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23,847,930.67</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131,285.00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135,155.28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1,982,249,275.07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2,405,202,428.42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4,815,096.38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2,073,326.64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1,928,832,202.00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2,672,069,850.00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1,933,647,298.38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2,674,143,176.64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48,601,976.69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-268,940,748.22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20,902,200.00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41,804,400.00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20,922,548.11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41,922,435.95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-20,922,548.11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-41,922,435.95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1,092,121.57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-2,738,595.74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14,569,837.33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-215,012,457.68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524,459,289.21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739,471,746.89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539,029,126.54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524,459,289.21</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770,675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,231.61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88.31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770,675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88.31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2,936,0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102,534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,599.83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4,245,6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23.22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101,581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,299.99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2,936,0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133,273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,482.46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773,947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136,983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,499.99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3,471,6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-17,971,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675.50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3,471,6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75.50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-14,500,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-30,738,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882.63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82.63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82.63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345,687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,008.56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2,840,3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pacing w:val="-3"/>
                <w:sz w:val="18"/>
              </w:rPr>
              <w:t>111,481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,562.48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873,209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,831.44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611.53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62,317.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51"/>
        <w:ind w:right="81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91,186,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816.79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697,763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,244.38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18,283,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695.16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04,126.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91,186,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816.79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697,763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,244.38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18,283,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695.16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1,588,9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04,126.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72,911,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987.23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-11,929,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706.85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71,376,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890.50</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125,174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,450.29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-21,026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,963.09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104,084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,034.26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56.24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9,097,2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56.24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-52,262,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463.06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063.06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363,658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,684.06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770,675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,231.61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6,353,9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88.31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1,660,2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81,017.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29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12"/>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152,138.4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101,644,8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79.85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728,806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,191.23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1,612,305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,893.54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152,138.4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101,644,8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79.85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728,806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,191.23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1,612,305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,893.54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67,627,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943.71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77,380,07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8.58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826.34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98,282,27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8.58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-30,738,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882.63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-9,836,6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82.63</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-20,902,2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67,590.64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111,481,5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796,434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,134.94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1,689,685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,972.12</w:t>
            </w:r>
          </w:p>
        </w:tc>
      </w:tr>
    </w:tbl>
    <w:p>
      <w:pPr>
        <w:pStyle w:val="BodyText"/>
        <w:spacing w:line="240" w:lineRule="auto" w:before="51"/>
        <w:ind w:right="812"/>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w w:val="95"/>
                <w:sz w:val="18"/>
              </w:rPr>
              <w:t>-32,313.6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91,186,81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6.79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678,308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,471.02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1,551,165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,658.27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-32,313.6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91,186,81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678,308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,471.02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1,551,165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,658.27</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50,497,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720.21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61,140,23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184,452.0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104,580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,630.60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104,765,0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-1,820,44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-1,820,4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-1,820,44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-52,262,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463.06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10,458,06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-10,458,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063.06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-41,804,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418,044,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363,658,6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152,138.4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101,644,8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79.85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728,806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,191.23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1,612,305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,893.54</w:t>
            </w:r>
          </w:p>
        </w:tc>
      </w:tr>
    </w:tbl>
    <w:p>
      <w:pPr>
        <w:spacing w:after="0" w:line="240" w:lineRule="auto"/>
        <w:jc w:val="center"/>
        <w:rPr>
          <w:rFonts w:ascii="Times New Roman" w:hAnsi="Times New Roman" w:cs="Times New Roman" w:eastAsia="Times New Roman" w:hint="default"/>
          <w:sz w:val="18"/>
          <w:szCs w:val="18"/>
        </w:rPr>
        <w:sectPr>
          <w:footerReference w:type="default" r:id="rId15"/>
          <w:pgSz w:w="11910" w:h="16840"/>
          <w:pgMar w:footer="979" w:header="877" w:top="1100" w:bottom="1160" w:left="98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812"/>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812" w:firstLine="360"/>
        <w:jc w:val="left"/>
      </w:pPr>
      <w:r>
        <w:rPr/>
        <w:t>飞天诚信科技股份有限公司（以下简称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）的前身为成立于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日的北京飞天诚信科技有限公 </w:t>
      </w:r>
      <w:r>
        <w:rPr>
          <w:spacing w:val="-2"/>
        </w:rPr>
        <w:t>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日以经审计的</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日的净资产整体折合</w:t>
      </w:r>
      <w:r>
        <w:rPr>
          <w:rFonts w:ascii="Times New Roman" w:hAnsi="Times New Roman" w:cs="Times New Roman" w:eastAsia="Times New Roman" w:hint="default"/>
          <w:spacing w:val="-2"/>
        </w:rPr>
        <w:t>7,500.00</w:t>
      </w:r>
      <w:r>
        <w:rPr>
          <w:spacing w:val="-2"/>
        </w:rPr>
        <w:t>万股变更为股份有限公司。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日，公司在</w:t>
      </w:r>
      <w:r>
        <w:rPr>
          <w:spacing w:val="-37"/>
        </w:rPr>
        <w:t> </w:t>
      </w:r>
      <w:r>
        <w:rPr>
          <w:spacing w:val="-37"/>
        </w:rPr>
      </w:r>
      <w:r>
        <w:rPr>
          <w:spacing w:val="-1"/>
        </w:rPr>
        <w:t>深圳证券交易所创业板</w:t>
      </w:r>
      <w:r>
        <w:rPr>
          <w:rFonts w:ascii="Times New Roman" w:hAnsi="Times New Roman" w:cs="Times New Roman" w:eastAsia="Times New Roman" w:hint="default"/>
          <w:spacing w:val="-1"/>
        </w:rPr>
        <w:t>A</w:t>
      </w:r>
      <w:r>
        <w:rPr>
          <w:spacing w:val="-1"/>
        </w:rPr>
        <w:t>股上市，首次公开发行</w:t>
      </w:r>
      <w:r>
        <w:rPr>
          <w:rFonts w:ascii="Times New Roman" w:hAnsi="Times New Roman" w:cs="Times New Roman" w:eastAsia="Times New Roman" w:hint="default"/>
          <w:spacing w:val="-1"/>
        </w:rPr>
        <w:t>2,001.00</w:t>
      </w:r>
      <w:r>
        <w:rPr>
          <w:spacing w:val="-1"/>
        </w:rPr>
        <w:t>万股股票，发行后总股本为</w:t>
      </w:r>
      <w:r>
        <w:rPr>
          <w:rFonts w:ascii="Times New Roman" w:hAnsi="Times New Roman" w:cs="Times New Roman" w:eastAsia="Times New Roman" w:hint="default"/>
          <w:spacing w:val="-1"/>
        </w:rPr>
        <w:t>9,501.00</w:t>
      </w:r>
      <w:r>
        <w:rPr>
          <w:spacing w:val="-1"/>
        </w:rPr>
        <w:t>万股，股票简称</w:t>
      </w:r>
      <w:r>
        <w:rPr>
          <w:rFonts w:ascii="Times New Roman" w:hAnsi="Times New Roman" w:cs="Times New Roman" w:eastAsia="Times New Roman" w:hint="default"/>
          <w:spacing w:val="-1"/>
        </w:rPr>
        <w:t>“</w:t>
      </w:r>
      <w:r>
        <w:rPr>
          <w:spacing w:val="-1"/>
        </w:rPr>
        <w:t>飞天诚信</w:t>
      </w:r>
      <w:r>
        <w:rPr>
          <w:rFonts w:ascii="Times New Roman" w:hAnsi="Times New Roman" w:cs="Times New Roman" w:eastAsia="Times New Roman" w:hint="default"/>
          <w:spacing w:val="-1"/>
        </w:rPr>
        <w:t>”</w:t>
      </w:r>
      <w:r>
        <w:rPr>
          <w:spacing w:val="-1"/>
        </w:rPr>
        <w:t>，股</w:t>
      </w:r>
      <w:r>
        <w:rPr>
          <w:spacing w:val="-49"/>
        </w:rPr>
        <w:t> </w:t>
      </w:r>
      <w:r>
        <w:rPr/>
        <w:t>票代码</w:t>
      </w:r>
      <w:r>
        <w:rPr>
          <w:rFonts w:ascii="Times New Roman" w:hAnsi="Times New Roman" w:cs="Times New Roman" w:eastAsia="Times New Roman" w:hint="default"/>
        </w:rPr>
        <w:t>300386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日，以股份总数</w:t>
      </w:r>
      <w:r>
        <w:rPr>
          <w:rFonts w:ascii="Times New Roman" w:hAnsi="Times New Roman" w:cs="Times New Roman" w:eastAsia="Times New Roman" w:hint="default"/>
        </w:rPr>
        <w:t>9,501.00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股，合计转增股数 </w:t>
      </w:r>
      <w:r>
        <w:rPr>
          <w:rFonts w:ascii="Times New Roman" w:hAnsi="Times New Roman" w:cs="Times New Roman" w:eastAsia="Times New Roman" w:hint="default"/>
          <w:spacing w:val="-2"/>
        </w:rPr>
        <w:t>11,401.20</w:t>
      </w:r>
      <w:r>
        <w:rPr>
          <w:spacing w:val="-2"/>
        </w:rPr>
        <w:t>万股，转增后公司总股本变更为</w:t>
      </w:r>
      <w:r>
        <w:rPr>
          <w:rFonts w:ascii="Times New Roman" w:hAnsi="Times New Roman" w:cs="Times New Roman" w:eastAsia="Times New Roman" w:hint="default"/>
          <w:spacing w:val="-2"/>
        </w:rPr>
        <w:t>20,902.20</w:t>
      </w:r>
      <w:r>
        <w:rPr>
          <w:spacing w:val="-2"/>
        </w:rPr>
        <w:t>万股。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日，以股份总数</w:t>
      </w:r>
      <w:r>
        <w:rPr>
          <w:rFonts w:ascii="Times New Roman" w:hAnsi="Times New Roman" w:cs="Times New Roman" w:eastAsia="Times New Roman" w:hint="default"/>
          <w:spacing w:val="-2"/>
        </w:rPr>
        <w:t>20,902.20</w:t>
      </w:r>
      <w:r>
        <w:rPr>
          <w:spacing w:val="-2"/>
        </w:rPr>
        <w:t>万股为基数，以资本公积金向</w:t>
      </w:r>
      <w:r>
        <w:rPr>
          <w:spacing w:val="-36"/>
        </w:rPr>
        <w:t> </w:t>
      </w:r>
      <w:r>
        <w:rPr>
          <w:spacing w:val="-36"/>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20,902.20</w:t>
      </w:r>
      <w:r>
        <w:rPr/>
        <w:t>万股，转增后公司总股本变更为</w:t>
      </w:r>
      <w:r>
        <w:rPr>
          <w:rFonts w:ascii="Times New Roman" w:hAnsi="Times New Roman" w:cs="Times New Roman" w:eastAsia="Times New Roman" w:hint="default"/>
        </w:rPr>
        <w:t>41,804.40</w:t>
      </w:r>
      <w:r>
        <w:rPr/>
        <w:t>万股。企业统一社会信用代码为 </w:t>
      </w:r>
      <w:r>
        <w:rPr>
          <w:rFonts w:ascii="Times New Roman" w:hAnsi="Times New Roman" w:cs="Times New Roman" w:eastAsia="Times New Roman" w:hint="default"/>
        </w:rPr>
        <w:t>9111000070003202XF</w:t>
      </w:r>
      <w:r>
        <w:rPr/>
        <w:t>，公司注册资本</w:t>
      </w:r>
      <w:r>
        <w:rPr>
          <w:rFonts w:ascii="Times New Roman" w:hAnsi="Times New Roman" w:cs="Times New Roman" w:eastAsia="Times New Roman" w:hint="default"/>
        </w:rPr>
        <w:t>41,804.40</w:t>
      </w:r>
      <w:r>
        <w:rPr/>
        <w:t>万元，法定代表人为黄煜，注册地为北京市海淀区学清路</w:t>
      </w:r>
      <w:r>
        <w:rPr>
          <w:rFonts w:ascii="Times New Roman" w:hAnsi="Times New Roman" w:cs="Times New Roman" w:eastAsia="Times New Roman" w:hint="default"/>
        </w:rPr>
        <w:t>9</w:t>
      </w:r>
      <w:r>
        <w:rPr/>
        <w:t>号汇智大厦</w:t>
      </w:r>
      <w:r>
        <w:rPr>
          <w:rFonts w:ascii="Times New Roman" w:hAnsi="Times New Roman" w:cs="Times New Roman" w:eastAsia="Times New Roman" w:hint="default"/>
        </w:rPr>
        <w:t>B</w:t>
      </w:r>
      <w:r>
        <w:rPr/>
        <w:t>楼</w:t>
      </w:r>
      <w:r>
        <w:rPr>
          <w:rFonts w:ascii="Times New Roman" w:hAnsi="Times New Roman" w:cs="Times New Roman" w:eastAsia="Times New Roman" w:hint="default"/>
        </w:rPr>
        <w:t>17 </w:t>
      </w:r>
      <w:r>
        <w:rPr/>
        <w:t>层。</w:t>
      </w:r>
    </w:p>
    <w:p>
      <w:pPr>
        <w:pStyle w:val="BodyText"/>
        <w:spacing w:line="316" w:lineRule="auto" w:before="151"/>
        <w:ind w:right="812" w:firstLine="360"/>
        <w:jc w:val="left"/>
      </w:pPr>
      <w:r>
        <w:rPr>
          <w:spacing w:val="-2"/>
        </w:rPr>
        <w:t>根据《上市公司行业分类指引》，公司所处大行业为计算机应用服务业，细分行业为以智能身份认证为核心的信息安全</w:t>
      </w:r>
      <w:r>
        <w:rPr/>
        <w:t> 行业。</w:t>
      </w:r>
    </w:p>
    <w:p>
      <w:pPr>
        <w:pStyle w:val="BodyText"/>
        <w:spacing w:line="312" w:lineRule="auto" w:before="139"/>
        <w:ind w:right="1131" w:firstLine="360"/>
        <w:jc w:val="both"/>
      </w:pPr>
      <w:r>
        <w:rPr>
          <w:spacing w:val="-2"/>
        </w:rPr>
        <w:t>经营范围：技术开发；技术转让；技术服务；研发、销售智能卡、磁条卡、刮刮卡、电子标签及电子设备；系统软件开</w:t>
      </w:r>
      <w:r>
        <w:rPr/>
        <w:t> </w:t>
      </w:r>
      <w:r>
        <w:rPr>
          <w:spacing w:val="-2"/>
        </w:rPr>
        <w:t>发；技术进出口；货物进出口；代理进出口；销售计算机软硬件及辅助设备；涉及、制作、代理、发布广告；营销策划；组</w:t>
      </w:r>
      <w:r>
        <w:rPr>
          <w:spacing w:val="-71"/>
        </w:rPr>
        <w:t> </w:t>
      </w:r>
      <w:r>
        <w:rPr>
          <w:spacing w:val="-71"/>
        </w:rPr>
      </w:r>
      <w:r>
        <w:rPr>
          <w:spacing w:val="-2"/>
        </w:rPr>
        <w:t>装</w:t>
      </w:r>
      <w:r>
        <w:rPr>
          <w:rFonts w:ascii="Times New Roman" w:hAnsi="Times New Roman" w:cs="Times New Roman" w:eastAsia="Times New Roman" w:hint="default"/>
          <w:spacing w:val="-2"/>
        </w:rPr>
        <w:t>IC</w:t>
      </w:r>
      <w:r>
        <w:rPr>
          <w:spacing w:val="-2"/>
        </w:rPr>
        <w:t>卡读写机；开发、生产经国家密码管理机构批准的商用密码产品：销售经国家密码管理局审批并通过指定检测机构产品</w:t>
      </w:r>
      <w:r>
        <w:rPr>
          <w:spacing w:val="-65"/>
        </w:rPr>
        <w:t> </w:t>
      </w:r>
      <w:r>
        <w:rPr>
          <w:spacing w:val="-65"/>
        </w:rPr>
      </w:r>
      <w:r>
        <w:rPr>
          <w:spacing w:val="-2"/>
        </w:rPr>
        <w:t>质量检测的商用密码产品；销售飞天诚信动态口令身份认证系统动态口令（</w:t>
      </w:r>
      <w:r>
        <w:rPr>
          <w:rFonts w:ascii="Times New Roman" w:hAnsi="Times New Roman" w:cs="Times New Roman" w:eastAsia="Times New Roman" w:hint="default"/>
          <w:spacing w:val="-2"/>
        </w:rPr>
        <w:t>OTP</w:t>
      </w:r>
      <w:r>
        <w:rPr>
          <w:spacing w:val="-2"/>
        </w:rPr>
        <w:t>）；经营电信业务。（公司依法自主选择经</w:t>
      </w:r>
      <w:r>
        <w:rPr>
          <w:spacing w:val="-46"/>
        </w:rPr>
        <w:t> </w:t>
      </w:r>
      <w:r>
        <w:rPr>
          <w:spacing w:val="-46"/>
        </w:rPr>
      </w:r>
      <w:r>
        <w:rPr>
          <w:spacing w:val="-2"/>
        </w:rPr>
        <w:t>营项目，开展经营活动：经营电信业务以及依法需经批准的项目，经相关部门批准后依批准的内容开展经营活动；不得从事</w:t>
      </w:r>
      <w:r>
        <w:rPr>
          <w:spacing w:val="-66"/>
        </w:rPr>
        <w:t> </w:t>
      </w:r>
      <w:r>
        <w:rPr>
          <w:spacing w:val="-66"/>
        </w:rPr>
      </w:r>
      <w:r>
        <w:rPr/>
        <w:t>本市产业政策禁止和限制类项目的经营活动。）</w:t>
      </w:r>
    </w:p>
    <w:p>
      <w:pPr>
        <w:pStyle w:val="BodyText"/>
        <w:spacing w:line="415" w:lineRule="auto" w:before="142"/>
        <w:ind w:left="514" w:right="1740"/>
        <w:jc w:val="left"/>
      </w:pPr>
      <w:r>
        <w:rPr/>
        <w:t>主营产品包括：</w:t>
      </w:r>
      <w:r>
        <w:rPr>
          <w:rFonts w:ascii="Times New Roman" w:hAnsi="Times New Roman" w:cs="Times New Roman" w:eastAsia="Times New Roman" w:hint="default"/>
        </w:rPr>
        <w:t>ePass</w:t>
      </w:r>
      <w:r>
        <w:rPr/>
        <w:t>系列</w:t>
      </w:r>
      <w:r>
        <w:rPr>
          <w:rFonts w:ascii="Times New Roman" w:hAnsi="Times New Roman" w:cs="Times New Roman" w:eastAsia="Times New Roman" w:hint="default"/>
        </w:rPr>
        <w:t>USB</w:t>
      </w:r>
      <w:r>
        <w:rPr>
          <w:rFonts w:ascii="Times New Roman" w:hAnsi="Times New Roman" w:cs="Times New Roman" w:eastAsia="Times New Roman" w:hint="default"/>
          <w:spacing w:val="-3"/>
        </w:rPr>
        <w:t> </w:t>
      </w:r>
      <w:r>
        <w:rPr>
          <w:rFonts w:ascii="Times New Roman" w:hAnsi="Times New Roman" w:cs="Times New Roman" w:eastAsia="Times New Roman" w:hint="default"/>
        </w:rPr>
        <w:t>Key</w:t>
      </w:r>
      <w:r>
        <w:rPr/>
        <w:t>、</w:t>
      </w:r>
      <w:r>
        <w:rPr>
          <w:rFonts w:ascii="Times New Roman" w:hAnsi="Times New Roman" w:cs="Times New Roman" w:eastAsia="Times New Roman" w:hint="default"/>
        </w:rPr>
        <w:t>OTP</w:t>
      </w:r>
      <w:r>
        <w:rPr/>
        <w:t>系列动态令牌、</w:t>
      </w:r>
      <w:r>
        <w:rPr>
          <w:rFonts w:ascii="Times New Roman" w:hAnsi="Times New Roman" w:cs="Times New Roman" w:eastAsia="Times New Roman" w:hint="default"/>
        </w:rPr>
        <w:t>ROCKEY</w:t>
      </w:r>
      <w:r>
        <w:rPr/>
        <w:t>系列软件加密锁、飞天智能卡及读写器等。 本财务报表已经本公司董事会于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日决议批准报出。 本公司报告期纳入合并范围的子公司共</w:t>
      </w:r>
      <w:r>
        <w:rPr>
          <w:rFonts w:ascii="Times New Roman" w:hAnsi="Times New Roman" w:cs="Times New Roman" w:eastAsia="Times New Roman" w:hint="default"/>
        </w:rPr>
        <w:t>6</w:t>
      </w:r>
      <w:r>
        <w:rPr/>
        <w:t>户，详见本附注八、（一）</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2"/>
          <w:szCs w:val="12"/>
        </w:rPr>
      </w:pPr>
    </w:p>
    <w:p>
      <w:pPr>
        <w:pStyle w:val="Heading2"/>
        <w:spacing w:line="240" w:lineRule="auto"/>
        <w:ind w:right="812"/>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12"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812"/>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812"/>
        <w:jc w:val="left"/>
      </w:pPr>
      <w:r>
        <w:rPr>
          <w:spacing w:val="-2"/>
        </w:rPr>
        <w:t>本公司对自报告期末起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个月的持续经营能力进行了评估，未发现影响本公司持续经营能力的事项，本公司以持续经营为基</w:t>
      </w:r>
      <w:r>
        <w:rPr>
          <w:spacing w:val="-62"/>
        </w:rPr>
        <w:t> </w:t>
      </w:r>
      <w:r>
        <w:rPr>
          <w:spacing w:val="-62"/>
        </w:rPr>
      </w:r>
      <w:r>
        <w:rPr/>
        <w:t>础编制财务报表是合理的。</w:t>
      </w:r>
    </w:p>
    <w:p>
      <w:pPr>
        <w:spacing w:line="240" w:lineRule="auto" w:before="9"/>
        <w:rPr>
          <w:rFonts w:ascii="宋体" w:hAnsi="宋体" w:cs="宋体" w:eastAsia="宋体" w:hint="default"/>
          <w:sz w:val="21"/>
          <w:szCs w:val="21"/>
        </w:rPr>
      </w:pPr>
    </w:p>
    <w:p>
      <w:pPr>
        <w:pStyle w:val="Heading2"/>
        <w:spacing w:line="240" w:lineRule="auto"/>
        <w:ind w:right="812"/>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spacing w:after="0" w:line="357" w:lineRule="auto"/>
        <w:jc w:val="left"/>
        <w:sectPr>
          <w:footerReference w:type="default" r:id="rId16"/>
          <w:pgSz w:w="11910" w:h="16840"/>
          <w:pgMar w:footer="979" w:header="877" w:top="1100" w:bottom="1160" w:left="980" w:right="0"/>
          <w:pgNumType w:start="101"/>
        </w:sectPr>
      </w:pPr>
    </w:p>
    <w:p>
      <w:pPr>
        <w:spacing w:line="240" w:lineRule="auto" w:before="9"/>
        <w:rPr>
          <w:rFonts w:ascii="宋体" w:hAnsi="宋体" w:cs="宋体" w:eastAsia="宋体" w:hint="default"/>
          <w:sz w:val="20"/>
          <w:szCs w:val="20"/>
        </w:rPr>
      </w:pPr>
    </w:p>
    <w:p>
      <w:pPr>
        <w:pStyle w:val="Heading3"/>
        <w:spacing w:line="240" w:lineRule="auto" w:before="35"/>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812"/>
        <w:jc w:val="left"/>
      </w:pPr>
      <w:r>
        <w:rPr/>
        <w:t>本公司基于上述编制基础编制的财务报表符合财政部已颁布的最新企业会计准则及其应用指南</w:t>
      </w:r>
      <w:r>
        <w:rPr>
          <w:spacing w:val="-82"/>
        </w:rPr>
        <w:t>、</w:t>
      </w:r>
      <w:r>
        <w:rPr/>
        <w:t>解释以及其他相关规定</w:t>
      </w:r>
    </w:p>
    <w:p>
      <w:pPr>
        <w:pStyle w:val="BodyText"/>
        <w:spacing w:line="240" w:lineRule="auto" w:before="76"/>
        <w:ind w:right="0"/>
        <w:jc w:val="both"/>
      </w:pP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spacing w:line="240" w:lineRule="auto" w:before="0"/>
        <w:rPr>
          <w:rFonts w:ascii="宋体" w:hAnsi="宋体" w:cs="宋体" w:eastAsia="宋体" w:hint="default"/>
          <w:sz w:val="14"/>
          <w:szCs w:val="14"/>
        </w:rPr>
      </w:pPr>
    </w:p>
    <w:p>
      <w:pPr>
        <w:pStyle w:val="BodyText"/>
        <w:spacing w:line="240" w:lineRule="auto"/>
        <w:ind w:left="514" w:right="812"/>
        <w:jc w:val="left"/>
      </w:pPr>
      <w:r>
        <w:rPr/>
        <w:t>此外，本财务报告编制参照了证监会发布的《公开发行证券的公司信息披露编报规则第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63"/>
        <w:ind w:right="0"/>
        <w:jc w:val="both"/>
      </w:pPr>
      <w:r>
        <w:rPr/>
        <w:t>（</w:t>
      </w:r>
      <w:r>
        <w:rPr>
          <w:rFonts w:ascii="Times New Roman" w:hAnsi="Times New Roman" w:cs="Times New Roman" w:eastAsia="Times New Roman" w:hint="default"/>
        </w:rPr>
        <w:t>2014</w:t>
      </w:r>
      <w:r>
        <w:rPr/>
        <w:t>年修订）以及《关于上市公司执行新企业会计准则有关事项的通知》（会计部函〔</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453</w:t>
      </w:r>
      <w:r>
        <w:rPr/>
        <w:t>号）的列报和披露要求。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812" w:firstLine="360"/>
        <w:jc w:val="left"/>
      </w:pPr>
      <w:r>
        <w:rPr>
          <w:spacing w:val="-2"/>
        </w:rPr>
        <w:t>本公司的会计年度从公历</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日止。正常营业周期是指本公司从购买用于加工的资产起至实现现金或现金等</w:t>
      </w:r>
      <w:r>
        <w:rPr/>
        <w:t> 价物的期间。</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人民币为本公司及境内子公司经营所处的主要经济环境中的货币，本公司及境内子公司以人民币为记账本位币。本公司</w:t>
      </w:r>
      <w:r>
        <w:rPr/>
        <w:t> 之境外子公司根据其经营所处的主要经济环境中的货币确定记账本位币。本公司编制本财务报表时所采用的货币为人民币。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514" w:right="812"/>
        <w:jc w:val="left"/>
      </w:pPr>
      <w:r>
        <w:rPr>
          <w:rFonts w:ascii="Times New Roman" w:hAnsi="Times New Roman" w:cs="Times New Roman" w:eastAsia="Times New Roman" w:hint="default"/>
        </w:rPr>
        <w:t>1.</w:t>
      </w:r>
      <w:r>
        <w:rPr/>
        <w:t>同一控制下企业合并的会计处理方法 </w:t>
      </w:r>
      <w:r>
        <w:rPr>
          <w:spacing w:val="-2"/>
        </w:rPr>
        <w:t>本公司在一次交易取得或通过多次交易分步实现同一控制下企业合并，企业合并中取得的资产和负债，按照合并日被合</w:t>
      </w:r>
    </w:p>
    <w:p>
      <w:pPr>
        <w:pStyle w:val="BodyText"/>
        <w:spacing w:line="316" w:lineRule="auto" w:before="76"/>
        <w:ind w:right="812"/>
        <w:jc w:val="left"/>
      </w:pPr>
      <w:r>
        <w:rPr>
          <w:spacing w:val="-2"/>
        </w:rPr>
        <w:t>并方在最终控制方合并财务报表中的的账面价值计量。本公司取得的净资产账面价值与支付的合并对价账面价值（或发行股</w:t>
      </w:r>
      <w:r>
        <w:rPr>
          <w:spacing w:val="-64"/>
        </w:rPr>
        <w:t> </w:t>
      </w:r>
      <w:r>
        <w:rPr>
          <w:spacing w:val="-64"/>
        </w:rPr>
      </w:r>
      <w:r>
        <w:rPr/>
        <w:t>份面值总额）的差额，调整资本公积；资本公积不足冲减的，调整留存收益。</w:t>
      </w:r>
    </w:p>
    <w:p>
      <w:pPr>
        <w:pStyle w:val="BodyText"/>
        <w:spacing w:line="432" w:lineRule="exact" w:before="3"/>
        <w:ind w:left="514" w:right="812"/>
        <w:jc w:val="left"/>
      </w:pPr>
      <w:r>
        <w:rPr>
          <w:rFonts w:ascii="Times New Roman" w:hAnsi="Times New Roman" w:cs="Times New Roman" w:eastAsia="Times New Roman" w:hint="default"/>
        </w:rPr>
        <w:t>2.</w:t>
      </w:r>
      <w:r>
        <w:rPr/>
        <w:t>非同一控制下企业合并的会计处理方法 </w:t>
      </w:r>
      <w:r>
        <w:rPr>
          <w:spacing w:val="-2"/>
        </w:rPr>
        <w:t>本公司在购买日对合并成本大于合并中取得的被购买方可辨认净资产公允价值份额的差额，确认为商誉；如果合并成本</w:t>
      </w:r>
    </w:p>
    <w:p>
      <w:pPr>
        <w:pStyle w:val="BodyText"/>
        <w:spacing w:line="316" w:lineRule="auto" w:before="15"/>
        <w:ind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240" w:lineRule="auto" w:before="139"/>
        <w:ind w:left="514" w:right="812"/>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2" w:lineRule="auto"/>
        <w:ind w:right="1131" w:firstLine="360"/>
        <w:jc w:val="both"/>
      </w:pPr>
      <w:r>
        <w:rPr/>
        <w:t>（</w:t>
      </w:r>
      <w:r>
        <w:rPr>
          <w:rFonts w:ascii="Times New Roman" w:hAnsi="Times New Roman" w:cs="Times New Roman" w:eastAsia="Times New Roman" w:hint="default"/>
        </w:rPr>
        <w:t>1</w:t>
      </w:r>
      <w:r>
        <w:rPr/>
        <w:t>）调整长期股权投资初始投资成本。购买日之前持有股权采用权益法核算的，按照该股权在购买日的公允价值进行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00" w:lineRule="auto" w:before="143"/>
        <w:ind w:right="1122" w:firstLine="360"/>
        <w:jc w:val="left"/>
      </w:pPr>
      <w:r>
        <w:rPr/>
        <w:t>（</w:t>
      </w:r>
      <w:r>
        <w:rPr>
          <w:rFonts w:ascii="Times New Roman" w:hAnsi="Times New Roman" w:cs="Times New Roman" w:eastAsia="Times New Roman" w:hint="default"/>
        </w:rPr>
        <w:t>2</w:t>
      </w:r>
      <w:r>
        <w:rPr/>
        <w:t>）确认商誉（或计入当期损益的金额）。将第一步调整后长期股权投资初始投资成本与购买日应享有子公司可辨认 净资产公允价值份额比较，前者大于后者，差额确认为商誉；前者小于后者，差额计入当期损益。</w:t>
      </w:r>
    </w:p>
    <w:p>
      <w:pPr>
        <w:pStyle w:val="BodyText"/>
        <w:spacing w:line="240" w:lineRule="auto" w:before="151"/>
        <w:ind w:left="514" w:right="812"/>
        <w:jc w:val="left"/>
      </w:pPr>
      <w:r>
        <w:rPr/>
        <w:t>通过多次交易分步处置股权至丧失对子公司控制权的情形：</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812"/>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w:t>
      </w:r>
    </w:p>
    <w:p>
      <w:pPr>
        <w:spacing w:line="240" w:lineRule="auto" w:before="13"/>
        <w:rPr>
          <w:rFonts w:ascii="宋体" w:hAnsi="宋体" w:cs="宋体" w:eastAsia="宋体" w:hint="default"/>
          <w:sz w:val="13"/>
          <w:szCs w:val="13"/>
        </w:rPr>
      </w:pPr>
    </w:p>
    <w:p>
      <w:pPr>
        <w:pStyle w:val="BodyText"/>
        <w:spacing w:line="316" w:lineRule="auto"/>
        <w:ind w:right="1132" w:firstLine="360"/>
        <w:jc w:val="both"/>
      </w:pPr>
      <w:r>
        <w:rPr>
          <w:spacing w:val="-2"/>
        </w:rPr>
        <w:t>处置对子公司股权投资的各项交易的条款、条件以及经济影响符合以下一种或多种情况，通常表明应将多次交易事项作</w:t>
      </w:r>
      <w:r>
        <w:rPr/>
        <w:t> 为一揽子交易进行会计处理：</w:t>
      </w:r>
    </w:p>
    <w:p>
      <w:pPr>
        <w:pStyle w:val="BodyText"/>
        <w:spacing w:line="240" w:lineRule="auto" w:before="139"/>
        <w:ind w:left="604" w:right="812"/>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604" w:right="812"/>
        <w:jc w:val="left"/>
      </w:pP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604" w:right="812"/>
        <w:jc w:val="left"/>
      </w:pP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604" w:right="812"/>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420" w:lineRule="atLeast" w:before="12"/>
        <w:ind w:left="514" w:right="812"/>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处置对子公司股权投资直至丧失控制权的各项交易属于一揽子交易的，应当将各项交易作为一项处置子公司并丧失控制</w:t>
      </w:r>
    </w:p>
    <w:p>
      <w:pPr>
        <w:pStyle w:val="BodyText"/>
        <w:spacing w:line="316" w:lineRule="auto" w:before="76"/>
        <w:ind w:right="812"/>
        <w:jc w:val="left"/>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并财务报表中应当确认为其他综合收益，在丧失控制权时一并转入丧失控制权当期的损益。</w:t>
      </w:r>
    </w:p>
    <w:p>
      <w:pPr>
        <w:pStyle w:val="BodyText"/>
        <w:spacing w:line="316" w:lineRule="auto" w:before="139"/>
        <w:ind w:right="1132" w:firstLine="360"/>
        <w:jc w:val="both"/>
      </w:pPr>
      <w:r>
        <w:rPr>
          <w:spacing w:val="-2"/>
        </w:rPr>
        <w:t>在合并财务报表中，对于剩余股权，应当按照其在丧失控制权日的公允价值进行重新计量。处置股权取得的对价与剩余</w:t>
      </w:r>
      <w:r>
        <w:rPr/>
        <w:t> </w:t>
      </w:r>
      <w:r>
        <w:rPr>
          <w:spacing w:val="-2"/>
        </w:rPr>
        <w:t>股权公允价值之和，减去按原持股比例计算应享有原子公司自购买日开始持续计算的净资产的份额之间的差额，计入丧失控</w:t>
      </w:r>
      <w:r>
        <w:rPr>
          <w:spacing w:val="-64"/>
        </w:rPr>
        <w:t> </w:t>
      </w:r>
      <w:r>
        <w:rPr>
          <w:spacing w:val="-64"/>
        </w:rPr>
      </w:r>
      <w:r>
        <w:rPr/>
        <w:t>制权当期的投资收益。与原子公司股权投资相关的其他综合收益，应当在丧失控制权时转为当期投资收益。</w:t>
      </w:r>
    </w:p>
    <w:p>
      <w:pPr>
        <w:pStyle w:val="BodyText"/>
        <w:spacing w:line="432" w:lineRule="exact" w:before="3"/>
        <w:ind w:left="514" w:right="812"/>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w:t>
      </w:r>
      <w:r>
        <w:rPr>
          <w:spacing w:val="-2"/>
        </w:rPr>
        <w:t>处置对子公司的投资未丧失控制权的，合并财务报表中处置价款与处置投资对应的享有该子公司净资产份额的差额计入</w:t>
      </w:r>
    </w:p>
    <w:p>
      <w:pPr>
        <w:pStyle w:val="BodyText"/>
        <w:spacing w:line="240" w:lineRule="auto" w:before="15"/>
        <w:ind w:right="812"/>
        <w:jc w:val="left"/>
      </w:pPr>
      <w:r>
        <w:rPr/>
        <w:t>资本公积（资本溢价或股本溢价），资本溢价不足冲减的，应当调整留存收益。</w:t>
      </w:r>
    </w:p>
    <w:p>
      <w:pPr>
        <w:spacing w:line="240" w:lineRule="auto" w:before="0"/>
        <w:rPr>
          <w:rFonts w:ascii="宋体" w:hAnsi="宋体" w:cs="宋体" w:eastAsia="宋体" w:hint="default"/>
          <w:sz w:val="15"/>
          <w:szCs w:val="15"/>
        </w:rPr>
      </w:pPr>
    </w:p>
    <w:p>
      <w:pPr>
        <w:pStyle w:val="BodyText"/>
        <w:spacing w:line="319" w:lineRule="auto"/>
        <w:ind w:right="1132" w:firstLine="360"/>
        <w:jc w:val="both"/>
      </w:pPr>
      <w:r>
        <w:rPr>
          <w:spacing w:val="-2"/>
        </w:rPr>
        <w:t>处置对子公司的投资丧失控制权的，在合并财务报表中，对于剩余股权，应当按照其在丧失控制权日的公允价值进行重</w:t>
      </w:r>
      <w:r>
        <w:rPr/>
        <w:t> </w:t>
      </w:r>
      <w:r>
        <w:rPr>
          <w:spacing w:val="-2"/>
        </w:rPr>
        <w:t>新计量。处置股权取得的对价与剩余股权公允价值之和，减去按原持股比例计算应享有原有子公司自购买日开始持续计算的</w:t>
      </w:r>
      <w:r>
        <w:rPr>
          <w:spacing w:val="-64"/>
        </w:rPr>
        <w:t> </w:t>
      </w:r>
      <w:r>
        <w:rPr>
          <w:spacing w:val="-64"/>
        </w:rPr>
      </w:r>
      <w:r>
        <w:rPr>
          <w:spacing w:val="-2"/>
        </w:rPr>
        <w:t>净资产的份额之间的差额，计入丧失控制权当期的投资收益。与原有子公司股权投资相关的其他综合收益，应当在丧失控制</w:t>
      </w:r>
      <w:r>
        <w:rPr>
          <w:spacing w:val="-66"/>
        </w:rPr>
        <w:t> </w:t>
      </w:r>
      <w:r>
        <w:rPr>
          <w:spacing w:val="-66"/>
        </w:rPr>
      </w:r>
      <w:r>
        <w:rPr/>
        <w:t>权时转为当期投资收益。</w:t>
      </w:r>
    </w:p>
    <w:p>
      <w:pPr>
        <w:spacing w:line="240" w:lineRule="auto" w:before="5"/>
        <w:rPr>
          <w:rFonts w:ascii="宋体" w:hAnsi="宋体" w:cs="宋体" w:eastAsia="宋体" w:hint="default"/>
          <w:sz w:val="22"/>
          <w:szCs w:val="22"/>
        </w:rPr>
      </w:pPr>
    </w:p>
    <w:p>
      <w:pPr>
        <w:pStyle w:val="Heading3"/>
        <w:spacing w:line="240" w:lineRule="auto"/>
        <w:ind w:right="812"/>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2"/>
        </w:rPr>
        <w:t>合并财务报表以母公司及其子公司的财务报表为基础，根据其他有关资料，由本公司按照《企业会计准则第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w:t>
      </w:r>
      <w:r>
        <w:rPr/>
        <w:t> 并财务报表》编制。</w:t>
      </w:r>
    </w:p>
    <w:p>
      <w:pPr>
        <w:pStyle w:val="BodyText"/>
        <w:spacing w:line="432" w:lineRule="exact" w:before="16"/>
        <w:ind w:left="514" w:right="812"/>
        <w:jc w:val="left"/>
      </w:pP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5"/>
        <w:ind w:right="812"/>
        <w:jc w:val="left"/>
      </w:pPr>
      <w:r>
        <w:rPr>
          <w:spacing w:val="-2"/>
        </w:rPr>
        <w:t>动而享有可变回报，并且有能力运用对被投资方的权力影响该回报金额。合并范围包括本公司及全部子公司。子公司，是指</w:t>
      </w:r>
      <w:r>
        <w:rPr>
          <w:spacing w:val="-65"/>
        </w:rPr>
        <w:t> </w:t>
      </w:r>
      <w:r>
        <w:rPr>
          <w:spacing w:val="-65"/>
        </w:rPr>
      </w:r>
      <w:r>
        <w:rPr/>
        <w:t>被本公司控制的主体。</w:t>
      </w:r>
    </w:p>
    <w:p>
      <w:pPr>
        <w:pStyle w:val="BodyText"/>
        <w:spacing w:line="432" w:lineRule="exact" w:before="3"/>
        <w:ind w:left="514" w:right="812"/>
        <w:jc w:val="left"/>
      </w:pPr>
      <w:r>
        <w:rPr/>
        <w:t>一旦相关事实和情况的变化导致上述控制定义涉及的相关要素发生了变化，本公司将进行重新评估。 </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15"/>
        <w:ind w:right="812"/>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spacing w:after="0" w:line="319"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432" w:lineRule="exact" w:before="3"/>
        <w:ind w:left="514" w:right="81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5"/>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151"/>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3"/>
        </w:rPr>
        <w:t> </w:t>
      </w:r>
      <w:r>
        <w:rPr>
          <w:spacing w:val="-63"/>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spacing w:val="-3"/>
        </w:rPr>
        <w:t>长期股权投资》或《企业会计准则第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金融工具确认和计量》等相关规定进行后续计量，详见本附注三、（十四）</w:t>
      </w:r>
      <w:r>
        <w:rPr>
          <w:rFonts w:ascii="Times New Roman" w:hAnsi="Times New Roman" w:cs="Times New Roman" w:eastAsia="Times New Roman" w:hint="default"/>
          <w:spacing w:val="-3"/>
        </w:rPr>
        <w:t>“</w:t>
      </w:r>
      <w:r>
        <w:rPr>
          <w:spacing w:val="-3"/>
        </w:rPr>
        <w:t>长</w:t>
      </w:r>
      <w:r>
        <w:rPr>
          <w:spacing w:val="-87"/>
        </w:rPr>
        <w:t> </w:t>
      </w:r>
      <w:r>
        <w:rPr/>
        <w:t>期股权投资</w:t>
      </w:r>
      <w:r>
        <w:rPr>
          <w:rFonts w:ascii="Times New Roman" w:hAnsi="Times New Roman" w:cs="Times New Roman" w:eastAsia="Times New Roman" w:hint="default"/>
        </w:rPr>
        <w:t>”</w:t>
      </w:r>
      <w:r>
        <w:rPr/>
        <w:t>或本附注三、（十）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07" w:lineRule="auto" w:before="123"/>
        <w:ind w:right="1130"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w:t>
      </w:r>
      <w:r>
        <w:rPr>
          <w:rFonts w:ascii="Times New Roman" w:hAnsi="Times New Roman" w:cs="Times New Roman" w:eastAsia="Times New Roman" w:hint="default"/>
          <w:spacing w:val="-2"/>
        </w:rPr>
        <w:t>1</w:t>
      </w:r>
      <w:r>
        <w:rPr>
          <w:spacing w:val="-2"/>
        </w:rPr>
        <w:t>）这些交易是同时或者在考虑了彼此影响的情况下订立的；</w:t>
      </w:r>
      <w:r>
        <w:rPr>
          <w:rFonts w:ascii="Times New Roman" w:hAnsi="Times New Roman" w:cs="Times New Roman" w:eastAsia="Times New Roman" w:hint="default"/>
          <w:spacing w:val="-2"/>
        </w:rPr>
        <w:t>2</w:t>
      </w:r>
      <w:r>
        <w:rPr>
          <w:spacing w:val="-2"/>
        </w:rPr>
        <w:t>）这些</w:t>
      </w:r>
      <w:r>
        <w:rPr>
          <w:spacing w:val="-63"/>
        </w:rPr>
        <w:t> </w:t>
      </w:r>
      <w:r>
        <w:rPr>
          <w:spacing w:val="-63"/>
        </w:rPr>
      </w:r>
      <w:r>
        <w:rPr>
          <w:spacing w:val="-2"/>
        </w:rPr>
        <w:t>交易整体才能达成一项完整的商业结果；</w:t>
      </w:r>
      <w:r>
        <w:rPr>
          <w:rFonts w:ascii="Times New Roman" w:hAnsi="Times New Roman" w:cs="Times New Roman" w:eastAsia="Times New Roman" w:hint="default"/>
          <w:spacing w:val="-2"/>
        </w:rPr>
        <w:t>3</w:t>
      </w:r>
      <w:r>
        <w:rPr>
          <w:spacing w:val="-2"/>
        </w:rPr>
        <w:t>）一项交易的发生取决于其他至少一项交易的发生；</w:t>
      </w:r>
      <w:r>
        <w:rPr>
          <w:rFonts w:ascii="Times New Roman" w:hAnsi="Times New Roman" w:cs="Times New Roman" w:eastAsia="Times New Roman" w:hint="default"/>
          <w:spacing w:val="-2"/>
        </w:rPr>
        <w:t>4</w:t>
      </w:r>
      <w:r>
        <w:rPr>
          <w:spacing w:val="-2"/>
        </w:rPr>
        <w:t>）一项交易单独看是不经济</w:t>
      </w:r>
      <w:r>
        <w:rPr>
          <w:spacing w:val="-62"/>
        </w:rPr>
        <w:t> </w:t>
      </w:r>
      <w:r>
        <w:rPr>
          <w:spacing w:val="-62"/>
        </w:rPr>
      </w:r>
      <w:r>
        <w:rPr/>
        <w:t>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w:t>
      </w:r>
      <w:r>
        <w:rPr>
          <w:spacing w:val="-74"/>
        </w:rPr>
        <w:t> </w:t>
      </w:r>
      <w:r>
        <w:rPr>
          <w:spacing w:val="-74"/>
        </w:rPr>
      </w:r>
      <w:r>
        <w:rPr/>
        <w:t>况下部分处置对子公司的长期股权投资</w:t>
      </w:r>
      <w:r>
        <w:rPr>
          <w:rFonts w:ascii="Times New Roman" w:hAnsi="Times New Roman" w:cs="Times New Roman" w:eastAsia="Times New Roman" w:hint="default"/>
        </w:rPr>
        <w:t>”</w:t>
      </w:r>
      <w:r>
        <w:rPr/>
        <w:t>（详见本附注三、（十四）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t>长期股权投资的处置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w:t>
      </w:r>
      <w:r>
        <w:rPr>
          <w:spacing w:val="-35"/>
        </w:rPr>
        <w:t> </w:t>
      </w:r>
      <w:r>
        <w:rPr/>
        <w:t>部分股权投资或其他原因丧失了对原有子公司的控制权</w:t>
      </w:r>
      <w:r>
        <w:rPr>
          <w:rFonts w:ascii="Times New Roman" w:hAnsi="Times New Roman" w:cs="Times New Roman" w:eastAsia="Times New Roman" w:hint="default"/>
        </w:rPr>
        <w:t>”</w:t>
      </w:r>
      <w:r>
        <w:rPr/>
        <w:t>（详见前段）适用的原则进行会计处理。处置对子公司股权投资直</w:t>
      </w:r>
      <w:r>
        <w:rPr>
          <w:spacing w:val="-76"/>
        </w:rPr>
        <w:t> </w:t>
      </w:r>
      <w:r>
        <w:rPr>
          <w:spacing w:val="-76"/>
        </w:rPr>
      </w:r>
      <w:r>
        <w:rPr>
          <w:spacing w:val="-2"/>
        </w:rPr>
        <w:t>至丧失控制权的各项交易属于一揽子交易的，将各项交易作为一项处置子公司并丧失控制权的交易进行会计处理；但是，在</w:t>
      </w:r>
      <w:r>
        <w:rPr>
          <w:spacing w:val="-66"/>
        </w:rPr>
        <w:t> </w:t>
      </w:r>
      <w:r>
        <w:rPr>
          <w:spacing w:val="-66"/>
        </w:rPr>
      </w:r>
      <w:r>
        <w:rPr/>
        <w:t>丧失控制权之前每一次处置价款与处置投资对应的享有该子公司净资产份额的差额，在合并财务报表中确认为其他综合收</w:t>
      </w:r>
      <w:r>
        <w:rPr>
          <w:spacing w:val="-9"/>
        </w:rPr>
        <w:t> </w:t>
      </w:r>
      <w:r>
        <w:rPr>
          <w:spacing w:val="-9"/>
        </w:rPr>
      </w:r>
      <w:r>
        <w:rPr/>
        <w:t>益，在丧失控制权时一并转入丧失控制权当期的损益。</w:t>
      </w:r>
    </w:p>
    <w:p>
      <w:pPr>
        <w:spacing w:line="240" w:lineRule="auto" w:before="1"/>
        <w:rPr>
          <w:rFonts w:ascii="宋体" w:hAnsi="宋体" w:cs="宋体" w:eastAsia="宋体" w:hint="default"/>
          <w:sz w:val="23"/>
          <w:szCs w:val="23"/>
        </w:rPr>
      </w:pPr>
    </w:p>
    <w:p>
      <w:pPr>
        <w:pStyle w:val="Heading3"/>
        <w:spacing w:line="240" w:lineRule="auto"/>
        <w:ind w:right="812"/>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pStyle w:val="BodyText"/>
        <w:spacing w:line="430" w:lineRule="atLeast" w:before="166"/>
        <w:ind w:left="514" w:right="1115"/>
        <w:jc w:val="left"/>
      </w:pPr>
      <w:r>
        <w:rPr>
          <w:rFonts w:ascii="Times New Roman" w:hAnsi="Times New Roman" w:cs="Times New Roman" w:eastAsia="Times New Roman" w:hint="default"/>
        </w:rPr>
        <w:t>1.</w:t>
      </w:r>
      <w:r>
        <w:rPr/>
        <w:t>合营安排的认定和分类 </w:t>
      </w:r>
      <w:r>
        <w:rPr>
          <w:spacing w:val="-1"/>
        </w:rPr>
        <w:t>合营安排，是指一项由两个或两个以上的参与方共同控制的安排。合营安排具有下列特征：</w:t>
      </w:r>
      <w:r>
        <w:rPr>
          <w:rFonts w:ascii="Times New Roman" w:hAnsi="Times New Roman" w:cs="Times New Roman" w:eastAsia="Times New Roman" w:hint="default"/>
          <w:spacing w:val="-1"/>
        </w:rPr>
        <w:t>1)</w:t>
      </w:r>
      <w:r>
        <w:rPr>
          <w:spacing w:val="-1"/>
        </w:rPr>
        <w:t>各参与方均受到该安排的</w:t>
      </w:r>
    </w:p>
    <w:p>
      <w:pPr>
        <w:pStyle w:val="BodyText"/>
        <w:spacing w:line="300" w:lineRule="auto" w:before="63"/>
        <w:ind w:right="1117"/>
        <w:jc w:val="left"/>
      </w:pPr>
      <w:r>
        <w:rPr>
          <w:spacing w:val="-1"/>
        </w:rPr>
        <w:t>约束；</w:t>
      </w:r>
      <w:r>
        <w:rPr>
          <w:rFonts w:ascii="Times New Roman" w:hAnsi="Times New Roman" w:cs="Times New Roman" w:eastAsia="Times New Roman" w:hint="default"/>
          <w:spacing w:val="-1"/>
        </w:rPr>
        <w:t>2)</w:t>
      </w:r>
      <w:r>
        <w:rPr>
          <w:spacing w:val="-1"/>
        </w:rPr>
        <w:t>两个或两个以上的参与方对该安排实施共同控制。任何一个参与方都不能够单独控制该安排，对该安排具有共同控</w:t>
      </w:r>
      <w:r>
        <w:rPr>
          <w:spacing w:val="-88"/>
        </w:rPr>
        <w:t> </w:t>
      </w:r>
      <w:r>
        <w:rPr>
          <w:spacing w:val="-88"/>
        </w:rPr>
      </w:r>
      <w:r>
        <w:rPr/>
        <w:t>制的任何一个参与方均能够阻止其他参与方或参与方组合单独控制该安排。</w:t>
      </w:r>
    </w:p>
    <w:p>
      <w:pPr>
        <w:pStyle w:val="BodyText"/>
        <w:spacing w:line="316" w:lineRule="auto" w:before="151"/>
        <w:ind w:right="1132" w:firstLine="360"/>
        <w:jc w:val="both"/>
      </w:pPr>
      <w:r>
        <w:rPr>
          <w:spacing w:val="-2"/>
        </w:rPr>
        <w:t>共同控制，是指按照相关约定对某项安排所共有的控制，并且该安排的相关活动必须经过分享控制权的参与方一致同意</w:t>
      </w:r>
      <w:r>
        <w:rPr/>
        <w:t> 后才能决策。</w:t>
      </w:r>
    </w:p>
    <w:p>
      <w:pPr>
        <w:pStyle w:val="BodyText"/>
        <w:spacing w:line="316" w:lineRule="auto" w:before="139"/>
        <w:ind w:right="1132" w:firstLine="360"/>
        <w:jc w:val="both"/>
      </w:pPr>
      <w:r>
        <w:rPr>
          <w:spacing w:val="-2"/>
        </w:rPr>
        <w:t>合营安排分为共同经营和合营企业。共同经营，是指合营方享有该安排相关资产且承担该安排相关负债的合营安排。合</w:t>
      </w:r>
      <w:r>
        <w:rPr/>
        <w:t> 营企业，是指合营方仅对该安排的净资产享有权利的合营安排。</w:t>
      </w:r>
    </w:p>
    <w:p>
      <w:pPr>
        <w:pStyle w:val="BodyText"/>
        <w:spacing w:line="432" w:lineRule="exact" w:before="3"/>
        <w:ind w:left="514" w:right="1115"/>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合营安排的会计处理 </w:t>
      </w:r>
      <w:r>
        <w:rPr>
          <w:spacing w:val="-1"/>
        </w:rPr>
        <w:t>共同经营参与方应当确认其与共同经营中利益份额相关的下列项目，并按照相关企业会计准则的规定进行会计处理：</w:t>
      </w:r>
      <w:r>
        <w:rPr>
          <w:rFonts w:ascii="Times New Roman" w:hAnsi="Times New Roman" w:cs="Times New Roman" w:eastAsia="Times New Roman" w:hint="default"/>
          <w:spacing w:val="-1"/>
        </w:rPr>
        <w:t>1)</w:t>
      </w:r>
    </w:p>
    <w:p>
      <w:pPr>
        <w:pStyle w:val="BodyText"/>
        <w:spacing w:line="300" w:lineRule="auto" w:before="15"/>
        <w:ind w:right="812"/>
        <w:jc w:val="left"/>
      </w:pPr>
      <w:r>
        <w:rPr>
          <w:spacing w:val="-3"/>
        </w:rPr>
        <w:t>确认单独所持有的资产，以及按其份额确认共同持有的资产；</w:t>
      </w:r>
      <w:r>
        <w:rPr>
          <w:rFonts w:ascii="Times New Roman" w:hAnsi="Times New Roman" w:cs="Times New Roman" w:eastAsia="Times New Roman" w:hint="default"/>
          <w:spacing w:val="-3"/>
        </w:rPr>
        <w:t>2)</w:t>
      </w:r>
      <w:r>
        <w:rPr>
          <w:spacing w:val="-3"/>
        </w:rPr>
        <w:t>确认单独所承担的负债，以及按其份额确认共同承担的负债；</w:t>
      </w:r>
      <w:r>
        <w:rPr>
          <w:spacing w:val="-64"/>
        </w:rPr>
        <w:t> </w:t>
      </w:r>
      <w:r>
        <w:rPr>
          <w:spacing w:val="-64"/>
        </w:rPr>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4)</w:t>
      </w:r>
      <w:r>
        <w:rPr/>
        <w:t>按其份额确认共同经营因出售产出所产生的收入；</w:t>
      </w:r>
      <w:r>
        <w:rPr>
          <w:rFonts w:ascii="Times New Roman" w:hAnsi="Times New Roman" w:cs="Times New Roman" w:eastAsia="Times New Roman" w:hint="default"/>
        </w:rPr>
        <w:t>5)</w:t>
      </w:r>
      <w:r>
        <w:rPr/>
        <w:t>确认单独所发</w:t>
      </w:r>
      <w:r>
        <w:rPr>
          <w:spacing w:val="-82"/>
        </w:rPr>
        <w:t> </w:t>
      </w:r>
      <w:r>
        <w:rPr>
          <w:spacing w:val="-82"/>
        </w:rPr>
      </w:r>
      <w:r>
        <w:rPr/>
        <w:t>生的费用，以及按其份额确认共同经营发生的费用。</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14" w:right="812"/>
        <w:jc w:val="left"/>
      </w:pPr>
      <w:r>
        <w:rPr/>
        <w:t>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w:t>
      </w:r>
    </w:p>
    <w:p>
      <w:pPr>
        <w:spacing w:line="240" w:lineRule="auto" w:before="13"/>
        <w:rPr>
          <w:rFonts w:ascii="宋体" w:hAnsi="宋体" w:cs="宋体" w:eastAsia="宋体" w:hint="default"/>
          <w:sz w:val="13"/>
          <w:szCs w:val="13"/>
        </w:rPr>
      </w:pPr>
    </w:p>
    <w:p>
      <w:pPr>
        <w:pStyle w:val="BodyText"/>
        <w:spacing w:line="300" w:lineRule="auto"/>
        <w:ind w:right="1129" w:firstLine="360"/>
        <w:jc w:val="both"/>
      </w:pPr>
      <w:r>
        <w:rPr>
          <w:spacing w:val="-1"/>
        </w:rPr>
        <w:t>本公司对合营企业的投资采用权益法核算，按照本节第五</w:t>
      </w:r>
      <w:r>
        <w:rPr>
          <w:rFonts w:ascii="Times New Roman" w:hAnsi="Times New Roman" w:cs="Times New Roman" w:eastAsia="Times New Roman" w:hint="default"/>
          <w:spacing w:val="-1"/>
        </w:rPr>
        <w:t>“</w:t>
      </w:r>
      <w:r>
        <w:rPr>
          <w:spacing w:val="-1"/>
        </w:rPr>
        <w:t>重要会计政策及会计估计</w:t>
      </w:r>
      <w:r>
        <w:rPr>
          <w:rFonts w:ascii="Times New Roman" w:hAnsi="Times New Roman" w:cs="Times New Roman" w:eastAsia="Times New Roman" w:hint="default"/>
          <w:spacing w:val="-1"/>
        </w:rPr>
        <w:t>”</w:t>
      </w:r>
      <w:r>
        <w:rPr>
          <w:spacing w:val="-1"/>
        </w:rPr>
        <w:t>之</w:t>
      </w:r>
      <w:r>
        <w:rPr>
          <w:rFonts w:ascii="Times New Roman" w:hAnsi="Times New Roman" w:cs="Times New Roman" w:eastAsia="Times New Roman" w:hint="default"/>
          <w:spacing w:val="-1"/>
        </w:rPr>
        <w:t>14“</w:t>
      </w:r>
      <w:r>
        <w:rPr>
          <w:spacing w:val="-1"/>
        </w:rPr>
        <w:t>长期股权投资</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w:t>
      </w:r>
      <w:r>
        <w:rPr>
          <w:spacing w:val="-1"/>
        </w:rPr>
        <w:t>后续计量</w:t>
      </w:r>
      <w:r>
        <w:rPr/>
        <w:t> 及损益确认的方法</w:t>
      </w:r>
      <w:r>
        <w:rPr>
          <w:rFonts w:ascii="Times New Roman" w:hAnsi="Times New Roman" w:cs="Times New Roman" w:eastAsia="Times New Roman" w:hint="default"/>
        </w:rPr>
        <w:t>”</w:t>
      </w:r>
      <w:r>
        <w:rPr/>
        <w:t>中所述的会计政策处理。</w:t>
      </w:r>
    </w:p>
    <w:p>
      <w:pPr>
        <w:pStyle w:val="BodyText"/>
        <w:spacing w:line="316" w:lineRule="auto" w:before="133"/>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39"/>
        <w:ind w:right="113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现金流量表的现金指企业库存现金及可以随时用于支付的存款。现金等价物指持有的期限短（一般是指从购买日起三个</w:t>
      </w:r>
      <w:r>
        <w:rPr/>
        <w:t> 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420" w:lineRule="atLeast" w:before="176"/>
        <w:ind w:left="514" w:right="812"/>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9" w:lineRule="auto" w:before="76"/>
        <w:ind w:right="1131"/>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432" w:lineRule="exact" w:before="1"/>
        <w:ind w:left="514" w:right="812"/>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5"/>
        <w:ind w:right="1133"/>
        <w:jc w:val="both"/>
      </w:pPr>
      <w:r>
        <w:rPr>
          <w:spacing w:val="-2"/>
        </w:rPr>
        <w:t>目采用交易发生日的即期汇率折算；利润表中的收入和费用项目，采用交易发生日即期汇率的近似汇率折算。按照上述折算</w:t>
      </w:r>
      <w:r>
        <w:rPr>
          <w:spacing w:val="-66"/>
        </w:rPr>
        <w:t> </w:t>
      </w:r>
      <w:r>
        <w:rPr>
          <w:spacing w:val="-66"/>
        </w:rPr>
      </w:r>
      <w:r>
        <w:rPr/>
        <w:t>产生的外币财务报表折算差额，确认为其他综合收益。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20" w:lineRule="atLeast" w:before="176"/>
        <w:ind w:left="514" w:right="812"/>
        <w:jc w:val="left"/>
      </w:pPr>
      <w:r>
        <w:rPr>
          <w:rFonts w:ascii="Times New Roman" w:hAnsi="Times New Roman" w:cs="Times New Roman" w:eastAsia="Times New Roman" w:hint="default"/>
        </w:rPr>
        <w:t>1.</w:t>
      </w:r>
      <w:r>
        <w:rPr/>
        <w:t>金融资产和金融负债的分类 </w:t>
      </w:r>
      <w:r>
        <w:rPr>
          <w:spacing w:val="-2"/>
        </w:rPr>
        <w:t>金融资产在初始确认时划分为以下四类：以公允价值计量且其变动计入当期损益的金融资产（包括交易性金融资产和指</w:t>
      </w:r>
    </w:p>
    <w:p>
      <w:pPr>
        <w:pStyle w:val="BodyText"/>
        <w:spacing w:line="240" w:lineRule="auto" w:before="76"/>
        <w:ind w:right="0"/>
        <w:jc w:val="both"/>
      </w:pPr>
      <w:r>
        <w:rPr/>
        <w:t>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金融负债在初始确认时划分为以下两类：以公允价值计量且其变动计入当期损益的金融负债（包括交易性金融负债和指</w:t>
      </w:r>
      <w:r>
        <w:rPr/>
        <w:t> 定为以公允价值计量且其变动计入当期损益的金融负债）、其他金融负债。</w:t>
      </w:r>
    </w:p>
    <w:p>
      <w:pPr>
        <w:pStyle w:val="BodyText"/>
        <w:spacing w:line="432" w:lineRule="exact" w:before="3"/>
        <w:ind w:left="514" w:right="812"/>
        <w:jc w:val="left"/>
      </w:pPr>
      <w:r>
        <w:rPr>
          <w:rFonts w:ascii="Times New Roman" w:hAnsi="Times New Roman" w:cs="Times New Roman" w:eastAsia="Times New Roman" w:hint="default"/>
        </w:rPr>
        <w:t>2.</w:t>
      </w:r>
      <w:r>
        <w:rPr/>
        <w:t>金融资产和金融负债的确认依据、计量方法和终止确认条件 </w:t>
      </w:r>
      <w:r>
        <w:rPr>
          <w:spacing w:val="-2"/>
        </w:rPr>
        <w:t>本公司成为金融工具合同的一方时，确认一项金融资产或金融负债。初始确认金融资产或金融负债时，按照公允价值计</w:t>
      </w:r>
    </w:p>
    <w:p>
      <w:pPr>
        <w:pStyle w:val="BodyText"/>
        <w:spacing w:line="316" w:lineRule="auto" w:before="15"/>
        <w:ind w:right="1132"/>
        <w:jc w:val="both"/>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240" w:lineRule="auto" w:before="139"/>
        <w:ind w:left="514" w:right="812"/>
        <w:jc w:val="left"/>
      </w:pPr>
      <w:r>
        <w:rPr/>
        <w:t>本公司按照公允价值对金融资产进行后续计量</w:t>
      </w:r>
      <w:r>
        <w:rPr>
          <w:spacing w:val="-87"/>
        </w:rPr>
        <w:t>，</w:t>
      </w:r>
      <w:r>
        <w:rPr/>
        <w:t>且不扣除将来处置该金融资产时可能发生的交易费用</w:t>
      </w:r>
      <w:r>
        <w:rPr>
          <w:spacing w:val="-87"/>
        </w:rPr>
        <w:t>，</w:t>
      </w:r>
      <w:r>
        <w:rPr/>
        <w:t>但下列情况除外：</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2"/>
        <w:jc w:val="both"/>
      </w:pPr>
      <w:r>
        <w:rPr>
          <w:spacing w:val="-2"/>
        </w:rPr>
        <w:t>（</w:t>
      </w:r>
      <w:r>
        <w:rPr>
          <w:rFonts w:ascii="Times New Roman" w:hAnsi="Times New Roman" w:cs="Times New Roman" w:eastAsia="Times New Roman" w:hint="default"/>
          <w:spacing w:val="-2"/>
        </w:rPr>
        <w:t>1</w:t>
      </w:r>
      <w:r>
        <w:rPr>
          <w:spacing w:val="-2"/>
        </w:rPr>
        <w:t>）持有至到期投资以及贷款和应收款项采用实际利率法，按摊余成本计量；（</w:t>
      </w:r>
      <w:r>
        <w:rPr>
          <w:rFonts w:ascii="Times New Roman" w:hAnsi="Times New Roman" w:cs="Times New Roman" w:eastAsia="Times New Roman" w:hint="default"/>
          <w:spacing w:val="-2"/>
        </w:rPr>
        <w:t>2</w:t>
      </w:r>
      <w:r>
        <w:rPr>
          <w:spacing w:val="-2"/>
        </w:rPr>
        <w:t>）在活跃市场中没有报价且其公允价值不</w:t>
      </w:r>
      <w:r>
        <w:rPr>
          <w:spacing w:val="-64"/>
        </w:rPr>
        <w:t> </w:t>
      </w:r>
      <w:r>
        <w:rPr>
          <w:spacing w:val="-64"/>
        </w:rPr>
      </w:r>
      <w:r>
        <w:rPr/>
        <w:t>能可靠计量的权益工具投资，以及与该权益工具挂钩并须通过交付该权益工具结算的衍生金融资产，按照成本计量。</w:t>
      </w:r>
    </w:p>
    <w:p>
      <w:pPr>
        <w:pStyle w:val="BodyText"/>
        <w:spacing w:line="302" w:lineRule="auto" w:before="151"/>
        <w:ind w:right="1129" w:firstLine="360"/>
        <w:jc w:val="both"/>
      </w:pPr>
      <w:r>
        <w:rPr/>
        <w:t>本公司采用实际利率法，按摊余成本对金融负债进行后续计量，但下列情况除外：（</w:t>
      </w:r>
      <w:r>
        <w:rPr>
          <w:rFonts w:ascii="Times New Roman" w:hAnsi="Times New Roman" w:cs="Times New Roman" w:eastAsia="Times New Roman" w:hint="default"/>
        </w:rPr>
        <w:t>1</w:t>
      </w:r>
      <w:r>
        <w:rPr/>
        <w:t>）以公允价值计量且其变动计入 当期损益的金融负债，按照公允价值计量，且不扣除将来结清金融负债时可能发生的交易费用；（</w:t>
      </w:r>
      <w:r>
        <w:rPr>
          <w:rFonts w:ascii="Times New Roman" w:hAnsi="Times New Roman" w:cs="Times New Roman" w:eastAsia="Times New Roman" w:hint="default"/>
        </w:rPr>
        <w:t>2</w:t>
      </w:r>
      <w:r>
        <w:rPr/>
        <w:t>）与在活跃市场中没有</w:t>
      </w:r>
      <w:r>
        <w:rPr>
          <w:spacing w:val="-81"/>
        </w:rPr>
        <w:t> </w:t>
      </w:r>
      <w:r>
        <w:rPr>
          <w:spacing w:val="-81"/>
        </w:rPr>
      </w:r>
      <w:r>
        <w:rPr/>
        <w:t>报价、公允价值不能可靠计量的权益工具挂钩并须通过交付该权益工具结算的衍生金融负债，按照成本计量；（</w:t>
      </w:r>
      <w:r>
        <w:rPr>
          <w:rFonts w:ascii="Times New Roman" w:hAnsi="Times New Roman" w:cs="Times New Roman" w:eastAsia="Times New Roman" w:hint="default"/>
        </w:rPr>
        <w:t>3</w:t>
      </w:r>
      <w:r>
        <w:rPr/>
        <w:t>）不属于</w:t>
      </w:r>
      <w:r>
        <w:rPr>
          <w:spacing w:val="-83"/>
        </w:rPr>
        <w:t> </w:t>
      </w:r>
      <w:r>
        <w:rPr>
          <w:spacing w:val="-83"/>
        </w:rPr>
      </w:r>
      <w:r>
        <w:rPr>
          <w:spacing w:val="-2"/>
        </w:rPr>
        <w:t>指定为以公允价值计量且其变动计入当期损益的金融负债的财务担保合同，或没有指定为以公允价值计量且其变动计入当期</w:t>
      </w:r>
      <w:r>
        <w:rPr>
          <w:spacing w:val="-64"/>
        </w:rPr>
        <w:t> </w:t>
      </w:r>
      <w:r>
        <w:rPr>
          <w:spacing w:val="-64"/>
        </w:rPr>
      </w:r>
      <w:r>
        <w:rPr/>
        <w:t>损益并将以低于市场利率贷款的贷款承诺，在初始确认后按照下列两项金额之中的较高者进行后续计量：</w:t>
      </w:r>
      <w:r>
        <w:rPr>
          <w:rFonts w:ascii="Times New Roman" w:hAnsi="Times New Roman" w:cs="Times New Roman" w:eastAsia="Times New Roman" w:hint="default"/>
        </w:rPr>
        <w:t>1</w:t>
      </w:r>
      <w:r>
        <w:rPr/>
        <w:t>）按照《企业会</w:t>
      </w:r>
      <w:r>
        <w:rPr>
          <w:spacing w:val="-81"/>
        </w:rPr>
        <w:t> </w:t>
      </w:r>
      <w:r>
        <w:rPr>
          <w:spacing w:val="-81"/>
        </w:rPr>
      </w:r>
      <w:r>
        <w:rPr/>
        <w:t>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w:t>
      </w:r>
      <w:r>
        <w:rPr>
          <w:spacing w:val="-83"/>
        </w:rPr>
        <w:t> </w:t>
      </w:r>
      <w:r>
        <w:rPr>
          <w:spacing w:val="-83"/>
        </w:rPr>
      </w:r>
      <w:r>
        <w:rPr/>
        <w:t>摊销额后的余额。</w:t>
      </w:r>
    </w:p>
    <w:p>
      <w:pPr>
        <w:pStyle w:val="BodyText"/>
        <w:spacing w:line="312" w:lineRule="auto" w:before="149"/>
        <w:ind w:right="1129"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t>）以公允价值计 </w:t>
      </w:r>
      <w:r>
        <w:rPr>
          <w:spacing w:val="-2"/>
        </w:rPr>
        <w:t>量且其变动计入当期损益的金融资产或金融负债公允价值变动形成的利得或损失，计入公允价值变动损益；在资产持有期间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6"/>
        </w:rPr>
        <w:t> </w:t>
      </w:r>
      <w:r>
        <w:rPr>
          <w:spacing w:val="-66"/>
        </w:rPr>
      </w:r>
      <w:r>
        <w:rPr/>
        <w:t>调整公允价值变动损益。（</w:t>
      </w:r>
      <w:r>
        <w:rPr>
          <w:rFonts w:ascii="Times New Roman" w:hAnsi="Times New Roman" w:cs="Times New Roman" w:eastAsia="Times New Roman" w:hint="default"/>
        </w:rPr>
        <w:t>2</w:t>
      </w:r>
      <w:r>
        <w:rPr/>
        <w:t>）可供出售金融资产的公允价值变动计入其他综合收益；持有期间按实际利率法计算的利息，</w:t>
      </w:r>
      <w:r>
        <w:rPr>
          <w:spacing w:val="-83"/>
        </w:rPr>
        <w:t> </w:t>
      </w:r>
      <w:r>
        <w:rPr>
          <w:spacing w:val="-83"/>
        </w:rPr>
      </w:r>
      <w:r>
        <w:rPr>
          <w:spacing w:val="-2"/>
        </w:rPr>
        <w:t>计入投资收益；可供出售权益工具投资的现金股利，于被投资单位宣告发放股利时计入投资收益；处置时，将实际收到的金</w:t>
      </w:r>
      <w:r>
        <w:rPr>
          <w:spacing w:val="-66"/>
        </w:rPr>
        <w:t> </w:t>
      </w:r>
      <w:r>
        <w:rPr>
          <w:spacing w:val="-66"/>
        </w:rPr>
      </w:r>
      <w:r>
        <w:rPr/>
        <w:t>额与账面价值扣除原直接计入其他综合收益的公允价值变动累计额之后的差额确认为投资收益。</w:t>
      </w:r>
    </w:p>
    <w:p>
      <w:pPr>
        <w:pStyle w:val="BodyText"/>
        <w:spacing w:line="316" w:lineRule="auto" w:before="142"/>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432" w:lineRule="exact" w:before="3"/>
        <w:ind w:left="514" w:right="812"/>
        <w:jc w:val="left"/>
      </w:pPr>
      <w:r>
        <w:rPr>
          <w:rFonts w:ascii="Times New Roman" w:hAnsi="Times New Roman" w:cs="Times New Roman" w:eastAsia="Times New Roman" w:hint="default"/>
        </w:rPr>
        <w:t>3.</w:t>
      </w:r>
      <w:r>
        <w:rPr/>
        <w:t>金融资产转移的确认依据和计量方法 </w:t>
      </w:r>
      <w:r>
        <w:rPr>
          <w:spacing w:val="-2"/>
        </w:rPr>
        <w:t>本公司已将金融资产所有权上几乎所有的风险和报酬转移给了转入方的，终止确认该金融资产；保留了金融资产所有权</w:t>
      </w:r>
    </w:p>
    <w:p>
      <w:pPr>
        <w:pStyle w:val="BodyText"/>
        <w:spacing w:line="309" w:lineRule="auto" w:before="15"/>
        <w:ind w:right="1069"/>
        <w:jc w:val="both"/>
      </w:pPr>
      <w:r>
        <w:rPr>
          <w:spacing w:val="-2"/>
        </w:rPr>
        <w:t>上几乎所有的风险和报酬的，继续确认所转移的金融资产，并将收到的对价确认为一项金融负债。本公司既没有转移也没有</w:t>
      </w:r>
      <w:r>
        <w:rPr>
          <w:spacing w:val="-66"/>
        </w:rPr>
        <w:t> </w:t>
      </w:r>
      <w:r>
        <w:rPr>
          <w:spacing w:val="-66"/>
        </w:rPr>
      </w:r>
      <w:r>
        <w:rPr/>
        <w:t>保留金融资产所有权上几乎所有的风险和报酬的，分别下列情况处理：（</w:t>
      </w:r>
      <w:r>
        <w:rPr>
          <w:rFonts w:ascii="Times New Roman" w:hAnsi="Times New Roman" w:cs="Times New Roman" w:eastAsia="Times New Roman" w:hint="default"/>
        </w:rPr>
        <w:t>1</w:t>
      </w:r>
      <w:r>
        <w:rPr/>
        <w:t>）</w:t>
      </w:r>
      <w:r>
        <w:rPr>
          <w:spacing w:val="-55"/>
        </w:rPr>
        <w:t> </w:t>
      </w:r>
      <w:r>
        <w:rPr/>
        <w:t>放弃了对该金融资产控制的，终止确认该金融</w:t>
      </w:r>
      <w:r>
        <w:rPr/>
        <w:t> 资产；（</w:t>
      </w:r>
      <w:r>
        <w:rPr>
          <w:rFonts w:ascii="Times New Roman" w:hAnsi="Times New Roman" w:cs="Times New Roman" w:eastAsia="Times New Roman" w:hint="default"/>
        </w:rPr>
        <w:t>2</w:t>
      </w:r>
      <w:r>
        <w:rPr/>
        <w:t>）</w:t>
      </w:r>
      <w:r>
        <w:rPr>
          <w:spacing w:val="-18"/>
        </w:rPr>
        <w:t> </w:t>
      </w:r>
      <w:r>
        <w:rPr/>
        <w:t>未放弃对该金融资产控制的，按照继续涉入所转移金融资产的程度确认有关金融资产，并相应确认有关负债。</w:t>
      </w:r>
    </w:p>
    <w:p>
      <w:pPr>
        <w:pStyle w:val="BodyText"/>
        <w:spacing w:line="309" w:lineRule="auto" w:before="125"/>
        <w:ind w:right="1037" w:firstLine="360"/>
        <w:jc w:val="left"/>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w:t>
      </w:r>
      <w:r>
        <w:rPr>
          <w:spacing w:val="-4"/>
        </w:rPr>
        <w:t>）</w:t>
      </w:r>
      <w:r>
        <w:rPr>
          <w:spacing w:val="-27"/>
        </w:rPr>
        <w:t> </w:t>
      </w:r>
      <w:r>
        <w:rPr>
          <w:spacing w:val="-6"/>
        </w:rPr>
        <w:t>所转移金融资产的账面价值；（</w:t>
      </w:r>
      <w:r>
        <w:rPr>
          <w:rFonts w:ascii="Times New Roman" w:hAnsi="Times New Roman" w:cs="Times New Roman" w:eastAsia="Times New Roman" w:hint="default"/>
          <w:spacing w:val="-6"/>
        </w:rPr>
        <w:t>2</w:t>
      </w:r>
      <w:r>
        <w:rPr>
          <w:spacing w:val="-6"/>
        </w:rPr>
        <w:t>）</w:t>
      </w:r>
      <w:r>
        <w:rPr/>
        <w:t> </w:t>
      </w:r>
      <w:r>
        <w:rPr>
          <w:spacing w:val="-2"/>
        </w:rPr>
        <w:t>因转移而收到的对价，与原直接计入其他综合收益的公允价值变动累计额之和。金融资产部分转移满足终止确认条件的，将</w:t>
      </w:r>
      <w:r>
        <w:rPr>
          <w:spacing w:val="-65"/>
        </w:rPr>
        <w:t> </w:t>
      </w:r>
      <w:r>
        <w:rPr>
          <w:spacing w:val="-65"/>
        </w:rPr>
      </w:r>
      <w:r>
        <w:rPr>
          <w:spacing w:val="-2"/>
        </w:rPr>
        <w:t>所转移金融资产整体的账面价值，在终止确认部分和未终止确认部分之间，按照各自的相对公允价值进行分摊，并将下列两</w:t>
      </w:r>
      <w:r>
        <w:rPr>
          <w:spacing w:val="-66"/>
        </w:rPr>
        <w:t> </w:t>
      </w:r>
      <w:r>
        <w:rPr>
          <w:spacing w:val="-66"/>
        </w:rPr>
      </w:r>
      <w:r>
        <w:rPr/>
        <w:t>项金额的差额计入当期损益：（</w:t>
      </w:r>
      <w:r>
        <w:rPr>
          <w:rFonts w:ascii="Times New Roman" w:hAnsi="Times New Roman" w:cs="Times New Roman" w:eastAsia="Times New Roman" w:hint="default"/>
        </w:rPr>
        <w:t>1</w:t>
      </w:r>
      <w:r>
        <w:rPr/>
        <w:t>） 终止确认部分的账面价值；（</w:t>
      </w:r>
      <w:r>
        <w:rPr>
          <w:rFonts w:ascii="Times New Roman" w:hAnsi="Times New Roman" w:cs="Times New Roman" w:eastAsia="Times New Roman" w:hint="default"/>
        </w:rPr>
        <w:t>2</w:t>
      </w:r>
      <w:r>
        <w:rPr/>
        <w:t>）</w:t>
      </w:r>
      <w:r>
        <w:rPr>
          <w:spacing w:val="-69"/>
        </w:rPr>
        <w:t> </w:t>
      </w:r>
      <w:r>
        <w:rPr/>
        <w:t>终止确认部分的对价，与原直接计入其他综合收益的</w:t>
      </w:r>
      <w:r>
        <w:rPr/>
        <w:t> 公允价值变动累计额中对应终止确认部分的金额之和。</w:t>
      </w:r>
    </w:p>
    <w:p>
      <w:pPr>
        <w:pStyle w:val="BodyText"/>
        <w:spacing w:line="432" w:lineRule="exact" w:before="9"/>
        <w:ind w:left="514" w:right="812"/>
        <w:jc w:val="left"/>
      </w:pPr>
      <w:r>
        <w:rPr>
          <w:rFonts w:ascii="Times New Roman" w:hAnsi="Times New Roman" w:cs="Times New Roman" w:eastAsia="Times New Roman" w:hint="default"/>
        </w:rPr>
        <w:t>4.</w:t>
      </w:r>
      <w:r>
        <w:rPr/>
        <w:t>主要金融资产和金融负债的公允价值确定方法 </w:t>
      </w:r>
      <w:r>
        <w:rPr>
          <w:spacing w:val="-2"/>
        </w:rPr>
        <w:t>存在活跃市场的金融资产或金融负债，以活跃市场的报价确定其公允价值；不存在活跃市场的金融资产或金融负债，采</w:t>
      </w:r>
    </w:p>
    <w:p>
      <w:pPr>
        <w:pStyle w:val="BodyText"/>
        <w:spacing w:line="316" w:lineRule="auto" w:before="15"/>
        <w:ind w:right="1130"/>
        <w:jc w:val="both"/>
      </w:pPr>
      <w:r>
        <w:rPr>
          <w:spacing w:val="-2"/>
        </w:rPr>
        <w:t>用估值技术（包括参考熟悉情况并自愿交易的各方最近进行的市场交易中使用的价格、参照实质上相同的其他金融工具的当</w:t>
      </w:r>
      <w:r>
        <w:rPr>
          <w:spacing w:val="-63"/>
        </w:rPr>
        <w:t> </w:t>
      </w:r>
      <w:r>
        <w:rPr>
          <w:spacing w:val="-63"/>
        </w:rPr>
      </w:r>
      <w:r>
        <w:rPr>
          <w:spacing w:val="-2"/>
        </w:rPr>
        <w:t>前公允价值、现金流量折现法和期权定价模型等）确定其公允价值；初始取得或源生的金融资产或承担的金融负债，以市场</w:t>
      </w:r>
      <w:r>
        <w:rPr>
          <w:spacing w:val="-66"/>
        </w:rPr>
        <w:t> </w:t>
      </w:r>
      <w:r>
        <w:rPr>
          <w:spacing w:val="-66"/>
        </w:rPr>
      </w:r>
      <w:r>
        <w:rPr/>
        <w:t>交易价格作为确定其公允价值的基础。</w:t>
      </w:r>
    </w:p>
    <w:p>
      <w:pPr>
        <w:pStyle w:val="BodyText"/>
        <w:spacing w:line="432" w:lineRule="exact" w:before="3"/>
        <w:ind w:left="514" w:right="812"/>
        <w:jc w:val="left"/>
      </w:pPr>
      <w:r>
        <w:rPr>
          <w:rFonts w:ascii="Times New Roman" w:hAnsi="Times New Roman" w:cs="Times New Roman" w:eastAsia="Times New Roman" w:hint="default"/>
        </w:rPr>
        <w:t>5.</w:t>
      </w:r>
      <w:r>
        <w:rPr/>
        <w:t>金融资产的减值测试和减值准备计提方法 </w:t>
      </w:r>
      <w:r>
        <w:rPr>
          <w:spacing w:val="-2"/>
        </w:rPr>
        <w:t>资产负债表日对以公允价值计量且其变动计入当期损益的金融资产以外的金融资产的账面价值进行检查，如有客观证据</w:t>
      </w:r>
    </w:p>
    <w:p>
      <w:pPr>
        <w:pStyle w:val="BodyText"/>
        <w:spacing w:line="240" w:lineRule="auto" w:before="15"/>
        <w:ind w:right="0"/>
        <w:jc w:val="both"/>
      </w:pPr>
      <w:r>
        <w:rPr/>
        <w:t>表明该金融资产发生减值的，计提减值准备。</w:t>
      </w:r>
    </w:p>
    <w:p>
      <w:pPr>
        <w:spacing w:line="240" w:lineRule="auto" w:before="0"/>
        <w:rPr>
          <w:rFonts w:ascii="宋体" w:hAnsi="宋体" w:cs="宋体" w:eastAsia="宋体" w:hint="default"/>
          <w:sz w:val="15"/>
          <w:szCs w:val="15"/>
        </w:rPr>
      </w:pPr>
    </w:p>
    <w:p>
      <w:pPr>
        <w:pStyle w:val="BodyText"/>
        <w:spacing w:line="319" w:lineRule="auto"/>
        <w:ind w:right="1131" w:firstLine="360"/>
        <w:jc w:val="both"/>
      </w:pPr>
      <w:r>
        <w:rPr>
          <w:spacing w:val="-2"/>
        </w:rPr>
        <w:t>对单项金额重大的金融资产单独进行减值测试；对单项金额不重大的金融资产，可以单独进行减值测试，或包括在具有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t>产），包括在具有类似信用风险特征的金融资产组合中再进行减值测试。</w:t>
      </w:r>
    </w:p>
    <w:p>
      <w:pPr>
        <w:pStyle w:val="BodyText"/>
        <w:spacing w:line="316" w:lineRule="auto" w:before="137"/>
        <w:ind w:right="1132" w:firstLine="420"/>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812"/>
        <w:jc w:val="left"/>
      </w:pPr>
      <w:r>
        <w:rPr>
          <w:spacing w:val="-2"/>
        </w:rPr>
        <w:t>该权益工具结算的衍生金融资产发生减值时，将该权益工具投资或衍生金融资产的账面价值，与按照类似金融资产当时市场</w:t>
      </w:r>
      <w:r>
        <w:rPr>
          <w:spacing w:val="-64"/>
        </w:rPr>
        <w:t> </w:t>
      </w:r>
      <w:r>
        <w:rPr>
          <w:spacing w:val="-64"/>
        </w:rPr>
      </w:r>
      <w:r>
        <w:rPr/>
        <w:t>收益率对未来现金流量折现确定的现值之间的差额，确认为减值损失。</w:t>
      </w:r>
    </w:p>
    <w:p>
      <w:pPr>
        <w:pStyle w:val="BodyText"/>
        <w:spacing w:line="316" w:lineRule="auto" w:before="139"/>
        <w:ind w:right="812" w:firstLine="420"/>
        <w:jc w:val="left"/>
      </w:pPr>
      <w:r>
        <w:rPr>
          <w:spacing w:val="-2"/>
        </w:rPr>
        <w:t>可供出售金融资产的公允价值发生较大幅度下降，或在综合考虑各种相关因素后，预期这种下降趋势属于非暂时性的，</w:t>
      </w:r>
      <w:r>
        <w:rPr/>
        <w:t> 确认其减值损失，并将原直接计入其他综合收益的公允价值累计损失一并转出计入减值损失。</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万元以上的应收款项确认为单 项金额重大的应收款项。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812"/>
        <w:jc w:val="left"/>
      </w:pPr>
      <w:r>
        <w:rPr/>
        <w:t>组合中，采用账龄分析法计提坏账准备的：</w:t>
      </w:r>
    </w:p>
    <w:p>
      <w:pPr>
        <w:pStyle w:val="BodyText"/>
        <w:spacing w:line="240" w:lineRule="auto" w:before="117"/>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812"/>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个别认定组合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49"/>
              <w:jc w:val="left"/>
              <w:rPr>
                <w:rFonts w:ascii="宋体" w:hAnsi="宋体" w:cs="宋体" w:eastAsia="宋体" w:hint="default"/>
                <w:sz w:val="18"/>
                <w:szCs w:val="18"/>
              </w:rPr>
            </w:pPr>
            <w:r>
              <w:rPr>
                <w:rFonts w:ascii="宋体" w:hAnsi="宋体" w:cs="宋体" w:eastAsia="宋体" w:hint="default"/>
                <w:sz w:val="18"/>
                <w:szCs w:val="18"/>
              </w:rPr>
              <w:t>有明显迹象表明债务人很可能无法履行还款义务的应收款 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5"/>
        <w:ind w:left="514" w:right="812"/>
        <w:jc w:val="left"/>
      </w:pPr>
      <w:r>
        <w:rPr>
          <w:rFonts w:ascii="Times New Roman" w:hAnsi="Times New Roman" w:cs="Times New Roman" w:eastAsia="Times New Roman" w:hint="default"/>
        </w:rPr>
        <w:t>1.</w:t>
      </w:r>
      <w:r>
        <w:rPr/>
        <w:t>存货的分类</w:t>
      </w:r>
    </w:p>
    <w:p>
      <w:pPr>
        <w:spacing w:line="240" w:lineRule="auto" w:before="13"/>
        <w:rPr>
          <w:rFonts w:ascii="宋体" w:hAnsi="宋体" w:cs="宋体" w:eastAsia="宋体" w:hint="default"/>
          <w:sz w:val="13"/>
          <w:szCs w:val="13"/>
        </w:rPr>
      </w:pPr>
    </w:p>
    <w:p>
      <w:pPr>
        <w:pStyle w:val="BodyText"/>
        <w:spacing w:line="316" w:lineRule="auto"/>
        <w:ind w:right="812" w:firstLine="360"/>
        <w:jc w:val="left"/>
      </w:pPr>
      <w:r>
        <w:rPr>
          <w:spacing w:val="-2"/>
        </w:rPr>
        <w:t>存货包括在日常活动中持有以备出售的产成品或商品、委托加工物资、发出商品、处在生产过程中的在产品、在生产过</w:t>
      </w:r>
      <w:r>
        <w:rPr/>
        <w:t> 程或提供劳务过程中耗用的材料和物料等。</w:t>
      </w:r>
    </w:p>
    <w:p>
      <w:pPr>
        <w:pStyle w:val="BodyText"/>
        <w:spacing w:line="415" w:lineRule="auto" w:before="139"/>
        <w:ind w:left="514" w:right="7872"/>
        <w:jc w:val="left"/>
      </w:pPr>
      <w:r>
        <w:rPr>
          <w:rFonts w:ascii="Times New Roman" w:hAnsi="Times New Roman" w:cs="Times New Roman" w:eastAsia="Times New Roman" w:hint="default"/>
        </w:rPr>
        <w:t>2.</w:t>
      </w:r>
      <w:r>
        <w:rPr/>
        <w:t>发出存货的计价方法 发出存货采用移动加权平均法。</w:t>
      </w:r>
    </w:p>
    <w:p>
      <w:pPr>
        <w:pStyle w:val="BodyText"/>
        <w:spacing w:line="240" w:lineRule="auto" w:before="65"/>
        <w:ind w:left="514" w:right="812"/>
        <w:jc w:val="left"/>
      </w:pPr>
      <w:r>
        <w:rPr>
          <w:rFonts w:ascii="Times New Roman" w:hAnsi="Times New Roman" w:cs="Times New Roman" w:eastAsia="Times New Roman" w:hint="default"/>
        </w:rPr>
        <w:t>3.</w:t>
      </w:r>
      <w:r>
        <w:rPr/>
        <w:t>存货可变现净值的确定依据及存货跌价准备的计提方法</w:t>
      </w:r>
    </w:p>
    <w:p>
      <w:pPr>
        <w:spacing w:line="240" w:lineRule="auto" w:before="13"/>
        <w:rPr>
          <w:rFonts w:ascii="宋体" w:hAnsi="宋体" w:cs="宋体" w:eastAsia="宋体" w:hint="default"/>
          <w:sz w:val="13"/>
          <w:szCs w:val="13"/>
        </w:rPr>
      </w:pPr>
    </w:p>
    <w:p>
      <w:pPr>
        <w:pStyle w:val="BodyText"/>
        <w:spacing w:line="319" w:lineRule="auto"/>
        <w:ind w:right="1132" w:firstLine="360"/>
        <w:jc w:val="both"/>
      </w:pPr>
      <w:r>
        <w:rPr>
          <w:spacing w:val="-2"/>
        </w:rPr>
        <w:t>资产负债表日，存货采用成本与可变现净值孰低计量，按照存货类别成本高于可变现净值的差额计提存货跌价准备。直</w:t>
      </w:r>
      <w:r>
        <w:rPr/>
        <w:t> 接用于出售的存货，在正常生产经营过程中以该存货的估计售价减去估计的销售费用和相关税费后的金额确定其可变现净</w:t>
      </w:r>
      <w:r>
        <w:rPr>
          <w:spacing w:val="-9"/>
        </w:rPr>
        <w:t> </w:t>
      </w:r>
      <w:r>
        <w:rPr>
          <w:spacing w:val="-9"/>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427" w:lineRule="auto" w:before="137"/>
        <w:ind w:left="514" w:right="7737"/>
        <w:jc w:val="left"/>
      </w:pPr>
      <w:r>
        <w:rPr>
          <w:rFonts w:ascii="Times New Roman" w:hAnsi="Times New Roman" w:cs="Times New Roman" w:eastAsia="Times New Roman" w:hint="default"/>
        </w:rPr>
        <w:t>4.</w:t>
      </w:r>
      <w:r>
        <w:rPr/>
        <w:t>存货的盘存制度 存货的盘存制度为永续盘存制。 </w:t>
      </w:r>
      <w:r>
        <w:rPr>
          <w:rFonts w:ascii="Times New Roman" w:hAnsi="Times New Roman" w:cs="Times New Roman" w:eastAsia="Times New Roman" w:hint="default"/>
        </w:rPr>
        <w:t>5.</w:t>
      </w:r>
      <w:r>
        <w:rPr/>
        <w:t>低值易耗品和包装物的摊销方法</w:t>
      </w:r>
    </w:p>
    <w:p>
      <w:pPr>
        <w:pStyle w:val="BodyText"/>
        <w:spacing w:line="415" w:lineRule="auto" w:before="27"/>
        <w:ind w:left="514" w:right="8232"/>
        <w:jc w:val="left"/>
      </w:pPr>
      <w:r>
        <w:rPr/>
        <w:t>（</w:t>
      </w:r>
      <w:r>
        <w:rPr>
          <w:rFonts w:ascii="Times New Roman" w:hAnsi="Times New Roman" w:cs="Times New Roman" w:eastAsia="Times New Roman" w:hint="default"/>
        </w:rPr>
        <w:t>1</w:t>
      </w:r>
      <w:r>
        <w:rPr/>
        <w:t>）</w:t>
      </w:r>
      <w:r>
        <w:rPr>
          <w:spacing w:val="-18"/>
        </w:rPr>
        <w:t> </w:t>
      </w:r>
      <w:r>
        <w:rPr/>
        <w:t>低值易耗品</w:t>
      </w:r>
      <w:r>
        <w:rPr/>
        <w:t> 按照一次转销法进行摊销。</w:t>
      </w:r>
    </w:p>
    <w:p>
      <w:pPr>
        <w:pStyle w:val="BodyText"/>
        <w:spacing w:line="415" w:lineRule="auto" w:before="65"/>
        <w:ind w:left="514" w:right="8232"/>
        <w:jc w:val="left"/>
      </w:pPr>
      <w:r>
        <w:rPr/>
        <w:t>（</w:t>
      </w:r>
      <w:r>
        <w:rPr>
          <w:rFonts w:ascii="Times New Roman" w:hAnsi="Times New Roman" w:cs="Times New Roman" w:eastAsia="Times New Roman" w:hint="default"/>
        </w:rPr>
        <w:t>2</w:t>
      </w:r>
      <w:r>
        <w:rPr/>
        <w:t>）</w:t>
      </w:r>
      <w:r>
        <w:rPr>
          <w:spacing w:val="-17"/>
        </w:rPr>
        <w:t> </w:t>
      </w:r>
      <w:r>
        <w:rPr/>
        <w:t>包装物</w:t>
      </w:r>
      <w:r>
        <w:rPr/>
        <w:t> 按照一次转销法进行摊销。</w:t>
      </w:r>
    </w:p>
    <w:p>
      <w:pPr>
        <w:spacing w:line="240" w:lineRule="auto" w:before="11"/>
        <w:rPr>
          <w:rFonts w:ascii="宋体" w:hAnsi="宋体" w:cs="宋体" w:eastAsia="宋体" w:hint="default"/>
          <w:sz w:val="16"/>
          <w:szCs w:val="16"/>
        </w:rPr>
      </w:pPr>
    </w:p>
    <w:p>
      <w:pPr>
        <w:pStyle w:val="Heading3"/>
        <w:spacing w:line="240" w:lineRule="auto"/>
        <w:ind w:right="0"/>
        <w:jc w:val="both"/>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2" w:firstLine="360"/>
        <w:jc w:val="left"/>
      </w:pPr>
      <w:r>
        <w:rPr/>
        <w:t>本公司将同时满足下列条件的企业组成部分（或非流动资产）划分为持有待售：（</w:t>
      </w:r>
      <w:r>
        <w:rPr>
          <w:rFonts w:ascii="Times New Roman" w:hAnsi="Times New Roman" w:cs="Times New Roman" w:eastAsia="Times New Roman" w:hint="default"/>
        </w:rPr>
        <w:t>1</w:t>
      </w:r>
      <w:r>
        <w:rPr/>
        <w:t>）根据类似交易中出售此类资产或 处置组的惯例，在当前状况下即可立即出售；（</w:t>
      </w:r>
      <w:r>
        <w:rPr>
          <w:rFonts w:ascii="Times New Roman" w:hAnsi="Times New Roman" w:cs="Times New Roman" w:eastAsia="Times New Roman" w:hint="default"/>
        </w:rPr>
        <w:t>2</w:t>
      </w:r>
      <w:r>
        <w:rPr/>
        <w:t>）出售极可能发生，已经就一项出售计划作出决议且获得确定的购买承诺</w:t>
      </w:r>
    </w:p>
    <w:p>
      <w:pPr>
        <w:pStyle w:val="BodyText"/>
        <w:spacing w:line="316" w:lineRule="auto" w:before="13"/>
        <w:ind w:right="1133"/>
        <w:jc w:val="both"/>
      </w:pPr>
      <w:r>
        <w:rPr>
          <w:spacing w:val="-2"/>
        </w:rPr>
        <w:t>（确定的购买承诺，是指企业与其他方签订的具有法律约束力的购买协议，该协议包含交易价格、时间和足够严厉的违约惩</w:t>
      </w:r>
      <w:r>
        <w:rPr>
          <w:spacing w:val="-66"/>
        </w:rPr>
        <w:t> </w:t>
      </w:r>
      <w:r>
        <w:rPr>
          <w:spacing w:val="-66"/>
        </w:rPr>
      </w:r>
      <w:r>
        <w:rPr>
          <w:spacing w:val="-2"/>
        </w:rPr>
        <w:t>罚等重要条款，使协议出现重大调整或者撤销的可能性极小。预计出售将在一年内完成。已经获得按照有关规定需得到相关</w:t>
      </w:r>
      <w:r>
        <w:rPr>
          <w:spacing w:val="-66"/>
        </w:rPr>
        <w:t> </w:t>
      </w:r>
      <w:r>
        <w:rPr>
          <w:spacing w:val="-66"/>
        </w:rPr>
      </w:r>
      <w:r>
        <w:rPr/>
        <w:t>权力机构或者监管部门的批准。</w:t>
      </w:r>
    </w:p>
    <w:p>
      <w:pPr>
        <w:pStyle w:val="BodyText"/>
        <w:spacing w:line="240" w:lineRule="auto" w:before="137"/>
        <w:ind w:left="514" w:right="812"/>
        <w:jc w:val="left"/>
      </w:pPr>
      <w:r>
        <w:rPr/>
        <w:t>本公司将持有待售的预计净残值调整为反映其公允价值减去出售费用后的净额（但不得超过该项持有待售的原账面价</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spacing w:val="-2"/>
        </w:rPr>
        <w:t>值），原账面价值高于调整后预计净残值的差额，作为资产减值损失计入当期损益，同时计提持有待售资产减值准备。对于</w:t>
      </w:r>
      <w:r>
        <w:rPr>
          <w:spacing w:val="-66"/>
        </w:rPr>
        <w:t> </w:t>
      </w:r>
      <w:r>
        <w:rPr>
          <w:spacing w:val="-66"/>
        </w:rPr>
      </w:r>
      <w:r>
        <w:rPr>
          <w:spacing w:val="-2"/>
        </w:rPr>
        <w:t>持有待售的处置组确认的资产减值损失金额，应当先抵减处置组中商誉的账面价值，再根据处置组中适用本准则计量规定的</w:t>
      </w:r>
      <w:r>
        <w:rPr>
          <w:spacing w:val="-64"/>
        </w:rPr>
        <w:t> </w:t>
      </w:r>
      <w:r>
        <w:rPr>
          <w:spacing w:val="-64"/>
        </w:rPr>
      </w:r>
      <w:r>
        <w:rPr/>
        <w:t>各项非流动资产账面价值所占比重，按比例抵减其账面价值。</w:t>
      </w:r>
    </w:p>
    <w:p>
      <w:pPr>
        <w:pStyle w:val="BodyText"/>
        <w:spacing w:line="316" w:lineRule="auto" w:before="139"/>
        <w:ind w:right="1032" w:firstLine="360"/>
        <w:jc w:val="left"/>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4"/>
        </w:rPr>
        <w:t> </w:t>
      </w:r>
      <w:r>
        <w:rPr>
          <w:spacing w:val="-64"/>
        </w:rPr>
      </w:r>
      <w:r>
        <w:rPr/>
        <w:t>失不得转回。后续资产负债表日持有待售的处置组公允价值减去出售费用后的净额增加的，以前减记的金额应当予以恢复， </w:t>
      </w:r>
      <w:r>
        <w:rPr>
          <w:spacing w:val="-2"/>
        </w:rPr>
        <w:t>并在划分为持有待售类别后适用本准则计量规定的非流动资产确认的资产减值损失金额内转回，转回金额计入当期损益。已</w:t>
      </w:r>
      <w:r>
        <w:rPr>
          <w:spacing w:val="-64"/>
        </w:rPr>
        <w:t> </w:t>
      </w:r>
      <w:r>
        <w:rPr>
          <w:spacing w:val="-64"/>
        </w:rPr>
      </w:r>
      <w:r>
        <w:rPr>
          <w:spacing w:val="-2"/>
        </w:rPr>
        <w:t>抵减的商誉账面价值，以及适用本准则计量规定的非流动资产在划分为持有待售类别前确认的资产减值损失不得转回。持有</w:t>
      </w:r>
      <w:r>
        <w:rPr>
          <w:spacing w:val="-64"/>
        </w:rPr>
        <w:t> </w:t>
      </w:r>
      <w:r>
        <w:rPr>
          <w:spacing w:val="-64"/>
        </w:rPr>
      </w:r>
      <w:r>
        <w:rPr/>
        <w:t>待售的处置组确认的资产减值损失后续转回金额，</w:t>
      </w:r>
      <w:r>
        <w:rPr>
          <w:spacing w:val="-8"/>
        </w:rPr>
        <w:t> </w:t>
      </w:r>
      <w:r>
        <w:rPr/>
        <w:t>应当根据处置组中除商誉外适用本准则计量规定的各项非流动资产账面</w:t>
      </w:r>
      <w:r>
        <w:rPr>
          <w:spacing w:val="-80"/>
        </w:rPr>
        <w:t> </w:t>
      </w:r>
      <w:r>
        <w:rPr>
          <w:spacing w:val="-80"/>
        </w:rPr>
      </w:r>
      <w:r>
        <w:rPr/>
        <w:t>价值所占比重，按比例增加其账面价值。</w:t>
      </w:r>
    </w:p>
    <w:p>
      <w:pPr>
        <w:pStyle w:val="BodyText"/>
        <w:spacing w:line="316" w:lineRule="auto" w:before="139"/>
        <w:ind w:right="1131" w:firstLine="360"/>
        <w:jc w:val="both"/>
      </w:pPr>
      <w:r>
        <w:rPr>
          <w:spacing w:val="-2"/>
        </w:rPr>
        <w:t>企业因出售对子公司的投资等原因导致其丧失对子公司控制权的，无论出售后企业是否保留部分权益性投资，应当在拟</w:t>
      </w:r>
      <w:r>
        <w:rPr/>
        <w:t> </w:t>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rFonts w:ascii="Times New Roman" w:hAnsi="Times New Roman" w:cs="Times New Roman" w:eastAsia="Times New Roman" w:hint="default"/>
        </w:rPr>
        <w:t>1.</w:t>
      </w:r>
      <w:r>
        <w:rPr/>
        <w:t>投资成本的确定</w:t>
      </w:r>
    </w:p>
    <w:p>
      <w:pPr>
        <w:spacing w:line="240" w:lineRule="auto" w:before="13"/>
        <w:rPr>
          <w:rFonts w:ascii="宋体" w:hAnsi="宋体" w:cs="宋体" w:eastAsia="宋体" w:hint="default"/>
          <w:sz w:val="13"/>
          <w:szCs w:val="13"/>
        </w:rPr>
      </w:pPr>
    </w:p>
    <w:p>
      <w:pPr>
        <w:pStyle w:val="BodyText"/>
        <w:spacing w:line="307" w:lineRule="auto"/>
        <w:ind w:right="1130" w:firstLine="360"/>
        <w:jc w:val="both"/>
      </w:pPr>
      <w:r>
        <w:rPr/>
        <w:t>（</w:t>
      </w:r>
      <w:r>
        <w:rPr>
          <w:rFonts w:ascii="Times New Roman" w:hAnsi="Times New Roman" w:cs="Times New Roman" w:eastAsia="Times New Roman" w:hint="default"/>
        </w:rPr>
        <w:t>1</w:t>
      </w:r>
      <w:r>
        <w:rPr/>
        <w:t>）</w:t>
      </w:r>
      <w:r>
        <w:rPr>
          <w:spacing w:val="8"/>
        </w:rPr>
        <w:t> </w:t>
      </w:r>
      <w:r>
        <w:rPr>
          <w:spacing w:val="-2"/>
        </w:rPr>
        <w:t>同一控制下的企业合并形成的，合并方以支付现金、转让非现金资产、承担债务或发行权益性证券作为合并对价</w:t>
      </w:r>
      <w:r>
        <w:rPr/>
        <w:t>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1"/>
        </w:rPr>
        <w:t>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7"/>
        </w:rPr>
        <w:t> </w:t>
      </w:r>
      <w:r>
        <w:rPr>
          <w:spacing w:val="-57"/>
        </w:rPr>
      </w:r>
      <w:r>
        <w:rPr/>
        <w:t>积不足冲减的，调整留存收益。</w:t>
      </w:r>
    </w:p>
    <w:p>
      <w:pPr>
        <w:pStyle w:val="BodyText"/>
        <w:spacing w:line="316" w:lineRule="auto" w:before="146"/>
        <w:ind w:right="1131" w:firstLine="360"/>
        <w:jc w:val="both"/>
      </w:pPr>
      <w:r>
        <w:rPr>
          <w:spacing w:val="-2"/>
        </w:rPr>
        <w:t>分步实现同一控制下企业合并的，应当以持股比例计算的合并日应享有被合并方账面所有者权益份额作为该项投资的初</w:t>
      </w:r>
      <w:r>
        <w:rPr/>
        <w:t> </w:t>
      </w:r>
      <w:r>
        <w:rPr>
          <w:spacing w:val="-2"/>
        </w:rPr>
        <w:t>始投资成本。初始投资成本与其原长期股权投资账面价值加上合并日取得进一步股份新支付对价的账面价值之和的差额，调</w:t>
      </w:r>
      <w:r>
        <w:rPr>
          <w:spacing w:val="-64"/>
        </w:rPr>
        <w:t> </w:t>
      </w:r>
      <w:r>
        <w:rPr>
          <w:spacing w:val="-64"/>
        </w:rPr>
      </w:r>
      <w:r>
        <w:rPr/>
        <w:t>整资本公积（资本溢价或股本溢价），资本公积不足冲减的，冲减留存收益。</w:t>
      </w:r>
    </w:p>
    <w:p>
      <w:pPr>
        <w:pStyle w:val="BodyText"/>
        <w:spacing w:line="240" w:lineRule="auto" w:before="139"/>
        <w:ind w:left="514" w:right="812"/>
        <w:jc w:val="left"/>
      </w:pPr>
      <w:r>
        <w:rPr/>
        <w:t>（</w:t>
      </w:r>
      <w:r>
        <w:rPr>
          <w:rFonts w:ascii="Times New Roman" w:hAnsi="Times New Roman" w:cs="Times New Roman" w:eastAsia="Times New Roman" w:hint="default"/>
        </w:rPr>
        <w:t>2</w:t>
      </w:r>
      <w:r>
        <w:rPr/>
        <w:t>）</w:t>
      </w:r>
      <w:r>
        <w:rPr>
          <w:spacing w:val="-19"/>
        </w:rPr>
        <w:t> </w:t>
      </w:r>
      <w:r>
        <w:rPr/>
        <w:t>非同一控制下的企业合并形成的，在购买日按照支付的合并对价的公允价值作为其初始投资成本。</w:t>
      </w:r>
    </w:p>
    <w:p>
      <w:pPr>
        <w:spacing w:line="240" w:lineRule="auto" w:before="13"/>
        <w:rPr>
          <w:rFonts w:ascii="宋体" w:hAnsi="宋体" w:cs="宋体" w:eastAsia="宋体" w:hint="default"/>
          <w:sz w:val="13"/>
          <w:szCs w:val="13"/>
        </w:rPr>
      </w:pPr>
    </w:p>
    <w:p>
      <w:pPr>
        <w:pStyle w:val="BodyText"/>
        <w:spacing w:line="309" w:lineRule="auto"/>
        <w:ind w:right="1130" w:firstLine="360"/>
        <w:jc w:val="both"/>
      </w:pPr>
      <w:r>
        <w:rPr/>
        <w:t>（</w:t>
      </w:r>
      <w:r>
        <w:rPr>
          <w:rFonts w:ascii="Times New Roman" w:hAnsi="Times New Roman" w:cs="Times New Roman" w:eastAsia="Times New Roman" w:hint="default"/>
        </w:rPr>
        <w:t>3</w:t>
      </w:r>
      <w:r>
        <w:rPr/>
        <w:t>）</w:t>
      </w:r>
      <w:r>
        <w:rPr>
          <w:spacing w:val="8"/>
        </w:rPr>
        <w:t> </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9"/>
        <w:ind w:left="514" w:right="812"/>
        <w:jc w:val="left"/>
      </w:pPr>
      <w:r>
        <w:rPr>
          <w:rFonts w:ascii="Times New Roman" w:hAnsi="Times New Roman" w:cs="Times New Roman" w:eastAsia="Times New Roman" w:hint="default"/>
        </w:rPr>
        <w:t>2.</w:t>
      </w:r>
      <w:r>
        <w:rPr/>
        <w:t>后续计量及损益确认方法 本公司能够对被投资单位实施控制的长期股权投资</w:t>
      </w:r>
      <w:r>
        <w:rPr>
          <w:rFonts w:ascii="Times New Roman" w:hAnsi="Times New Roman" w:cs="Times New Roman" w:eastAsia="Times New Roman" w:hint="default"/>
        </w:rPr>
        <w:t>,</w:t>
      </w:r>
      <w:r>
        <w:rPr/>
        <w:t>在本公司个别财务报表中采用成本法核算；对具有共同控制或重大</w:t>
      </w:r>
    </w:p>
    <w:p>
      <w:pPr>
        <w:pStyle w:val="BodyText"/>
        <w:spacing w:line="240" w:lineRule="auto" w:before="15"/>
        <w:ind w:right="0"/>
        <w:jc w:val="both"/>
      </w:pPr>
      <w:r>
        <w:rPr/>
        <w:t>影响的长期股权投资，采用权益法核算。</w:t>
      </w:r>
    </w:p>
    <w:p>
      <w:pPr>
        <w:spacing w:line="240" w:lineRule="auto" w:before="0"/>
        <w:rPr>
          <w:rFonts w:ascii="宋体" w:hAnsi="宋体" w:cs="宋体" w:eastAsia="宋体" w:hint="default"/>
          <w:sz w:val="15"/>
          <w:szCs w:val="15"/>
        </w:rPr>
      </w:pPr>
    </w:p>
    <w:p>
      <w:pPr>
        <w:pStyle w:val="BodyText"/>
        <w:spacing w:line="300" w:lineRule="auto"/>
        <w:ind w:right="1131" w:firstLine="360"/>
        <w:jc w:val="both"/>
      </w:pPr>
      <w:r>
        <w:rPr/>
        <w:t>采用成本法时</w:t>
      </w:r>
      <w:r>
        <w:rPr>
          <w:rFonts w:ascii="Times New Roman" w:hAnsi="Times New Roman" w:cs="Times New Roman" w:eastAsia="Times New Roman" w:hint="default"/>
        </w:rPr>
        <w:t>,</w:t>
      </w:r>
      <w:r>
        <w:rPr/>
        <w:t>长期股权投资按初始投资成本计价</w:t>
      </w:r>
      <w:r>
        <w:rPr>
          <w:rFonts w:ascii="Times New Roman" w:hAnsi="Times New Roman" w:cs="Times New Roman" w:eastAsia="Times New Roman" w:hint="default"/>
        </w:rPr>
        <w:t>,</w:t>
      </w:r>
      <w:r>
        <w:rPr/>
        <w:t>除取得投资时实际支付的价款或对价中包含的已宣告但尚未发放的现 </w:t>
      </w:r>
      <w:r>
        <w:rPr>
          <w:spacing w:val="2"/>
        </w:rPr>
        <w:t>金股利或利润外</w:t>
      </w:r>
      <w:r>
        <w:rPr>
          <w:rFonts w:ascii="Times New Roman" w:hAnsi="Times New Roman" w:cs="Times New Roman" w:eastAsia="Times New Roman" w:hint="default"/>
          <w:spacing w:val="2"/>
        </w:rPr>
        <w:t>,</w:t>
      </w:r>
      <w:r>
        <w:rPr>
          <w:spacing w:val="2"/>
        </w:rPr>
        <w:t>按享有被投资单位宣告分派的现金股利或利润</w:t>
      </w:r>
      <w:r>
        <w:rPr>
          <w:rFonts w:ascii="Times New Roman" w:hAnsi="Times New Roman" w:cs="Times New Roman" w:eastAsia="Times New Roman" w:hint="default"/>
          <w:spacing w:val="2"/>
        </w:rPr>
        <w:t>,</w:t>
      </w:r>
      <w:r>
        <w:rPr>
          <w:spacing w:val="2"/>
        </w:rPr>
        <w:t>确认为当期投资收益</w:t>
      </w:r>
      <w:r>
        <w:rPr>
          <w:rFonts w:ascii="Times New Roman" w:hAnsi="Times New Roman" w:cs="Times New Roman" w:eastAsia="Times New Roman" w:hint="default"/>
          <w:spacing w:val="2"/>
        </w:rPr>
        <w:t>,</w:t>
      </w:r>
      <w:r>
        <w:rPr>
          <w:spacing w:val="2"/>
        </w:rPr>
        <w:t>并同时根据有关资产减值政策考虑长</w:t>
      </w:r>
      <w:r>
        <w:rPr>
          <w:spacing w:val="-75"/>
        </w:rPr>
        <w:t> </w:t>
      </w:r>
      <w:r>
        <w:rPr>
          <w:spacing w:val="-75"/>
        </w:rPr>
      </w:r>
      <w:r>
        <w:rPr/>
        <w:t>期投资是否减值。</w:t>
      </w:r>
    </w:p>
    <w:p>
      <w:pPr>
        <w:pStyle w:val="BodyText"/>
        <w:spacing w:line="300" w:lineRule="auto" w:before="151"/>
        <w:ind w:right="1128" w:firstLine="360"/>
        <w:jc w:val="both"/>
      </w:pPr>
      <w:r>
        <w:rPr/>
        <w:t>采用权益法时</w:t>
      </w:r>
      <w:r>
        <w:rPr>
          <w:rFonts w:ascii="Times New Roman" w:hAnsi="Times New Roman" w:cs="Times New Roman" w:eastAsia="Times New Roman" w:hint="default"/>
        </w:rPr>
        <w:t>,</w:t>
      </w:r>
      <w:r>
        <w:rPr/>
        <w:t>长期股权投资的初始投资成本大于投资时应享有被投资单位可辨认净资产公允价值份额的</w:t>
      </w:r>
      <w:r>
        <w:rPr>
          <w:rFonts w:ascii="Times New Roman" w:hAnsi="Times New Roman" w:cs="Times New Roman" w:eastAsia="Times New Roman" w:hint="default"/>
        </w:rPr>
        <w:t>,</w:t>
      </w:r>
      <w:r>
        <w:rPr/>
        <w:t>归入长期股权 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其差额计</w:t>
      </w:r>
      <w:r>
        <w:rPr>
          <w:spacing w:val="-39"/>
        </w:rPr>
        <w:t> </w:t>
      </w:r>
      <w:r>
        <w:rPr/>
        <w:t>入当期损益</w:t>
      </w:r>
      <w:r>
        <w:rPr>
          <w:rFonts w:ascii="Times New Roman" w:hAnsi="Times New Roman" w:cs="Times New Roman" w:eastAsia="Times New Roman" w:hint="default"/>
        </w:rPr>
        <w:t>,</w:t>
      </w:r>
      <w:r>
        <w:rPr/>
        <w:t>同时调整长期股权投资的成本。</w:t>
      </w:r>
    </w:p>
    <w:p>
      <w:pPr>
        <w:pStyle w:val="BodyText"/>
        <w:spacing w:line="300" w:lineRule="auto" w:before="133"/>
        <w:ind w:right="1132" w:firstLine="360"/>
        <w:jc w:val="both"/>
      </w:pPr>
      <w:r>
        <w:rPr>
          <w:spacing w:val="2"/>
        </w:rPr>
        <w:t>采用权益法时</w:t>
      </w:r>
      <w:r>
        <w:rPr>
          <w:rFonts w:ascii="Times New Roman" w:hAnsi="Times New Roman" w:cs="Times New Roman" w:eastAsia="Times New Roman" w:hint="default"/>
          <w:spacing w:val="2"/>
        </w:rPr>
        <w:t>,</w:t>
      </w:r>
      <w:r>
        <w:rPr>
          <w:spacing w:val="2"/>
        </w:rPr>
        <w:t>取得长期股权投资后</w:t>
      </w:r>
      <w:r>
        <w:rPr>
          <w:rFonts w:ascii="Times New Roman" w:hAnsi="Times New Roman" w:cs="Times New Roman" w:eastAsia="Times New Roman" w:hint="default"/>
          <w:spacing w:val="2"/>
        </w:rPr>
        <w:t>,</w:t>
      </w:r>
      <w:r>
        <w:rPr>
          <w:spacing w:val="2"/>
        </w:rPr>
        <w:t>按照应享有或应分担的被投资单位实现的净损益的份额</w:t>
      </w:r>
      <w:r>
        <w:rPr>
          <w:rFonts w:ascii="Times New Roman" w:hAnsi="Times New Roman" w:cs="Times New Roman" w:eastAsia="Times New Roman" w:hint="default"/>
          <w:spacing w:val="2"/>
        </w:rPr>
        <w:t>,</w:t>
      </w:r>
      <w:r>
        <w:rPr>
          <w:spacing w:val="2"/>
        </w:rPr>
        <w:t>确认投资损益并调整长期</w:t>
      </w:r>
      <w:r>
        <w:rPr/>
        <w:t> 股权投资的账面价值。在确认应享有被投资单位净损益的份额时</w:t>
      </w:r>
      <w:r>
        <w:rPr>
          <w:rFonts w:ascii="Times New Roman" w:hAnsi="Times New Roman" w:cs="Times New Roman" w:eastAsia="Times New Roman" w:hint="default"/>
        </w:rPr>
        <w:t>,</w:t>
      </w:r>
      <w:r>
        <w:rPr/>
        <w:t>以取得投资时被投资单位各项可辨认资产等的公允价值为</w:t>
      </w:r>
      <w:r>
        <w:rPr>
          <w:spacing w:val="-44"/>
        </w:rPr>
        <w:t> </w:t>
      </w:r>
      <w:r>
        <w:rPr>
          <w:spacing w:val="-44"/>
        </w:rPr>
      </w:r>
      <w:r>
        <w:rPr/>
        <w:t>基础</w:t>
      </w:r>
      <w:r>
        <w:rPr>
          <w:rFonts w:ascii="Times New Roman" w:hAnsi="Times New Roman" w:cs="Times New Roman" w:eastAsia="Times New Roman" w:hint="default"/>
        </w:rPr>
        <w:t>,</w:t>
      </w:r>
      <w:r>
        <w:rPr/>
        <w:t>按照本公司的会计政策及会计期间</w:t>
      </w:r>
      <w:r>
        <w:rPr>
          <w:rFonts w:ascii="Times New Roman" w:hAnsi="Times New Roman" w:cs="Times New Roman" w:eastAsia="Times New Roman" w:hint="default"/>
        </w:rPr>
        <w:t>,</w:t>
      </w:r>
      <w:r>
        <w:rPr/>
        <w:t>并抵销与联营企业及合营企业之间发生的内部交易损益按照持股比例计算归属于投</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29"/>
        <w:jc w:val="both"/>
      </w:pPr>
      <w:r>
        <w:rPr/>
        <w:t>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对被投资单位的净利润进行调整后确认。按照被投资单位</w:t>
      </w:r>
      <w:r>
        <w:rPr>
          <w:spacing w:val="-36"/>
        </w:rPr>
        <w:t> </w:t>
      </w:r>
      <w:r>
        <w:rPr>
          <w:spacing w:val="-36"/>
        </w:rPr>
      </w:r>
      <w:r>
        <w:rPr/>
        <w:t>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相应减少长期股权投资的账面价值。本公司确认被投资单位发生的净亏损</w:t>
      </w:r>
      <w:r>
        <w:rPr>
          <w:rFonts w:ascii="Times New Roman" w:hAnsi="Times New Roman" w:cs="Times New Roman" w:eastAsia="Times New Roman" w:hint="default"/>
        </w:rPr>
        <w:t>,</w:t>
      </w:r>
      <w:r>
        <w:rPr/>
        <w:t>以</w:t>
      </w:r>
      <w:r>
        <w:rPr>
          <w:spacing w:val="-83"/>
        </w:rPr>
        <w:t> </w:t>
      </w:r>
      <w:r>
        <w:rPr/>
        <w:t>长期股权投资的账面价值以及其他实质上构成对被投资单位净投资的长期权益减记至零为限</w:t>
      </w:r>
      <w:r>
        <w:rPr>
          <w:rFonts w:ascii="Times New Roman" w:hAnsi="Times New Roman" w:cs="Times New Roman" w:eastAsia="Times New Roman" w:hint="default"/>
        </w:rPr>
        <w:t>,</w:t>
      </w:r>
      <w:r>
        <w:rPr/>
        <w:t>本公司负有承担额外损失义务</w:t>
      </w:r>
      <w:r>
        <w:rPr>
          <w:spacing w:val="-40"/>
        </w:rPr>
        <w:t> </w:t>
      </w:r>
      <w:r>
        <w:rPr>
          <w:spacing w:val="-40"/>
        </w:rPr>
      </w:r>
      <w:r>
        <w:rPr/>
        <w:t>的除外。对于被投资单位除净损益以外所有者权益的其他变动</w:t>
      </w:r>
      <w:r>
        <w:rPr>
          <w:rFonts w:ascii="Times New Roman" w:hAnsi="Times New Roman" w:cs="Times New Roman" w:eastAsia="Times New Roman" w:hint="default"/>
        </w:rPr>
        <w:t>,</w:t>
      </w:r>
      <w:r>
        <w:rPr/>
        <w:t>调整长期股权投资的账面价值并计入所有者权益。</w:t>
      </w:r>
    </w:p>
    <w:p>
      <w:pPr>
        <w:pStyle w:val="BodyText"/>
        <w:spacing w:line="240" w:lineRule="auto" w:before="133"/>
        <w:ind w:left="514" w:right="812"/>
        <w:jc w:val="left"/>
      </w:pPr>
      <w:r>
        <w:rPr>
          <w:rFonts w:ascii="Times New Roman" w:hAnsi="Times New Roman" w:cs="Times New Roman" w:eastAsia="Times New Roman" w:hint="default"/>
        </w:rPr>
        <w:t>3.</w:t>
      </w:r>
      <w:r>
        <w:rPr/>
        <w:t>确定对被投资单位具有控制、重大影响的依据</w:t>
      </w:r>
    </w:p>
    <w:p>
      <w:pPr>
        <w:spacing w:line="240" w:lineRule="auto" w:before="13"/>
        <w:rPr>
          <w:rFonts w:ascii="宋体" w:hAnsi="宋体" w:cs="宋体" w:eastAsia="宋体" w:hint="default"/>
          <w:sz w:val="13"/>
          <w:szCs w:val="13"/>
        </w:rPr>
      </w:pPr>
    </w:p>
    <w:p>
      <w:pPr>
        <w:pStyle w:val="BodyText"/>
        <w:spacing w:line="316" w:lineRule="auto"/>
        <w:ind w:right="1133" w:firstLine="360"/>
        <w:jc w:val="both"/>
      </w:pPr>
      <w:r>
        <w:rPr>
          <w:spacing w:val="-2"/>
        </w:rPr>
        <w:t>控制，是指拥有对被投资方的权力，通过参与被投资方的相关活动而享有可变回报，并且有能力运用对被投资方的权力</w:t>
      </w:r>
      <w:r>
        <w:rPr/>
        <w:t> </w:t>
      </w:r>
      <w:r>
        <w:rPr>
          <w:spacing w:val="-2"/>
        </w:rPr>
        <w:t>影响回报金额；重大影响，是指投资方对被投资单位的财务和经营政策有参与决策的权力，但并不能够控制或者与其他方一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240" w:lineRule="auto" w:before="139"/>
        <w:ind w:left="514" w:right="812"/>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514" w:right="812"/>
        <w:jc w:val="left"/>
      </w:pPr>
      <w:r>
        <w:rPr/>
        <w:t>（</w:t>
      </w:r>
      <w:r>
        <w:rPr>
          <w:rFonts w:ascii="Times New Roman" w:hAnsi="Times New Roman" w:cs="Times New Roman" w:eastAsia="Times New Roman" w:hint="default"/>
        </w:rPr>
        <w:t>1</w:t>
      </w:r>
      <w:r>
        <w:rPr/>
        <w:t>）部分处置对子公司的长期股权投资，但不丧失控制权的情形 </w:t>
      </w:r>
      <w:r>
        <w:rPr>
          <w:spacing w:val="-2"/>
        </w:rPr>
        <w:t>部分处置对子公司的长期股权投资，但不丧失控制权时，应当将处置价款与处置投资对应的账面价值的差额确认为当期</w:t>
      </w:r>
    </w:p>
    <w:p>
      <w:pPr>
        <w:pStyle w:val="BodyText"/>
        <w:spacing w:line="240" w:lineRule="auto" w:before="76"/>
        <w:ind w:right="0"/>
        <w:jc w:val="both"/>
      </w:pPr>
      <w:r>
        <w:rPr/>
        <w:t>投资收益。</w:t>
      </w:r>
    </w:p>
    <w:p>
      <w:pPr>
        <w:pStyle w:val="BodyText"/>
        <w:spacing w:line="420" w:lineRule="atLeast" w:before="25"/>
        <w:ind w:left="514" w:right="812"/>
        <w:jc w:val="left"/>
      </w:pPr>
      <w:r>
        <w:rPr/>
        <w:t>（</w:t>
      </w:r>
      <w:r>
        <w:rPr>
          <w:rFonts w:ascii="Times New Roman" w:hAnsi="Times New Roman" w:cs="Times New Roman" w:eastAsia="Times New Roman" w:hint="default"/>
        </w:rPr>
        <w:t>2</w:t>
      </w:r>
      <w:r>
        <w:rPr/>
        <w:t>）部分处置股权投资或其他原因丧失了对子公司控制权的情形 </w:t>
      </w:r>
      <w:r>
        <w:rPr>
          <w:spacing w:val="-2"/>
        </w:rPr>
        <w:t>部分处置股权投资或其他原因丧失了对子公司控制权的，对于处置的股权，应结转与所售股权相对应的长期股权投资的</w:t>
      </w:r>
    </w:p>
    <w:p>
      <w:pPr>
        <w:pStyle w:val="BodyText"/>
        <w:spacing w:line="316" w:lineRule="auto" w:before="76"/>
        <w:ind w:right="1132"/>
        <w:jc w:val="both"/>
      </w:pPr>
      <w:r>
        <w:rPr>
          <w:spacing w:val="-2"/>
        </w:rPr>
        <w:t>账面价值，出售所得价款与处置长期股权投资账面价值之间差额，确认为投资收益（损失）；同时，对于剩余股权，应当按</w:t>
      </w:r>
      <w:r>
        <w:rPr>
          <w:spacing w:val="-72"/>
        </w:rPr>
        <w:t> </w:t>
      </w:r>
      <w:r>
        <w:rPr>
          <w:spacing w:val="-72"/>
        </w:rPr>
      </w:r>
      <w:r>
        <w:rPr>
          <w:spacing w:val="-2"/>
        </w:rPr>
        <w:t>其账面价值确认为长期股权投资或其它相关金融资产。处置后的剩余股权能够对子公司实施共同控制或重大影响的，应按有</w:t>
      </w:r>
      <w:r>
        <w:rPr>
          <w:spacing w:val="-64"/>
        </w:rPr>
        <w:t> </w:t>
      </w:r>
      <w:r>
        <w:rPr>
          <w:spacing w:val="-64"/>
        </w:rPr>
      </w:r>
      <w:r>
        <w:rPr/>
        <w:t>关成本法转为权益法的相关规定进行会计处理。</w:t>
      </w:r>
    </w:p>
    <w:p>
      <w:pPr>
        <w:pStyle w:val="BodyText"/>
        <w:spacing w:line="432" w:lineRule="exact" w:before="3"/>
        <w:ind w:left="514" w:right="812"/>
        <w:jc w:val="left"/>
      </w:pPr>
      <w:r>
        <w:rPr>
          <w:rFonts w:ascii="Times New Roman" w:hAnsi="Times New Roman" w:cs="Times New Roman" w:eastAsia="Times New Roman" w:hint="default"/>
        </w:rPr>
        <w:t>5.</w:t>
      </w:r>
      <w:r>
        <w:rPr/>
        <w:t>减值测试方法及减值准备计提方法 </w:t>
      </w:r>
      <w:r>
        <w:rPr>
          <w:spacing w:val="-2"/>
        </w:rPr>
        <w:t>对子公司、联营企业及合营企业的投资，在资产负债表日有客观证据表明其发生减值的，按照账面价值与可收回金额的</w:t>
      </w:r>
    </w:p>
    <w:p>
      <w:pPr>
        <w:pStyle w:val="BodyText"/>
        <w:spacing w:line="240" w:lineRule="auto" w:before="15"/>
        <w:ind w:right="0"/>
        <w:jc w:val="both"/>
      </w:pPr>
      <w:r>
        <w:rPr/>
        <w:t>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812"/>
        <w:jc w:val="left"/>
      </w:pPr>
      <w:r>
        <w:rPr>
          <w:spacing w:val="-2"/>
        </w:rPr>
        <w:t>固定资产是指为生产商品、提供劳务、出租或经营管理而持有的，使用年限超过一个会计年度的有形资产。固定资产以取得</w:t>
      </w:r>
      <w:r>
        <w:rPr>
          <w:spacing w:val="-66"/>
        </w:rPr>
        <w:t> </w:t>
      </w:r>
      <w:r>
        <w:rPr>
          <w:spacing w:val="-66"/>
        </w:rPr>
      </w:r>
      <w:r>
        <w:rPr/>
        <w:t>时的实际成本入账，并从其达到预定可使用状态的次月起采用年限平均法计提折旧。</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19.00-19.20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19.00-32.33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19.00-19.40</w:t>
            </w:r>
          </w:p>
        </w:tc>
      </w:tr>
    </w:tbl>
    <w:p>
      <w:pPr>
        <w:pStyle w:val="Heading4"/>
        <w:spacing w:line="248" w:lineRule="exact"/>
        <w:ind w:right="812"/>
        <w:jc w:val="left"/>
        <w:rPr>
          <w:i w:val="0"/>
        </w:rPr>
      </w:pPr>
      <w:r>
        <w:rPr/>
        <w:t>资产负债表日，有迹象表明固定资产发生减值的，按照账面价值与可收回金额的差额计提相应的减值准备。</w:t>
      </w:r>
      <w:r>
        <w:rPr>
          <w:i w:val="0"/>
        </w:rPr>
      </w:r>
    </w:p>
    <w:p>
      <w:pPr>
        <w:spacing w:line="240" w:lineRule="auto" w:before="11"/>
        <w:rPr>
          <w:rFonts w:ascii="宋体" w:hAnsi="宋体" w:cs="宋体" w:eastAsia="宋体" w:hint="default"/>
          <w:i/>
          <w:sz w:val="26"/>
          <w:szCs w:val="26"/>
        </w:rPr>
      </w:pPr>
    </w:p>
    <w:p>
      <w:pPr>
        <w:pStyle w:val="Heading3"/>
        <w:spacing w:line="240" w:lineRule="auto"/>
        <w:ind w:right="0"/>
        <w:jc w:val="both"/>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9" w:firstLine="360"/>
        <w:jc w:val="both"/>
      </w:pPr>
      <w:r>
        <w:rPr>
          <w:spacing w:val="-5"/>
        </w:rPr>
        <w:t>符合下列一项或数项标准的，认定为融资租赁：（</w:t>
      </w:r>
      <w:r>
        <w:rPr>
          <w:rFonts w:ascii="Times New Roman" w:hAnsi="Times New Roman" w:cs="Times New Roman" w:eastAsia="Times New Roman" w:hint="default"/>
          <w:spacing w:val="-5"/>
        </w:rPr>
        <w:t>1</w:t>
      </w:r>
      <w:r>
        <w:rPr>
          <w:spacing w:val="-5"/>
        </w:rPr>
        <w:t>）</w:t>
      </w:r>
      <w:r>
        <w:rPr/>
        <w:t> </w:t>
      </w:r>
      <w:r>
        <w:rPr>
          <w:spacing w:val="-5"/>
        </w:rPr>
        <w:t>在租赁期届满时，租赁资产的所有权转移给承租人；（</w:t>
      </w:r>
      <w:r>
        <w:rPr>
          <w:rFonts w:ascii="Times New Roman" w:hAnsi="Times New Roman" w:cs="Times New Roman" w:eastAsia="Times New Roman" w:hint="default"/>
          <w:spacing w:val="-5"/>
        </w:rPr>
        <w:t>2</w:t>
      </w:r>
      <w:r>
        <w:rPr>
          <w:spacing w:val="-5"/>
        </w:rPr>
        <w:t>）</w:t>
      </w:r>
      <w:r>
        <w:rPr>
          <w:spacing w:val="-15"/>
        </w:rPr>
        <w:t> </w:t>
      </w:r>
      <w:r>
        <w:rPr>
          <w:spacing w:val="-1"/>
        </w:rPr>
        <w:t>承租人</w:t>
      </w:r>
      <w:r>
        <w:rPr/>
        <w:t> </w:t>
      </w:r>
      <w:r>
        <w:rPr>
          <w:spacing w:val="-2"/>
        </w:rPr>
        <w:t>有购买租赁资产的选择权，所订立的购买价款预计将远低于行使选择权时租赁资产的公允价值，因而在租赁开始日就可以合</w:t>
      </w:r>
      <w:r>
        <w:rPr>
          <w:spacing w:val="-64"/>
        </w:rPr>
        <w:t> </w:t>
      </w:r>
      <w:r>
        <w:rPr>
          <w:spacing w:val="-64"/>
        </w:rPr>
      </w:r>
      <w:r>
        <w:rPr>
          <w:spacing w:val="-6"/>
        </w:rPr>
        <w:t>理确定承租人将会行使这种选择权；（</w:t>
      </w:r>
      <w:r>
        <w:rPr>
          <w:rFonts w:ascii="Times New Roman" w:hAnsi="Times New Roman" w:cs="Times New Roman" w:eastAsia="Times New Roman" w:hint="default"/>
          <w:spacing w:val="-6"/>
        </w:rPr>
        <w:t>3</w:t>
      </w:r>
      <w:r>
        <w:rPr>
          <w:spacing w:val="-6"/>
        </w:rPr>
        <w:t>）</w:t>
      </w:r>
      <w:r>
        <w:rPr/>
        <w:t> </w:t>
      </w:r>
      <w:r>
        <w:rPr>
          <w:spacing w:val="-1"/>
        </w:rPr>
        <w:t>即使资产的所有权不转移，但租赁期占租赁资产使用寿命的大部分</w:t>
      </w:r>
      <w:r>
        <w:rPr/>
        <w:t> </w:t>
      </w:r>
      <w:r>
        <w:rPr>
          <w:rFonts w:ascii="Times New Roman" w:hAnsi="Times New Roman" w:cs="Times New Roman" w:eastAsia="Times New Roman" w:hint="default"/>
        </w:rPr>
        <w:t>[ </w:t>
      </w:r>
      <w:r>
        <w:rPr/>
        <w:t>通常占租赁 资产使用寿命的</w:t>
      </w:r>
      <w:r>
        <w:rPr>
          <w:spacing w:val="-40"/>
        </w:rPr>
        <w:t> </w:t>
      </w:r>
      <w:r>
        <w:rPr>
          <w:rFonts w:ascii="Times New Roman" w:hAnsi="Times New Roman" w:cs="Times New Roman" w:eastAsia="Times New Roman" w:hint="default"/>
          <w:spacing w:val="-3"/>
        </w:rPr>
        <w:t>75%</w:t>
      </w:r>
      <w:r>
        <w:rPr>
          <w:spacing w:val="-3"/>
        </w:rPr>
        <w:t>以上（含</w:t>
      </w:r>
      <w:r>
        <w:rPr>
          <w:spacing w:val="-40"/>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w:t>
      </w:r>
      <w:r>
        <w:rPr>
          <w:spacing w:val="-14"/>
        </w:rPr>
        <w:t>；（</w:t>
      </w:r>
      <w:r>
        <w:rPr>
          <w:rFonts w:ascii="Times New Roman" w:hAnsi="Times New Roman" w:cs="Times New Roman" w:eastAsia="Times New Roman" w:hint="default"/>
          <w:spacing w:val="-14"/>
        </w:rPr>
        <w:t>4</w:t>
      </w:r>
      <w:r>
        <w:rPr>
          <w:spacing w:val="-14"/>
        </w:rPr>
        <w:t>）</w:t>
      </w:r>
      <w:r>
        <w:rPr>
          <w:spacing w:val="-7"/>
        </w:rPr>
        <w:t> </w:t>
      </w:r>
      <w:r>
        <w:rPr>
          <w:spacing w:val="-1"/>
        </w:rPr>
        <w:t>承租人在租赁开始日的最低租赁付款额现值，几乎相当于租赁开始日租赁资产</w:t>
      </w:r>
      <w:r>
        <w:rPr/>
        <w:t> 公允价值 </w:t>
      </w:r>
      <w:r>
        <w:rPr>
          <w:rFonts w:ascii="Times New Roman" w:hAnsi="Times New Roman" w:cs="Times New Roman" w:eastAsia="Times New Roman" w:hint="default"/>
        </w:rPr>
        <w:t>[ 90%</w:t>
      </w:r>
      <w:r>
        <w:rPr/>
        <w:t>以上（含</w:t>
      </w:r>
      <w:r>
        <w:rPr>
          <w:spacing w:val="-49"/>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；出租人在租赁开始日的最低租赁收款额现值，几乎相当于租赁开始日租赁资产公允价值 </w:t>
      </w:r>
      <w:r>
        <w:rPr>
          <w:rFonts w:ascii="Times New Roman" w:hAnsi="Times New Roman" w:cs="Times New Roman" w:eastAsia="Times New Roman" w:hint="default"/>
        </w:rPr>
        <w:t>[ 90%</w:t>
      </w:r>
      <w:r>
        <w:rPr/>
        <w:t>以上（含 </w:t>
      </w:r>
      <w:r>
        <w:rPr>
          <w:rFonts w:ascii="Times New Roman" w:hAnsi="Times New Roman" w:cs="Times New Roman" w:eastAsia="Times New Roman" w:hint="default"/>
          <w:spacing w:val="-11"/>
        </w:rPr>
        <w:t>90%</w:t>
      </w:r>
      <w:r>
        <w:rPr>
          <w:spacing w:val="-11"/>
        </w:rPr>
        <w:t>）</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5</w:t>
      </w:r>
      <w:r>
        <w:rPr>
          <w:spacing w:val="-11"/>
        </w:rPr>
        <w:t>）</w:t>
      </w:r>
      <w:r>
        <w:rPr/>
        <w:t> 租赁资产性质特殊，如果不作较大改造，只有承租人才能使用。</w:t>
      </w:r>
      <w:r>
        <w:rPr>
          <w:spacing w:val="51"/>
        </w:rPr>
        <w:t> </w:t>
      </w:r>
      <w:r>
        <w:rPr/>
        <w:t>融资租入的固定资产，</w:t>
      </w:r>
      <w:r>
        <w:rPr/>
        <w:t> 按租赁开始日租赁资产的公允价值与最低租赁付款额的现值中较低者入账，按自有固定资产的折旧政策计提折旧。</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300" w:lineRule="auto" w:before="115"/>
        <w:ind w:right="1131" w:firstLine="360"/>
        <w:jc w:val="both"/>
      </w:pPr>
      <w:r>
        <w:rPr>
          <w:rFonts w:ascii="Times New Roman" w:hAnsi="Times New Roman" w:cs="Times New Roman" w:eastAsia="Times New Roman" w:hint="default"/>
          <w:spacing w:val="-1"/>
        </w:rPr>
        <w:t>1.</w:t>
      </w:r>
      <w:r>
        <w:rPr>
          <w:spacing w:val="-1"/>
        </w:rPr>
        <w:t>在建工程达到预定可使用状态时，按工程实际成本转入固定资产。已达到预定可使用状态但尚未办理竣工决算的，先</w:t>
      </w:r>
      <w:r>
        <w:rPr/>
        <w:t> 按估计价值转入固定资产，待办理竣工决算后再按实际成本调整原暂估价值，但不再调整原已计提的折旧。</w:t>
      </w:r>
    </w:p>
    <w:p>
      <w:pPr>
        <w:pStyle w:val="BodyText"/>
        <w:spacing w:line="240" w:lineRule="auto" w:before="152"/>
        <w:ind w:left="514" w:right="812"/>
        <w:jc w:val="left"/>
      </w:pPr>
      <w:r>
        <w:rPr>
          <w:rFonts w:ascii="Times New Roman" w:hAnsi="Times New Roman" w:cs="Times New Roman" w:eastAsia="Times New Roman" w:hint="default"/>
        </w:rPr>
        <w:t>2.</w:t>
      </w:r>
      <w:r>
        <w:rPr/>
        <w:t>资产负债表日，有迹象表明在建工程发生减值的，按照账面价值与可收回金额的差额计提相应的减值准备。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pStyle w:val="BodyText"/>
        <w:spacing w:line="420" w:lineRule="atLeast" w:before="177"/>
        <w:ind w:left="514" w:right="812"/>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240" w:lineRule="auto" w:before="76"/>
        <w:ind w:right="0"/>
        <w:jc w:val="both"/>
      </w:pPr>
      <w:r>
        <w:rPr/>
        <w:t>他借款费用，在发生时确认为费用，计入当期损益。</w:t>
      </w:r>
    </w:p>
    <w:p>
      <w:pPr>
        <w:spacing w:line="240" w:lineRule="auto" w:before="0"/>
        <w:rPr>
          <w:rFonts w:ascii="宋体" w:hAnsi="宋体" w:cs="宋体" w:eastAsia="宋体" w:hint="default"/>
          <w:sz w:val="15"/>
          <w:szCs w:val="15"/>
        </w:rPr>
      </w:pPr>
    </w:p>
    <w:p>
      <w:pPr>
        <w:pStyle w:val="BodyText"/>
        <w:spacing w:line="240" w:lineRule="auto"/>
        <w:ind w:left="514" w:right="812"/>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right="1132" w:firstLine="360"/>
        <w:jc w:val="both"/>
      </w:pPr>
      <w:r>
        <w:rPr>
          <w:spacing w:val="-2"/>
        </w:rPr>
        <w:t>（</w:t>
      </w:r>
      <w:r>
        <w:rPr>
          <w:rFonts w:ascii="Times New Roman" w:hAnsi="Times New Roman" w:cs="Times New Roman" w:eastAsia="Times New Roman" w:hint="default"/>
          <w:spacing w:val="-2"/>
        </w:rPr>
        <w:t>1</w:t>
      </w:r>
      <w:r>
        <w:rPr>
          <w:spacing w:val="-2"/>
        </w:rPr>
        <w:t>）当借款费用同时满足下列条件时，开始资本化：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w:t>
      </w:r>
      <w:r>
        <w:rPr/>
        <w:t> 预定可使用或可销售状态所必要的购建或者生产活动已经开始。</w:t>
      </w:r>
    </w:p>
    <w:p>
      <w:pPr>
        <w:pStyle w:val="BodyText"/>
        <w:spacing w:line="300" w:lineRule="auto" w:before="151"/>
        <w:ind w:right="1131" w:firstLine="360"/>
        <w:jc w:val="both"/>
      </w:pPr>
      <w:r>
        <w:rPr>
          <w:spacing w:val="-2"/>
        </w:rPr>
        <w:t>（</w:t>
      </w:r>
      <w:r>
        <w:rPr>
          <w:rFonts w:ascii="Times New Roman" w:hAnsi="Times New Roman" w:cs="Times New Roman" w:eastAsia="Times New Roman" w:hint="default"/>
          <w:spacing w:val="-2"/>
        </w:rPr>
        <w:t>2</w:t>
      </w:r>
      <w:r>
        <w:rPr>
          <w:spacing w:val="-2"/>
        </w:rPr>
        <w:t>）若符合资本化条件的资产在购建或者生产过程中发生非正常中断，并且中断时间连续超过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个月，暂停借款费用的</w:t>
      </w:r>
      <w:r>
        <w:rPr/>
        <w:t> 资本化；中断期间发生的借款费用确认为当期费用，直至资产的购建或者生产活动重新开始。</w:t>
      </w:r>
    </w:p>
    <w:p>
      <w:pPr>
        <w:pStyle w:val="BodyText"/>
        <w:spacing w:line="432" w:lineRule="exact" w:before="16"/>
        <w:ind w:left="514" w:right="812"/>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 </w:t>
      </w:r>
      <w:r>
        <w:rPr>
          <w:rFonts w:ascii="Times New Roman" w:hAnsi="Times New Roman" w:cs="Times New Roman" w:eastAsia="Times New Roman" w:hint="default"/>
        </w:rPr>
        <w:t>3.</w:t>
      </w:r>
      <w:r>
        <w:rPr/>
        <w:t>借款费用资本化金额 </w:t>
      </w:r>
      <w:r>
        <w:rPr>
          <w:spacing w:val="-2"/>
        </w:rPr>
        <w:t>为购建或者生产符合资本化条件的资产而借入专门借款的，以专门借款当期实际发生的利息费用（包括按照实际利率法</w:t>
      </w:r>
    </w:p>
    <w:p>
      <w:pPr>
        <w:pStyle w:val="BodyText"/>
        <w:spacing w:line="316" w:lineRule="auto" w:before="15"/>
        <w:ind w:right="1132"/>
        <w:jc w:val="both"/>
      </w:pP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after="0" w:line="316"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19、无形资产" w:id="195"/>
      <w:bookmarkEnd w:id="195"/>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812"/>
        <w:jc w:val="left"/>
      </w:pPr>
      <w:r>
        <w:rPr/>
        <w:t>软件与信息技术服务业</w:t>
      </w:r>
    </w:p>
    <w:p>
      <w:pPr>
        <w:pStyle w:val="Heading4"/>
        <w:spacing w:line="240" w:lineRule="auto" w:before="103"/>
        <w:ind w:left="514" w:right="812"/>
        <w:jc w:val="left"/>
        <w:rPr>
          <w:i w:val="0"/>
        </w:rPr>
      </w:pPr>
      <w:r>
        <w:rPr>
          <w:rFonts w:ascii="Times New Roman" w:hAnsi="Times New Roman" w:cs="Times New Roman" w:eastAsia="Times New Roman" w:hint="default"/>
          <w:i/>
          <w:sz w:val="18"/>
          <w:szCs w:val="18"/>
        </w:rPr>
        <w:t>1.</w:t>
      </w:r>
      <w:r>
        <w:rPr/>
        <w:t>无形资产包括软件、专利权及非专利技术等，按成本进行初始计量。</w:t>
      </w:r>
      <w:r>
        <w:rPr>
          <w:i w:val="0"/>
        </w:rPr>
      </w:r>
    </w:p>
    <w:p>
      <w:pPr>
        <w:spacing w:line="240" w:lineRule="auto" w:before="13"/>
        <w:rPr>
          <w:rFonts w:ascii="宋体" w:hAnsi="宋体" w:cs="宋体" w:eastAsia="宋体" w:hint="default"/>
          <w:i/>
          <w:sz w:val="13"/>
          <w:szCs w:val="13"/>
        </w:rPr>
      </w:pPr>
    </w:p>
    <w:p>
      <w:pPr>
        <w:pStyle w:val="BodyText"/>
        <w:spacing w:line="300" w:lineRule="auto"/>
        <w:ind w:right="1131" w:firstLine="360"/>
        <w:jc w:val="both"/>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w:t>
      </w:r>
    </w:p>
    <w:p>
      <w:pPr>
        <w:pStyle w:val="BodyText"/>
        <w:spacing w:line="240" w:lineRule="auto" w:before="151"/>
        <w:ind w:left="514" w:right="812"/>
        <w:jc w:val="left"/>
      </w:pPr>
      <w:r>
        <w:rPr/>
        <w:t>使用寿命不确定的无形资产不摊销，本公司在每个会计期间均对该无形资产的使用寿命进行复核。</w:t>
      </w:r>
    </w:p>
    <w:p>
      <w:pPr>
        <w:spacing w:line="240" w:lineRule="auto" w:before="0"/>
        <w:rPr>
          <w:rFonts w:ascii="宋体" w:hAnsi="宋体" w:cs="宋体" w:eastAsia="宋体" w:hint="default"/>
          <w:sz w:val="15"/>
          <w:szCs w:val="15"/>
        </w:rPr>
      </w:pPr>
    </w:p>
    <w:p>
      <w:pPr>
        <w:pStyle w:val="BodyText"/>
        <w:spacing w:line="300" w:lineRule="auto"/>
        <w:ind w:right="1131" w:firstLine="360"/>
        <w:jc w:val="both"/>
      </w:pPr>
      <w:r>
        <w:rPr>
          <w:rFonts w:ascii="Times New Roman" w:hAnsi="Times New Roman" w:cs="Times New Roman" w:eastAsia="Times New Roman" w:hint="default"/>
          <w:spacing w:val="-1"/>
        </w:rPr>
        <w:t>3.</w:t>
      </w:r>
      <w:r>
        <w:rPr>
          <w:spacing w:val="-1"/>
        </w:rPr>
        <w:t>使用寿命确定的无形资产，在资产负债表日有迹象表明发生减值的，按照账面价值与可收回金额的差额计提相应的减</w:t>
      </w:r>
      <w:r>
        <w:rPr/>
        <w:t> 值准备；使用寿命不确定的无形资产和尚未达到可使用状态的无形资产，无论是否存在减值迹象，每年均进行减值测试。</w:t>
      </w:r>
    </w:p>
    <w:p>
      <w:pPr>
        <w:spacing w:line="240" w:lineRule="auto" w:before="6"/>
        <w:rPr>
          <w:rFonts w:ascii="宋体" w:hAnsi="宋体" w:cs="宋体" w:eastAsia="宋体" w:hint="default"/>
          <w:sz w:val="23"/>
          <w:szCs w:val="23"/>
        </w:rPr>
      </w:pPr>
    </w:p>
    <w:p>
      <w:pPr>
        <w:pStyle w:val="Heading3"/>
        <w:spacing w:line="240" w:lineRule="auto"/>
        <w:ind w:right="812"/>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812" w:firstLine="360"/>
        <w:jc w:val="left"/>
      </w:pPr>
      <w:r>
        <w:rPr>
          <w:spacing w:val="-4"/>
        </w:rPr>
        <w:t>内部研究开发项目研究阶段的支出，于发生时计入当期损益。内部研究开发项目开发阶段的支出，同时满足下列条件的，</w:t>
      </w:r>
      <w:r>
        <w:rPr/>
        <w:t> </w:t>
      </w:r>
      <w:r>
        <w:rPr>
          <w:spacing w:val="-2"/>
        </w:rPr>
        <w:t>确认为无形资产：（</w:t>
      </w:r>
      <w:r>
        <w:rPr>
          <w:rFonts w:ascii="Times New Roman" w:hAnsi="Times New Roman" w:cs="Times New Roman" w:eastAsia="Times New Roman" w:hint="default"/>
          <w:spacing w:val="-2"/>
        </w:rPr>
        <w:t>1</w:t>
      </w:r>
      <w:r>
        <w:rPr>
          <w:spacing w:val="-2"/>
        </w:rPr>
        <w:t>）完成该无形资产以使其能够使用或出售在技术上具有可行性；（</w:t>
      </w:r>
      <w:r>
        <w:rPr>
          <w:rFonts w:ascii="Times New Roman" w:hAnsi="Times New Roman" w:cs="Times New Roman" w:eastAsia="Times New Roman" w:hint="default"/>
          <w:spacing w:val="-2"/>
        </w:rPr>
        <w:t>2</w:t>
      </w:r>
      <w:r>
        <w:rPr>
          <w:spacing w:val="-2"/>
        </w:rPr>
        <w:t>）具有完成该无形资产并使用或出</w:t>
      </w:r>
      <w:r>
        <w:rPr>
          <w:spacing w:val="-66"/>
        </w:rPr>
        <w:t> </w:t>
      </w:r>
      <w:r>
        <w:rPr>
          <w:spacing w:val="-66"/>
        </w:rPr>
      </w:r>
      <w:r>
        <w:rPr/>
        <w:t>售的意图；（</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w:t>
      </w:r>
      <w:r>
        <w:rPr>
          <w:spacing w:val="-83"/>
        </w:rPr>
        <w:t> </w:t>
      </w:r>
      <w:r>
        <w:rPr>
          <w:spacing w:val="-83"/>
        </w:rPr>
      </w:r>
      <w:r>
        <w:rPr/>
        <w:t>场，无形资产将在内部使用的，能证明其有用性；（</w:t>
      </w:r>
      <w:r>
        <w:rPr>
          <w:rFonts w:ascii="Times New Roman" w:hAnsi="Times New Roman" w:cs="Times New Roman" w:eastAsia="Times New Roman" w:hint="default"/>
        </w:rPr>
        <w:t>4</w:t>
      </w:r>
      <w:r>
        <w:rPr/>
        <w:t>）有足够的技术、财务资源和其他资源支持，以完成该无形资产的开</w:t>
      </w:r>
      <w:r>
        <w:rPr>
          <w:spacing w:val="-82"/>
        </w:rPr>
        <w:t> </w:t>
      </w:r>
      <w:r>
        <w:rPr>
          <w:spacing w:val="-82"/>
        </w:rPr>
      </w:r>
      <w:r>
        <w:rPr/>
        <w:t>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BodyText"/>
        <w:spacing w:line="240" w:lineRule="auto" w:before="129"/>
        <w:ind w:left="514" w:right="812"/>
        <w:jc w:val="left"/>
      </w:pPr>
      <w:r>
        <w:rPr/>
        <w:t>无法区分研究阶段支出和开发阶段支出的，将发生的研发支出全部计入当期损益</w:t>
      </w:r>
    </w:p>
    <w:p>
      <w:pPr>
        <w:spacing w:line="240" w:lineRule="auto" w:before="12"/>
        <w:rPr>
          <w:rFonts w:ascii="宋体" w:hAnsi="宋体" w:cs="宋体" w:eastAsia="宋体" w:hint="default"/>
          <w:sz w:val="26"/>
          <w:szCs w:val="26"/>
        </w:rPr>
      </w:pPr>
    </w:p>
    <w:p>
      <w:pPr>
        <w:pStyle w:val="Heading3"/>
        <w:spacing w:line="240" w:lineRule="auto"/>
        <w:ind w:right="812"/>
        <w:jc w:val="left"/>
        <w:rPr>
          <w:b w:val="0"/>
          <w:bCs w:val="0"/>
        </w:rPr>
      </w:pPr>
      <w:bookmarkStart w:name="20、长期资产减值" w:id="198"/>
      <w:bookmarkEnd w:id="198"/>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4" w:right="1752"/>
        <w:jc w:val="left"/>
      </w:pPr>
      <w:r>
        <w:rPr/>
        <w:t>公司应当在资产负债表日判断资产是否存在可能发生减值的迹象。 因企业合并所形成的商誉和使用寿命不确定的无形资产，无论是否存在减值迹象，每年都应当进行减值测试。 存在下列迹象的，表明资产可能发生了减值：</w:t>
      </w:r>
    </w:p>
    <w:p>
      <w:pPr>
        <w:pStyle w:val="BodyText"/>
        <w:spacing w:line="304" w:lineRule="auto" w:before="47"/>
        <w:ind w:right="1130" w:firstLine="360"/>
        <w:jc w:val="both"/>
      </w:pPr>
      <w:r>
        <w:rPr>
          <w:spacing w:val="-2"/>
        </w:rPr>
        <w:t>（</w:t>
      </w:r>
      <w:r>
        <w:rPr>
          <w:rFonts w:ascii="Times New Roman" w:hAnsi="Times New Roman" w:cs="Times New Roman" w:eastAsia="Times New Roman" w:hint="default"/>
          <w:spacing w:val="-2"/>
        </w:rPr>
        <w:t>1</w:t>
      </w:r>
      <w:r>
        <w:rPr>
          <w:spacing w:val="-2"/>
        </w:rPr>
        <w:t>）资产的市价当期大幅度下跌，其跌幅明显高于因时间的推移或者正常使用而预计的下跌；（</w:t>
      </w:r>
      <w:r>
        <w:rPr>
          <w:rFonts w:ascii="Times New Roman" w:hAnsi="Times New Roman" w:cs="Times New Roman" w:eastAsia="Times New Roman" w:hint="default"/>
          <w:spacing w:val="-2"/>
        </w:rPr>
        <w:t>2</w:t>
      </w:r>
      <w:r>
        <w:rPr>
          <w:spacing w:val="-2"/>
        </w:rPr>
        <w:t>）企业经营所处的经</w:t>
      </w:r>
      <w:r>
        <w:rPr/>
        <w:t> 济、技术或者法律等环境以及资产所处的市场在当期或者将在近期发生重大变化，从而对企业产生不利影响；（</w:t>
      </w:r>
      <w:r>
        <w:rPr>
          <w:rFonts w:ascii="Times New Roman" w:hAnsi="Times New Roman" w:cs="Times New Roman" w:eastAsia="Times New Roman" w:hint="default"/>
        </w:rPr>
        <w:t>3</w:t>
      </w:r>
      <w:r>
        <w:rPr/>
        <w:t>）市场利</w:t>
      </w:r>
      <w:r>
        <w:rPr>
          <w:spacing w:val="-83"/>
        </w:rPr>
        <w:t> </w:t>
      </w:r>
      <w:r>
        <w:rPr>
          <w:spacing w:val="-83"/>
        </w:rPr>
      </w:r>
      <w:r>
        <w:rPr/>
        <w:t>率或者其他市场投资报酬率在当期已经提高，从而影响公司计算资产预计未来现金流量现值的折现率， 导致资产可收回金</w:t>
      </w:r>
      <w:r>
        <w:rPr>
          <w:spacing w:val="-86"/>
        </w:rPr>
        <w:t> </w:t>
      </w:r>
      <w:r>
        <w:rPr>
          <w:spacing w:val="-86"/>
        </w:rPr>
      </w:r>
      <w:r>
        <w:rPr>
          <w:spacing w:val="-2"/>
        </w:rPr>
        <w:t>额大幅度降低；（</w:t>
      </w:r>
      <w:r>
        <w:rPr>
          <w:rFonts w:ascii="Times New Roman" w:hAnsi="Times New Roman" w:cs="Times New Roman" w:eastAsia="Times New Roman" w:hint="default"/>
          <w:spacing w:val="-2"/>
        </w:rPr>
        <w:t>4</w:t>
      </w:r>
      <w:r>
        <w:rPr>
          <w:spacing w:val="-2"/>
        </w:rPr>
        <w:t>）有证据表明资产已经陈旧过时或者其实体已经损坏；（</w:t>
      </w:r>
      <w:r>
        <w:rPr>
          <w:rFonts w:ascii="Times New Roman" w:hAnsi="Times New Roman" w:cs="Times New Roman" w:eastAsia="Times New Roman" w:hint="default"/>
          <w:spacing w:val="-2"/>
        </w:rPr>
        <w:t>5</w:t>
      </w:r>
      <w:r>
        <w:rPr>
          <w:spacing w:val="-2"/>
        </w:rPr>
        <w:t>）资产已经或者将被闲置、终止使用或者计划</w:t>
      </w:r>
      <w:r>
        <w:rPr>
          <w:spacing w:val="-65"/>
        </w:rPr>
        <w:t> </w:t>
      </w:r>
      <w:r>
        <w:rPr>
          <w:spacing w:val="-65"/>
        </w:rPr>
      </w:r>
      <w:r>
        <w:rPr/>
        <w:t>提前处置；（</w:t>
      </w:r>
      <w:r>
        <w:rPr>
          <w:rFonts w:ascii="Times New Roman" w:hAnsi="Times New Roman" w:cs="Times New Roman" w:eastAsia="Times New Roman" w:hint="default"/>
        </w:rPr>
        <w:t>6</w:t>
      </w:r>
      <w:r>
        <w:rPr/>
        <w:t>）公司内部报告的证据表明资产的经济绩效已经低于或者将低于预期，如资产所创造的净现金流量或者实现</w:t>
      </w:r>
      <w:r>
        <w:rPr>
          <w:spacing w:val="-83"/>
        </w:rPr>
        <w:t> </w:t>
      </w:r>
      <w:r>
        <w:rPr>
          <w:spacing w:val="-83"/>
        </w:rPr>
      </w:r>
      <w:r>
        <w:rPr/>
        <w:t>的营业利润（或者亏损）远远低于（或者高于）预计金额等；（</w:t>
      </w:r>
      <w:r>
        <w:rPr>
          <w:rFonts w:ascii="Times New Roman" w:hAnsi="Times New Roman" w:cs="Times New Roman" w:eastAsia="Times New Roman" w:hint="default"/>
        </w:rPr>
        <w:t>7</w:t>
      </w:r>
      <w:r>
        <w:rPr/>
        <w:t>）其他表明资产可能已经发生减值的迹象。</w:t>
      </w:r>
    </w:p>
    <w:p>
      <w:pPr>
        <w:pStyle w:val="BodyText"/>
        <w:spacing w:line="439" w:lineRule="auto" w:before="129"/>
        <w:ind w:left="514" w:right="812"/>
        <w:jc w:val="left"/>
      </w:pPr>
      <w:r>
        <w:rPr/>
        <w:t>资产存在减值迹象的，应当估计其可收回金额。 可收回金额应当根据资产的公允价值减去处置费用后的净额与资产预计未来现金流量的现值两者之间较高者确定。 处置费用包括与资产处置有关的法律费用、相关税费、搬运费以及为使资产达到可销售状态所发生的直接费用等。</w:t>
      </w:r>
    </w:p>
    <w:p>
      <w:pPr>
        <w:pStyle w:val="BodyText"/>
        <w:spacing w:line="316" w:lineRule="auto" w:before="47"/>
        <w:ind w:right="1131" w:firstLine="360"/>
        <w:jc w:val="both"/>
      </w:pPr>
      <w:r>
        <w:rPr>
          <w:spacing w:val="-2"/>
        </w:rPr>
        <w:t>资产预计未来现金流量的现值，应当按照资产在持续使用过程中和最终处置时所产生的预计未来现金流量，选择恰当的</w:t>
      </w:r>
      <w:r>
        <w:rPr/>
        <w:t> </w:t>
      </w:r>
      <w:r>
        <w:rPr>
          <w:spacing w:val="-2"/>
        </w:rPr>
        <w:t>折现率对其进行折现后的金额加以确定。预计资产未来现金流量的现值，应当综合考虑资产的预计未来现金流量、使用寿命</w:t>
      </w:r>
      <w:r>
        <w:rPr>
          <w:spacing w:val="-66"/>
        </w:rPr>
        <w:t> </w:t>
      </w:r>
      <w:r>
        <w:rPr>
          <w:spacing w:val="-66"/>
        </w:rPr>
      </w:r>
      <w:r>
        <w:rPr/>
        <w:t>和折现率等因素。</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firstLine="360"/>
        <w:jc w:val="both"/>
      </w:pPr>
      <w:r>
        <w:rPr>
          <w:spacing w:val="-2"/>
        </w:rPr>
        <w:t>可收回金额的计量结果表明，资产的可收回金额低于其账面价值的，应当将资产的账面价值减记至可收回金额，减记的</w:t>
      </w:r>
      <w:r>
        <w:rPr/>
        <w:t> 金额确认为资产减值损失，计入当期损益，同时计提相应的资产减值准备。</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21、长期待摊费用" w:id="199"/>
      <w:bookmarkEnd w:id="199"/>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p>
    <w:p>
      <w:pPr>
        <w:pStyle w:val="BodyText"/>
        <w:spacing w:line="240" w:lineRule="auto" w:before="139"/>
        <w:ind w:left="514" w:right="812"/>
        <w:jc w:val="left"/>
      </w:pPr>
      <w:r>
        <w:rPr/>
        <w:t>本公司的长期待摊费用主要包括租赁房屋的装修费等。长期待摊费用在预计受益期间按直线法摊销。</w:t>
      </w:r>
    </w:p>
    <w:p>
      <w:pPr>
        <w:spacing w:line="240" w:lineRule="auto" w:before="12"/>
        <w:rPr>
          <w:rFonts w:ascii="宋体" w:hAnsi="宋体" w:cs="宋体" w:eastAsia="宋体" w:hint="default"/>
          <w:sz w:val="26"/>
          <w:szCs w:val="26"/>
        </w:rPr>
      </w:pPr>
    </w:p>
    <w:p>
      <w:pPr>
        <w:pStyle w:val="Heading3"/>
        <w:spacing w:line="240" w:lineRule="auto"/>
        <w:ind w:right="812"/>
        <w:jc w:val="left"/>
        <w:rPr>
          <w:b w:val="0"/>
          <w:bCs w:val="0"/>
        </w:rPr>
      </w:pPr>
      <w:bookmarkStart w:name="22、职工薪酬" w:id="200"/>
      <w:bookmarkEnd w:id="200"/>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本公司在职工提供服务的会计期间，将实际发生的短期薪酬确认为负债，并计入当期损益或相关资产成本。其中，非货</w:t>
      </w:r>
      <w:r>
        <w:rPr/>
        <w:t> 币性福利按照公允价值计量。</w:t>
      </w:r>
    </w:p>
    <w:p>
      <w:pPr>
        <w:pStyle w:val="BodyText"/>
        <w:spacing w:line="432" w:lineRule="exact" w:before="3"/>
        <w:ind w:left="514" w:right="812"/>
        <w:jc w:val="left"/>
      </w:pPr>
      <w:r>
        <w:rPr/>
        <w:t>短期薪酬的会计处理方法 </w:t>
      </w:r>
      <w:r>
        <w:rPr>
          <w:spacing w:val="-2"/>
        </w:rPr>
        <w:t>短期薪酬主要包括工资、奖金、津贴和补贴、职工福利费、医疗保险费、生育保险费、工伤保险费、住房公积金、工会</w:t>
      </w:r>
    </w:p>
    <w:p>
      <w:pPr>
        <w:pStyle w:val="BodyText"/>
        <w:spacing w:line="316" w:lineRule="auto" w:before="15"/>
        <w:ind w:right="812"/>
        <w:jc w:val="left"/>
      </w:pP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6"/>
        </w:rPr>
        <w:t> </w:t>
      </w:r>
      <w:r>
        <w:rPr>
          <w:spacing w:val="-66"/>
        </w:rPr>
      </w:r>
      <w:r>
        <w:rPr>
          <w:spacing w:val="-2"/>
        </w:rPr>
        <w:t>退休员工支付社会基本养老金。本公司在职工提供服务的会计期间，将根据上述社保规定计算应缴纳的金额确认为负债，并</w:t>
      </w:r>
      <w:r>
        <w:rPr>
          <w:spacing w:val="-66"/>
        </w:rPr>
        <w:t> </w:t>
      </w:r>
      <w:r>
        <w:rPr>
          <w:spacing w:val="-66"/>
        </w:rPr>
      </w:r>
      <w:r>
        <w:rPr/>
        <w:t>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23、收入" w:id="205"/>
      <w:bookmarkEnd w:id="205"/>
      <w:r>
        <w:rPr>
          <w:b w:val="0"/>
          <w:bCs w:val="0"/>
        </w:rPr>
      </w:r>
      <w:r>
        <w:rPr>
          <w:rFonts w:ascii="Times New Roman" w:hAnsi="Times New Roman" w:cs="Times New Roman" w:eastAsia="Times New Roman" w:hint="default"/>
        </w:rPr>
        <w:t>23</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812"/>
        <w:jc w:val="left"/>
      </w:pPr>
      <w:r>
        <w:rPr/>
        <w:t>软件与信息技术服务业</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812"/>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514" w:right="812"/>
        <w:jc w:val="left"/>
      </w:pPr>
      <w:r>
        <w:rPr>
          <w:rFonts w:ascii="Times New Roman" w:hAnsi="Times New Roman" w:cs="Times New Roman" w:eastAsia="Times New Roman" w:hint="default"/>
        </w:rPr>
        <w:t>1.</w:t>
      </w:r>
      <w:r>
        <w:rPr/>
        <w:t>销售商品</w:t>
      </w:r>
    </w:p>
    <w:p>
      <w:pPr>
        <w:spacing w:line="240" w:lineRule="auto" w:before="13"/>
        <w:rPr>
          <w:rFonts w:ascii="宋体" w:hAnsi="宋体" w:cs="宋体" w:eastAsia="宋体" w:hint="default"/>
          <w:sz w:val="13"/>
          <w:szCs w:val="13"/>
        </w:rPr>
      </w:pPr>
    </w:p>
    <w:p>
      <w:pPr>
        <w:pStyle w:val="BodyText"/>
        <w:spacing w:line="319" w:lineRule="auto"/>
        <w:ind w:right="1133" w:firstLine="360"/>
        <w:jc w:val="both"/>
      </w:pPr>
      <w:r>
        <w:rPr>
          <w:spacing w:val="-2"/>
        </w:rPr>
        <w:t>公司研发生产销售智能身份认证产品，在销售合同（订单）已经签订，相关产品已经发出交付客户，已将商品所有权上</w:t>
      </w:r>
      <w:r>
        <w:rPr/>
        <w:t> </w:t>
      </w:r>
      <w:r>
        <w:rPr>
          <w:spacing w:val="-2"/>
        </w:rPr>
        <w:t>的主要风险和报酬转移给买方，既没有保留通常与所有权相联系的继续管理权，也没有对已售商品实施有效控制，收入的金</w:t>
      </w:r>
      <w:r>
        <w:rPr>
          <w:spacing w:val="-66"/>
        </w:rPr>
        <w:t> </w:t>
      </w:r>
      <w:r>
        <w:rPr>
          <w:spacing w:val="-66"/>
        </w:rPr>
      </w:r>
      <w:r>
        <w:rPr>
          <w:spacing w:val="-2"/>
        </w:rPr>
        <w:t>额能够可靠地计量，相关的经济利益很可能流入企业，相关的已发生或将发生的成本能够可靠地计量时，确认商品销售收入</w:t>
      </w:r>
      <w:r>
        <w:rPr>
          <w:spacing w:val="-66"/>
        </w:rPr>
        <w:t> </w:t>
      </w:r>
      <w:r>
        <w:rPr>
          <w:spacing w:val="-66"/>
        </w:rPr>
      </w:r>
      <w:r>
        <w:rPr/>
        <w:t>的实现。</w:t>
      </w:r>
    </w:p>
    <w:p>
      <w:pPr>
        <w:pStyle w:val="BodyText"/>
        <w:spacing w:line="316" w:lineRule="auto" w:before="137"/>
        <w:ind w:right="1132" w:firstLine="360"/>
        <w:jc w:val="both"/>
      </w:pPr>
      <w:r>
        <w:rPr>
          <w:spacing w:val="-2"/>
        </w:rPr>
        <w:t>公司研发生产销售智能身份认证产品，国内销售在销售合同（订单）已经签订，相关产品已经发出交付客户，经客户对</w:t>
      </w:r>
      <w:r>
        <w:rPr/>
        <w:t> </w:t>
      </w:r>
      <w:r>
        <w:rPr>
          <w:spacing w:val="-2"/>
        </w:rPr>
        <w:t>产品验收后确认收入；境外销售在销售合同（订单）已经签订，相关产品已经发出经检验合格后通过海关报关出口放行，取</w:t>
      </w:r>
      <w:r>
        <w:rPr>
          <w:spacing w:val="-66"/>
        </w:rPr>
        <w:t> </w:t>
      </w:r>
      <w:r>
        <w:rPr>
          <w:spacing w:val="-66"/>
        </w:rPr>
      </w:r>
      <w:r>
        <w:rPr/>
        <w:t>得报关单时确认收入。</w:t>
      </w:r>
    </w:p>
    <w:p>
      <w:pPr>
        <w:pStyle w:val="BodyText"/>
        <w:spacing w:line="432" w:lineRule="exact" w:before="3"/>
        <w:ind w:left="514" w:right="812"/>
        <w:jc w:val="left"/>
      </w:pPr>
      <w:r>
        <w:rPr>
          <w:rFonts w:ascii="Times New Roman" w:hAnsi="Times New Roman" w:cs="Times New Roman" w:eastAsia="Times New Roman" w:hint="default"/>
        </w:rPr>
        <w:t>2.</w:t>
      </w:r>
      <w:r>
        <w:rPr/>
        <w:t>提供劳务 </w:t>
      </w:r>
      <w:r>
        <w:rPr>
          <w:spacing w:val="-4"/>
        </w:rPr>
        <w:t>提供劳务交易的结果在资产负债表日能够可靠估计的（同时满足收入的金额能够可靠地计量、相关经济利益很可能流入、</w:t>
      </w:r>
    </w:p>
    <w:p>
      <w:pPr>
        <w:pStyle w:val="BodyText"/>
        <w:spacing w:line="316" w:lineRule="auto" w:before="15"/>
        <w:ind w:right="812"/>
        <w:jc w:val="left"/>
      </w:pPr>
      <w:r>
        <w:rPr>
          <w:spacing w:val="-4"/>
        </w:rPr>
        <w:t>交易的完工进度能够可靠地确定、交易中已发生和将发生的成本能够可靠地计量），采用完工百分比法确认提供劳务的收入，</w:t>
      </w:r>
      <w:r>
        <w:rPr>
          <w:spacing w:val="-44"/>
        </w:rPr>
        <w:t> </w:t>
      </w:r>
      <w:r>
        <w:rPr>
          <w:spacing w:val="-44"/>
        </w:rPr>
      </w:r>
      <w:r>
        <w:rPr>
          <w:spacing w:val="-2"/>
        </w:rPr>
        <w:t>并按已经发生的成本占估计总成本的比例确定提供劳务交易的完工进度。提供劳务交易的结果在资产负债表日不能够可靠估</w:t>
      </w:r>
      <w:r>
        <w:rPr>
          <w:spacing w:val="-64"/>
        </w:rPr>
        <w:t> </w:t>
      </w:r>
      <w:r>
        <w:rPr>
          <w:spacing w:val="-64"/>
        </w:rPr>
      </w:r>
      <w:r>
        <w:rPr>
          <w:spacing w:val="-2"/>
        </w:rPr>
        <w:t>计的，若已经发生的劳务成本预计能够得到补偿，按已经发生的劳务成本金额确认提供劳务收入，并按相同金额结转劳务成</w:t>
      </w:r>
      <w:r>
        <w:rPr>
          <w:spacing w:val="-66"/>
        </w:rPr>
        <w:t> </w:t>
      </w:r>
      <w:r>
        <w:rPr>
          <w:spacing w:val="-66"/>
        </w:rPr>
      </w:r>
      <w:r>
        <w:rPr/>
        <w:t>本；若已经发生的劳务成本预计不能够得到补偿，将已经发生的劳务成本计入当期损益，不确认劳务收入。</w:t>
      </w:r>
    </w:p>
    <w:p>
      <w:pPr>
        <w:pStyle w:val="BodyText"/>
        <w:spacing w:line="316" w:lineRule="auto" w:before="139"/>
        <w:ind w:right="1131"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417" w:lineRule="auto" w:before="139"/>
        <w:ind w:left="514" w:right="6612"/>
        <w:jc w:val="left"/>
      </w:pPr>
      <w:r>
        <w:rPr>
          <w:rFonts w:ascii="Times New Roman" w:hAnsi="Times New Roman" w:cs="Times New Roman" w:eastAsia="Times New Roman" w:hint="default"/>
        </w:rPr>
        <w:t>3.</w:t>
      </w:r>
      <w:r>
        <w:rPr/>
        <w:t>使用费收入 根据有关合同或协议，按权责发生制确认收入。</w:t>
      </w:r>
    </w:p>
    <w:p>
      <w:pPr>
        <w:spacing w:line="240" w:lineRule="auto" w:before="10"/>
        <w:rPr>
          <w:rFonts w:ascii="宋体" w:hAnsi="宋体" w:cs="宋体" w:eastAsia="宋体" w:hint="default"/>
          <w:sz w:val="16"/>
          <w:szCs w:val="16"/>
        </w:rPr>
      </w:pPr>
    </w:p>
    <w:p>
      <w:pPr>
        <w:pStyle w:val="Heading3"/>
        <w:spacing w:line="240" w:lineRule="auto"/>
        <w:ind w:right="812"/>
        <w:jc w:val="left"/>
        <w:rPr>
          <w:b w:val="0"/>
          <w:bCs w:val="0"/>
        </w:rPr>
      </w:pPr>
      <w:bookmarkStart w:name="24、政府补助" w:id="206"/>
      <w:bookmarkEnd w:id="206"/>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rFonts w:ascii="Times New Roman" w:hAnsi="Times New Roman" w:cs="Times New Roman" w:eastAsia="Times New Roman" w:hint="default"/>
        </w:rPr>
        <w:t>1.</w:t>
      </w:r>
      <w:r>
        <w:rPr/>
        <w:t>政府补助包括与资产相关的政府补助和与收益相关的政府补助。</w:t>
      </w:r>
    </w:p>
    <w:p>
      <w:pPr>
        <w:spacing w:line="240" w:lineRule="auto" w:before="13"/>
        <w:rPr>
          <w:rFonts w:ascii="宋体" w:hAnsi="宋体" w:cs="宋体" w:eastAsia="宋体" w:hint="default"/>
          <w:sz w:val="13"/>
          <w:szCs w:val="13"/>
        </w:rPr>
      </w:pPr>
    </w:p>
    <w:p>
      <w:pPr>
        <w:pStyle w:val="BodyText"/>
        <w:spacing w:line="300" w:lineRule="auto"/>
        <w:ind w:right="1132" w:firstLine="360"/>
        <w:jc w:val="both"/>
      </w:pPr>
      <w:r>
        <w:rPr>
          <w:rFonts w:ascii="Times New Roman" w:hAnsi="Times New Roman" w:cs="Times New Roman" w:eastAsia="Times New Roman" w:hint="default"/>
          <w:spacing w:val="-1"/>
        </w:rPr>
        <w:t>2.</w:t>
      </w:r>
      <w:r>
        <w:rPr>
          <w:spacing w:val="-1"/>
        </w:rPr>
        <w:t>政府补助为货币性资产的，按照收到或应收的金额计量；政府补助为非货币性资产的，按照公允价值计量，公允价值</w:t>
      </w:r>
      <w:r>
        <w:rPr/>
        <w:t> 不能可靠取得的，按照名义金额计量。</w:t>
      </w:r>
    </w:p>
    <w:p>
      <w:pPr>
        <w:pStyle w:val="BodyText"/>
        <w:spacing w:line="240" w:lineRule="auto" w:before="151"/>
        <w:ind w:left="514" w:right="812"/>
        <w:jc w:val="left"/>
      </w:pPr>
      <w:r>
        <w:rPr>
          <w:rFonts w:ascii="Times New Roman" w:hAnsi="Times New Roman" w:cs="Times New Roman" w:eastAsia="Times New Roman" w:hint="default"/>
        </w:rPr>
        <w:t>3.</w:t>
      </w:r>
      <w:r>
        <w:rPr/>
        <w:t>政府补助采用总额法：</w:t>
      </w:r>
    </w:p>
    <w:p>
      <w:pPr>
        <w:spacing w:line="240" w:lineRule="auto" w:before="13"/>
        <w:rPr>
          <w:rFonts w:ascii="宋体" w:hAnsi="宋体" w:cs="宋体" w:eastAsia="宋体" w:hint="default"/>
          <w:sz w:val="13"/>
          <w:szCs w:val="13"/>
        </w:rPr>
      </w:pPr>
    </w:p>
    <w:p>
      <w:pPr>
        <w:pStyle w:val="BodyText"/>
        <w:spacing w:line="300" w:lineRule="auto"/>
        <w:ind w:right="1131" w:firstLine="360"/>
        <w:jc w:val="both"/>
      </w:pPr>
      <w:r>
        <w:rPr/>
        <w:t>（</w:t>
      </w:r>
      <w:r>
        <w:rPr>
          <w:rFonts w:ascii="Times New Roman" w:hAnsi="Times New Roman" w:cs="Times New Roman" w:eastAsia="Times New Roman" w:hint="default"/>
        </w:rPr>
        <w:t>1</w:t>
      </w:r>
      <w:r>
        <w:rPr/>
        <w:t>）与资产相关的政府补助，确认为递延收益，在相关资产使用寿命内按照合理、系统的方法分期计入损益。相关资 产在使用寿命结束前被出售、转让、报废或发生毁损的，将尚未分配的相关递延收益余额转入资产处置当期的损益。</w:t>
      </w:r>
    </w:p>
    <w:p>
      <w:pPr>
        <w:pStyle w:val="BodyText"/>
        <w:spacing w:line="300" w:lineRule="auto" w:before="151"/>
        <w:ind w:right="1130" w:firstLine="360"/>
        <w:jc w:val="both"/>
      </w:pPr>
      <w:r>
        <w:rPr/>
        <w:t>（</w:t>
      </w:r>
      <w:r>
        <w:rPr>
          <w:rFonts w:ascii="Times New Roman" w:hAnsi="Times New Roman" w:cs="Times New Roman" w:eastAsia="Times New Roman" w:hint="default"/>
        </w:rPr>
        <w:t>2</w:t>
      </w:r>
      <w:r>
        <w:rPr/>
        <w:t>）与收益相关的政府补助，用于补偿以后期间的相关费用或损失的，确认为递延收益，在确认相关费用的期间，计 入当期损益；用于补偿已发生的相关费用或损失的，直接计入当期损益。</w:t>
      </w:r>
    </w:p>
    <w:p>
      <w:pPr>
        <w:pStyle w:val="BodyText"/>
        <w:spacing w:line="240" w:lineRule="auto" w:before="151"/>
        <w:ind w:left="514" w:right="812"/>
        <w:jc w:val="left"/>
      </w:pPr>
      <w:r>
        <w:rPr/>
        <w:t>注：公司政府补助全部采用总额法。</w:t>
      </w:r>
    </w:p>
    <w:p>
      <w:pPr>
        <w:spacing w:line="240" w:lineRule="auto" w:before="0"/>
        <w:rPr>
          <w:rFonts w:ascii="宋体" w:hAnsi="宋体" w:cs="宋体" w:eastAsia="宋体" w:hint="default"/>
          <w:sz w:val="15"/>
          <w:szCs w:val="15"/>
        </w:rPr>
      </w:pPr>
    </w:p>
    <w:p>
      <w:pPr>
        <w:pStyle w:val="BodyText"/>
        <w:spacing w:line="300" w:lineRule="auto"/>
        <w:ind w:right="1131" w:firstLine="360"/>
        <w:jc w:val="both"/>
      </w:pPr>
      <w:r>
        <w:rPr>
          <w:rFonts w:ascii="Times New Roman" w:hAnsi="Times New Roman" w:cs="Times New Roman" w:eastAsia="Times New Roman" w:hint="default"/>
          <w:spacing w:val="-1"/>
        </w:rPr>
        <w:t>4.</w:t>
      </w:r>
      <w:r>
        <w:rPr>
          <w:spacing w:val="-1"/>
        </w:rPr>
        <w:t>对于同时包含与资产相关部分和与收益相关部分的政府补助，区分不同部分分别进行会计处理；难以区分的，整体归</w:t>
      </w:r>
      <w:r>
        <w:rPr/>
        <w:t> 类为与收益相关的政府补助。</w:t>
      </w:r>
    </w:p>
    <w:p>
      <w:pPr>
        <w:pStyle w:val="BodyText"/>
        <w:spacing w:line="300" w:lineRule="auto" w:before="151"/>
        <w:ind w:right="1132" w:firstLine="360"/>
        <w:jc w:val="both"/>
      </w:pPr>
      <w:r>
        <w:rPr>
          <w:rFonts w:ascii="Times New Roman" w:hAnsi="Times New Roman" w:cs="Times New Roman" w:eastAsia="Times New Roman" w:hint="default"/>
          <w:spacing w:val="-1"/>
        </w:rPr>
        <w:t>5.</w:t>
      </w:r>
      <w:r>
        <w:rPr>
          <w:spacing w:val="-1"/>
        </w:rPr>
        <w:t>本公司将与本公司日常活动相关的政府补助按照经济业务实质计入其他收益或冲减相关成本费用；将与本公司日常活</w:t>
      </w:r>
      <w:r>
        <w:rPr/>
        <w:t> 动无关的政府补助，应当计入营业外收支。</w:t>
      </w:r>
    </w:p>
    <w:p>
      <w:pPr>
        <w:pStyle w:val="BodyText"/>
        <w:spacing w:line="300" w:lineRule="auto" w:before="151"/>
        <w:ind w:right="1129" w:firstLine="360"/>
        <w:jc w:val="both"/>
      </w:pPr>
      <w:r>
        <w:rPr>
          <w:rFonts w:ascii="Times New Roman" w:hAnsi="Times New Roman" w:cs="Times New Roman" w:eastAsia="Times New Roman" w:hint="default"/>
          <w:spacing w:val="2"/>
        </w:rPr>
        <w:t>6.</w:t>
      </w:r>
      <w:r>
        <w:rPr>
          <w:spacing w:val="2"/>
        </w:rPr>
        <w:t>本公司将取得的政策性优惠贷款贴息按照财政将贴息资金拨付给贷款银行和财政将贴息资金直接拨付给本公司两种</w:t>
      </w:r>
      <w:r>
        <w:rPr>
          <w:spacing w:val="3"/>
        </w:rPr>
        <w:t> </w:t>
      </w:r>
      <w:r>
        <w:rPr/>
        <w:t>情况处理：</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1" w:firstLine="360"/>
        <w:jc w:val="both"/>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）财政将贴息资金拨付给贷款银行，由贷款银行以政策性优惠利率向本公司提供贷款的，本公司选择按照下列方法 进行会计处理：以实际收到的借款金额作为借款的入账价值，按照借款本金和该政策性优惠利率计算相关借款费用。</w:t>
      </w:r>
    </w:p>
    <w:p>
      <w:pPr>
        <w:pStyle w:val="BodyText"/>
        <w:spacing w:line="240" w:lineRule="auto" w:before="151"/>
        <w:ind w:left="514" w:right="812"/>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5"/>
          <w:szCs w:val="25"/>
        </w:rPr>
      </w:pPr>
    </w:p>
    <w:p>
      <w:pPr>
        <w:pStyle w:val="Heading3"/>
        <w:spacing w:line="240" w:lineRule="auto"/>
        <w:ind w:right="812"/>
        <w:jc w:val="left"/>
        <w:rPr>
          <w:b w:val="0"/>
          <w:bCs w:val="0"/>
        </w:rPr>
      </w:pPr>
      <w:bookmarkStart w:name="25、递延所得税资产/递延所得税负债" w:id="207"/>
      <w:bookmarkEnd w:id="207"/>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根据资产、负债的账面价值与其计税基础之间的差额（未作为资产和负债确认的项目按照税法规定可以确定其计税基</w:t>
      </w:r>
      <w:r>
        <w:rPr/>
        <w:t>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300" w:lineRule="auto" w:before="144"/>
        <w:ind w:right="1131" w:firstLine="360"/>
        <w:jc w:val="both"/>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300" w:lineRule="auto" w:before="151"/>
        <w:ind w:right="1131" w:firstLine="360"/>
        <w:jc w:val="both"/>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300" w:lineRule="auto" w:before="151"/>
        <w:ind w:right="1132" w:firstLine="360"/>
        <w:jc w:val="both"/>
      </w:pPr>
      <w:r>
        <w:rPr>
          <w:rFonts w:ascii="Times New Roman" w:hAnsi="Times New Roman" w:cs="Times New Roman" w:eastAsia="Times New Roman" w:hint="default"/>
        </w:rPr>
        <w:t>4.</w:t>
      </w:r>
      <w:r>
        <w:rPr/>
        <w:t>本公司当期所得税和递延所得税作为所得税费用或收益计入当期损益，但不包括下列情况产生的所得税：（</w:t>
      </w:r>
      <w:r>
        <w:rPr>
          <w:rFonts w:ascii="Times New Roman" w:hAnsi="Times New Roman" w:cs="Times New Roman" w:eastAsia="Times New Roman" w:hint="default"/>
        </w:rPr>
        <w:t>1</w:t>
      </w:r>
      <w:r>
        <w:rPr/>
        <w:t>）企业 合并；（</w:t>
      </w:r>
      <w:r>
        <w:rPr>
          <w:rFonts w:ascii="Times New Roman" w:hAnsi="Times New Roman" w:cs="Times New Roman" w:eastAsia="Times New Roman" w:hint="default"/>
        </w:rPr>
        <w:t>2</w:t>
      </w:r>
      <w:r>
        <w:rPr/>
        <w:t>）直接在所有者权益中确认的交易或者事项。</w:t>
      </w:r>
    </w:p>
    <w:p>
      <w:pPr>
        <w:spacing w:line="240" w:lineRule="auto" w:before="1"/>
        <w:rPr>
          <w:rFonts w:ascii="宋体" w:hAnsi="宋体" w:cs="宋体" w:eastAsia="宋体" w:hint="default"/>
          <w:sz w:val="22"/>
          <w:szCs w:val="22"/>
        </w:rPr>
      </w:pPr>
    </w:p>
    <w:p>
      <w:pPr>
        <w:pStyle w:val="Heading3"/>
        <w:spacing w:line="240" w:lineRule="auto"/>
        <w:ind w:right="812"/>
        <w:jc w:val="left"/>
        <w:rPr>
          <w:b w:val="0"/>
          <w:bCs w:val="0"/>
        </w:rPr>
      </w:pPr>
      <w:bookmarkStart w:name="26、租赁" w:id="208"/>
      <w:bookmarkEnd w:id="208"/>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3" w:firstLine="360"/>
        <w:jc w:val="both"/>
      </w:pPr>
      <w:r>
        <w:rPr>
          <w:spacing w:val="-4"/>
        </w:rPr>
        <w:t>本公司为承租人时，在租赁期内各个期间按照直线法将租金计入相关资产成本或确认为当期损益，发生的初始直接费用，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37"/>
        <w:ind w:right="1133" w:firstLine="360"/>
        <w:jc w:val="both"/>
      </w:pPr>
      <w:r>
        <w:rPr>
          <w:spacing w:val="-2"/>
        </w:rPr>
        <w:t>本公司为出租人时，在租赁期内各个期间按照直线法将租金确认为当期损益，发生的初始直接费用，除金额较大的予以</w:t>
      </w:r>
      <w:r>
        <w:rPr/>
        <w:t> 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本公司为承租人时，在租赁期开始日，本公司以租赁开始日租赁资产公允价值与最低租赁付款额现值中两者较低者作为</w:t>
      </w:r>
      <w:r>
        <w:rPr/>
        <w:t> </w:t>
      </w:r>
      <w:r>
        <w:rPr>
          <w:spacing w:val="-2"/>
        </w:rPr>
        <w:t>租入资产的入账价值，将最低租赁付款额作为长期应付款的入账价值，其差额为未确认融资费用，发生的初始直接费用，计</w:t>
      </w:r>
      <w:r>
        <w:rPr>
          <w:spacing w:val="-66"/>
        </w:rPr>
        <w:t> </w:t>
      </w:r>
      <w:r>
        <w:rPr>
          <w:spacing w:val="-66"/>
        </w:rPr>
      </w:r>
      <w:r>
        <w:rPr/>
        <w:t>入租赁资产价值。在租赁期各个期间，采用实际利率法计算确认当期的融资费用。</w:t>
      </w:r>
    </w:p>
    <w:p>
      <w:pPr>
        <w:pStyle w:val="BodyText"/>
        <w:spacing w:line="316" w:lineRule="auto" w:before="139"/>
        <w:ind w:right="1132" w:firstLine="360"/>
        <w:jc w:val="both"/>
      </w:pPr>
      <w:r>
        <w:rPr>
          <w:spacing w:val="-2"/>
        </w:rPr>
        <w:t>本公司为出租人时，在租赁期开始日，本公司以租赁开始日最低租赁收款额与初始直接费用之和作为应收融资租赁款的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5"/>
        </w:rPr>
        <w:t> </w:t>
      </w:r>
      <w:r>
        <w:rPr>
          <w:spacing w:val="-65"/>
        </w:rPr>
      </w:r>
      <w:r>
        <w:rPr/>
        <w:t>资收益。在租赁期各个期间，采用实际利率法计算确认当期的融资收入。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27、其他重要的会计政策和会计估计" w:id="211"/>
      <w:bookmarkEnd w:id="211"/>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t>终止经营，是指本公司满足下列条件之一的、能够单独区分的组成部分，且该组成部分已经处置或划分为持有待售类 </w:t>
      </w:r>
      <w:r>
        <w:rPr>
          <w:spacing w:val="-2"/>
        </w:rPr>
        <w:t>别：（</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w:t>
      </w:r>
      <w:r>
        <w:rPr>
          <w:spacing w:val="-66"/>
        </w:rPr>
        <w:t> </w:t>
      </w:r>
      <w:r>
        <w:rPr>
          <w:spacing w:val="-66"/>
        </w:rPr>
      </w:r>
      <w:r>
        <w:rPr/>
        <w:t>一个单独的主要经营地区进行处置的一项相关联计划的一部分；（</w:t>
      </w:r>
      <w:r>
        <w:rPr>
          <w:rFonts w:ascii="Times New Roman" w:hAnsi="Times New Roman" w:cs="Times New Roman" w:eastAsia="Times New Roman" w:hint="default"/>
        </w:rPr>
        <w:t>3</w:t>
      </w:r>
      <w:r>
        <w:rPr/>
        <w:t>）</w:t>
      </w:r>
      <w:r>
        <w:rPr>
          <w:spacing w:val="-19"/>
        </w:rPr>
        <w:t> </w:t>
      </w:r>
      <w:r>
        <w:rPr/>
        <w:t>该组成部分是专为转售而取得的子公司。</w:t>
      </w:r>
    </w:p>
    <w:p>
      <w:pPr>
        <w:spacing w:after="0" w:line="309"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28、重要会计政策和会计估计变更" w:id="212"/>
      <w:bookmarkEnd w:id="21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将应收账款与应收票据合并为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 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98,557,673.23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69,874,484.41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将应收利息、应收股利与其他应收款合 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日列示金额</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8,836,478.76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日列示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9,199,518.23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将应付票据与应付账款合并为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 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82,563,306.90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日列示金额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100,004,878.46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将应付利息、应付股利与其他应付款合 并为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日列示金额</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6,094,845.83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日列</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示金额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3,247,514.57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96"/>
              <w:jc w:val="left"/>
              <w:rPr>
                <w:rFonts w:ascii="宋体" w:hAnsi="宋体" w:cs="宋体" w:eastAsia="宋体" w:hint="default"/>
                <w:sz w:val="18"/>
                <w:szCs w:val="18"/>
              </w:rPr>
            </w:pPr>
            <w:r>
              <w:rPr>
                <w:rFonts w:ascii="宋体" w:hAnsi="宋体" w:cs="宋体" w:eastAsia="宋体" w:hint="default"/>
                <w:sz w:val="18"/>
                <w:szCs w:val="18"/>
              </w:rPr>
              <w:t>新增研发费用报表项目，研发费用不再 在管理费用项目列示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年度增加研发费用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118,343,498.99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元，减少管理费用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118,343,498.99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年度增加研发费用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120,396,616.46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元，减少管理费用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120,396,616.46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3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90"/>
              <w:jc w:val="left"/>
              <w:rPr>
                <w:rFonts w:ascii="宋体" w:hAnsi="宋体" w:cs="宋体" w:eastAsia="宋体" w:hint="default"/>
                <w:sz w:val="18"/>
                <w:szCs w:val="18"/>
              </w:rPr>
            </w:pPr>
            <w:r>
              <w:rPr>
                <w:rFonts w:ascii="宋体" w:hAnsi="宋体" w:cs="宋体" w:eastAsia="宋体" w:hint="default"/>
                <w:sz w:val="18"/>
                <w:szCs w:val="18"/>
              </w:rPr>
              <w:t>在</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 过、第三届监事会第十四次会议审议通 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年度增加利息费用</w:t>
            </w:r>
            <w:r>
              <w:rPr>
                <w:rFonts w:ascii="Times New Roman" w:hAnsi="Times New Roman" w:cs="Times New Roman" w:eastAsia="Times New Roman" w:hint="default"/>
                <w:spacing w:val="-1"/>
                <w:sz w:val="18"/>
                <w:szCs w:val="18"/>
              </w:rPr>
              <w:t>-13,879.55</w:t>
            </w:r>
            <w:r>
              <w:rPr>
                <w:rFonts w:ascii="Times New Roman" w:hAnsi="Times New Roman" w:cs="Times New Roman" w:eastAsia="Times New Roman" w:hint="default"/>
                <w:spacing w:val="6"/>
                <w:sz w:val="18"/>
                <w:szCs w:val="18"/>
              </w:rPr>
              <w:t> </w:t>
            </w:r>
            <w:r>
              <w:rPr>
                <w:rFonts w:ascii="宋体" w:hAnsi="宋体" w:cs="宋体" w:eastAsia="宋体" w:hint="default"/>
                <w:spacing w:val="-26"/>
                <w:sz w:val="18"/>
                <w:szCs w:val="18"/>
              </w:rPr>
              <w:t>元，增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2,285,979.49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增加利息费用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元，增加利息收</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3,765,832.71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9、其他" w:id="215"/>
      <w:bookmarkEnd w:id="215"/>
      <w:r>
        <w:rPr>
          <w:b w:val="0"/>
          <w:bCs w:val="0"/>
        </w:rPr>
      </w:r>
      <w:r>
        <w:rPr>
          <w:rFonts w:ascii="Times New Roman" w:hAnsi="Times New Roman" w:cs="Times New Roman" w:eastAsia="Times New Roman" w:hint="default"/>
        </w:rPr>
        <w:t>29</w:t>
      </w:r>
      <w:r>
        <w:rPr/>
        <w:t>、其他</w:t>
      </w:r>
      <w:r>
        <w:rPr>
          <w:b w:val="0"/>
          <w:bCs w:val="0"/>
        </w:rPr>
      </w:r>
    </w:p>
    <w:p>
      <w:pPr>
        <w:pStyle w:val="BodyText"/>
        <w:spacing w:line="430" w:lineRule="atLeast" w:before="153"/>
        <w:ind w:left="574" w:right="1152"/>
        <w:jc w:val="left"/>
      </w:pPr>
      <w:r>
        <w:rPr/>
        <w:t>重大会计判断和估计 本公司在运用会计政策过程中，由于经营活动内在的不确定性，本公司需要对无法准确计量的报表项目的账面价值进</w:t>
      </w:r>
    </w:p>
    <w:p>
      <w:pPr>
        <w:pStyle w:val="BodyText"/>
        <w:spacing w:line="319" w:lineRule="auto" w:before="76"/>
        <w:ind w:right="812"/>
        <w:jc w:val="left"/>
      </w:pPr>
      <w:r>
        <w:rPr>
          <w:spacing w:val="-4"/>
        </w:rPr>
        <w:t>行判断、估计和假设。这些判断、估计和假设是基于本公司管理层过去的历史经验，并在考虑其他相关因素的基础上做出的。</w:t>
      </w:r>
      <w:r>
        <w:rPr>
          <w:spacing w:val="-46"/>
        </w:rPr>
        <w:t> </w:t>
      </w:r>
      <w:r>
        <w:rPr>
          <w:spacing w:val="-46"/>
        </w:rPr>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37"/>
        <w:ind w:right="1152" w:firstLine="420"/>
        <w:jc w:val="left"/>
      </w:pPr>
      <w:r>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574" w:right="812"/>
        <w:jc w:val="left"/>
      </w:pPr>
      <w:r>
        <w:rPr/>
        <w:t>于资产负债表日，本公司需对财务报表项目金额进行判断、估计和假设的重要领域如下：</w:t>
      </w:r>
    </w:p>
    <w:p>
      <w:pPr>
        <w:pStyle w:val="BodyText"/>
        <w:spacing w:line="430" w:lineRule="atLeast" w:before="15"/>
        <w:ind w:left="574" w:right="1152"/>
        <w:jc w:val="left"/>
      </w:pP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租赁》的规定，将租赁归类为经营租赁和融资租赁，在进行归类时，管理层需</w:t>
      </w:r>
    </w:p>
    <w:p>
      <w:pPr>
        <w:pStyle w:val="BodyText"/>
        <w:spacing w:line="316" w:lineRule="auto" w:before="63"/>
        <w:ind w:right="1131"/>
        <w:jc w:val="both"/>
      </w:pP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432" w:lineRule="exact" w:before="3"/>
        <w:ind w:left="574" w:right="1152"/>
        <w:jc w:val="left"/>
      </w:pPr>
      <w:r>
        <w:rPr>
          <w:rFonts w:ascii="Times New Roman" w:hAnsi="Times New Roman" w:cs="Times New Roman" w:eastAsia="Times New Roman" w:hint="default"/>
        </w:rPr>
        <w:t>2.</w:t>
      </w:r>
      <w:r>
        <w:rPr/>
        <w:t>坏账准备计提 本公司根据应收款项的会计政策，采用备抵法核算坏账损失。应收账款减值是基于评估应收账款的可收回性。鉴定应</w:t>
      </w:r>
    </w:p>
    <w:p>
      <w:pPr>
        <w:pStyle w:val="BodyText"/>
        <w:spacing w:line="316" w:lineRule="auto" w:before="15"/>
        <w:ind w:right="1131"/>
        <w:jc w:val="both"/>
      </w:pP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432" w:lineRule="exact" w:before="3"/>
        <w:ind w:left="574" w:right="1152"/>
        <w:jc w:val="left"/>
      </w:pPr>
      <w:r>
        <w:rPr>
          <w:rFonts w:ascii="Times New Roman" w:hAnsi="Times New Roman" w:cs="Times New Roman" w:eastAsia="Times New Roman" w:hint="default"/>
        </w:rPr>
        <w:t>3.</w:t>
      </w:r>
      <w:r>
        <w:rPr/>
        <w:t>存货跌价准备 本公司根据存货会计政策，按照成本与可变现净值孰低计量，对成本高于可变现净值及陈旧和滞销的存货，计提存货</w:t>
      </w:r>
    </w:p>
    <w:p>
      <w:pPr>
        <w:pStyle w:val="BodyText"/>
        <w:spacing w:line="316" w:lineRule="auto" w:before="15"/>
        <w:ind w:right="1132"/>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432" w:lineRule="exact" w:before="3"/>
        <w:ind w:left="574" w:right="1152"/>
        <w:jc w:val="left"/>
      </w:pPr>
      <w:r>
        <w:rPr>
          <w:rFonts w:ascii="Times New Roman" w:hAnsi="Times New Roman" w:cs="Times New Roman" w:eastAsia="Times New Roman" w:hint="default"/>
        </w:rPr>
        <w:t>4.</w:t>
      </w:r>
      <w:r>
        <w:rPr/>
        <w:t>金融工具公允价值 对不存在活跃交易市场的金融工具，本公司通过各种估值方法确定其公允价值。这些估值方法包括贴现现金流模型分</w:t>
      </w:r>
    </w:p>
    <w:p>
      <w:pPr>
        <w:pStyle w:val="BodyText"/>
        <w:spacing w:line="316" w:lineRule="auto" w:before="15"/>
        <w:ind w:right="1132"/>
        <w:jc w:val="both"/>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432" w:lineRule="exact" w:before="3"/>
        <w:ind w:left="574" w:right="1152"/>
        <w:jc w:val="left"/>
      </w:pPr>
      <w:r>
        <w:rPr>
          <w:rFonts w:ascii="Times New Roman" w:hAnsi="Times New Roman" w:cs="Times New Roman" w:eastAsia="Times New Roman" w:hint="default"/>
        </w:rPr>
        <w:t>5.</w:t>
      </w:r>
      <w:r>
        <w:rPr/>
        <w:t>非金融非流动资产减值准备 本公司于资产负债表日对除金融资产之外的非流动资产判断是否存在可能发生减值的迹象。对使用寿命不确定的无形</w:t>
      </w:r>
    </w:p>
    <w:p>
      <w:pPr>
        <w:pStyle w:val="BodyText"/>
        <w:spacing w:line="316" w:lineRule="auto" w:before="15"/>
        <w:ind w:right="1133"/>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39"/>
        <w:ind w:right="1169" w:firstLine="420"/>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39"/>
        <w:ind w:right="1170" w:firstLine="420"/>
        <w:jc w:val="both"/>
      </w:pPr>
      <w:r>
        <w:rPr/>
        <w:t>公允价值减去处置费用后的净额，参考公平交易中类似资产的销售协议价格或可观察到的市场价格，减去可直接归属 于该资产处置的增量成本确定。</w:t>
      </w:r>
    </w:p>
    <w:p>
      <w:pPr>
        <w:pStyle w:val="BodyText"/>
        <w:spacing w:line="316" w:lineRule="auto" w:before="139"/>
        <w:ind w:right="1132" w:firstLine="420"/>
        <w:jc w:val="both"/>
      </w:pPr>
      <w:r>
        <w:rPr/>
        <w:t>在预计未来现金流量现值时，需要对该资产（或资产组）的产量、售价、相关经营成本以及计算现值时使用的折现率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39"/>
        <w:ind w:right="1133" w:firstLine="42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432" w:lineRule="exact" w:before="3"/>
        <w:ind w:left="574" w:right="1152"/>
        <w:jc w:val="left"/>
      </w:pPr>
      <w:r>
        <w:rPr>
          <w:rFonts w:ascii="Times New Roman" w:hAnsi="Times New Roman" w:cs="Times New Roman" w:eastAsia="Times New Roman" w:hint="default"/>
        </w:rPr>
        <w:t>6.</w:t>
      </w:r>
      <w:r>
        <w:rPr/>
        <w:t>折旧和摊销 本公司对投资性房地产、固定资产和无形资产在考虑其残值后，在使用寿命内按直线法计提折旧和摊销。本公司定期</w:t>
      </w:r>
    </w:p>
    <w:p>
      <w:pPr>
        <w:pStyle w:val="BodyText"/>
        <w:spacing w:line="316" w:lineRule="auto" w:before="15"/>
        <w:ind w:right="1132"/>
        <w:jc w:val="both"/>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240" w:lineRule="auto" w:before="139"/>
        <w:ind w:left="574" w:right="812"/>
        <w:jc w:val="left"/>
      </w:pPr>
      <w:r>
        <w:rPr>
          <w:rFonts w:ascii="Times New Roman" w:hAnsi="Times New Roman" w:cs="Times New Roman" w:eastAsia="Times New Roman" w:hint="default"/>
        </w:rPr>
        <w:t>7.</w:t>
      </w:r>
      <w:r>
        <w:rPr/>
        <w:t>递延所得税资产</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firstLine="420"/>
        <w:jc w:val="both"/>
      </w:pPr>
      <w:r>
        <w:rPr/>
        <w:t>在很有可能有足够的应纳税利润来抵扣亏损的限度内，本公司就所有未利用的税务亏损确认递延所得税资产。这需要 </w:t>
      </w: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432" w:lineRule="exact" w:before="3"/>
        <w:ind w:left="574" w:right="1152"/>
        <w:jc w:val="left"/>
      </w:pPr>
      <w:r>
        <w:rPr>
          <w:rFonts w:ascii="Times New Roman" w:hAnsi="Times New Roman" w:cs="Times New Roman" w:eastAsia="Times New Roman" w:hint="default"/>
        </w:rPr>
        <w:t>8.</w:t>
      </w:r>
      <w:r>
        <w:rPr/>
        <w:t>所得税 本公司在正常的经营活动中，有部分交易其最终的税务处理和计算存在一定的不确定性。部分项目是否能够在税前列</w:t>
      </w:r>
    </w:p>
    <w:p>
      <w:pPr>
        <w:pStyle w:val="BodyText"/>
        <w:spacing w:line="316" w:lineRule="auto" w:before="15"/>
        <w:ind w:right="812"/>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spacing w:line="240" w:lineRule="auto" w:before="10"/>
        <w:rPr>
          <w:rFonts w:ascii="宋体" w:hAnsi="宋体" w:cs="宋体" w:eastAsia="宋体" w:hint="default"/>
          <w:sz w:val="20"/>
          <w:szCs w:val="20"/>
        </w:rPr>
      </w:pPr>
    </w:p>
    <w:p>
      <w:pPr>
        <w:pStyle w:val="Heading2"/>
        <w:spacing w:line="240" w:lineRule="auto"/>
        <w:ind w:right="812"/>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、阶梯税（</w:t>
            </w:r>
            <w:r>
              <w:rPr>
                <w:rFonts w:ascii="Times New Roman" w:hAnsi="Times New Roman" w:cs="Times New Roman" w:eastAsia="Times New Roman" w:hint="default"/>
                <w:sz w:val="18"/>
                <w:szCs w:val="18"/>
              </w:rPr>
              <w:t>8.25-16.5</w:t>
            </w:r>
            <w:r>
              <w:rPr>
                <w:rFonts w:ascii="宋体" w:hAnsi="宋体" w:cs="宋体" w:eastAsia="宋体" w:hint="default"/>
                <w:spacing w:val="-92"/>
                <w:sz w:val="18"/>
                <w:szCs w:val="18"/>
              </w:rPr>
              <w:t>）</w:t>
            </w:r>
            <w:r>
              <w:rPr>
                <w:rFonts w:ascii="宋体" w:hAnsi="宋体" w:cs="宋体" w:eastAsia="宋体" w:hint="default"/>
                <w:sz w:val="18"/>
                <w:szCs w:val="18"/>
              </w:rPr>
              <w:t>、州利得税</w:t>
            </w:r>
            <w:r>
              <w:rPr>
                <w:rFonts w:ascii="宋体" w:hAnsi="宋体" w:cs="宋体" w:eastAsia="宋体" w:hint="default"/>
                <w:sz w:val="18"/>
                <w:szCs w:val="18"/>
              </w:rPr>
              <w:t> 为 </w:t>
            </w:r>
            <w:r>
              <w:rPr>
                <w:rFonts w:ascii="Times New Roman" w:hAnsi="Times New Roman" w:cs="Times New Roman" w:eastAsia="Times New Roman" w:hint="default"/>
                <w:sz w:val="18"/>
                <w:szCs w:val="18"/>
              </w:rPr>
              <w:t>8.84</w:t>
            </w:r>
            <w:r>
              <w:rPr>
                <w:rFonts w:ascii="宋体" w:hAnsi="宋体" w:cs="宋体" w:eastAsia="宋体" w:hint="default"/>
                <w:sz w:val="18"/>
                <w:szCs w:val="18"/>
              </w:rPr>
              <w:t>（最低</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800</w:t>
            </w:r>
            <w:r>
              <w:rPr>
                <w:rFonts w:ascii="宋体" w:hAnsi="宋体" w:cs="宋体" w:eastAsia="宋体" w:hint="default"/>
                <w:spacing w:val="-90"/>
                <w:sz w:val="18"/>
                <w:szCs w:val="18"/>
              </w:rPr>
              <w:t>）</w:t>
            </w:r>
            <w:r>
              <w:rPr>
                <w:rFonts w:ascii="宋体" w:hAnsi="宋体" w:cs="宋体" w:eastAsia="宋体" w:hint="default"/>
                <w:sz w:val="18"/>
                <w:szCs w:val="18"/>
              </w:rPr>
              <w:t>、联邦税为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81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北京坚石诚信科技有限公司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北京宏思电子技术有限责任公司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FEITIAN technologies</w:t>
            </w:r>
            <w:r>
              <w:rPr>
                <w:rFonts w:ascii="Times New Roman"/>
                <w:spacing w:val="-4"/>
                <w:sz w:val="18"/>
              </w:rPr>
              <w:t> </w:t>
            </w:r>
            <w:r>
              <w:rPr>
                <w:rFonts w:ascii="Times New Roman"/>
                <w:sz w:val="18"/>
              </w:rPr>
              <w:t>US,Inc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州利得税为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w:t>
            </w:r>
            <w:r>
              <w:rPr>
                <w:rFonts w:ascii="宋体" w:hAnsi="宋体" w:cs="宋体" w:eastAsia="宋体" w:hint="default"/>
                <w:sz w:val="18"/>
                <w:szCs w:val="18"/>
              </w:rPr>
              <w:t>（最低</w:t>
            </w:r>
            <w:r>
              <w:rPr>
                <w:rFonts w:ascii="Times New Roman" w:hAnsi="Times New Roman" w:cs="Times New Roman" w:eastAsia="Times New Roman" w:hint="default"/>
                <w:sz w:val="18"/>
                <w:szCs w:val="18"/>
              </w:rPr>
              <w:t>$800</w:t>
            </w:r>
            <w:r>
              <w:rPr>
                <w:rFonts w:ascii="宋体" w:hAnsi="宋体" w:cs="宋体" w:eastAsia="宋体" w:hint="default"/>
                <w:spacing w:val="-90"/>
                <w:sz w:val="18"/>
                <w:szCs w:val="18"/>
              </w:rPr>
              <w:t>）</w:t>
            </w:r>
            <w:r>
              <w:rPr>
                <w:rFonts w:ascii="宋体" w:hAnsi="宋体" w:cs="宋体" w:eastAsia="宋体" w:hint="default"/>
                <w:sz w:val="18"/>
                <w:szCs w:val="18"/>
              </w:rPr>
              <w:t>、联邦税为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阶梯税（</w:t>
            </w:r>
            <w:r>
              <w:rPr>
                <w:rFonts w:ascii="Times New Roman" w:hAnsi="Times New Roman" w:cs="Times New Roman" w:eastAsia="Times New Roman" w:hint="default"/>
                <w:sz w:val="18"/>
                <w:szCs w:val="18"/>
              </w:rPr>
              <w:t>8.25-16.5</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9" w:firstLine="360"/>
        <w:jc w:val="both"/>
      </w:pPr>
      <w:r>
        <w:rPr/>
        <w:t>（</w:t>
      </w:r>
      <w:r>
        <w:rPr>
          <w:rFonts w:ascii="Times New Roman" w:hAnsi="Times New Roman" w:cs="Times New Roman" w:eastAsia="Times New Roman" w:hint="default"/>
        </w:rPr>
        <w:t>1</w:t>
      </w:r>
      <w:r>
        <w:rPr/>
        <w:t>）根据财政部、国家税务总局、海关总署财税</w:t>
      </w:r>
      <w:r>
        <w:rPr>
          <w:rFonts w:ascii="Times New Roman" w:hAnsi="Times New Roman" w:cs="Times New Roman" w:eastAsia="Times New Roman" w:hint="default"/>
        </w:rPr>
        <w:t>[2000]25</w:t>
      </w:r>
      <w:r>
        <w:rPr/>
        <w:t>号《关于鼓励软件产业和集成电路产业发展有关税收政策问 </w:t>
      </w:r>
      <w:r>
        <w:rPr>
          <w:spacing w:val="-1"/>
        </w:rPr>
        <w:t>题的通知》、京国税（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187</w:t>
      </w:r>
      <w:r>
        <w:rPr>
          <w:spacing w:val="-1"/>
        </w:rPr>
        <w:t>号及财政部、国家税务总局财税</w:t>
      </w:r>
      <w:r>
        <w:rPr>
          <w:rFonts w:ascii="Times New Roman" w:hAnsi="Times New Roman" w:cs="Times New Roman" w:eastAsia="Times New Roman" w:hint="default"/>
          <w:spacing w:val="-1"/>
        </w:rPr>
        <w:t>[2011]100</w:t>
      </w:r>
      <w:r>
        <w:rPr>
          <w:spacing w:val="-1"/>
        </w:rPr>
        <w:t>号《关于软件产品增值税政策的通知》规定，对</w:t>
      </w:r>
      <w:r>
        <w:rPr>
          <w:spacing w:val="-54"/>
        </w:rPr>
        <w:t> </w:t>
      </w:r>
      <w:r>
        <w:rPr>
          <w:spacing w:val="-54"/>
        </w:rPr>
      </w:r>
      <w:r>
        <w:rPr>
          <w:spacing w:val="2"/>
        </w:rPr>
        <w:t>增值税一般纳税人销售自行开发生产的软件产品</w:t>
      </w:r>
      <w:r>
        <w:rPr>
          <w:rFonts w:ascii="Times New Roman" w:hAnsi="Times New Roman" w:cs="Times New Roman" w:eastAsia="Times New Roman" w:hint="default"/>
          <w:spacing w:val="2"/>
        </w:rPr>
        <w:t>,</w:t>
      </w:r>
      <w:r>
        <w:rPr>
          <w:spacing w:val="2"/>
        </w:rPr>
        <w:t>按</w:t>
      </w:r>
      <w:r>
        <w:rPr>
          <w:rFonts w:ascii="Times New Roman" w:hAnsi="Times New Roman" w:cs="Times New Roman" w:eastAsia="Times New Roman" w:hint="default"/>
          <w:spacing w:val="2"/>
        </w:rPr>
        <w:t>17%</w:t>
      </w:r>
      <w:r>
        <w:rPr>
          <w:spacing w:val="2"/>
        </w:rPr>
        <w:t>的法定税率征收增值税后</w:t>
      </w:r>
      <w:r>
        <w:rPr>
          <w:rFonts w:ascii="Times New Roman" w:hAnsi="Times New Roman" w:cs="Times New Roman" w:eastAsia="Times New Roman" w:hint="default"/>
          <w:spacing w:val="2"/>
        </w:rPr>
        <w:t>,</w:t>
      </w:r>
      <w:r>
        <w:rPr>
          <w:spacing w:val="2"/>
        </w:rPr>
        <w:t>对增值税实际税负超过</w:t>
      </w:r>
      <w:r>
        <w:rPr>
          <w:rFonts w:ascii="Times New Roman" w:hAnsi="Times New Roman" w:cs="Times New Roman" w:eastAsia="Times New Roman" w:hint="default"/>
          <w:spacing w:val="2"/>
        </w:rPr>
        <w:t>3%</w:t>
      </w:r>
      <w:r>
        <w:rPr>
          <w:spacing w:val="2"/>
        </w:rPr>
        <w:t>的部分实行即</w:t>
      </w:r>
      <w:r>
        <w:rPr>
          <w:spacing w:val="-62"/>
        </w:rPr>
        <w:t> </w:t>
      </w:r>
      <w:r>
        <w:rPr>
          <w:spacing w:val="-62"/>
        </w:rPr>
      </w:r>
      <w:r>
        <w:rPr/>
        <w:t>征即退政策。</w:t>
      </w:r>
    </w:p>
    <w:p>
      <w:pPr>
        <w:pStyle w:val="BodyText"/>
        <w:spacing w:line="300" w:lineRule="auto" w:before="151"/>
        <w:ind w:right="1129" w:firstLine="360"/>
        <w:jc w:val="both"/>
      </w:pPr>
      <w:r>
        <w:rPr>
          <w:spacing w:val="-2"/>
        </w:rPr>
        <w:t>（</w:t>
      </w:r>
      <w:r>
        <w:rPr>
          <w:rFonts w:ascii="Times New Roman" w:hAnsi="Times New Roman" w:cs="Times New Roman" w:eastAsia="Times New Roman" w:hint="default"/>
          <w:spacing w:val="-2"/>
        </w:rPr>
        <w:t>2</w:t>
      </w:r>
      <w:r>
        <w:rPr>
          <w:spacing w:val="-2"/>
        </w:rPr>
        <w:t>）根据《企业所得税法》及国税函</w:t>
      </w:r>
      <w:r>
        <w:rPr>
          <w:rFonts w:ascii="Times New Roman" w:hAnsi="Times New Roman" w:cs="Times New Roman" w:eastAsia="Times New Roman" w:hint="default"/>
          <w:spacing w:val="-2"/>
        </w:rPr>
        <w:t>[2009]203</w:t>
      </w:r>
      <w:r>
        <w:rPr>
          <w:spacing w:val="-2"/>
        </w:rPr>
        <w:t>号《关于实施高新技术企业所得税优惠有关问题的通知》</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2009</w:t>
      </w:r>
      <w:r>
        <w:rPr>
          <w:spacing w:val="-2"/>
        </w:rPr>
        <w:t>年起本</w:t>
      </w:r>
      <w:r>
        <w:rPr/>
        <w:t> 公司减按</w:t>
      </w:r>
      <w:r>
        <w:rPr>
          <w:rFonts w:ascii="Times New Roman" w:hAnsi="Times New Roman" w:cs="Times New Roman" w:eastAsia="Times New Roman" w:hint="default"/>
        </w:rPr>
        <w:t>15%</w:t>
      </w:r>
      <w:r>
        <w:rPr/>
        <w:t>的税率缴纳企业所得税。</w:t>
      </w:r>
      <w:r>
        <w:rPr>
          <w:rFonts w:ascii="Times New Roman" w:hAnsi="Times New Roman" w:cs="Times New Roman" w:eastAsia="Times New Roman" w:hint="default"/>
        </w:rPr>
        <w:t>2014</w:t>
      </w:r>
      <w:r>
        <w:rPr/>
        <w:t>年公司获得国家规划布局内重点软件企业证书</w:t>
      </w:r>
      <w:r>
        <w:rPr>
          <w:rFonts w:ascii="Times New Roman" w:hAnsi="Times New Roman" w:cs="Times New Roman" w:eastAsia="Times New Roman" w:hint="default"/>
        </w:rPr>
        <w:t>,2013-2014</w:t>
      </w:r>
      <w:r>
        <w:rPr/>
        <w:t>年企业所得税按</w:t>
      </w:r>
      <w:r>
        <w:rPr>
          <w:rFonts w:ascii="Times New Roman" w:hAnsi="Times New Roman" w:cs="Times New Roman" w:eastAsia="Times New Roman" w:hint="default"/>
        </w:rPr>
        <w:t>10%</w:t>
      </w:r>
      <w:r>
        <w:rPr/>
        <w:t>税</w:t>
      </w:r>
      <w:r>
        <w:rPr>
          <w:spacing w:val="-45"/>
        </w:rPr>
        <w:t> </w:t>
      </w:r>
      <w:r>
        <w:rPr>
          <w:spacing w:val="-1"/>
        </w:rPr>
        <w:t>率缴纳。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月，公司重新取得高新技术企业证书（证书编号：</w:t>
      </w:r>
      <w:r>
        <w:rPr>
          <w:rFonts w:ascii="Times New Roman" w:hAnsi="Times New Roman" w:cs="Times New Roman" w:eastAsia="Times New Roman" w:hint="default"/>
          <w:spacing w:val="-1"/>
        </w:rPr>
        <w:t>GR201411000450</w:t>
      </w:r>
      <w:r>
        <w:rPr>
          <w:spacing w:val="-1"/>
        </w:rPr>
        <w:t>）</w:t>
      </w:r>
      <w:r>
        <w:rPr>
          <w:rFonts w:ascii="Times New Roman" w:hAnsi="Times New Roman" w:cs="Times New Roman" w:eastAsia="Times New Roman" w:hint="default"/>
          <w:spacing w:val="-1"/>
        </w:rPr>
        <w:t>,</w:t>
      </w:r>
      <w:r>
        <w:rPr>
          <w:spacing w:val="-1"/>
        </w:rPr>
        <w:t>有效期三年</w:t>
      </w:r>
      <w:r>
        <w:rPr>
          <w:rFonts w:ascii="Times New Roman" w:hAnsi="Times New Roman" w:cs="Times New Roman" w:eastAsia="Times New Roman" w:hint="default"/>
          <w:spacing w:val="-1"/>
        </w:rPr>
        <w:t>,2015</w:t>
      </w:r>
      <w:r>
        <w:rPr>
          <w:spacing w:val="-1"/>
        </w:rPr>
        <w:t>年和</w:t>
      </w:r>
      <w:r>
        <w:rPr>
          <w:rFonts w:ascii="Times New Roman" w:hAnsi="Times New Roman" w:cs="Times New Roman" w:eastAsia="Times New Roman" w:hint="default"/>
          <w:spacing w:val="-1"/>
        </w:rPr>
        <w:t>2016</w:t>
      </w:r>
      <w:r>
        <w:rPr>
          <w:spacing w:val="-1"/>
        </w:rPr>
        <w:t>年企业按</w:t>
      </w:r>
      <w:r>
        <w:rPr>
          <w:spacing w:val="-86"/>
        </w:rPr>
        <w:t> </w:t>
      </w:r>
      <w:r>
        <w:rPr>
          <w:rFonts w:ascii="Times New Roman" w:hAnsi="Times New Roman" w:cs="Times New Roman" w:eastAsia="Times New Roman" w:hint="default"/>
          <w:spacing w:val="-1"/>
        </w:rPr>
        <w:t>15%</w:t>
      </w:r>
      <w:r>
        <w:rPr>
          <w:spacing w:val="-1"/>
        </w:rPr>
        <w:t>税率缴纳企业所得税。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月，公司重新取得高新技术企业证书（证书编号：</w:t>
      </w:r>
      <w:r>
        <w:rPr>
          <w:rFonts w:ascii="Times New Roman" w:hAnsi="Times New Roman" w:cs="Times New Roman" w:eastAsia="Times New Roman" w:hint="default"/>
          <w:spacing w:val="-1"/>
        </w:rPr>
        <w:t>GR201711002826</w:t>
      </w:r>
      <w:r>
        <w:rPr>
          <w:spacing w:val="-1"/>
        </w:rPr>
        <w:t>）</w:t>
      </w:r>
      <w:r>
        <w:rPr>
          <w:rFonts w:ascii="Times New Roman" w:hAnsi="Times New Roman" w:cs="Times New Roman" w:eastAsia="Times New Roman" w:hint="default"/>
          <w:spacing w:val="-1"/>
        </w:rPr>
        <w:t>,</w:t>
      </w:r>
      <w:r>
        <w:rPr>
          <w:spacing w:val="-1"/>
        </w:rPr>
        <w:t>有效期三年</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9"/>
        </w:rPr>
        <w:t> </w:t>
      </w:r>
      <w:r>
        <w:rPr/>
        <w:t>年企业所得税按</w:t>
      </w:r>
      <w:r>
        <w:rPr>
          <w:rFonts w:ascii="Times New Roman" w:hAnsi="Times New Roman" w:cs="Times New Roman" w:eastAsia="Times New Roman" w:hint="default"/>
        </w:rPr>
        <w:t>15%</w:t>
      </w:r>
      <w:r>
        <w:rPr/>
        <w:t>税率缴纳。</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1" w:firstLine="360"/>
        <w:jc w:val="both"/>
      </w:pPr>
      <w:r>
        <w:rPr/>
        <w:t>（</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w:t>
      </w:r>
      <w:r>
        <w:rPr>
          <w:spacing w:val="-6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8"/>
        </w:rPr>
        <w:t> </w:t>
      </w:r>
      <w:r>
        <w:rPr/>
        <w:t>年</w:t>
      </w:r>
      <w:r>
        <w:rPr>
          <w:spacing w:val="-63"/>
        </w:rPr>
        <w:t> </w:t>
      </w:r>
      <w:r>
        <w:rPr>
          <w:rFonts w:ascii="Times New Roman" w:hAnsi="Times New Roman" w:cs="Times New Roman" w:eastAsia="Times New Roman" w:hint="default"/>
        </w:rPr>
        <w:t>11</w:t>
      </w:r>
      <w:r>
        <w:rPr>
          <w:rFonts w:ascii="Times New Roman" w:hAnsi="Times New Roman" w:cs="Times New Roman" w:eastAsia="Times New Roman" w:hint="default"/>
          <w:spacing w:val="-18"/>
        </w:rPr>
        <w:t> </w:t>
      </w:r>
      <w:r>
        <w:rPr/>
        <w:t>月</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日</w:t>
      </w:r>
      <w:r>
        <w:rPr>
          <w:spacing w:val="-63"/>
        </w:rPr>
        <w:t>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本</w:t>
      </w:r>
      <w:r>
        <w:rPr>
          <w:spacing w:val="-63"/>
        </w:rPr>
        <w:t> </w:t>
      </w:r>
      <w:r>
        <w:rPr/>
        <w:t>公</w:t>
      </w:r>
      <w:r>
        <w:rPr>
          <w:spacing w:val="-63"/>
        </w:rPr>
        <w:t> </w:t>
      </w:r>
      <w:r>
        <w:rPr/>
        <w:t>司</w:t>
      </w:r>
      <w:r>
        <w:rPr>
          <w:spacing w:val="-63"/>
        </w:rPr>
        <w:t> </w:t>
      </w:r>
      <w:r>
        <w:rPr/>
        <w:t>之</w:t>
      </w:r>
      <w:r>
        <w:rPr>
          <w:spacing w:val="-63"/>
        </w:rPr>
        <w:t> </w:t>
      </w:r>
      <w:r>
        <w:rPr/>
        <w:t>子</w:t>
      </w:r>
      <w:r>
        <w:rPr>
          <w:spacing w:val="-63"/>
        </w:rPr>
        <w:t> </w:t>
      </w:r>
      <w:r>
        <w:rPr/>
        <w:t>公</w:t>
      </w:r>
      <w:r>
        <w:rPr>
          <w:spacing w:val="-62"/>
        </w:rPr>
        <w:t> </w:t>
      </w:r>
      <w:r>
        <w:rPr/>
        <w:t>司</w:t>
      </w:r>
      <w:r>
        <w:rPr>
          <w:spacing w:val="-63"/>
        </w:rPr>
        <w:t> </w:t>
      </w:r>
      <w:r>
        <w:rPr/>
        <w:t>北</w:t>
      </w:r>
      <w:r>
        <w:rPr>
          <w:spacing w:val="-63"/>
        </w:rPr>
        <w:t> </w:t>
      </w:r>
      <w:r>
        <w:rPr/>
        <w:t>京</w:t>
      </w:r>
      <w:r>
        <w:rPr>
          <w:spacing w:val="-63"/>
        </w:rPr>
        <w:t> </w:t>
      </w:r>
      <w:r>
        <w:rPr/>
        <w:t>坚</w:t>
      </w:r>
      <w:r>
        <w:rPr>
          <w:spacing w:val="-63"/>
        </w:rPr>
        <w:t> </w:t>
      </w:r>
      <w:r>
        <w:rPr/>
        <w:t>石</w:t>
      </w:r>
      <w:r>
        <w:rPr>
          <w:spacing w:val="-62"/>
        </w:rPr>
        <w:t> </w:t>
      </w:r>
      <w:r>
        <w:rPr/>
        <w:t>诚</w:t>
      </w:r>
      <w:r>
        <w:rPr>
          <w:spacing w:val="-63"/>
        </w:rPr>
        <w:t> </w:t>
      </w:r>
      <w:r>
        <w:rPr/>
        <w:t>信</w:t>
      </w:r>
      <w:r>
        <w:rPr>
          <w:spacing w:val="-63"/>
        </w:rPr>
        <w:t> </w:t>
      </w:r>
      <w:r>
        <w:rPr/>
        <w:t>科</w:t>
      </w:r>
      <w:r>
        <w:rPr>
          <w:spacing w:val="-63"/>
        </w:rPr>
        <w:t> </w:t>
      </w:r>
      <w:r>
        <w:rPr/>
        <w:t>技</w:t>
      </w:r>
      <w:r>
        <w:rPr>
          <w:spacing w:val="-63"/>
        </w:rPr>
        <w:t> </w:t>
      </w:r>
      <w:r>
        <w:rPr/>
        <w:t>有</w:t>
      </w:r>
      <w:r>
        <w:rPr>
          <w:spacing w:val="-62"/>
        </w:rPr>
        <w:t> </w:t>
      </w:r>
      <w:r>
        <w:rPr/>
        <w:t>限</w:t>
      </w:r>
      <w:r>
        <w:rPr>
          <w:spacing w:val="-63"/>
        </w:rPr>
        <w:t> </w:t>
      </w:r>
      <w:r>
        <w:rPr/>
        <w:t>公</w:t>
      </w:r>
      <w:r>
        <w:rPr>
          <w:spacing w:val="-63"/>
        </w:rPr>
        <w:t> </w:t>
      </w:r>
      <w:r>
        <w:rPr/>
        <w:t>司</w:t>
      </w:r>
      <w:r>
        <w:rPr>
          <w:spacing w:val="-63"/>
        </w:rPr>
        <w:t> </w:t>
      </w:r>
      <w:r>
        <w:rPr/>
        <w:t>获</w:t>
      </w:r>
      <w:r>
        <w:rPr>
          <w:spacing w:val="-63"/>
        </w:rPr>
        <w:t> </w:t>
      </w:r>
      <w:r>
        <w:rPr/>
        <w:t>得</w:t>
      </w:r>
      <w:r>
        <w:rPr>
          <w:spacing w:val="-62"/>
        </w:rPr>
        <w:t> </w:t>
      </w:r>
      <w:r>
        <w:rPr/>
        <w:t>高</w:t>
      </w:r>
      <w:r>
        <w:rPr>
          <w:spacing w:val="-63"/>
        </w:rPr>
        <w:t> </w:t>
      </w:r>
      <w:r>
        <w:rPr/>
        <w:t>新</w:t>
      </w:r>
      <w:r>
        <w:rPr>
          <w:spacing w:val="-63"/>
        </w:rPr>
        <w:t> </w:t>
      </w:r>
      <w:r>
        <w:rPr/>
        <w:t>技</w:t>
      </w:r>
      <w:r>
        <w:rPr>
          <w:spacing w:val="-63"/>
        </w:rPr>
        <w:t> </w:t>
      </w:r>
      <w:r>
        <w:rPr/>
        <w:t>术</w:t>
      </w:r>
      <w:r>
        <w:rPr>
          <w:spacing w:val="-63"/>
        </w:rPr>
        <w:t> </w:t>
      </w:r>
      <w:r>
        <w:rPr/>
        <w:t>企</w:t>
      </w:r>
      <w:r>
        <w:rPr>
          <w:spacing w:val="-62"/>
        </w:rPr>
        <w:t> </w:t>
      </w:r>
      <w:r>
        <w:rPr/>
        <w:t>业</w:t>
      </w:r>
      <w:r>
        <w:rPr>
          <w:spacing w:val="-63"/>
        </w:rPr>
        <w:t> </w:t>
      </w:r>
      <w:r>
        <w:rPr/>
        <w:t>证</w:t>
      </w:r>
      <w:r>
        <w:rPr>
          <w:spacing w:val="-63"/>
        </w:rPr>
        <w:t> </w:t>
      </w:r>
      <w:r>
        <w:rPr/>
        <w:t>书</w:t>
      </w:r>
      <w:r>
        <w:rPr>
          <w:spacing w:val="-63"/>
        </w:rPr>
        <w:t> </w:t>
      </w:r>
      <w:r>
        <w:rPr/>
        <w:t>（</w:t>
      </w:r>
      <w:r>
        <w:rPr>
          <w:spacing w:val="-63"/>
        </w:rPr>
        <w:t> </w:t>
      </w:r>
      <w:r>
        <w:rPr/>
        <w:t>证</w:t>
      </w:r>
      <w:r>
        <w:rPr>
          <w:spacing w:val="-62"/>
        </w:rPr>
        <w:t> </w:t>
      </w:r>
      <w:r>
        <w:rPr/>
        <w:t>书</w:t>
      </w:r>
      <w:r>
        <w:rPr>
          <w:spacing w:val="-63"/>
        </w:rPr>
        <w:t> </w:t>
      </w:r>
      <w:r>
        <w:rPr/>
        <w:t>编</w:t>
      </w:r>
      <w:r>
        <w:rPr>
          <w:spacing w:val="-63"/>
        </w:rPr>
        <w:t> </w:t>
      </w:r>
      <w:r>
        <w:rPr/>
        <w:t>号</w:t>
      </w:r>
      <w:r>
        <w:rPr>
          <w:spacing w:val="-63"/>
        </w:rPr>
        <w:t> </w:t>
      </w:r>
      <w:r>
        <w:rPr/>
        <w:t>：</w:t>
      </w:r>
      <w:r>
        <w:rPr/>
        <w:t> </w:t>
      </w:r>
      <w:r>
        <w:rPr>
          <w:rFonts w:ascii="Times New Roman" w:hAnsi="Times New Roman" w:cs="Times New Roman" w:eastAsia="Times New Roman" w:hint="default"/>
        </w:rPr>
        <w:t>GR201211000217</w:t>
      </w:r>
      <w:r>
        <w:rPr/>
        <w:t>），自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日起减按</w:t>
      </w:r>
      <w:r>
        <w:rPr>
          <w:rFonts w:ascii="Times New Roman" w:hAnsi="Times New Roman" w:cs="Times New Roman" w:eastAsia="Times New Roman" w:hint="default"/>
        </w:rPr>
        <w:t>15%</w:t>
      </w:r>
      <w:r>
        <w:rPr/>
        <w:t>的税率缴纳企业所得税，有效期三年；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日重新获得高新技术企</w:t>
      </w:r>
      <w:r>
        <w:rPr>
          <w:spacing w:val="-43"/>
        </w:rPr>
        <w:t> </w:t>
      </w:r>
      <w:r>
        <w:rPr>
          <w:spacing w:val="-43"/>
        </w:rPr>
      </w:r>
      <w:r>
        <w:rPr/>
        <w:t>业证书（证书编号：</w:t>
      </w:r>
      <w:r>
        <w:rPr>
          <w:rFonts w:ascii="Times New Roman" w:hAnsi="Times New Roman" w:cs="Times New Roman" w:eastAsia="Times New Roman" w:hint="default"/>
        </w:rPr>
        <w:t>GF201511000890</w:t>
      </w:r>
      <w:r>
        <w:rPr/>
        <w:t>），自</w:t>
      </w:r>
      <w:r>
        <w:rPr>
          <w:rFonts w:ascii="Times New Roman" w:hAnsi="Times New Roman" w:cs="Times New Roman" w:eastAsia="Times New Roman" w:hint="default"/>
        </w:rPr>
        <w:t>2015</w:t>
      </w:r>
      <w:r>
        <w:rPr/>
        <w:t>年起企业所得税按</w:t>
      </w:r>
      <w:r>
        <w:rPr>
          <w:rFonts w:ascii="Times New Roman" w:hAnsi="Times New Roman" w:cs="Times New Roman" w:eastAsia="Times New Roman" w:hint="default"/>
        </w:rPr>
        <w:t>15%</w:t>
      </w:r>
      <w:r>
        <w:rPr/>
        <w:t>的税率缴纳，有效期三年；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日，被拟</w:t>
      </w:r>
      <w:r>
        <w:rPr>
          <w:spacing w:val="-24"/>
        </w:rPr>
        <w:t> </w:t>
      </w:r>
      <w:r>
        <w:rPr>
          <w:spacing w:val="-24"/>
        </w:rPr>
      </w:r>
      <w:r>
        <w:rPr/>
        <w:t>认定高新技术企业</w:t>
      </w:r>
      <w:r>
        <w:rPr>
          <w:rFonts w:ascii="Times New Roman" w:hAnsi="Times New Roman" w:cs="Times New Roman" w:eastAsia="Times New Roman" w:hint="default"/>
        </w:rPr>
        <w:t>,2018</w:t>
      </w:r>
      <w:r>
        <w:rPr/>
        <w:t>年企业所得税按</w:t>
      </w:r>
      <w:r>
        <w:rPr>
          <w:rFonts w:ascii="Times New Roman" w:hAnsi="Times New Roman" w:cs="Times New Roman" w:eastAsia="Times New Roman" w:hint="default"/>
        </w:rPr>
        <w:t>15%</w:t>
      </w:r>
      <w:r>
        <w:rPr/>
        <w:t>税率缴纳。</w:t>
      </w:r>
    </w:p>
    <w:p>
      <w:pPr>
        <w:pStyle w:val="BodyText"/>
        <w:spacing w:line="300" w:lineRule="auto" w:before="133"/>
        <w:ind w:right="1129"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日，本公司之子公司飞天万谷智能科技有限公司（以下简称</w:t>
      </w:r>
      <w:r>
        <w:rPr>
          <w:rFonts w:ascii="Times New Roman" w:hAnsi="Times New Roman" w:cs="Times New Roman" w:eastAsia="Times New Roman" w:hint="default"/>
          <w:spacing w:val="-2"/>
        </w:rPr>
        <w:t>“</w:t>
      </w:r>
      <w:r>
        <w:rPr>
          <w:spacing w:val="-2"/>
        </w:rPr>
        <w:t>飞天万谷</w:t>
      </w:r>
      <w:r>
        <w:rPr>
          <w:rFonts w:ascii="Times New Roman" w:hAnsi="Times New Roman" w:cs="Times New Roman" w:eastAsia="Times New Roman" w:hint="default"/>
          <w:spacing w:val="-2"/>
        </w:rPr>
        <w:t>”</w:t>
      </w:r>
      <w:r>
        <w:rPr>
          <w:spacing w:val="-2"/>
        </w:rPr>
        <w:t>）获得高新技术企业证书（证</w:t>
      </w:r>
      <w:r>
        <w:rPr/>
        <w:t> 书编号：</w:t>
      </w:r>
      <w:r>
        <w:rPr>
          <w:rFonts w:ascii="Times New Roman" w:hAnsi="Times New Roman" w:cs="Times New Roman" w:eastAsia="Times New Roman" w:hint="default"/>
        </w:rPr>
        <w:t>GR201533001086</w:t>
      </w:r>
      <w:r>
        <w:rPr/>
        <w:t>）</w:t>
      </w:r>
      <w:r>
        <w:rPr>
          <w:rFonts w:ascii="Times New Roman" w:hAnsi="Times New Roman" w:cs="Times New Roman" w:eastAsia="Times New Roman" w:hint="default"/>
        </w:rPr>
        <w:t>,</w:t>
      </w:r>
      <w:r>
        <w:rPr/>
        <w:t>有效期三年</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2018</w:t>
      </w:r>
      <w:r>
        <w:rPr/>
        <w:t>年企业所得税按</w:t>
      </w:r>
      <w:r>
        <w:rPr>
          <w:rFonts w:ascii="Times New Roman" w:hAnsi="Times New Roman" w:cs="Times New Roman" w:eastAsia="Times New Roman" w:hint="default"/>
        </w:rPr>
        <w:t>15%</w:t>
      </w:r>
      <w:r>
        <w:rPr/>
        <w:t>税率缴纳。</w:t>
      </w:r>
    </w:p>
    <w:p>
      <w:pPr>
        <w:pStyle w:val="BodyText"/>
        <w:spacing w:line="300" w:lineRule="auto" w:before="133"/>
        <w:ind w:right="1130"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日，财政部国家税务总局发展改革委工业和信息化部联合下发《关于软件和集成电路产业企业所得税 </w:t>
      </w:r>
      <w:r>
        <w:rPr>
          <w:spacing w:val="-1"/>
        </w:rPr>
        <w:t>优惠政策有关问题的通知》（财税</w:t>
      </w:r>
      <w:r>
        <w:rPr>
          <w:rFonts w:ascii="Times New Roman" w:hAnsi="Times New Roman" w:cs="Times New Roman" w:eastAsia="Times New Roman" w:hint="default"/>
          <w:spacing w:val="-1"/>
        </w:rPr>
        <w:t>[2016]49</w:t>
      </w:r>
      <w:r>
        <w:rPr>
          <w:spacing w:val="-1"/>
        </w:rPr>
        <w:t>号）规定，集成电路设计企业、国家规划布局内的重点集成电路设计企业的税收</w:t>
      </w:r>
      <w:r>
        <w:rPr>
          <w:spacing w:val="-57"/>
        </w:rPr>
        <w:t> </w:t>
      </w:r>
      <w:r>
        <w:rPr>
          <w:spacing w:val="-57"/>
        </w:rPr>
      </w:r>
      <w:r>
        <w:rPr>
          <w:spacing w:val="-1"/>
        </w:rPr>
        <w:t>优惠资格认定等非行政许可审批已经取消，享受财税</w:t>
      </w:r>
      <w:r>
        <w:rPr>
          <w:rFonts w:ascii="Times New Roman" w:hAnsi="Times New Roman" w:cs="Times New Roman" w:eastAsia="Times New Roman" w:hint="default"/>
          <w:spacing w:val="-1"/>
        </w:rPr>
        <w:t>[2012]27</w:t>
      </w:r>
      <w:r>
        <w:rPr>
          <w:spacing w:val="-1"/>
        </w:rPr>
        <w:t>号文件规定的税收优惠政策的集成电路企业，每年汇算清缴时</w:t>
      </w:r>
      <w:r>
        <w:rPr>
          <w:spacing w:val="-55"/>
        </w:rPr>
        <w:t> </w:t>
      </w:r>
      <w:r>
        <w:rPr>
          <w:spacing w:val="-55"/>
        </w:rPr>
      </w:r>
      <w:r>
        <w:rPr/>
        <w:t>应按照《国家税务总局关于发布</w:t>
      </w:r>
      <w:r>
        <w:rPr>
          <w:rFonts w:ascii="Times New Roman" w:hAnsi="Times New Roman" w:cs="Times New Roman" w:eastAsia="Times New Roman" w:hint="default"/>
        </w:rPr>
        <w:t>&lt;</w:t>
      </w:r>
      <w:r>
        <w:rPr/>
        <w:t>企业所得税优惠政策事项办理办法</w:t>
      </w:r>
      <w:r>
        <w:rPr>
          <w:rFonts w:ascii="Times New Roman" w:hAnsi="Times New Roman" w:cs="Times New Roman" w:eastAsia="Times New Roman" w:hint="default"/>
        </w:rPr>
        <w:t>&gt;</w:t>
      </w:r>
      <w:r>
        <w:rPr/>
        <w:t>的公告》（国家税务总局公告</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76</w:t>
      </w:r>
      <w:r>
        <w:rPr/>
        <w:t>号</w:t>
      </w:r>
      <w:r>
        <w:rPr>
          <w:rFonts w:ascii="Times New Roman" w:hAnsi="Times New Roman" w:cs="Times New Roman" w:eastAsia="Times New Roman" w:hint="default"/>
        </w:rPr>
        <w:t>)</w:t>
      </w:r>
      <w:r>
        <w:rPr/>
        <w:t>规定向税 务机关备案。</w:t>
      </w:r>
    </w:p>
    <w:p>
      <w:pPr>
        <w:pStyle w:val="BodyText"/>
        <w:spacing w:line="300" w:lineRule="auto" w:before="151"/>
        <w:ind w:right="1132" w:firstLine="360"/>
        <w:jc w:val="both"/>
      </w:pPr>
      <w:r>
        <w:rPr>
          <w:spacing w:val="-2"/>
        </w:rPr>
        <w:t>（</w:t>
      </w:r>
      <w:r>
        <w:rPr>
          <w:rFonts w:ascii="Times New Roman" w:hAnsi="Times New Roman" w:cs="Times New Roman" w:eastAsia="Times New Roman" w:hint="default"/>
          <w:spacing w:val="-2"/>
        </w:rPr>
        <w:t>6</w:t>
      </w:r>
      <w:r>
        <w:rPr>
          <w:spacing w:val="-2"/>
        </w:rPr>
        <w:t>）财税</w:t>
      </w:r>
      <w:r>
        <w:rPr>
          <w:rFonts w:ascii="Times New Roman" w:hAnsi="Times New Roman" w:cs="Times New Roman" w:eastAsia="Times New Roman" w:hint="default"/>
          <w:spacing w:val="-2"/>
        </w:rPr>
        <w:t>[2012]27</w:t>
      </w:r>
      <w:r>
        <w:rPr>
          <w:spacing w:val="-2"/>
        </w:rPr>
        <w:t>号文件规定国家规划布局内的集成电路设计企业，如当年未享受免税优惠的，可减按</w:t>
      </w:r>
      <w:r>
        <w:rPr>
          <w:rFonts w:ascii="Times New Roman" w:hAnsi="Times New Roman" w:cs="Times New Roman" w:eastAsia="Times New Roman" w:hint="default"/>
          <w:spacing w:val="-2"/>
        </w:rPr>
        <w:t>10%</w:t>
      </w:r>
      <w:r>
        <w:rPr>
          <w:spacing w:val="-2"/>
        </w:rPr>
        <w:t>的税率征收</w:t>
      </w:r>
      <w:r>
        <w:rPr/>
        <w:t> 企业所得税。本公司之子公司北京宏思电子技术有限责任公司（以下简称</w:t>
      </w:r>
      <w:r>
        <w:rPr>
          <w:rFonts w:ascii="Times New Roman" w:hAnsi="Times New Roman" w:cs="Times New Roman" w:eastAsia="Times New Roman" w:hint="default"/>
        </w:rPr>
        <w:t>“</w:t>
      </w:r>
      <w:r>
        <w:rPr/>
        <w:t>北京宏思</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年享受减按</w:t>
      </w:r>
      <w:r>
        <w:rPr>
          <w:rFonts w:ascii="Times New Roman" w:hAnsi="Times New Roman" w:cs="Times New Roman" w:eastAsia="Times New Roman" w:hint="default"/>
        </w:rPr>
        <w:t>10%</w:t>
      </w:r>
      <w:r>
        <w:rPr/>
        <w:t>的优惠税率。</w:t>
      </w:r>
    </w:p>
    <w:p>
      <w:pPr>
        <w:pStyle w:val="BodyText"/>
        <w:spacing w:line="300" w:lineRule="auto" w:before="133"/>
        <w:ind w:right="1132"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FEITIAN technologies</w:t>
      </w:r>
      <w:r>
        <w:rPr>
          <w:rFonts w:ascii="Times New Roman" w:hAnsi="Times New Roman" w:cs="Times New Roman" w:eastAsia="Times New Roman" w:hint="default"/>
          <w:spacing w:val="32"/>
        </w:rPr>
        <w:t> </w:t>
      </w:r>
      <w:r>
        <w:rPr>
          <w:rFonts w:ascii="Times New Roman" w:hAnsi="Times New Roman" w:cs="Times New Roman" w:eastAsia="Times New Roman" w:hint="default"/>
        </w:rPr>
        <w:t>US,Inc</w:t>
      </w:r>
      <w:r>
        <w:rPr/>
        <w:t>按应纳税所得额的</w:t>
      </w:r>
      <w:r>
        <w:rPr>
          <w:rFonts w:ascii="Times New Roman" w:hAnsi="Times New Roman" w:cs="Times New Roman" w:eastAsia="Times New Roman" w:hint="default"/>
        </w:rPr>
        <w:t>8.84%</w:t>
      </w:r>
      <w:r>
        <w:rPr/>
        <w:t>（最低</w:t>
      </w:r>
      <w:r>
        <w:rPr>
          <w:rFonts w:ascii="Times New Roman" w:hAnsi="Times New Roman" w:cs="Times New Roman" w:eastAsia="Times New Roman" w:hint="default"/>
        </w:rPr>
        <w:t>$800</w:t>
      </w:r>
      <w:r>
        <w:rPr/>
        <w:t>）计缴州利得税，按照已计缴州利得税的应纳税 所得额计缴联邦税</w:t>
      </w:r>
      <w:r>
        <w:rPr>
          <w:rFonts w:ascii="Times New Roman" w:hAnsi="Times New Roman" w:cs="Times New Roman" w:eastAsia="Times New Roman" w:hint="default"/>
        </w:rPr>
        <w:t>21%</w:t>
      </w:r>
      <w:r>
        <w:rPr/>
        <w:t>。</w:t>
      </w:r>
    </w:p>
    <w:p>
      <w:pPr>
        <w:pStyle w:val="BodyText"/>
        <w:spacing w:line="417" w:lineRule="auto" w:before="133"/>
        <w:ind w:right="1843" w:firstLine="360"/>
        <w:jc w:val="left"/>
      </w:pPr>
      <w:r>
        <w:rPr/>
        <w:t>（</w:t>
      </w:r>
      <w:r>
        <w:rPr>
          <w:rFonts w:ascii="Times New Roman" w:hAnsi="Times New Roman" w:cs="Times New Roman" w:eastAsia="Times New Roman" w:hint="default"/>
        </w:rPr>
        <w:t>8</w:t>
      </w:r>
      <w:r>
        <w:rPr/>
        <w:t>）飞天香港有限公司按照应纳税所得额计缴阶梯税（</w:t>
      </w:r>
      <w:r>
        <w:rPr>
          <w:rFonts w:ascii="Times New Roman" w:hAnsi="Times New Roman" w:cs="Times New Roman" w:eastAsia="Times New Roman" w:hint="default"/>
        </w:rPr>
        <w:t>8.25-16.5</w:t>
      </w:r>
      <w:r>
        <w:rPr/>
        <w:t>）。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12"/>
          <w:szCs w:val="12"/>
        </w:rPr>
      </w:pPr>
    </w:p>
    <w:p>
      <w:pPr>
        <w:pStyle w:val="Heading2"/>
        <w:spacing w:line="240" w:lineRule="auto"/>
        <w:ind w:right="812"/>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115,931.59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3,611,312.74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651,785,472.53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574,055,897.65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10,637,972.14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10,471,445.88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662,539,376.26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588,138,656.27</w:t>
            </w:r>
          </w:p>
        </w:tc>
      </w:tr>
    </w:tbl>
    <w:p>
      <w:pPr>
        <w:pStyle w:val="BodyText"/>
        <w:spacing w:line="357" w:lineRule="auto" w:before="51"/>
        <w:ind w:right="5937"/>
        <w:jc w:val="left"/>
      </w:pPr>
      <w:r>
        <w:rPr/>
        <w:t>其他说明 期末存在使用有限制款项</w:t>
      </w:r>
      <w:r>
        <w:rPr>
          <w:rFonts w:ascii="Times New Roman" w:hAnsi="Times New Roman" w:cs="Times New Roman" w:eastAsia="Times New Roman" w:hint="default"/>
        </w:rPr>
        <w:t>10,637,972.14</w:t>
      </w:r>
      <w:r>
        <w:rPr/>
        <w:t>元，均系保函保证金。</w:t>
      </w:r>
    </w:p>
    <w:p>
      <w:pPr>
        <w:spacing w:line="240" w:lineRule="auto" w:before="5"/>
        <w:rPr>
          <w:rFonts w:ascii="宋体" w:hAnsi="宋体" w:cs="宋体" w:eastAsia="宋体" w:hint="default"/>
          <w:sz w:val="18"/>
          <w:szCs w:val="18"/>
        </w:rPr>
      </w:pPr>
    </w:p>
    <w:p>
      <w:pPr>
        <w:pStyle w:val="Heading3"/>
        <w:spacing w:line="240" w:lineRule="auto"/>
        <w:ind w:right="812"/>
        <w:jc w:val="left"/>
        <w:rPr>
          <w:b w:val="0"/>
          <w:bCs w:val="0"/>
        </w:rPr>
      </w:pPr>
      <w:bookmarkStart w:name="2、应收票据及应收账款" w:id="221"/>
      <w:bookmarkEnd w:id="221"/>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1,063,349.95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97,244,483.23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68,811,134.46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98,557,673.23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69,874,484.41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1）应收票据" w:id="222"/>
      <w:bookmarkEnd w:id="22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760,470.00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552,720.00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601,349.95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1,063,349.95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应收账款" w:id="223"/>
      <w:bookmarkEnd w:id="22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102,834,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032.67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5,589,54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97,244,48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72,656,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293.44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3,845,158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68,811,134.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1,274,99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1,274,99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2,926,9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87.91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2,926,987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104,109,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027.52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6,864,54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97,244,48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75,583,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281.35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6,772,146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68,811,134.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100,660,051.42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5,033,002.40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1,370,704.77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137,070.48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548,285.60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164,485.68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254,990.88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254,990.88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102,834,032.67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5,589,549.44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81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81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812"/>
        <w:jc w:val="left"/>
      </w:pPr>
      <w:r>
        <w:rPr/>
        <w:t>本期计提坏账准备金额</w:t>
      </w:r>
      <w:r>
        <w:rPr>
          <w:spacing w:val="-47"/>
        </w:rPr>
        <w:t> </w:t>
      </w:r>
      <w:r>
        <w:rPr>
          <w:rFonts w:ascii="Times New Roman" w:hAnsi="Times New Roman" w:cs="Times New Roman" w:eastAsia="Times New Roman" w:hint="default"/>
        </w:rPr>
        <w:t>1,859,172.96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812"/>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1,766,775.56</w:t>
            </w:r>
          </w:p>
        </w:tc>
      </w:tr>
    </w:tbl>
    <w:p>
      <w:pPr>
        <w:pStyle w:val="BodyText"/>
        <w:spacing w:line="348" w:lineRule="auto" w:before="51"/>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6"/>
        <w:ind w:right="8952"/>
        <w:jc w:val="left"/>
      </w:pPr>
      <w:r>
        <w:rPr/>
        <w:t>是 软件与信息技术服务业</w:t>
      </w:r>
    </w:p>
    <w:p>
      <w:pPr>
        <w:pStyle w:val="BodyText"/>
        <w:spacing w:line="240" w:lineRule="auto" w:before="26"/>
        <w:ind w:right="812"/>
        <w:jc w:val="left"/>
      </w:pPr>
      <w:r>
        <w:rPr/>
        <w:t>本公司本年按欠款方归集的年末余额前五名应收账款汇总金额为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24,190,952.25</w:t>
      </w:r>
      <w:r>
        <w:rPr>
          <w:rFonts w:ascii="Times New Roman" w:hAnsi="Times New Roman" w:cs="Times New Roman" w:eastAsia="Times New Roman" w:hint="default"/>
        </w:rPr>
      </w:r>
      <w:r>
        <w:rPr/>
        <w:t>元，占应收账款年末余额合计数的比例为</w:t>
      </w:r>
    </w:p>
    <w:p>
      <w:pPr>
        <w:pStyle w:val="BodyText"/>
        <w:spacing w:line="240" w:lineRule="auto" w:before="64"/>
        <w:ind w:right="812"/>
        <w:jc w:val="left"/>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23.24</w:t>
      </w:r>
      <w:r>
        <w:rPr>
          <w:rFonts w:ascii="Times New Roman" w:hAnsi="Times New Roman" w:cs="Times New Roman" w:eastAsia="Times New Roman" w:hint="default"/>
        </w:rPr>
        <w:t>%</w:t>
      </w:r>
      <w:r>
        <w:rPr/>
        <w:t>，相应计提的坏账准备年末余额汇总金额为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1,209,547.61</w:t>
      </w:r>
      <w:r>
        <w:rPr>
          <w:rFonts w:ascii="Times New Roman" w:hAnsi="Times New Roman" w:cs="Times New Roman" w:eastAsia="Times New Roman" w:hint="default"/>
        </w:rPr>
      </w:r>
      <w:r>
        <w:rPr/>
        <w:t>元。</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3、预付款项" w:id="224"/>
      <w:bookmarkEnd w:id="224"/>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预付款项按账龄列示" w:id="225"/>
      <w:bookmarkEnd w:id="22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12,781,939.18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10,479,508.77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184,303.73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207,786.84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13,162,512.91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10,883,565.61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2）按预付对象归集的期末余额前五名的预付款情况" w:id="226"/>
      <w:bookmarkEnd w:id="22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700"/>
        <w:gridCol w:w="2580"/>
        <w:gridCol w:w="2378"/>
      </w:tblGrid>
      <w:tr>
        <w:trPr>
          <w:trHeight w:val="659"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40" w:right="58" w:hanging="503"/>
              <w:jc w:val="left"/>
              <w:rPr>
                <w:rFonts w:ascii="宋体" w:hAnsi="宋体" w:cs="宋体" w:eastAsia="宋体" w:hint="default"/>
                <w:sz w:val="18"/>
                <w:szCs w:val="18"/>
              </w:rPr>
            </w:pPr>
            <w:r>
              <w:rPr>
                <w:rFonts w:ascii="宋体" w:hAnsi="宋体" w:cs="宋体" w:eastAsia="宋体" w:hint="default"/>
                <w:b/>
                <w:bCs/>
                <w:sz w:val="18"/>
                <w:szCs w:val="18"/>
              </w:rPr>
              <w:t>占预付款项期末余额合计数</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成都锐成芯微科技有限责任公司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pacing w:val="-1"/>
                <w:sz w:val="18"/>
              </w:rPr>
              <w:t>1,679,913.76</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12.76</w:t>
            </w:r>
          </w:p>
        </w:tc>
      </w:tr>
      <w:tr>
        <w:trPr>
          <w:trHeight w:val="347"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和舰科技（苏州）有限公司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pacing w:val="-1"/>
                <w:sz w:val="18"/>
              </w:rPr>
              <w:t>1,372,084.91</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10.42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700"/>
        <w:gridCol w:w="2580"/>
        <w:gridCol w:w="2378"/>
      </w:tblGrid>
      <w:tr>
        <w:trPr>
          <w:trHeight w:val="347"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上海先进半导体制造股份有限公司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pacing w:val="-1"/>
                <w:sz w:val="18"/>
              </w:rPr>
              <w:t>1,357,993.99</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10.32</w:t>
            </w:r>
          </w:p>
        </w:tc>
      </w:tr>
      <w:tr>
        <w:trPr>
          <w:trHeight w:val="347"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南京益索信息技术有限公司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pacing w:val="-1"/>
                <w:sz w:val="18"/>
              </w:rPr>
              <w:t>1,326,408.92</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10.08</w:t>
            </w:r>
          </w:p>
        </w:tc>
      </w:tr>
      <w:tr>
        <w:trPr>
          <w:trHeight w:val="347"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山东投石网络科技有限公司</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pacing w:val="-1"/>
                <w:sz w:val="18"/>
              </w:rPr>
              <w:t>1,208,833.26</w:t>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t>9.18</w:t>
            </w:r>
          </w:p>
        </w:tc>
      </w:tr>
      <w:tr>
        <w:trPr>
          <w:trHeight w:val="348" w:hRule="exact"/>
        </w:trPr>
        <w:tc>
          <w:tcPr>
            <w:tcW w:w="4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6,945,234.84</w:t>
            </w:r>
            <w:r>
              <w:rPr>
                <w:rFonts w:ascii="Times New Roman"/>
                <w:spacing w:val="-1"/>
                <w:sz w:val="18"/>
              </w:rPr>
            </w:r>
          </w:p>
        </w:tc>
        <w:tc>
          <w:tcPr>
            <w:tcW w:w="2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5"/>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52.76</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4、其他应收款" w:id="227"/>
      <w:bookmarkEnd w:id="227"/>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8,836,478.76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9,199,518.23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8,836,478.76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9,199,518.23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其他应收款" w:id="228"/>
      <w:bookmarkEnd w:id="22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8,836,47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8,836,478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9,218,5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9,199,518.2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572,712.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625,940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625,940.2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9,409,19</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0.91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572,712.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8,836,478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9,844,4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58.50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644,940.2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9,199,518.2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812"/>
        <w:jc w:val="left"/>
      </w:pPr>
      <w:r>
        <w:rPr/>
        <w:t>期末单项金额重大并单项计提坏账准备的其他应收款：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3"/>
        <w:ind w:left="514" w:right="62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组合中，采用个别认定法计提坏账准备的其他应收款</w:t>
      </w:r>
    </w:p>
    <w:p>
      <w:pPr>
        <w:spacing w:line="240" w:lineRule="auto" w:before="7"/>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268"/>
        <w:gridCol w:w="1846"/>
        <w:gridCol w:w="1842"/>
        <w:gridCol w:w="1638"/>
        <w:gridCol w:w="1993"/>
      </w:tblGrid>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3" w:right="0"/>
              <w:jc w:val="left"/>
              <w:rPr>
                <w:rFonts w:ascii="Times New Roman" w:hAnsi="Times New Roman" w:cs="Times New Roman" w:eastAsia="Times New Roman" w:hint="default"/>
                <w:sz w:val="18"/>
                <w:szCs w:val="18"/>
              </w:rPr>
            </w:pPr>
            <w:r>
              <w:rPr>
                <w:rFonts w:ascii="Times New Roman"/>
                <w:sz w:val="18"/>
              </w:rPr>
              <w:t>7,798,569.35</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押金、保证金不予计提</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268"/>
        <w:gridCol w:w="890"/>
        <w:gridCol w:w="956"/>
        <w:gridCol w:w="1842"/>
        <w:gridCol w:w="1638"/>
        <w:gridCol w:w="1993"/>
      </w:tblGrid>
      <w:tr>
        <w:trPr>
          <w:trHeight w:val="347"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3" w:right="0"/>
              <w:jc w:val="left"/>
              <w:rPr>
                <w:rFonts w:ascii="Times New Roman" w:hAnsi="Times New Roman" w:cs="Times New Roman" w:eastAsia="Times New Roman" w:hint="default"/>
                <w:sz w:val="18"/>
                <w:szCs w:val="18"/>
              </w:rPr>
            </w:pPr>
            <w:r>
              <w:rPr>
                <w:rFonts w:ascii="Times New Roman"/>
                <w:sz w:val="18"/>
              </w:rPr>
              <w:t>1,037,909.41</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备用金不予计提</w:t>
            </w:r>
          </w:p>
        </w:tc>
      </w:tr>
      <w:tr>
        <w:trPr>
          <w:trHeight w:val="304"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890" w:type="dxa"/>
            <w:tcBorders>
              <w:top w:val="single" w:sz="6" w:space="0" w:color="000000"/>
              <w:left w:val="single" w:sz="6" w:space="0" w:color="000000"/>
              <w:bottom w:val="single" w:sz="6" w:space="0" w:color="000000"/>
              <w:right w:val="nil" w:sz="6" w:space="0" w:color="auto"/>
            </w:tcBorders>
          </w:tcPr>
          <w:p>
            <w:pPr/>
          </w:p>
        </w:tc>
        <w:tc>
          <w:tcPr>
            <w:tcW w:w="956"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8,836,478.76</w:t>
            </w:r>
          </w:p>
        </w:tc>
        <w:tc>
          <w:tcPr>
            <w:tcW w:w="1842"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6"/>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6"/>
        <w:jc w:val="left"/>
      </w:pPr>
      <w:r>
        <w:rPr/>
        <w:t>本期计提坏账准备金额</w:t>
      </w:r>
      <w:r>
        <w:rPr>
          <w:spacing w:val="-46"/>
        </w:rPr>
        <w:t> </w:t>
      </w:r>
      <w:r>
        <w:rPr>
          <w:rFonts w:ascii="Times New Roman" w:hAnsi="Times New Roman" w:cs="Times New Roman" w:eastAsia="Times New Roman" w:hint="default"/>
        </w:rPr>
        <w:t>135,000.00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53,228.12</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580" w:bottom="700" w:left="980" w:right="0"/>
          <w:cols w:num="2" w:equalWidth="0">
            <w:col w:w="6725" w:space="2104"/>
            <w:col w:w="2101"/>
          </w:cols>
        </w:sectPr>
      </w:pPr>
    </w:p>
    <w:p>
      <w:pPr>
        <w:spacing w:line="240" w:lineRule="auto" w:before="0"/>
        <w:rPr>
          <w:rFonts w:ascii="宋体" w:hAnsi="宋体" w:cs="宋体" w:eastAsia="宋体" w:hint="default"/>
          <w:sz w:val="8"/>
          <w:szCs w:val="8"/>
        </w:rPr>
      </w:pPr>
      <w:r>
        <w:rPr/>
        <w:pict>
          <v:group style="position:absolute;margin-left:375.820007pt;margin-top:719.820007pt;width:79.25pt;height:27pt;mso-position-horizontal-relative:page;mso-position-vertical-relative:page;z-index:-1080208" coordorigin="7516,14396" coordsize="1585,540">
            <v:group style="position:absolute;left:7516;top:14396;width:1585;height:136" coordorigin="7516,14396" coordsize="1585,136">
              <v:shape style="position:absolute;left:7516;top:14396;width:1585;height:136" coordorigin="7516,14396" coordsize="1585,136" path="m7516,14532l9101,14532,9101,14396,7516,14396,7516,14532xe" filled="true" fillcolor="#ffffff" stroked="false">
                <v:path arrowok="t"/>
                <v:fill type="solid"/>
              </v:shape>
            </v:group>
            <v:group style="position:absolute;left:7528;top:14532;width:2;height:393" coordorigin="7528,14532" coordsize="2,393">
              <v:shape style="position:absolute;left:7528;top:14532;width:2;height:393" coordorigin="7528,14532" coordsize="0,393" path="m7528,14532l7528,14924e" filled="false" stroked="true" strokeweight="1.140pt" strokecolor="#ffffff">
                <v:path arrowok="t"/>
              </v:shape>
            </v:group>
            <v:group style="position:absolute;left:7539;top:14532;width:1539;height:393" coordorigin="7539,14532" coordsize="1539,393">
              <v:shape style="position:absolute;left:7539;top:14532;width:1539;height:393" coordorigin="7539,14532" coordsize="1539,393" path="m7539,14924l9078,14924,9078,14532,7539,14532,7539,1492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-53,228.12</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81,771.88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154,000.00</w:t>
            </w:r>
          </w:p>
        </w:tc>
      </w:tr>
    </w:tbl>
    <w:p>
      <w:pPr>
        <w:pStyle w:val="BodyText"/>
        <w:spacing w:line="240" w:lineRule="auto" w:before="51"/>
        <w:ind w:right="812"/>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7,798,569.35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8,288,041.83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1,037,909.41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930,476.40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572,712.15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625,940.27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9,409,190.91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9,844,458.50</w:t>
            </w:r>
          </w:p>
        </w:tc>
      </w:tr>
    </w:tbl>
    <w:p>
      <w:pPr>
        <w:pStyle w:val="BodyText"/>
        <w:spacing w:line="240" w:lineRule="auto" w:before="51"/>
        <w:ind w:right="812"/>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583"/>
        <w:gridCol w:w="1014"/>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5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北京城建天麓房地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2,603,651.40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88,923.60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531,432.00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1,983,295.80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27.67%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东莞市新太阳企业 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639,298.00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深圳市锦弘霖电子 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巩薇薇等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572,712.15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26,733.19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545,978.96</w:t>
            </w:r>
          </w:p>
        </w:tc>
        <w:tc>
          <w:tcPr>
            <w:tcW w:w="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572,712.15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北京宝泽丰物业管 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512,218.32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84,670.70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100,397.30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6,600.00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Times New Roman" w:hAnsi="Times New Roman" w:cs="Times New Roman" w:eastAsia="Times New Roman" w:hint="default"/>
                <w:spacing w:val="-13"/>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320,550.32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4,927,879.87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572,712.15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5、存货" w:id="229"/>
      <w:bookmarkEnd w:id="229"/>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812"/>
        <w:jc w:val="left"/>
        <w:rPr>
          <w:b w:val="0"/>
          <w:bCs w:val="0"/>
        </w:rPr>
      </w:pPr>
      <w:bookmarkStart w:name="（1）存货分类" w:id="230"/>
      <w:bookmarkEnd w:id="23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64,476,733.49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5,454,151.07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59,022,582.42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64,694,536.14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5,068,939.71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59,625,596.43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6,984,197.79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6,984,197.79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7,812,486.21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7,812,486.21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107,586,451.26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3,977,119.54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103,609,331.72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60,931,703.21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5,088,181.66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55,843,521.55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16,618,457.35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687,217.08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15,931,240.27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21,866,999.84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650,604.23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21,216,395.61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164,405,750.94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164,405,750.94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174,199,028.61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174,199,028.61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94,350,554.36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1,483,375.48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92,867,178.88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84,328,525.40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84,157,465.40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454,422,145.19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11,601,863.17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442,820,282.02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413,833,279.41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10,978,785.60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402,854,493.81</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2"/>
        <w:rPr>
          <w:rFonts w:ascii="宋体" w:hAnsi="宋体" w:cs="宋体" w:eastAsia="宋体" w:hint="default"/>
          <w:sz w:val="20"/>
          <w:szCs w:val="20"/>
        </w:rPr>
      </w:pPr>
    </w:p>
    <w:p>
      <w:pPr>
        <w:pStyle w:val="Heading3"/>
        <w:spacing w:line="240" w:lineRule="auto"/>
        <w:ind w:right="812"/>
        <w:jc w:val="left"/>
        <w:rPr>
          <w:b w:val="0"/>
          <w:bCs w:val="0"/>
        </w:rPr>
      </w:pPr>
      <w:bookmarkStart w:name="（2）存货跌价准备" w:id="231"/>
      <w:bookmarkEnd w:id="23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5,068,939.71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3,199,858.20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2,814,646.84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5,454,151.07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5,088,181.66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2,162,298.21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3,273,360.33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3,977,119.54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650,604.23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511,761.76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475,148.91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687,217.08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1,850,217.16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537,901.68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1,483,375.48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10,978,785.60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7,724,135.33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7,101,057.76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11,601,863.17</w:t>
            </w:r>
          </w:p>
        </w:tc>
      </w:tr>
    </w:tbl>
    <w:p>
      <w:pPr>
        <w:pStyle w:val="BodyText"/>
        <w:spacing w:line="316" w:lineRule="auto" w:before="10"/>
        <w:ind w:right="1032" w:firstLine="420"/>
        <w:jc w:val="left"/>
      </w:pPr>
      <w:r>
        <w:rPr/>
        <w:t>直接用于出售的存货，在正常生产经营过程中以该存货的估计售价减去估计的销售费用和相关税费后的金额确定其可 变现净值；需要经过加工的存货，在正常生产经营过程中以所生产的产成品的估计售价减去至完工时估计将要发生的成本、 </w:t>
      </w:r>
      <w:r>
        <w:rPr>
          <w:spacing w:val="-2"/>
        </w:rPr>
        <w:t>估计的销售费用和相关税费后的金额确定其可变现净值；资产负债表日，同一项存货中一部分有合同价格约定、其他部分不</w:t>
      </w:r>
      <w:r>
        <w:rPr>
          <w:spacing w:val="-66"/>
        </w:rPr>
        <w:t> </w:t>
      </w:r>
      <w:r>
        <w:rPr>
          <w:spacing w:val="-66"/>
        </w:rPr>
      </w:r>
      <w:r>
        <w:rPr/>
        <w:t>存在合同价格的，分别确定其可变现净值，并与其对应的成本进行比较，分别确定存货跌价准备的计提或转回的金额。</w:t>
      </w:r>
    </w:p>
    <w:p>
      <w:pPr>
        <w:spacing w:line="240" w:lineRule="auto" w:before="7"/>
        <w:rPr>
          <w:rFonts w:ascii="宋体" w:hAnsi="宋体" w:cs="宋体" w:eastAsia="宋体" w:hint="default"/>
          <w:sz w:val="22"/>
          <w:szCs w:val="22"/>
        </w:rPr>
      </w:pPr>
    </w:p>
    <w:p>
      <w:pPr>
        <w:pStyle w:val="Heading3"/>
        <w:spacing w:line="240" w:lineRule="auto"/>
        <w:ind w:right="812"/>
        <w:jc w:val="left"/>
        <w:rPr>
          <w:b w:val="0"/>
          <w:bCs w:val="0"/>
        </w:rPr>
      </w:pPr>
      <w:bookmarkStart w:name="6、其他流动资产" w:id="232"/>
      <w:bookmarkEnd w:id="232"/>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投资理财款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8,742,556.44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9,253,902.45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549,742,556.44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699,253,902.45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7、可供出售金融资产" w:id="233"/>
      <w:bookmarkEnd w:id="233"/>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可供出售金融资产情况" w:id="234"/>
      <w:bookmarkEnd w:id="23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24,545,455.00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3,636,364.00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20,909,091.00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24,545,455.00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3,636,364.00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20,909,091.00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24,545,455.00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3,636,364.00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20,909,091.00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期末按成本计量的可供出售金融资产" w:id="235"/>
      <w:bookmarkEnd w:id="23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93.963005pt;margin-top:103.211716pt;width:48.05pt;height:17.650pt;mso-position-horizontal-relative:page;mso-position-vertical-relative:paragraph;z-index:-1080160" coordorigin="1879,2064" coordsize="961,353">
            <v:group style="position:absolute;left:2025;top:2064;width:815;height:353" coordorigin="2025,2064" coordsize="815,353">
              <v:shape style="position:absolute;left:2025;top:2064;width:815;height:353" coordorigin="2025,2064" coordsize="815,353" path="m2025,2417l2840,2417,2840,2064,2025,2064,2025,2417xe" filled="true" fillcolor="#ffffff" stroked="false">
                <v:path arrowok="t"/>
                <v:fill type="solid"/>
              </v:shape>
              <v:shape style="position:absolute;left:1879;top:2064;width:961;height:353" type="#_x0000_t202" filled="false" stroked="false">
                <v:textbox inset="0,0,0,0">
                  <w:txbxContent>
                    <w:p>
                      <w:pPr>
                        <w:spacing w:before="3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69"/>
        <w:gridCol w:w="801"/>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299" w:hRule="exact"/>
        </w:trPr>
        <w:tc>
          <w:tcPr>
            <w:tcW w:w="863"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3"/>
              <w:ind w:left="22"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掌上纵 横信息技 术（北京 股份有限</w:t>
            </w:r>
          </w:p>
        </w:tc>
        <w:tc>
          <w:tcPr>
            <w:tcW w:w="69" w:type="dxa"/>
            <w:tcBorders>
              <w:top w:val="single" w:sz="4" w:space="0" w:color="000000"/>
              <w:left w:val="single" w:sz="9" w:space="0" w:color="FFFFFF"/>
              <w:bottom w:val="single" w:sz="4" w:space="0" w:color="000000"/>
              <w:right w:val="nil" w:sz="6" w:space="0" w:color="auto"/>
            </w:tcBorders>
          </w:tcPr>
          <w:p>
            <w:pPr/>
          </w:p>
        </w:tc>
        <w:tc>
          <w:tcPr>
            <w:tcW w:w="8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454,545.00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4,545,455.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3,636,364.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3,636,364.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1.52%</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 万通顺达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454,545.00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24,545,455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3,636,364.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8、长期股权投资" w:id="236"/>
      <w:bookmarkEnd w:id="236"/>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r>
              <w:rPr>
                <w:rFonts w:ascii="Times New Roman"/>
                <w:w w:val="99"/>
                <w:sz w:val="18"/>
              </w:rPr>
              <w:t> </w:t>
            </w:r>
            <w:r>
              <w:rPr>
                <w:rFonts w:ascii="Times New Roman"/>
                <w:spacing w:val="-4"/>
                <w:sz w:val="18"/>
              </w:rPr>
              <w:t>ORMATI</w:t>
            </w:r>
            <w:r>
              <w:rPr>
                <w:rFonts w:ascii="Times New Roman"/>
                <w:w w:val="99"/>
                <w:sz w:val="18"/>
              </w:rPr>
              <w:t> </w:t>
            </w:r>
            <w:r>
              <w:rPr>
                <w:rFonts w:ascii="Times New Roman"/>
                <w:sz w:val="18"/>
              </w:rPr>
              <w:t>ONSYST</w:t>
            </w:r>
            <w:r>
              <w:rPr>
                <w:rFonts w:ascii="Times New Roman"/>
                <w:w w:val="99"/>
                <w:sz w:val="18"/>
              </w:rPr>
              <w:t> </w:t>
            </w:r>
            <w:r>
              <w:rPr>
                <w:rFonts w:ascii="Times New Roman"/>
                <w:sz w:val="18"/>
              </w:rPr>
              <w:t>EMS,INC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4,842,083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-469,964.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4,287,571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深圳市瑞 福达液晶 显示技术 股份有限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8,798.79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42,976,51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5,275,433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-461,165.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47,697,44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5,275,433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-461,165.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47,697,44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9、固定资产" w:id="237"/>
      <w:bookmarkEnd w:id="237"/>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29,603,257.61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37,245,267.40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29,603,257.61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37,245,267.40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固定资产情况" w:id="238"/>
      <w:bookmarkEnd w:id="23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生产工具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14,518,867.44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47,713,808.67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2,162,283.14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11,819,244.98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1,244,525.25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77,458,729.48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3,201,381.41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1,070,904.43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482,553.04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4,951,738.88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3,178,893.88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196,900.00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1,070,843.04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479,326.40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4,925,963.32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22,487.53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22,487.53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pacing w:val="-2"/>
                <w:sz w:val="18"/>
                <w:szCs w:val="18"/>
              </w:rPr>
              <w:t> </w:t>
            </w:r>
            <w:r>
              <w:rPr>
                <w:rFonts w:ascii="宋体" w:hAnsi="宋体" w:cs="宋体" w:eastAsia="宋体" w:hint="default"/>
                <w:sz w:val="18"/>
                <w:szCs w:val="18"/>
              </w:rPr>
              <w:t>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外币折算差额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7,760,080.07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73,460.04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1,592,301.88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200,950.50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9,626,792.49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7,760,080.07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73,460.04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1,592,301.88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200,950.50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9,626,792.49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14,518,867.44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43,155,110.01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2,285,723.10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11,297,847.53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1,526,127.79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72,783,675.87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4,654,906.48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19,011,841.78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1,205,331.17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9,748,403.30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747,153.86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35,367,636.59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3,801,539.04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6,485,966.31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319,669.79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1,052,684.44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286,220.97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11,946,080.55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3,801,539.04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6,485,966.31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319,669.79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1,052,402.77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11,945,315.37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外币折算差额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2,890,917.78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1,486,756.66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170,582.32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4,584,601.01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2,890,917.78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1,486,756.66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170,582.32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4,584,601.01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8,456,445.52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22,606,890.31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1,488,656.71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9,314,331.08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862,792.51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42,729,116.13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4,829,039.38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4,845,825.49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298,839.88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298,839.88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298,839.88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298,839.88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4,676,577.13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4,693,363.24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4,676,577.13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4,693,363.24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451,302.13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451,302.13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6,062,421.92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20,096,917.57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797,066.39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1,983,516.45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663,335.28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29,603,257.61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9,863,960.96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23,872,927.51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956,951.97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2,070,841.68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480,585.28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37,245,267.40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0、在建工程" w:id="239"/>
      <w:bookmarkEnd w:id="239"/>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156,915.24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156,915.24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85,629.91</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在建工程情况" w:id="240"/>
      <w:bookmarkEnd w:id="24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外壳自动组 装机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89,484.61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89,484.61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85,629.91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85,629.91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插拔测试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3,621.55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覆膜滚胶机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24,086.17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24,086.17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自动点胶机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keg </w:t>
            </w:r>
            <w:r>
              <w:rPr>
                <w:rFonts w:ascii="宋体" w:hAnsi="宋体" w:cs="宋体" w:eastAsia="宋体" w:hint="default"/>
                <w:sz w:val="18"/>
                <w:szCs w:val="18"/>
              </w:rPr>
              <w:t>工装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6,584.40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6,584.40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门禁演示箱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自动化设备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29,658.51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29,658.51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156,915.24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156,915.24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85,629.91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85,629.91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11、无形资产" w:id="241"/>
      <w:bookmarkEnd w:id="241"/>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无形资产情况" w:id="242"/>
      <w:bookmarkEnd w:id="24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19,274,878.00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8,500,833.34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91,471,257.69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73,606.27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73,606.27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73,606.27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19,274,878.00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8,574,439.61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27,849,317.61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2,024,164.47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2,894,724.74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68,614,435.56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1,919,643.00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1,346,378.40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3,266,021.40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1,919,643.00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1,346,378.40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3,266,021.40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63,695,546.35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63,695,546.35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3,943,807.47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4,241,103.14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8,184,910.61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15,331,070.53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4,333,336.47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19,664,407.00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17,250,713.53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5,606,108.60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22,856,822.13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2、开发支出" w:id="243"/>
      <w:bookmarkEnd w:id="243"/>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12"/>
              <w:ind w:left="22" w:right="10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OTP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动态令 牌芯片 </w:t>
            </w:r>
            <w:r>
              <w:rPr>
                <w:rFonts w:ascii="Times New Roman" w:hAnsi="Times New Roman" w:cs="Times New Roman" w:eastAsia="Times New Roman" w:hint="default"/>
                <w:sz w:val="18"/>
                <w:szCs w:val="18"/>
              </w:rPr>
              <w:t>HSC08T1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1,181,985.46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254,716.98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1,436,702.44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低成本低功 耗物联网芯 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HSC32I1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7,872,669.90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7,872,669.90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国密版物联 网安全芯片 </w:t>
            </w:r>
            <w:r>
              <w:rPr>
                <w:rFonts w:ascii="Times New Roman" w:hAnsi="Times New Roman" w:cs="Times New Roman" w:eastAsia="Times New Roman" w:hint="default"/>
                <w:sz w:val="18"/>
                <w:szCs w:val="18"/>
              </w:rPr>
              <w:t>HSC32C1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7,073,099.65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7,073,099.65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1,181,985.46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15,200,486.5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14,945,769.5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1,436,702.44</w:t>
            </w:r>
          </w:p>
        </w:tc>
      </w:tr>
    </w:tbl>
    <w:p>
      <w:pPr>
        <w:pStyle w:val="BodyText"/>
        <w:spacing w:line="240" w:lineRule="auto" w:before="51"/>
        <w:ind w:right="812"/>
        <w:jc w:val="left"/>
      </w:pPr>
      <w:r>
        <w:rPr/>
        <w:t>其他说明</w:t>
      </w:r>
    </w:p>
    <w:p>
      <w:pPr>
        <w:pStyle w:val="BodyText"/>
        <w:spacing w:line="300" w:lineRule="auto" w:before="116"/>
        <w:ind w:right="812"/>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月开始</w:t>
      </w:r>
      <w:r>
        <w:rPr>
          <w:rFonts w:ascii="Times New Roman" w:hAnsi="Times New Roman" w:cs="Times New Roman" w:eastAsia="Times New Roman" w:hint="default"/>
          <w:spacing w:val="-1"/>
        </w:rPr>
        <w:t>OTP</w:t>
      </w:r>
      <w:r>
        <w:rPr>
          <w:spacing w:val="-1"/>
        </w:rPr>
        <w:t>动态令牌芯片进行开发阶段，将开发阶段发生的研发费用</w:t>
      </w:r>
      <w:r>
        <w:rPr>
          <w:rFonts w:ascii="Times New Roman" w:hAnsi="Times New Roman" w:cs="Times New Roman" w:eastAsia="Times New Roman" w:hint="default"/>
          <w:spacing w:val="-1"/>
        </w:rPr>
        <w:t>1,436,702.44</w:t>
      </w:r>
      <w:r>
        <w:rPr>
          <w:spacing w:val="-1"/>
        </w:rPr>
        <w:t>元计入开发支出，目前该款芯片已</w:t>
      </w:r>
      <w:r>
        <w:rPr>
          <w:spacing w:val="-49"/>
        </w:rPr>
        <w:t> </w:t>
      </w:r>
      <w:r>
        <w:rPr>
          <w:spacing w:val="-49"/>
        </w:rPr>
      </w:r>
      <w:r>
        <w:rPr/>
        <w:t>经进入芯片样片设计阶段，尚未流片。</w:t>
      </w:r>
    </w:p>
    <w:p>
      <w:pPr>
        <w:spacing w:line="240" w:lineRule="auto" w:before="6"/>
        <w:rPr>
          <w:rFonts w:ascii="宋体" w:hAnsi="宋体" w:cs="宋体" w:eastAsia="宋体" w:hint="default"/>
          <w:sz w:val="23"/>
          <w:szCs w:val="23"/>
        </w:rPr>
      </w:pPr>
    </w:p>
    <w:p>
      <w:pPr>
        <w:pStyle w:val="Heading3"/>
        <w:spacing w:line="240" w:lineRule="auto"/>
        <w:ind w:right="812"/>
        <w:jc w:val="left"/>
        <w:rPr>
          <w:b w:val="0"/>
          <w:bCs w:val="0"/>
        </w:rPr>
      </w:pPr>
      <w:bookmarkStart w:name="13、商誉" w:id="244"/>
      <w:bookmarkEnd w:id="244"/>
      <w:r>
        <w:rPr>
          <w:b w:val="0"/>
          <w:bCs w:val="0"/>
        </w:rPr>
      </w:r>
      <w:r>
        <w:rPr>
          <w:rFonts w:ascii="Times New Roman" w:hAnsi="Times New Roman" w:cs="Times New Roman" w:eastAsia="Times New Roman" w:hint="default"/>
        </w:rPr>
        <w:t>13</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商誉账面原值" w:id="245"/>
      <w:bookmarkEnd w:id="24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102,294,256.35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102,294,256.35</w:t>
            </w:r>
          </w:p>
        </w:tc>
      </w:tr>
    </w:tbl>
    <w:p>
      <w:pPr>
        <w:spacing w:line="240" w:lineRule="auto" w:before="3"/>
        <w:rPr>
          <w:rFonts w:ascii="宋体" w:hAnsi="宋体" w:cs="宋体" w:eastAsia="宋体" w:hint="default"/>
          <w:sz w:val="19"/>
          <w:szCs w:val="19"/>
        </w:rPr>
      </w:pPr>
    </w:p>
    <w:p>
      <w:pPr>
        <w:pStyle w:val="Heading3"/>
        <w:spacing w:line="240" w:lineRule="auto" w:before="35"/>
        <w:ind w:left="214" w:right="1032"/>
        <w:jc w:val="left"/>
        <w:rPr>
          <w:b w:val="0"/>
          <w:bCs w:val="0"/>
        </w:rPr>
      </w:pPr>
      <w:bookmarkStart w:name="（2）商誉减值准备" w:id="246"/>
      <w:bookmarkEnd w:id="24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1032"/>
        <w:jc w:val="left"/>
      </w:pPr>
      <w:r>
        <w:rPr>
          <w:rFonts w:ascii="Times New Roman" w:hAnsi="Times New Roman" w:cs="Times New Roman" w:eastAsia="Times New Roman" w:hint="default"/>
        </w:rPr>
        <w:t>1.</w:t>
      </w:r>
      <w:r>
        <w:rPr/>
        <w:t>商誉所在资产组或资产组组合的相关信息</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920" w:right="0"/>
        </w:sectPr>
      </w:pPr>
    </w:p>
    <w:p>
      <w:pPr>
        <w:spacing w:line="240" w:lineRule="auto" w:before="7"/>
        <w:rPr>
          <w:rFonts w:ascii="宋体" w:hAnsi="宋体" w:cs="宋体" w:eastAsia="宋体" w:hint="default"/>
          <w:sz w:val="18"/>
          <w:szCs w:val="18"/>
        </w:rPr>
      </w:pPr>
    </w:p>
    <w:p>
      <w:pPr>
        <w:pStyle w:val="Heading5"/>
        <w:spacing w:line="240" w:lineRule="auto"/>
        <w:ind w:left="374" w:right="-21"/>
        <w:jc w:val="left"/>
        <w:rPr>
          <w:b w:val="0"/>
          <w:bCs w:val="0"/>
        </w:rPr>
      </w:pPr>
      <w:r>
        <w:rPr/>
        <w:t>商誉账面价值</w:t>
      </w:r>
      <w:r>
        <w:rPr>
          <w:b w:val="0"/>
          <w:bCs w:val="0"/>
        </w:rPr>
      </w:r>
    </w:p>
    <w:p>
      <w:pPr>
        <w:pStyle w:val="Heading5"/>
        <w:spacing w:line="240" w:lineRule="auto" w:before="44"/>
        <w:ind w:left="2536" w:right="0"/>
        <w:jc w:val="left"/>
        <w:rPr>
          <w:b w:val="0"/>
          <w:bCs w:val="0"/>
        </w:rPr>
      </w:pPr>
      <w:r>
        <w:rPr>
          <w:b w:val="0"/>
          <w:bCs w:val="0"/>
        </w:rPr>
        <w:br w:type="column"/>
      </w:r>
      <w:r>
        <w:rPr/>
        <w:t>资产组或资产组组合</w:t>
      </w:r>
      <w:r>
        <w:rPr>
          <w:b w:val="0"/>
          <w:bCs w:val="0"/>
        </w:rPr>
      </w:r>
    </w:p>
    <w:p>
      <w:pPr>
        <w:pStyle w:val="Heading5"/>
        <w:tabs>
          <w:tab w:pos="2688" w:val="left" w:leader="none"/>
          <w:tab w:pos="4013" w:val="left" w:leader="none"/>
          <w:tab w:pos="5456" w:val="left" w:leader="none"/>
        </w:tabs>
        <w:spacing w:line="240" w:lineRule="auto" w:before="161"/>
        <w:ind w:left="374" w:right="0"/>
        <w:jc w:val="left"/>
        <w:rPr>
          <w:b w:val="0"/>
          <w:bCs w:val="0"/>
        </w:rPr>
      </w:pPr>
      <w:r>
        <w:rPr>
          <w:w w:val="95"/>
        </w:rPr>
        <w:t>主要构成</w:t>
        <w:tab/>
        <w:t>账面价值</w:t>
        <w:tab/>
        <w:t>确定方法</w:t>
        <w:tab/>
      </w:r>
      <w:r>
        <w:rPr/>
        <w:t>本期是否发生变动</w:t>
      </w:r>
      <w:r>
        <w:rPr>
          <w:b w:val="0"/>
          <w:bCs w:val="0"/>
        </w:rPr>
      </w:r>
    </w:p>
    <w:p>
      <w:pPr>
        <w:spacing w:after="0" w:line="240" w:lineRule="auto"/>
        <w:jc w:val="left"/>
        <w:sectPr>
          <w:type w:val="continuous"/>
          <w:pgSz w:w="11910" w:h="16840"/>
          <w:pgMar w:top="1580" w:bottom="700" w:left="920" w:right="0"/>
          <w:cols w:num="2" w:equalWidth="0">
            <w:col w:w="1459" w:space="1037"/>
            <w:col w:w="8494"/>
          </w:cols>
        </w:sectPr>
      </w:pPr>
    </w:p>
    <w:p>
      <w:pPr>
        <w:spacing w:line="240" w:lineRule="auto" w:before="12"/>
        <w:rPr>
          <w:rFonts w:ascii="宋体" w:hAnsi="宋体" w:cs="宋体" w:eastAsia="宋体" w:hint="default"/>
          <w:b/>
          <w:bCs/>
          <w:sz w:val="4"/>
          <w:szCs w:val="4"/>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1623;height:2" coordorigin="5,5" coordsize="1623,2">
              <v:shape style="position:absolute;left:5;top:5;width:1623;height:2" coordorigin="5,5" coordsize="1623,0" path="m5,5l1628,5e" filled="false" stroked="true" strokeweight=".47998pt" strokecolor="#000000">
                <v:path arrowok="t"/>
              </v:shape>
            </v:group>
            <v:group style="position:absolute;left:1628;top:5;width:10;height:2" coordorigin="1628,5" coordsize="10,2">
              <v:shape style="position:absolute;left:1628;top:5;width:10;height:2" coordorigin="1628,5" coordsize="10,0" path="m1628,5l1637,5e" filled="false" stroked="true" strokeweight=".47998pt" strokecolor="#000000">
                <v:path arrowok="t"/>
              </v:shape>
            </v:group>
            <v:group style="position:absolute;left:1637;top:5;width:2996;height:2" coordorigin="1637,5" coordsize="2996,2">
              <v:shape style="position:absolute;left:1637;top:5;width:2996;height:2" coordorigin="1637,5" coordsize="2996,0" path="m1637,5l4633,5e" filled="false" stroked="true" strokeweight=".47998pt" strokecolor="#000000">
                <v:path arrowok="t"/>
              </v:shape>
            </v:group>
            <v:group style="position:absolute;left:4633;top:5;width:10;height:2" coordorigin="4633,5" coordsize="10,2">
              <v:shape style="position:absolute;left:4633;top:5;width:10;height:2" coordorigin="4633,5" coordsize="10,0" path="m4633,5l4642,5e" filled="false" stroked="true" strokeweight=".47998pt" strokecolor="#000000">
                <v:path arrowok="t"/>
              </v:shape>
            </v:group>
            <v:group style="position:absolute;left:4642;top:5;width:1613;height:2" coordorigin="4642,5" coordsize="1613,2">
              <v:shape style="position:absolute;left:4642;top:5;width:1613;height:2" coordorigin="4642,5" coordsize="1613,0" path="m4642,5l6255,5e" filled="false" stroked="true" strokeweight=".47998pt" strokecolor="#000000">
                <v:path arrowok="t"/>
              </v:shape>
            </v:group>
            <v:group style="position:absolute;left:6255;top:5;width:10;height:2" coordorigin="6255,5" coordsize="10,2">
              <v:shape style="position:absolute;left:6255;top:5;width:10;height:2" coordorigin="6255,5" coordsize="10,0" path="m6255,5l6265,5e" filled="false" stroked="true" strokeweight=".47998pt" strokecolor="#000000">
                <v:path arrowok="t"/>
              </v:shape>
            </v:group>
            <v:group style="position:absolute;left:6265;top:5;width:1022;height:2" coordorigin="6265,5" coordsize="1022,2">
              <v:shape style="position:absolute;left:6265;top:5;width:1022;height:2" coordorigin="6265,5" coordsize="1022,0" path="m6265,5l7286,5e" filled="false" stroked="true" strokeweight=".47998pt" strokecolor="#000000">
                <v:path arrowok="t"/>
              </v:shape>
            </v:group>
            <v:group style="position:absolute;left:7286;top:5;width:10;height:2" coordorigin="7286,5" coordsize="10,2">
              <v:shape style="position:absolute;left:7286;top:5;width:10;height:2" coordorigin="7286,5" coordsize="10,0" path="m7286,5l7296,5e" filled="false" stroked="true" strokeweight=".47998pt" strokecolor="#000000">
                <v:path arrowok="t"/>
              </v:shape>
            </v:group>
            <v:group style="position:absolute;left:7296;top:5;width:2565;height:2" coordorigin="7296,5" coordsize="2565,2">
              <v:shape style="position:absolute;left:7296;top:5;width:2565;height:2" coordorigin="7296,5" coordsize="2565,0" path="m7296,5l9860,5e" filled="false" stroked="true" strokeweight=".47998pt" strokecolor="#000000">
                <v:path arrowok="t"/>
              </v:shape>
            </v:group>
          </v:group>
        </w:pict>
      </w:r>
      <w:r>
        <w:rPr>
          <w:rFonts w:ascii="宋体" w:hAnsi="宋体" w:cs="宋体" w:eastAsia="宋体" w:hint="default"/>
          <w:sz w:val="2"/>
          <w:szCs w:val="2"/>
        </w:rPr>
      </w:r>
    </w:p>
    <w:p>
      <w:pPr>
        <w:pStyle w:val="BodyText"/>
        <w:tabs>
          <w:tab w:pos="1836" w:val="left" w:leader="none"/>
          <w:tab w:pos="4841" w:val="left" w:leader="none"/>
          <w:tab w:pos="6779" w:val="left" w:leader="none"/>
          <w:tab w:pos="8583" w:val="left" w:leader="none"/>
        </w:tabs>
        <w:spacing w:line="240" w:lineRule="auto" w:before="86"/>
        <w:ind w:left="214" w:right="1032"/>
        <w:jc w:val="left"/>
      </w:pPr>
      <w:r>
        <w:rPr>
          <w:rFonts w:ascii="宋体" w:hAnsi="宋体" w:cs="宋体" w:eastAsia="宋体" w:hint="default"/>
        </w:rPr>
        <w:t>102,294,256.35</w:t>
        <w:tab/>
      </w:r>
      <w:r>
        <w:rPr/>
        <w:t>北京宏思电子技术有限责任公司</w:t>
        <w:tab/>
      </w:r>
      <w:r>
        <w:rPr>
          <w:rFonts w:ascii="宋体" w:hAnsi="宋体" w:cs="宋体" w:eastAsia="宋体" w:hint="default"/>
        </w:rPr>
        <w:t>136,831,830.07</w:t>
        <w:tab/>
      </w:r>
      <w:r>
        <w:rPr/>
        <w:t>注</w:t>
        <w:tab/>
        <w:t>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16" w:lineRule="auto"/>
        <w:ind w:left="214" w:right="1132" w:firstLine="360"/>
        <w:jc w:val="both"/>
      </w:pPr>
      <w:r>
        <w:rPr>
          <w:spacing w:val="-2"/>
        </w:rPr>
        <w:t>注：商誉减值测试的资产组或资产组组合的构成情况如下：北京宏思于评估基准日的评估范围是公司并购北京宏思形成</w:t>
      </w:r>
      <w:r>
        <w:rPr/>
        <w:t> </w:t>
      </w:r>
      <w:r>
        <w:rPr>
          <w:spacing w:val="-2"/>
        </w:rPr>
        <w:t>商誉相关的资产组，该资产组与购买日及以前年度商誉减值测试时所确定的资产组一致。评估范围包括组成资产组的固定资</w:t>
      </w:r>
      <w:r>
        <w:rPr>
          <w:spacing w:val="-64"/>
        </w:rPr>
        <w:t> </w:t>
      </w:r>
      <w:r>
        <w:rPr>
          <w:spacing w:val="-64"/>
        </w:rPr>
      </w:r>
      <w:r>
        <w:rPr/>
        <w:t>产、无形资产（不含期初营运资本、溢余资产、非经营性资产及有息负债）。</w:t>
      </w:r>
    </w:p>
    <w:p>
      <w:pPr>
        <w:pStyle w:val="BodyText"/>
        <w:spacing w:line="316" w:lineRule="auto" w:before="19"/>
        <w:ind w:left="214" w:right="1132" w:firstLine="360"/>
        <w:jc w:val="both"/>
      </w:pPr>
      <w:r>
        <w:rPr/>
        <w:t>上述资产组预计未来现金流量的现值（可收回金额）分别利用了沃克森（北京）国际资产评估有限公司</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15</w:t>
      </w:r>
      <w:r>
        <w:rPr/>
        <w:t>日 </w:t>
      </w:r>
      <w:r>
        <w:rPr>
          <w:spacing w:val="-2"/>
        </w:rPr>
        <w:t>出具的沃克森评报字（</w:t>
      </w:r>
      <w:r>
        <w:rPr>
          <w:rFonts w:ascii="宋体" w:hAnsi="宋体" w:cs="宋体" w:eastAsia="宋体" w:hint="default"/>
          <w:spacing w:val="-2"/>
        </w:rPr>
        <w:t>2019</w:t>
      </w:r>
      <w:r>
        <w:rPr>
          <w:spacing w:val="-2"/>
        </w:rPr>
        <w:t>）第</w:t>
      </w:r>
      <w:r>
        <w:rPr>
          <w:rFonts w:ascii="宋体" w:hAnsi="宋体" w:cs="宋体" w:eastAsia="宋体" w:hint="default"/>
          <w:spacing w:val="-2"/>
        </w:rPr>
        <w:t>0228</w:t>
      </w:r>
      <w:r>
        <w:rPr>
          <w:spacing w:val="-2"/>
        </w:rPr>
        <w:t>号《飞天诚信科技股份有限公司对合并北京宏思电子技术有限责任公司形成商誉进行减</w:t>
      </w:r>
      <w:r>
        <w:rPr>
          <w:spacing w:val="-58"/>
        </w:rPr>
        <w:t> </w:t>
      </w:r>
      <w:r>
        <w:rPr>
          <w:spacing w:val="-58"/>
        </w:rPr>
      </w:r>
      <w:r>
        <w:rPr/>
        <w:t>值测试涉及的商誉所在资产组可收回价值资产评估报告》的评估结果。</w:t>
      </w:r>
    </w:p>
    <w:p>
      <w:pPr>
        <w:pStyle w:val="BodyText"/>
        <w:spacing w:line="300" w:lineRule="auto" w:before="59"/>
        <w:ind w:left="214" w:right="1122"/>
        <w:jc w:val="left"/>
      </w:pPr>
      <w:r>
        <w:rPr>
          <w:rFonts w:ascii="Times New Roman" w:hAnsi="Times New Roman" w:cs="Times New Roman" w:eastAsia="Times New Roman" w:hint="default"/>
        </w:rPr>
        <w:t>2</w:t>
      </w:r>
      <w:r>
        <w:rPr/>
        <w:t>．说明商誉减值测试过程、关键参数（如预计未来现金流量现值时的预测期增长率、稳定期增长率、利润率、折现率、预 测期等）及商誉减值损失的确认方法：</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700" w:left="920" w:right="0"/>
        </w:sectPr>
      </w:pPr>
    </w:p>
    <w:p>
      <w:pPr>
        <w:spacing w:line="240" w:lineRule="auto" w:before="7"/>
        <w:rPr>
          <w:rFonts w:ascii="宋体" w:hAnsi="宋体" w:cs="宋体" w:eastAsia="宋体" w:hint="default"/>
          <w:sz w:val="18"/>
          <w:szCs w:val="18"/>
        </w:rPr>
      </w:pPr>
    </w:p>
    <w:p>
      <w:pPr>
        <w:pStyle w:val="Heading5"/>
        <w:spacing w:line="240" w:lineRule="auto"/>
        <w:ind w:left="374" w:right="-21"/>
        <w:jc w:val="left"/>
        <w:rPr>
          <w:b w:val="0"/>
          <w:bCs w:val="0"/>
        </w:rPr>
      </w:pPr>
      <w:r>
        <w:rPr/>
        <w:t>商誉账面价值</w:t>
      </w:r>
      <w:r>
        <w:rPr>
          <w:b w:val="0"/>
          <w:bCs w:val="0"/>
        </w:rPr>
      </w:r>
    </w:p>
    <w:p>
      <w:pPr>
        <w:pStyle w:val="Heading5"/>
        <w:spacing w:line="240" w:lineRule="auto" w:before="44"/>
        <w:ind w:left="2536" w:right="0"/>
        <w:jc w:val="left"/>
        <w:rPr>
          <w:b w:val="0"/>
          <w:bCs w:val="0"/>
        </w:rPr>
      </w:pPr>
      <w:r>
        <w:rPr>
          <w:b w:val="0"/>
          <w:bCs w:val="0"/>
        </w:rPr>
        <w:br w:type="column"/>
      </w:r>
      <w:r>
        <w:rPr/>
        <w:t>资产组或资产组组合</w:t>
      </w:r>
      <w:r>
        <w:rPr>
          <w:b w:val="0"/>
          <w:bCs w:val="0"/>
        </w:rPr>
      </w:r>
    </w:p>
    <w:p>
      <w:pPr>
        <w:pStyle w:val="Heading5"/>
        <w:tabs>
          <w:tab w:pos="2688" w:val="left" w:leader="none"/>
          <w:tab w:pos="4013" w:val="left" w:leader="none"/>
          <w:tab w:pos="5456" w:val="left" w:leader="none"/>
        </w:tabs>
        <w:spacing w:line="240" w:lineRule="auto" w:before="161"/>
        <w:ind w:left="374" w:right="0"/>
        <w:jc w:val="left"/>
        <w:rPr>
          <w:b w:val="0"/>
          <w:bCs w:val="0"/>
        </w:rPr>
      </w:pPr>
      <w:r>
        <w:rPr>
          <w:w w:val="95"/>
        </w:rPr>
        <w:t>主要构成</w:t>
        <w:tab/>
        <w:t>账面价值</w:t>
        <w:tab/>
        <w:t>确定方法</w:t>
        <w:tab/>
      </w:r>
      <w:r>
        <w:rPr/>
        <w:t>本期是否发生变动</w:t>
      </w:r>
      <w:r>
        <w:rPr>
          <w:b w:val="0"/>
          <w:bCs w:val="0"/>
        </w:rPr>
      </w:r>
    </w:p>
    <w:p>
      <w:pPr>
        <w:spacing w:after="0" w:line="240" w:lineRule="auto"/>
        <w:jc w:val="left"/>
        <w:sectPr>
          <w:type w:val="continuous"/>
          <w:pgSz w:w="11910" w:h="16840"/>
          <w:pgMar w:top="1580" w:bottom="700" w:left="920" w:right="0"/>
          <w:cols w:num="2" w:equalWidth="0">
            <w:col w:w="1459" w:space="1037"/>
            <w:col w:w="8494"/>
          </w:cols>
        </w:sectPr>
      </w:pPr>
    </w:p>
    <w:p>
      <w:pPr>
        <w:spacing w:line="240" w:lineRule="auto" w:before="12"/>
        <w:rPr>
          <w:rFonts w:ascii="宋体" w:hAnsi="宋体" w:cs="宋体" w:eastAsia="宋体" w:hint="default"/>
          <w:b/>
          <w:bCs/>
          <w:sz w:val="4"/>
          <w:szCs w:val="4"/>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1623;height:2" coordorigin="5,5" coordsize="1623,2">
              <v:shape style="position:absolute;left:5;top:5;width:1623;height:2" coordorigin="5,5" coordsize="1623,0" path="m5,5l1628,5e" filled="false" stroked="true" strokeweight=".48004pt" strokecolor="#000000">
                <v:path arrowok="t"/>
              </v:shape>
            </v:group>
            <v:group style="position:absolute;left:1628;top:5;width:10;height:2" coordorigin="1628,5" coordsize="10,2">
              <v:shape style="position:absolute;left:1628;top:5;width:10;height:2" coordorigin="1628,5" coordsize="10,0" path="m1628,5l1637,5e" filled="false" stroked="true" strokeweight=".48004pt" strokecolor="#000000">
                <v:path arrowok="t"/>
              </v:shape>
            </v:group>
            <v:group style="position:absolute;left:1637;top:5;width:2996;height:2" coordorigin="1637,5" coordsize="2996,2">
              <v:shape style="position:absolute;left:1637;top:5;width:2996;height:2" coordorigin="1637,5" coordsize="2996,0" path="m1637,5l4633,5e" filled="false" stroked="true" strokeweight=".48004pt" strokecolor="#000000">
                <v:path arrowok="t"/>
              </v:shape>
            </v:group>
            <v:group style="position:absolute;left:4633;top:5;width:10;height:2" coordorigin="4633,5" coordsize="10,2">
              <v:shape style="position:absolute;left:4633;top:5;width:10;height:2" coordorigin="4633,5" coordsize="10,0" path="m4633,5l4642,5e" filled="false" stroked="true" strokeweight=".48004pt" strokecolor="#000000">
                <v:path arrowok="t"/>
              </v:shape>
            </v:group>
            <v:group style="position:absolute;left:4642;top:5;width:1613;height:2" coordorigin="4642,5" coordsize="1613,2">
              <v:shape style="position:absolute;left:4642;top:5;width:1613;height:2" coordorigin="4642,5" coordsize="1613,0" path="m4642,5l6255,5e" filled="false" stroked="true" strokeweight=".48004pt" strokecolor="#000000">
                <v:path arrowok="t"/>
              </v:shape>
            </v:group>
            <v:group style="position:absolute;left:6255;top:5;width:10;height:2" coordorigin="6255,5" coordsize="10,2">
              <v:shape style="position:absolute;left:6255;top:5;width:10;height:2" coordorigin="6255,5" coordsize="10,0" path="m6255,5l6265,5e" filled="false" stroked="true" strokeweight=".48004pt" strokecolor="#000000">
                <v:path arrowok="t"/>
              </v:shape>
            </v:group>
            <v:group style="position:absolute;left:6265;top:5;width:1022;height:2" coordorigin="6265,5" coordsize="1022,2">
              <v:shape style="position:absolute;left:6265;top:5;width:1022;height:2" coordorigin="6265,5" coordsize="1022,0" path="m6265,5l7286,5e" filled="false" stroked="true" strokeweight=".48004pt" strokecolor="#000000">
                <v:path arrowok="t"/>
              </v:shape>
            </v:group>
            <v:group style="position:absolute;left:7286;top:5;width:10;height:2" coordorigin="7286,5" coordsize="10,2">
              <v:shape style="position:absolute;left:7286;top:5;width:10;height:2" coordorigin="7286,5" coordsize="10,0" path="m7286,5l7296,5e" filled="false" stroked="true" strokeweight=".48004pt" strokecolor="#000000">
                <v:path arrowok="t"/>
              </v:shape>
            </v:group>
            <v:group style="position:absolute;left:7296;top:5;width:2565;height:2" coordorigin="7296,5" coordsize="2565,2">
              <v:shape style="position:absolute;left:7296;top:5;width:2565;height:2" coordorigin="7296,5" coordsize="2565,0" path="m7296,5l9860,5e" filled="false" stroked="true" strokeweight=".48004pt" strokecolor="#000000">
                <v:path arrowok="t"/>
              </v:shape>
            </v:group>
          </v:group>
        </w:pict>
      </w:r>
      <w:r>
        <w:rPr>
          <w:rFonts w:ascii="宋体" w:hAnsi="宋体" w:cs="宋体" w:eastAsia="宋体" w:hint="default"/>
          <w:sz w:val="2"/>
          <w:szCs w:val="2"/>
        </w:rPr>
      </w:r>
    </w:p>
    <w:p>
      <w:pPr>
        <w:pStyle w:val="BodyText"/>
        <w:tabs>
          <w:tab w:pos="1836" w:val="left" w:leader="none"/>
          <w:tab w:pos="4841" w:val="left" w:leader="none"/>
          <w:tab w:pos="6779" w:val="left" w:leader="none"/>
          <w:tab w:pos="8583" w:val="left" w:leader="none"/>
        </w:tabs>
        <w:spacing w:line="240" w:lineRule="auto" w:before="86"/>
        <w:ind w:left="214" w:right="1032"/>
        <w:jc w:val="left"/>
      </w:pPr>
      <w:r>
        <w:rPr>
          <w:rFonts w:ascii="宋体" w:hAnsi="宋体" w:cs="宋体" w:eastAsia="宋体" w:hint="default"/>
        </w:rPr>
        <w:t>102,294,256.35</w:t>
        <w:tab/>
      </w:r>
      <w:r>
        <w:rPr/>
        <w:t>北京宏思电子技术有限责任公司</w:t>
        <w:tab/>
      </w:r>
      <w:r>
        <w:rPr>
          <w:rFonts w:ascii="宋体" w:hAnsi="宋体" w:cs="宋体" w:eastAsia="宋体" w:hint="default"/>
        </w:rPr>
        <w:t>136,831,830.07</w:t>
        <w:tab/>
      </w:r>
      <w:r>
        <w:rPr/>
        <w:t>注</w:t>
        <w:tab/>
        <w:t>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16" w:lineRule="auto"/>
        <w:ind w:left="574" w:right="1122"/>
        <w:jc w:val="left"/>
      </w:pPr>
      <w:r>
        <w:rPr/>
        <w:t>注</w:t>
      </w:r>
      <w:r>
        <w:rPr>
          <w:rFonts w:ascii="宋体" w:hAnsi="宋体" w:cs="宋体" w:eastAsia="宋体" w:hint="default"/>
        </w:rPr>
        <w:t>1</w:t>
      </w:r>
      <w:r>
        <w:rPr/>
        <w:t>：上述商誉相关资产组其可收回金额按照预计未来现金流量的现值确定。 注</w:t>
      </w:r>
      <w:r>
        <w:rPr>
          <w:rFonts w:ascii="宋体" w:hAnsi="宋体" w:cs="宋体" w:eastAsia="宋体" w:hint="default"/>
        </w:rPr>
        <w:t>2</w:t>
      </w:r>
      <w:r>
        <w:rPr/>
        <w:t>：未来现金流量基于历史财务数据、未来估计增长率和折现率等因素为基准计算。其中，增长率基于相关行业的平</w:t>
      </w:r>
    </w:p>
    <w:p>
      <w:pPr>
        <w:pStyle w:val="BodyText"/>
        <w:spacing w:line="316" w:lineRule="auto" w:before="19"/>
        <w:ind w:left="214" w:right="1133"/>
        <w:jc w:val="both"/>
      </w:pPr>
      <w:r>
        <w:rPr>
          <w:spacing w:val="-2"/>
        </w:rPr>
        <w:t>均增长率预测确定，并且不超过该行业的长期平均增长率；折现率基于相关行业平均净资产收益率确定，并且不低于该行业</w:t>
      </w:r>
      <w:r>
        <w:rPr>
          <w:spacing w:val="-66"/>
        </w:rPr>
        <w:t> </w:t>
      </w:r>
      <w:r>
        <w:rPr>
          <w:spacing w:val="-66"/>
        </w:rPr>
      </w:r>
      <w:r>
        <w:rPr>
          <w:spacing w:val="-2"/>
        </w:rPr>
        <w:t>的平均净资产收益率。在预计未来现金流量时使用的其他关键假设还有：基于预计销售额及毛利率估计的现金流入、流出金</w:t>
      </w:r>
      <w:r>
        <w:rPr>
          <w:spacing w:val="-66"/>
        </w:rPr>
        <w:t> </w:t>
      </w:r>
      <w:r>
        <w:rPr>
          <w:spacing w:val="-66"/>
        </w:rPr>
      </w:r>
      <w:r>
        <w:rPr/>
        <w:t>额，这些估计基于北京宏思产生现金的以往表现及对未来发展的规划。</w:t>
      </w:r>
    </w:p>
    <w:p>
      <w:pPr>
        <w:pStyle w:val="BodyText"/>
        <w:spacing w:line="319" w:lineRule="auto" w:before="19"/>
        <w:ind w:left="214" w:right="1131" w:firstLine="360"/>
        <w:jc w:val="both"/>
      </w:pPr>
      <w:r>
        <w:rPr/>
        <w:t>注</w:t>
      </w:r>
      <w:r>
        <w:rPr>
          <w:rFonts w:ascii="宋体" w:hAnsi="宋体" w:cs="宋体" w:eastAsia="宋体" w:hint="default"/>
        </w:rPr>
        <w:t>3</w:t>
      </w:r>
      <w:r>
        <w:rPr/>
        <w:t>：通过资产组未来收益预测数据，分析企业经营情况及其提供的各项历史财务资料，结合企业的现状，考虑国家宏 </w:t>
      </w:r>
      <w:r>
        <w:rPr>
          <w:spacing w:val="-2"/>
        </w:rPr>
        <w:t>观经济政策的影响和企业所处的内外部环境状况，分析相关经营风险，判断未来收益预测数据的可靠性，在持续经营和评估</w:t>
      </w:r>
      <w:r>
        <w:rPr>
          <w:spacing w:val="-66"/>
        </w:rPr>
        <w:t> </w:t>
      </w:r>
      <w:r>
        <w:rPr>
          <w:spacing w:val="-66"/>
        </w:rPr>
      </w:r>
      <w:r>
        <w:rPr/>
        <w:t>假设成立的前提下，采用预计未来现金流量现值，本公司收购时形成的商誉相关资产组的账面价值为</w:t>
      </w:r>
      <w:r>
        <w:rPr>
          <w:rFonts w:ascii="宋体" w:hAnsi="宋体" w:cs="宋体" w:eastAsia="宋体" w:hint="default"/>
        </w:rPr>
        <w:t>12,731.69</w:t>
      </w:r>
      <w:r>
        <w:rPr/>
        <w:t>万元，包含 </w:t>
      </w:r>
      <w:r>
        <w:rPr>
          <w:spacing w:val="-2"/>
        </w:rPr>
        <w:t>未确认归属于少数股东权益的商誉价值为</w:t>
      </w:r>
      <w:r>
        <w:rPr>
          <w:rFonts w:ascii="宋体" w:hAnsi="宋体" w:cs="宋体" w:eastAsia="宋体" w:hint="default"/>
          <w:spacing w:val="-2"/>
        </w:rPr>
        <w:t>951.49</w:t>
      </w:r>
      <w:r>
        <w:rPr>
          <w:spacing w:val="-2"/>
        </w:rPr>
        <w:t>万元，合计</w:t>
      </w:r>
      <w:r>
        <w:rPr>
          <w:rFonts w:ascii="宋体" w:hAnsi="宋体" w:cs="宋体" w:eastAsia="宋体" w:hint="default"/>
          <w:spacing w:val="-2"/>
        </w:rPr>
        <w:t>13,683.18</w:t>
      </w:r>
      <w:r>
        <w:rPr>
          <w:spacing w:val="-2"/>
        </w:rPr>
        <w:t>万元，商誉资产组可收回金额为</w:t>
      </w:r>
      <w:r>
        <w:rPr>
          <w:rFonts w:ascii="宋体" w:hAnsi="宋体" w:cs="宋体" w:eastAsia="宋体" w:hint="default"/>
          <w:spacing w:val="-2"/>
        </w:rPr>
        <w:t>14,317.46</w:t>
      </w:r>
      <w:r>
        <w:rPr>
          <w:spacing w:val="-2"/>
        </w:rPr>
        <w:t>万元。经测</w:t>
      </w:r>
      <w:r>
        <w:rPr>
          <w:spacing w:val="-43"/>
        </w:rPr>
        <w:t> </w:t>
      </w:r>
      <w:r>
        <w:rPr>
          <w:spacing w:val="-43"/>
        </w:rPr>
      </w:r>
      <w:r>
        <w:rPr/>
        <w:t>试，公司因收购北京宏思形成的商誉本期不存在减值。</w:t>
      </w:r>
    </w:p>
    <w:p>
      <w:pPr>
        <w:pStyle w:val="BodyText"/>
        <w:spacing w:line="240" w:lineRule="auto" w:before="58"/>
        <w:ind w:left="214" w:right="0"/>
        <w:jc w:val="both"/>
      </w:pPr>
      <w:r>
        <w:rPr>
          <w:rFonts w:ascii="Times New Roman" w:hAnsi="Times New Roman" w:cs="Times New Roman" w:eastAsia="Times New Roman" w:hint="default"/>
        </w:rPr>
        <w:t>3.</w:t>
      </w:r>
      <w:r>
        <w:rPr/>
        <w:t>商誉减值测试的影响</w:t>
      </w:r>
    </w:p>
    <w:p>
      <w:pPr>
        <w:spacing w:after="0" w:line="240" w:lineRule="auto"/>
        <w:jc w:val="both"/>
        <w:sectPr>
          <w:type w:val="continuous"/>
          <w:pgSz w:w="11910" w:h="16840"/>
          <w:pgMar w:top="1580" w:bottom="700" w:left="920" w:right="0"/>
        </w:sectPr>
      </w:pPr>
    </w:p>
    <w:p>
      <w:pPr>
        <w:spacing w:line="240" w:lineRule="auto" w:before="13"/>
        <w:rPr>
          <w:rFonts w:ascii="宋体" w:hAnsi="宋体" w:cs="宋体" w:eastAsia="宋体" w:hint="default"/>
          <w:sz w:val="21"/>
          <w:szCs w:val="21"/>
        </w:rPr>
      </w:pPr>
    </w:p>
    <w:p>
      <w:pPr>
        <w:pStyle w:val="BodyText"/>
        <w:spacing w:line="338" w:lineRule="auto" w:before="44"/>
        <w:ind w:left="214" w:right="1212"/>
        <w:jc w:val="left"/>
      </w:pPr>
      <w:r>
        <w:rPr/>
        <w:t>北京宏思电子技术有限责任公司业绩承诺完成情况 北京宏思业绩承诺的净利润以本公司指定的具有证券从业资格的审计机构审计后（合并）报表口径下扣除非经常性损益的 </w:t>
      </w:r>
      <w:r>
        <w:rPr>
          <w:rFonts w:ascii="Times New Roman" w:hAnsi="Times New Roman" w:cs="Times New Roman" w:eastAsia="Times New Roman" w:hint="default"/>
        </w:rPr>
        <w:t>70.00%</w:t>
      </w:r>
      <w:r>
        <w:rPr/>
        <w:t>后的归属于母公司股东的（合并）净利润中扣除标的公司与本公司之间的关联交易带来的净利润后的余额。</w:t>
      </w:r>
    </w:p>
    <w:p>
      <w:pPr>
        <w:pStyle w:val="BodyText"/>
        <w:spacing w:line="240" w:lineRule="auto" w:before="88"/>
        <w:ind w:left="0" w:right="1130"/>
        <w:jc w:val="right"/>
      </w:pPr>
      <w:r>
        <w:rPr/>
        <w:t>单位金额：万元</w:t>
      </w:r>
    </w:p>
    <w:p>
      <w:pPr>
        <w:spacing w:line="240" w:lineRule="auto" w:before="11"/>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184"/>
        <w:gridCol w:w="3960"/>
        <w:gridCol w:w="2712"/>
      </w:tblGrid>
      <w:tr>
        <w:trPr>
          <w:trHeight w:val="291" w:hRule="exact"/>
        </w:trPr>
        <w:tc>
          <w:tcPr>
            <w:tcW w:w="3184" w:type="dxa"/>
            <w:tcBorders>
              <w:top w:val="nil" w:sz="6" w:space="0" w:color="auto"/>
              <w:left w:val="nil" w:sz="6" w:space="0" w:color="auto"/>
              <w:bottom w:val="single" w:sz="4" w:space="0" w:color="000000"/>
              <w:right w:val="nil" w:sz="6" w:space="0" w:color="auto"/>
            </w:tcBorders>
          </w:tcPr>
          <w:p>
            <w:pPr>
              <w:pStyle w:val="TableParagraph"/>
              <w:spacing w:line="180" w:lineRule="exact"/>
              <w:ind w:left="10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0" w:type="dxa"/>
            <w:tcBorders>
              <w:top w:val="nil" w:sz="6" w:space="0" w:color="auto"/>
              <w:left w:val="nil" w:sz="6" w:space="0" w:color="auto"/>
              <w:bottom w:val="single" w:sz="4" w:space="0" w:color="000000"/>
              <w:right w:val="nil" w:sz="6" w:space="0" w:color="auto"/>
            </w:tcBorders>
          </w:tcPr>
          <w:p>
            <w:pPr>
              <w:pStyle w:val="TableParagraph"/>
              <w:spacing w:line="180" w:lineRule="exact"/>
              <w:ind w:right="47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12" w:type="dxa"/>
            <w:tcBorders>
              <w:top w:val="nil" w:sz="6" w:space="0" w:color="auto"/>
              <w:left w:val="nil" w:sz="6" w:space="0" w:color="auto"/>
              <w:bottom w:val="single" w:sz="4" w:space="0" w:color="000000"/>
              <w:right w:val="nil" w:sz="6" w:space="0" w:color="auto"/>
            </w:tcBorders>
          </w:tcPr>
          <w:p>
            <w:pPr>
              <w:pStyle w:val="TableParagraph"/>
              <w:spacing w:line="180" w:lineRule="exact"/>
              <w:ind w:left="682"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4" w:hRule="exact"/>
        </w:trPr>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当年承诺业绩数</w:t>
            </w:r>
          </w:p>
        </w:tc>
        <w:tc>
          <w:tcPr>
            <w:tcW w:w="396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80"/>
              <w:jc w:val="right"/>
              <w:rPr>
                <w:rFonts w:ascii="宋体" w:hAnsi="宋体" w:cs="宋体" w:eastAsia="宋体" w:hint="default"/>
                <w:sz w:val="18"/>
                <w:szCs w:val="18"/>
              </w:rPr>
            </w:pPr>
            <w:r>
              <w:rPr>
                <w:rFonts w:ascii="宋体"/>
                <w:sz w:val="18"/>
              </w:rPr>
              <w:t>1,000.00</w:t>
            </w: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1,360.00</w:t>
            </w:r>
          </w:p>
        </w:tc>
      </w:tr>
      <w:tr>
        <w:trPr>
          <w:trHeight w:val="39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累计承诺业绩数</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0"/>
              <w:jc w:val="right"/>
              <w:rPr>
                <w:rFonts w:ascii="宋体" w:hAnsi="宋体" w:cs="宋体" w:eastAsia="宋体" w:hint="default"/>
                <w:sz w:val="18"/>
                <w:szCs w:val="18"/>
              </w:rPr>
            </w:pPr>
            <w:r>
              <w:rPr>
                <w:rFonts w:ascii="宋体"/>
                <w:sz w:val="18"/>
              </w:rPr>
              <w:t>1,000.00</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2,360.00</w:t>
            </w:r>
          </w:p>
        </w:tc>
      </w:tr>
      <w:tr>
        <w:trPr>
          <w:trHeight w:val="397"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当年实际完成业绩数</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0"/>
              <w:jc w:val="right"/>
              <w:rPr>
                <w:rFonts w:ascii="宋体" w:hAnsi="宋体" w:cs="宋体" w:eastAsia="宋体" w:hint="default"/>
                <w:sz w:val="18"/>
                <w:szCs w:val="18"/>
              </w:rPr>
            </w:pPr>
            <w:r>
              <w:rPr>
                <w:rFonts w:ascii="宋体"/>
                <w:sz w:val="18"/>
              </w:rPr>
              <w:t>1,564.40</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2,715.86</w:t>
            </w:r>
          </w:p>
        </w:tc>
      </w:tr>
      <w:tr>
        <w:trPr>
          <w:trHeight w:val="288" w:hRule="exact"/>
        </w:trPr>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实际累计完成业绩数</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0"/>
              <w:jc w:val="right"/>
              <w:rPr>
                <w:rFonts w:ascii="宋体" w:hAnsi="宋体" w:cs="宋体" w:eastAsia="宋体" w:hint="default"/>
                <w:sz w:val="18"/>
                <w:szCs w:val="18"/>
              </w:rPr>
            </w:pPr>
            <w:r>
              <w:rPr>
                <w:rFonts w:ascii="宋体"/>
                <w:sz w:val="18"/>
              </w:rPr>
              <w:t>1,564.40</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4,280.26</w:t>
            </w:r>
          </w:p>
        </w:tc>
      </w:tr>
    </w:tbl>
    <w:p>
      <w:pPr>
        <w:spacing w:line="240" w:lineRule="auto" w:before="11"/>
        <w:rPr>
          <w:rFonts w:ascii="宋体" w:hAnsi="宋体" w:cs="宋体" w:eastAsia="宋体" w:hint="default"/>
          <w:sz w:val="13"/>
          <w:szCs w:val="13"/>
        </w:rPr>
      </w:pPr>
    </w:p>
    <w:p>
      <w:pPr>
        <w:pStyle w:val="BodyText"/>
        <w:spacing w:line="367" w:lineRule="auto" w:before="44"/>
        <w:ind w:left="214" w:right="1032" w:firstLine="360"/>
        <w:jc w:val="left"/>
      </w:pPr>
      <w:r>
        <w:rPr>
          <w:spacing w:val="-4"/>
        </w:rPr>
        <w:t>公司收购北京宏思的对赌条件为</w:t>
      </w:r>
      <w:r>
        <w:rPr>
          <w:rFonts w:ascii="宋体" w:hAnsi="宋体" w:cs="宋体" w:eastAsia="宋体" w:hint="default"/>
          <w:spacing w:val="-4"/>
        </w:rPr>
        <w:t>2017</w:t>
      </w:r>
      <w:r>
        <w:rPr>
          <w:spacing w:val="-4"/>
        </w:rPr>
        <w:t>年、</w:t>
      </w:r>
      <w:r>
        <w:rPr>
          <w:rFonts w:ascii="宋体" w:hAnsi="宋体" w:cs="宋体" w:eastAsia="宋体" w:hint="default"/>
          <w:spacing w:val="-4"/>
        </w:rPr>
        <w:t>2018</w:t>
      </w:r>
      <w:r>
        <w:rPr>
          <w:spacing w:val="-4"/>
        </w:rPr>
        <w:t>年、</w:t>
      </w:r>
      <w:r>
        <w:rPr>
          <w:rFonts w:ascii="宋体" w:hAnsi="宋体" w:cs="宋体" w:eastAsia="宋体" w:hint="default"/>
          <w:spacing w:val="-4"/>
        </w:rPr>
        <w:t>2019</w:t>
      </w:r>
      <w:r>
        <w:rPr>
          <w:spacing w:val="-4"/>
        </w:rPr>
        <w:t>年的考核利润分别不低于</w:t>
      </w:r>
      <w:r>
        <w:rPr>
          <w:rFonts w:ascii="宋体" w:hAnsi="宋体" w:cs="宋体" w:eastAsia="宋体" w:hint="default"/>
          <w:spacing w:val="-4"/>
        </w:rPr>
        <w:t>1,000.00</w:t>
      </w:r>
      <w:r>
        <w:rPr>
          <w:spacing w:val="-4"/>
        </w:rPr>
        <w:t>万元、</w:t>
      </w:r>
      <w:r>
        <w:rPr>
          <w:rFonts w:ascii="宋体" w:hAnsi="宋体" w:cs="宋体" w:eastAsia="宋体" w:hint="default"/>
          <w:spacing w:val="-4"/>
        </w:rPr>
        <w:t>1,360.00</w:t>
      </w:r>
      <w:r>
        <w:rPr>
          <w:spacing w:val="-4"/>
        </w:rPr>
        <w:t>万元、</w:t>
      </w:r>
      <w:r>
        <w:rPr>
          <w:rFonts w:ascii="宋体" w:hAnsi="宋体" w:cs="宋体" w:eastAsia="宋体" w:hint="default"/>
          <w:spacing w:val="-4"/>
        </w:rPr>
        <w:t>1,800.00</w:t>
      </w:r>
      <w:r>
        <w:rPr>
          <w:rFonts w:ascii="宋体" w:hAnsi="宋体" w:cs="宋体" w:eastAsia="宋体" w:hint="default"/>
        </w:rPr>
        <w:t> </w:t>
      </w:r>
      <w:r>
        <w:rPr/>
        <w:t>万元</w:t>
      </w:r>
      <w:r>
        <w:rPr>
          <w:rFonts w:ascii="宋体" w:hAnsi="宋体" w:cs="宋体" w:eastAsia="宋体" w:hint="default"/>
        </w:rPr>
        <w:t>,</w:t>
      </w:r>
      <w:r>
        <w:rPr/>
        <w:t>或三年累计考核净利润不低于</w:t>
      </w:r>
      <w:r>
        <w:rPr>
          <w:rFonts w:ascii="宋体" w:hAnsi="宋体" w:cs="宋体" w:eastAsia="宋体" w:hint="default"/>
        </w:rPr>
        <w:t>4,160.00</w:t>
      </w:r>
      <w:r>
        <w:rPr/>
        <w:t>万元；若在业务承诺期内任意一个年度的考核净利润低于当年目标但</w:t>
      </w:r>
      <w:r>
        <w:rPr>
          <w:rFonts w:ascii="宋体" w:hAnsi="宋体" w:cs="宋体" w:eastAsia="宋体" w:hint="default"/>
        </w:rPr>
        <w:t>2017</w:t>
      </w:r>
      <w:r>
        <w:rPr/>
        <w:t>年、</w:t>
      </w:r>
      <w:r>
        <w:rPr>
          <w:spacing w:val="-83"/>
        </w:rPr>
        <w:t> </w:t>
      </w:r>
      <w:r>
        <w:rPr>
          <w:rFonts w:ascii="宋体" w:hAnsi="宋体" w:cs="宋体" w:eastAsia="宋体" w:hint="default"/>
        </w:rPr>
        <w:t>2018</w:t>
      </w:r>
      <w:r>
        <w:rPr/>
        <w:t>年、</w:t>
      </w:r>
      <w:r>
        <w:rPr>
          <w:rFonts w:ascii="宋体" w:hAnsi="宋体" w:cs="宋体" w:eastAsia="宋体" w:hint="default"/>
        </w:rPr>
        <w:t>2019</w:t>
      </w:r>
      <w:r>
        <w:rPr/>
        <w:t>年三年累计考核净利润不低于</w:t>
      </w:r>
      <w:r>
        <w:rPr>
          <w:rFonts w:ascii="宋体" w:hAnsi="宋体" w:cs="宋体" w:eastAsia="宋体" w:hint="default"/>
        </w:rPr>
        <w:t>4,160.00</w:t>
      </w:r>
      <w:r>
        <w:rPr/>
        <w:t>万元</w:t>
      </w:r>
      <w:r>
        <w:rPr>
          <w:rFonts w:ascii="宋体" w:hAnsi="宋体" w:cs="宋体" w:eastAsia="宋体" w:hint="default"/>
        </w:rPr>
        <w:t>,</w:t>
      </w:r>
      <w:r>
        <w:rPr/>
        <w:t>视为完成承诺业绩。股权转让款在北京宏思完成工商变更后本公</w:t>
      </w:r>
      <w:r>
        <w:rPr>
          <w:spacing w:val="-84"/>
        </w:rPr>
        <w:t> </w:t>
      </w:r>
      <w:r>
        <w:rPr>
          <w:spacing w:val="-84"/>
        </w:rPr>
      </w:r>
      <w:r>
        <w:rPr>
          <w:spacing w:val="-2"/>
        </w:rPr>
        <w:t>司支付</w:t>
      </w:r>
      <w:r>
        <w:rPr>
          <w:rFonts w:ascii="宋体" w:hAnsi="宋体" w:cs="宋体" w:eastAsia="宋体" w:hint="default"/>
          <w:spacing w:val="-2"/>
        </w:rPr>
        <w:t>50.00%</w:t>
      </w:r>
      <w:r>
        <w:rPr>
          <w:spacing w:val="-2"/>
        </w:rPr>
        <w:t>，</w:t>
      </w:r>
      <w:r>
        <w:rPr>
          <w:rFonts w:ascii="宋体" w:hAnsi="宋体" w:cs="宋体" w:eastAsia="宋体" w:hint="default"/>
          <w:spacing w:val="-2"/>
        </w:rPr>
        <w:t>2017</w:t>
      </w:r>
      <w:r>
        <w:rPr>
          <w:spacing w:val="-2"/>
        </w:rPr>
        <w:t>年达成当年业绩承诺后支付</w:t>
      </w:r>
      <w:r>
        <w:rPr>
          <w:rFonts w:ascii="宋体" w:hAnsi="宋体" w:cs="宋体" w:eastAsia="宋体" w:hint="default"/>
          <w:spacing w:val="-2"/>
        </w:rPr>
        <w:t>10.00%</w:t>
      </w:r>
      <w:r>
        <w:rPr>
          <w:spacing w:val="-2"/>
        </w:rPr>
        <w:t>，</w:t>
      </w:r>
      <w:r>
        <w:rPr>
          <w:rFonts w:ascii="宋体" w:hAnsi="宋体" w:cs="宋体" w:eastAsia="宋体" w:hint="default"/>
          <w:spacing w:val="-2"/>
        </w:rPr>
        <w:t>2018</w:t>
      </w:r>
      <w:r>
        <w:rPr>
          <w:spacing w:val="-2"/>
        </w:rPr>
        <w:t>达成当年业绩承诺后支付</w:t>
      </w:r>
      <w:r>
        <w:rPr>
          <w:rFonts w:ascii="宋体" w:hAnsi="宋体" w:cs="宋体" w:eastAsia="宋体" w:hint="default"/>
          <w:spacing w:val="-2"/>
        </w:rPr>
        <w:t>20.00%</w:t>
      </w:r>
      <w:r>
        <w:rPr>
          <w:spacing w:val="-2"/>
        </w:rPr>
        <w:t>，</w:t>
      </w:r>
      <w:r>
        <w:rPr>
          <w:rFonts w:ascii="宋体" w:hAnsi="宋体" w:cs="宋体" w:eastAsia="宋体" w:hint="default"/>
          <w:spacing w:val="-2"/>
        </w:rPr>
        <w:t>2019</w:t>
      </w:r>
      <w:r>
        <w:rPr>
          <w:spacing w:val="-2"/>
        </w:rPr>
        <w:t>年达成当年业绩承诺后</w:t>
      </w:r>
      <w:r>
        <w:rPr>
          <w:spacing w:val="-36"/>
        </w:rPr>
        <w:t> </w:t>
      </w:r>
      <w:r>
        <w:rPr>
          <w:spacing w:val="-2"/>
        </w:rPr>
        <w:t>支付</w:t>
      </w:r>
      <w:r>
        <w:rPr>
          <w:rFonts w:ascii="宋体" w:hAnsi="宋体" w:cs="宋体" w:eastAsia="宋体" w:hint="default"/>
          <w:spacing w:val="-2"/>
        </w:rPr>
        <w:t>20.00%</w:t>
      </w:r>
      <w:r>
        <w:rPr>
          <w:spacing w:val="-2"/>
        </w:rPr>
        <w:t>，若业绩承诺期内北京宏思提前达到三年业绩承诺要求，可在次年审计机构出具审计报告之日起</w:t>
      </w:r>
      <w:r>
        <w:rPr>
          <w:rFonts w:ascii="宋体" w:hAnsi="宋体" w:cs="宋体" w:eastAsia="宋体" w:hint="default"/>
          <w:spacing w:val="-2"/>
        </w:rPr>
        <w:t>10</w:t>
      </w:r>
      <w:r>
        <w:rPr>
          <w:spacing w:val="-2"/>
        </w:rPr>
        <w:t>个工作日内支</w:t>
      </w:r>
      <w:r>
        <w:rPr>
          <w:spacing w:val="-56"/>
        </w:rPr>
        <w:t> </w:t>
      </w:r>
      <w:r>
        <w:rPr>
          <w:spacing w:val="-2"/>
        </w:rPr>
        <w:t>付剩余的股权转让款。北京宏思</w:t>
      </w:r>
      <w:r>
        <w:rPr>
          <w:rFonts w:ascii="宋体" w:hAnsi="宋体" w:cs="宋体" w:eastAsia="宋体" w:hint="default"/>
          <w:spacing w:val="-2"/>
        </w:rPr>
        <w:t>2017</w:t>
      </w:r>
      <w:r>
        <w:rPr>
          <w:spacing w:val="-2"/>
        </w:rPr>
        <w:t>年实现考核净利润</w:t>
      </w:r>
      <w:r>
        <w:rPr>
          <w:rFonts w:ascii="宋体" w:hAnsi="宋体" w:cs="宋体" w:eastAsia="宋体" w:hint="default"/>
          <w:spacing w:val="-2"/>
        </w:rPr>
        <w:t>1,564.40</w:t>
      </w:r>
      <w:r>
        <w:rPr>
          <w:spacing w:val="-2"/>
        </w:rPr>
        <w:t>万元，</w:t>
      </w:r>
      <w:r>
        <w:rPr>
          <w:rFonts w:ascii="宋体" w:hAnsi="宋体" w:cs="宋体" w:eastAsia="宋体" w:hint="default"/>
          <w:spacing w:val="-2"/>
        </w:rPr>
        <w:t>2018</w:t>
      </w:r>
      <w:r>
        <w:rPr>
          <w:spacing w:val="-2"/>
        </w:rPr>
        <w:t>年实现考核净利润</w:t>
      </w:r>
      <w:r>
        <w:rPr>
          <w:rFonts w:ascii="宋体" w:hAnsi="宋体" w:cs="宋体" w:eastAsia="宋体" w:hint="default"/>
          <w:spacing w:val="-2"/>
        </w:rPr>
        <w:t>2,715.86</w:t>
      </w:r>
      <w:r>
        <w:rPr>
          <w:spacing w:val="-2"/>
        </w:rPr>
        <w:t>万元，截至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rFonts w:ascii="宋体" w:hAnsi="宋体" w:cs="宋体" w:eastAsia="宋体" w:hint="default"/>
          <w:spacing w:val="-36"/>
        </w:rPr>
        <w:t> </w:t>
      </w:r>
      <w:r>
        <w:rPr/>
        <w:t>月</w:t>
      </w:r>
      <w:r>
        <w:rPr>
          <w:rFonts w:ascii="宋体" w:hAnsi="宋体" w:cs="宋体" w:eastAsia="宋体" w:hint="default"/>
        </w:rPr>
        <w:t>31</w:t>
      </w:r>
      <w:r>
        <w:rPr/>
        <w:t>日北京宏思累计完成考核净利润</w:t>
      </w:r>
      <w:r>
        <w:rPr>
          <w:rFonts w:ascii="宋体" w:hAnsi="宋体" w:cs="宋体" w:eastAsia="宋体" w:hint="default"/>
        </w:rPr>
        <w:t>4,280.26</w:t>
      </w:r>
      <w:r>
        <w:rPr/>
        <w:t>万元，三年业绩对赌已达成。根据公司董事会基于公司并购后业绩完成情况， </w:t>
      </w:r>
      <w:r>
        <w:rPr>
          <w:spacing w:val="-2"/>
        </w:rPr>
        <w:t>参考并购收益法评估结果，对形成的资产组预计未来可收回金额进行测算。截至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日，收购北京宏思形成的商誉</w:t>
      </w:r>
      <w:r>
        <w:rPr>
          <w:spacing w:val="-59"/>
        </w:rPr>
        <w:t> </w:t>
      </w:r>
      <w:r>
        <w:rPr>
          <w:spacing w:val="-59"/>
        </w:rPr>
      </w:r>
      <w:r>
        <w:rPr/>
        <w:t>相关资产组的账面价值为</w:t>
      </w:r>
      <w:r>
        <w:rPr>
          <w:rFonts w:ascii="宋体" w:hAnsi="宋体" w:cs="宋体" w:eastAsia="宋体" w:hint="default"/>
        </w:rPr>
        <w:t>13,683.18</w:t>
      </w:r>
      <w:r>
        <w:rPr/>
        <w:t>万元，商誉资产组预计未来可收回金额为</w:t>
      </w:r>
      <w:r>
        <w:rPr>
          <w:rFonts w:ascii="宋体" w:hAnsi="宋体" w:cs="宋体" w:eastAsia="宋体" w:hint="default"/>
        </w:rPr>
        <w:t>14,317.46</w:t>
      </w:r>
      <w:r>
        <w:rPr/>
        <w:t>万元。</w:t>
      </w:r>
    </w:p>
    <w:p>
      <w:pPr>
        <w:spacing w:line="240" w:lineRule="auto" w:before="2"/>
        <w:rPr>
          <w:rFonts w:ascii="宋体" w:hAnsi="宋体" w:cs="宋体" w:eastAsia="宋体" w:hint="default"/>
          <w:sz w:val="18"/>
          <w:szCs w:val="18"/>
        </w:rPr>
      </w:pPr>
    </w:p>
    <w:p>
      <w:pPr>
        <w:pStyle w:val="Heading3"/>
        <w:spacing w:line="240" w:lineRule="auto"/>
        <w:ind w:left="214" w:right="1032"/>
        <w:jc w:val="left"/>
        <w:rPr>
          <w:b w:val="0"/>
          <w:bCs w:val="0"/>
        </w:rPr>
      </w:pPr>
      <w:bookmarkStart w:name="14、长期待摊费用" w:id="247"/>
      <w:bookmarkEnd w:id="247"/>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7,098,023.14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825,504.73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1,268,034.39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6,655,480.91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708,693.69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172,123.68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536,570.01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3,653,460.57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453,568.34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3,199,892.23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94,339.64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56,603.76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37,735.88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11,554,517.04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825,504.73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1,950,330.17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10,429,679.03</w:t>
            </w:r>
          </w:p>
        </w:tc>
      </w:tr>
    </w:tbl>
    <w:p>
      <w:pPr>
        <w:spacing w:line="240" w:lineRule="auto" w:before="2"/>
        <w:rPr>
          <w:rFonts w:ascii="宋体" w:hAnsi="宋体" w:cs="宋体" w:eastAsia="宋体" w:hint="default"/>
          <w:sz w:val="19"/>
          <w:szCs w:val="19"/>
        </w:rPr>
      </w:pPr>
    </w:p>
    <w:p>
      <w:pPr>
        <w:pStyle w:val="Heading3"/>
        <w:spacing w:line="240" w:lineRule="auto" w:before="35"/>
        <w:ind w:left="214" w:right="1032"/>
        <w:jc w:val="left"/>
        <w:rPr>
          <w:b w:val="0"/>
          <w:bCs w:val="0"/>
        </w:rPr>
      </w:pPr>
      <w:bookmarkStart w:name="15、递延所得税资产/递延所得税负债" w:id="248"/>
      <w:bookmarkEnd w:id="248"/>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032"/>
        <w:jc w:val="left"/>
        <w:rPr>
          <w:b w:val="0"/>
          <w:bCs w:val="0"/>
        </w:rPr>
      </w:pPr>
      <w:bookmarkStart w:name="（1）未经抵销的递延所得税资产" w:id="249"/>
      <w:bookmarkEnd w:id="24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6" w:right="0"/>
              <w:jc w:val="left"/>
              <w:rPr>
                <w:rFonts w:ascii="Times New Roman" w:hAnsi="Times New Roman" w:cs="Times New Roman" w:eastAsia="Times New Roman" w:hint="default"/>
                <w:sz w:val="18"/>
                <w:szCs w:val="18"/>
              </w:rPr>
            </w:pPr>
            <w:r>
              <w:rPr>
                <w:rFonts w:ascii="Times New Roman"/>
                <w:sz w:val="18"/>
              </w:rPr>
              <w:t>19,490,421.74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2,817,490.32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15,692,082.25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2,252,698.23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2,919,620.84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437,943.13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174,086.36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26,112.95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已计提未支付的职工薪 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22,410,042.58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3,255,433.45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15,868,852.29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2,279,562.61</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未经抵销的递延所得税负债" w:id="250"/>
      <w:bookmarkEnd w:id="25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24,644,349.75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2,464,137.98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34,755,621.68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3,475,265.17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固定资产折旧政策差异</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225,407.11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63,316.40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17,727.28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24,869,756.86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2,527,251.97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34,818,938.08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3,492,992.45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以抵销后净额列示的递延所得税资产或负债" w:id="251"/>
      <w:bookmarkEnd w:id="25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3,255,433.45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2,279,562.61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2,527,251.97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3,492,992.45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未确认递延所得税资产明细" w:id="252"/>
      <w:bookmarkEnd w:id="25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7,982,966.00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18,386,381.87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433,350.00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26,369,347.87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6、其他非流动资产" w:id="253"/>
      <w:bookmarkEnd w:id="253"/>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1,952,748.68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1,952,748.68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17、应付票据及应付账款" w:id="254"/>
      <w:bookmarkEnd w:id="254"/>
      <w:r>
        <w:rPr>
          <w:b w:val="0"/>
          <w:bCs w:val="0"/>
        </w:rPr>
      </w:r>
      <w:r>
        <w:rPr>
          <w:rFonts w:ascii="Times New Roman" w:hAnsi="Times New Roman" w:cs="Times New Roman" w:eastAsia="Times New Roman" w:hint="default"/>
        </w:rPr>
        <w:t>17</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82,563,306.90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100,004,878.46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82,563,306.90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100,004,878.46</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应付账款列示" w:id="255"/>
      <w:bookmarkEnd w:id="25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80,726,418.08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98,694,262.28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1,836,888.82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1,310,616.18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82,563,306.90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100,004,878.46</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8、预收款项" w:id="256"/>
      <w:bookmarkEnd w:id="256"/>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预收款项列示" w:id="257"/>
      <w:bookmarkEnd w:id="25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32,903,648.71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30,693,477.78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32,903,648.71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30,693,477.78</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账龄超过1年的重要预收款项" w:id="258"/>
      <w:bookmarkEnd w:id="25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交通银行上海分行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1,041,400.00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9、应付职工薪酬" w:id="259"/>
      <w:bookmarkEnd w:id="259"/>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应付职工薪酬列示" w:id="260"/>
      <w:bookmarkEnd w:id="26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21,199,941.73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186,424,508.54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188,220,410.71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19,404,039.56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1,072,050.75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15,952,134.95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15,787,023.56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1,237,162.14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22,271,992.48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202,376,643.49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204,007,434.27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20,641,201.70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短期薪酬列示" w:id="261"/>
      <w:bookmarkEnd w:id="26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20,318,114.25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164,466,531.46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166,179,329.13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18,605,316.58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247,916.49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3,375,239.43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3,554,975.10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68,180.82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633,200.99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9,436,117.24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9,342,796.07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726,522.16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553,172.55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8,284,123.25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8,199,629.04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637,666.76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35,434.81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490,586.04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487,088.76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38,932.09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661,407.95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656,078.27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49,923.31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-1,050.00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9,073,290.80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9,074,220.80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-1,980.00</w:t>
            </w:r>
            <w:r>
              <w:rPr>
                <w:rFonts w:ascii="Times New Roman"/>
                <w:sz w:val="18"/>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5,218.87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68,110.74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63,870.74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21,199,941.73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186,424,508.54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188,220,410.71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19,404,039.56</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设定提存计划列示" w:id="262"/>
      <w:bookmarkEnd w:id="26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1,028,710.33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15,305,307.49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15,165,627.46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1,168,390.36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646,827.46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621,396.10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68,771.78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1,072,050.75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15,952,134.95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15,787,023.56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1,237,162.14</w:t>
            </w:r>
          </w:p>
        </w:tc>
      </w:tr>
    </w:tbl>
    <w:p>
      <w:pPr>
        <w:pStyle w:val="BodyText"/>
        <w:spacing w:line="240" w:lineRule="auto" w:before="51"/>
        <w:ind w:right="81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812"/>
        <w:jc w:val="left"/>
        <w:rPr>
          <w:b w:val="0"/>
          <w:bCs w:val="0"/>
        </w:rPr>
      </w:pPr>
      <w:bookmarkStart w:name="20、应交税费" w:id="263"/>
      <w:bookmarkEnd w:id="263"/>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3,438,887.00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19,141,819.67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10,953,398.20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14,878,031.66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122,259.99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124,518.95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630,160.71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1,525,579.03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1,089,699.31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522,689.37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402,965.76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16,118,958.67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37,164,062.98</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1、其他应付款" w:id="264"/>
      <w:bookmarkEnd w:id="264"/>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6,094,845.83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6,094,845.83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其他应付款" w:id="265"/>
      <w:bookmarkEnd w:id="265"/>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3,215,936.39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2,399,966.74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2,291,124.42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34,922.56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394,020.14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420,499.27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6,094,845.83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3,247,514.57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2、一年内到期的非流动负债" w:id="266"/>
      <w:bookmarkEnd w:id="266"/>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年内到期的其他长期负债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80,514,840.00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80,514,840.00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19,897,500.00</w:t>
            </w:r>
          </w:p>
        </w:tc>
      </w:tr>
    </w:tbl>
    <w:p>
      <w:pPr>
        <w:pStyle w:val="BodyText"/>
        <w:spacing w:line="240" w:lineRule="auto" w:before="51"/>
        <w:ind w:right="812"/>
        <w:jc w:val="left"/>
      </w:pPr>
      <w:r>
        <w:rPr/>
        <w:t>其他说明：</w:t>
      </w:r>
    </w:p>
    <w:p>
      <w:pPr>
        <w:pStyle w:val="BodyText"/>
        <w:spacing w:line="240" w:lineRule="auto" w:before="116"/>
        <w:ind w:right="812"/>
        <w:jc w:val="left"/>
      </w:pPr>
      <w:r>
        <w:rPr>
          <w:rFonts w:ascii="Times New Roman" w:hAnsi="Times New Roman" w:cs="Times New Roman" w:eastAsia="Times New Roman" w:hint="default"/>
        </w:rPr>
        <w:t>1</w:t>
      </w:r>
      <w:r>
        <w:rPr/>
        <w:t>年内到期的其他长期负债为应付北京宏思原股东的股权收购款。</w:t>
      </w:r>
    </w:p>
    <w:p>
      <w:pPr>
        <w:spacing w:line="240" w:lineRule="auto" w:before="11"/>
        <w:rPr>
          <w:rFonts w:ascii="宋体" w:hAnsi="宋体" w:cs="宋体" w:eastAsia="宋体" w:hint="default"/>
          <w:sz w:val="25"/>
          <w:szCs w:val="25"/>
        </w:rPr>
      </w:pPr>
    </w:p>
    <w:p>
      <w:pPr>
        <w:pStyle w:val="Heading3"/>
        <w:spacing w:line="240" w:lineRule="auto"/>
        <w:ind w:right="812"/>
        <w:jc w:val="left"/>
        <w:rPr>
          <w:b w:val="0"/>
          <w:bCs w:val="0"/>
        </w:rPr>
      </w:pPr>
      <w:bookmarkStart w:name="23、递延收益" w:id="267"/>
      <w:bookmarkEnd w:id="267"/>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12,901,309.53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3,502,218.48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9,399,091.05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12,901,309.53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3,502,218.48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9,399,091.05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智能网络身 份认证系统 工程实验室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4,440,000.00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机项目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3,355,548.58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686,366.64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2,669,181.94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SM2</w:t>
            </w:r>
            <w:r>
              <w:rPr>
                <w:rFonts w:ascii="宋体" w:hAnsi="宋体" w:cs="宋体" w:eastAsia="宋体" w:hint="default"/>
                <w:sz w:val="18"/>
                <w:szCs w:val="18"/>
              </w:rPr>
              <w:t>、</w:t>
            </w:r>
            <w:r>
              <w:rPr>
                <w:rFonts w:ascii="Times New Roman" w:hAnsi="Times New Roman" w:cs="Times New Roman" w:eastAsia="Times New Roman" w:hint="default"/>
                <w:sz w:val="18"/>
                <w:szCs w:val="18"/>
              </w:rPr>
              <w:t>SM4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专项基金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5,105,760.95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1,483,851.84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3,621,909.11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12,901,309.5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3,502,218.48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9,399,091.05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4、其他非流动负债" w:id="268"/>
      <w:bookmarkEnd w:id="268"/>
      <w:r>
        <w:rPr>
          <w:b w:val="0"/>
          <w:bCs w:val="0"/>
        </w:rPr>
      </w:r>
      <w:r>
        <w:rPr>
          <w:rFonts w:ascii="Times New Roman" w:hAnsi="Times New Roman" w:cs="Times New Roman" w:eastAsia="Times New Roman" w:hint="default"/>
        </w:rPr>
        <w:t>24</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r>
              <w:rPr>
                <w:rFonts w:ascii="Times New Roman" w:hAnsi="Times New Roman" w:cs="Times New Roman" w:eastAsia="Times New Roman" w:hint="default"/>
                <w:sz w:val="18"/>
                <w:szCs w:val="18"/>
              </w:rPr>
              <w:t>-</w:t>
            </w:r>
            <w:r>
              <w:rPr>
                <w:rFonts w:ascii="宋体" w:hAnsi="宋体" w:cs="宋体" w:eastAsia="宋体" w:hint="default"/>
                <w:sz w:val="18"/>
                <w:szCs w:val="18"/>
              </w:rPr>
              <w:t>北京宏思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79,590,000.00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5、股本" w:id="269"/>
      <w:bookmarkEnd w:id="269"/>
      <w:r>
        <w:rPr>
          <w:b w:val="0"/>
          <w:bCs w:val="0"/>
        </w:rPr>
      </w:r>
      <w:r>
        <w:rPr>
          <w:rFonts w:ascii="Times New Roman" w:hAnsi="Times New Roman" w:cs="Times New Roman" w:eastAsia="Times New Roman" w:hint="default"/>
        </w:rPr>
        <w:t>25</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418,044,000.00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418,044,000.00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6、资本公积" w:id="270"/>
      <w:bookmarkEnd w:id="270"/>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17,971,675.50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345,687,008.56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363,658,684.06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17,971,675.50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345,687,008.56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812"/>
        <w:jc w:val="left"/>
      </w:pPr>
      <w:r>
        <w:rPr/>
        <w:t>其他说明，包括本期增减变动情况、变动原因说明：</w:t>
      </w:r>
    </w:p>
    <w:p>
      <w:pPr>
        <w:pStyle w:val="BodyText"/>
        <w:spacing w:line="292" w:lineRule="auto" w:before="115"/>
        <w:ind w:right="812"/>
        <w:jc w:val="left"/>
        <w:rPr>
          <w:sz w:val="21"/>
          <w:szCs w:val="21"/>
        </w:rPr>
      </w:pPr>
      <w:r>
        <w:rPr>
          <w:spacing w:val="-2"/>
        </w:rPr>
        <w:t>资本公积本期减少是由于本公司本期购买飞天万谷少数股东股权，飞天万谷账面净资产为负，合并层面冲减资本公积，计算</w:t>
      </w:r>
      <w:r>
        <w:rPr>
          <w:spacing w:val="-66"/>
        </w:rPr>
        <w:t> </w:t>
      </w:r>
      <w:r>
        <w:rPr>
          <w:spacing w:val="-66"/>
        </w:rPr>
      </w:r>
      <w:r>
        <w:rPr/>
        <w:t>过程详见本节</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2.</w:t>
      </w:r>
      <w:r>
        <w:rPr/>
        <w:t>在子公司的所有者权益份额发生变化且仍控制的子公司的交易</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sz w:val="21"/>
          <w:szCs w:val="21"/>
        </w:rPr>
        <w:t>。</w:t>
      </w:r>
    </w:p>
    <w:p>
      <w:pPr>
        <w:spacing w:line="240" w:lineRule="auto" w:before="6"/>
        <w:rPr>
          <w:rFonts w:ascii="宋体" w:hAnsi="宋体" w:cs="宋体" w:eastAsia="宋体" w:hint="default"/>
          <w:sz w:val="21"/>
          <w:szCs w:val="21"/>
        </w:rPr>
      </w:pPr>
    </w:p>
    <w:p>
      <w:pPr>
        <w:pStyle w:val="Heading3"/>
        <w:spacing w:line="240" w:lineRule="auto"/>
        <w:ind w:right="812"/>
        <w:jc w:val="left"/>
        <w:rPr>
          <w:b w:val="0"/>
          <w:bCs w:val="0"/>
        </w:rPr>
      </w:pPr>
      <w:bookmarkStart w:name="27、其他综合收益" w:id="271"/>
      <w:bookmarkEnd w:id="271"/>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-95,766.54</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152,138.40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-84,547.76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-84,547.76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67,590.64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-247,904.94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3,020,617.5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3,020,617.5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2,772,712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-95,766.54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812"/>
        <w:jc w:val="left"/>
        <w:rPr>
          <w:b w:val="0"/>
          <w:bCs w:val="0"/>
        </w:rPr>
      </w:pPr>
      <w:bookmarkStart w:name="28、盈余公积" w:id="272"/>
      <w:bookmarkEnd w:id="272"/>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101,628,651.45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9,836,682.63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111,465,334.08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16,228.40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16,228.40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101,644,879.85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9,836,682.63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111,481,562.48</w:t>
            </w:r>
          </w:p>
        </w:tc>
      </w:tr>
    </w:tbl>
    <w:p>
      <w:pPr>
        <w:pStyle w:val="BodyText"/>
        <w:spacing w:line="357" w:lineRule="auto" w:before="51"/>
        <w:ind w:right="6252"/>
        <w:jc w:val="left"/>
      </w:pPr>
      <w:r>
        <w:rPr/>
        <w:t>盈余公积说明，包括本期增减变动情况、变动原因说明： 本期按照净利润的</w:t>
      </w:r>
      <w:r>
        <w:rPr>
          <w:rFonts w:ascii="Times New Roman" w:hAnsi="Times New Roman" w:cs="Times New Roman" w:eastAsia="Times New Roman" w:hint="default"/>
        </w:rPr>
        <w:t>10%</w:t>
      </w:r>
      <w:r>
        <w:rPr/>
        <w:t>计提法定盈余公积。</w:t>
      </w:r>
    </w:p>
    <w:p>
      <w:pPr>
        <w:spacing w:line="240" w:lineRule="auto" w:before="5"/>
        <w:rPr>
          <w:rFonts w:ascii="宋体" w:hAnsi="宋体" w:cs="宋体" w:eastAsia="宋体" w:hint="default"/>
          <w:sz w:val="18"/>
          <w:szCs w:val="18"/>
        </w:rPr>
      </w:pPr>
    </w:p>
    <w:p>
      <w:pPr>
        <w:pStyle w:val="Heading3"/>
        <w:spacing w:line="240" w:lineRule="auto"/>
        <w:ind w:right="812"/>
        <w:jc w:val="left"/>
        <w:rPr>
          <w:b w:val="0"/>
          <w:bCs w:val="0"/>
        </w:rPr>
      </w:pPr>
      <w:bookmarkStart w:name="29、未分配利润" w:id="273"/>
      <w:bookmarkEnd w:id="273"/>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770,675,231.61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697,763,244.38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770,675,231.61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697,763,244.38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133,273,482.46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125,174,450.29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9,836,682.63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10,458,063.06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20,902,200.00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41,804,400.00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873,209,831.44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770,675,231.61</w:t>
            </w:r>
          </w:p>
        </w:tc>
      </w:tr>
    </w:tbl>
    <w:p>
      <w:pPr>
        <w:pStyle w:val="BodyText"/>
        <w:spacing w:line="240" w:lineRule="auto" w:before="51"/>
        <w:ind w:right="812"/>
        <w:jc w:val="left"/>
      </w:pPr>
      <w:r>
        <w:rPr/>
        <w:t>调整期初未分配利润明细：</w:t>
      </w:r>
    </w:p>
    <w:p>
      <w:pPr>
        <w:pStyle w:val="BodyText"/>
        <w:spacing w:line="240" w:lineRule="auto" w:before="117"/>
        <w:ind w:right="812"/>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812"/>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812"/>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812"/>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812"/>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30、营业收入和营业成本" w:id="274"/>
      <w:bookmarkEnd w:id="274"/>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1,068,386,944.60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665,191,128.62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1,101,554,295.73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671,515,890.88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3,395,460.36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3,466,297.54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1,494,223.59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2,139,235.10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1,071,782,404.96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668,657,426.16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1,103,048,519.32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673,655,125.98</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1、税金及附加" w:id="275"/>
      <w:bookmarkEnd w:id="275"/>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4,071,821.91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4,473,506.63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1,439,669.77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1,920,242.49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862,969.53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1,280,161.66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印花税、残保金等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648,701.66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723,700.43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7,023,162.87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8,397,611.21</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2、销售费用" w:id="276"/>
      <w:bookmarkEnd w:id="276"/>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53,514,989.97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45,712,303.57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25,532,926.92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22,556,183.03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12,303,688.53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12,756,726.70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6,032,526.77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3,906,016.95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4,788,406.42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5,378,827.30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2,595,232.69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2,889,973.75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104,767,771.30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93,200,031.30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3、管理费用" w:id="277"/>
      <w:bookmarkEnd w:id="277"/>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28,988,854.11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29,042,020.08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14,844,756.87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13,707,070.59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8,734,125.07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7,785,671.85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8,143,570.95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11,273,106.41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5,400,690.37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3,543,309.67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5,398,737.04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6,640,927.68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3,495,361.83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56,349,215.74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2,343,311.95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660,702.87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2,201,811.29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1,720,120.54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1,603,102.06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706,478.38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1,441,665.16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856,221.79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3,749,825.44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5,696,934.93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86,345,812.14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137,981,780.53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4、研发费用" w:id="278"/>
      <w:bookmarkEnd w:id="278"/>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92,414,753.72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97,302,035.65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检测、测试服务费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7,604,064.54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4,386,930.69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5,857,322.94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6,896,377.78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5,844,536.66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5,010,976.82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2,420,356.73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2,918,982.52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1,309,102.51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1,250,504.66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资质及认证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992,699.99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876,527.01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1,900,661.90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1,754,281.33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118,343,498.99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120,396,616.46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35、财务费用" w:id="279"/>
      <w:bookmarkEnd w:id="279"/>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-13,879.55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2,285,979.49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3,765,832.71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-3,823,426.74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4,310,307.51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422,748.93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319,200.89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-5,700,536.85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867,095.89</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6、资产减值损失" w:id="280"/>
      <w:bookmarkEnd w:id="280"/>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1,960,219.03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2,514,928.70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7,526,128.89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7,926,674.62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3,636,364.00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433,350.00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298,839.88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4,107,522.36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13,421,551.80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14,982,475.68</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7、其他收益" w:id="281"/>
      <w:bookmarkEnd w:id="281"/>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31,079,375.99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33,825,471.37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29,119.14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31,108,495.13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33,825,471.37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8、投资收益" w:id="282"/>
      <w:bookmarkEnd w:id="282"/>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292,374.00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2,219,342.47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25,516,953.09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24,752,996.53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930,946.71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25,055,787.54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0" w:right="0"/>
              <w:jc w:val="left"/>
              <w:rPr>
                <w:rFonts w:ascii="Times New Roman" w:hAnsi="Times New Roman" w:cs="Times New Roman" w:eastAsia="Times New Roman" w:hint="default"/>
                <w:sz w:val="18"/>
                <w:szCs w:val="18"/>
              </w:rPr>
            </w:pPr>
            <w:r>
              <w:rPr>
                <w:rFonts w:ascii="Times New Roman"/>
                <w:sz w:val="18"/>
              </w:rPr>
              <w:t>28,195,659.71</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9、资产处置收益" w:id="283"/>
      <w:bookmarkEnd w:id="283"/>
      <w:r>
        <w:rPr>
          <w:b w:val="0"/>
          <w:bCs w:val="0"/>
        </w:rPr>
      </w:r>
      <w:r>
        <w:rPr>
          <w:rFonts w:ascii="Times New Roman" w:hAnsi="Times New Roman" w:cs="Times New Roman" w:eastAsia="Times New Roman" w:hint="default"/>
        </w:rPr>
        <w:t>39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0、营业外收入" w:id="284"/>
      <w:bookmarkEnd w:id="284"/>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8,519,926.53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8,519,926.53</w:t>
            </w:r>
          </w:p>
        </w:tc>
      </w:tr>
      <w:tr>
        <w:trPr>
          <w:trHeight w:val="133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both"/>
              <w:rPr>
                <w:rFonts w:ascii="宋体" w:hAnsi="宋体" w:cs="宋体" w:eastAsia="宋体" w:hint="default"/>
                <w:sz w:val="18"/>
                <w:szCs w:val="18"/>
              </w:rPr>
            </w:pPr>
            <w:r>
              <w:rPr>
                <w:rFonts w:ascii="宋体" w:hAnsi="宋体" w:cs="宋体" w:eastAsia="宋体" w:hint="default"/>
                <w:sz w:val="18"/>
                <w:szCs w:val="18"/>
              </w:rPr>
              <w:t>企业取得联营企业的投资成 本小于取得投资时应享有被 投资单位可辨认净资产公允 价值产生的收益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9,883,339.14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9,883,339.14</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18,403,265.67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9,946,944.81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18,403,265.67</w:t>
            </w:r>
          </w:p>
        </w:tc>
      </w:tr>
    </w:tbl>
    <w:p>
      <w:pPr>
        <w:pStyle w:val="BodyText"/>
        <w:spacing w:line="240" w:lineRule="auto" w:before="51"/>
        <w:ind w:right="812"/>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外贸稳增长 资金款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157,791.00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235,792.00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外经贸发展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北京市商务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1,531,433.00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2,502,441.00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国际化发展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left"/>
              <w:rPr>
                <w:rFonts w:ascii="宋体" w:hAnsi="宋体" w:cs="宋体" w:eastAsia="宋体" w:hint="default"/>
                <w:sz w:val="18"/>
                <w:szCs w:val="18"/>
              </w:rPr>
            </w:pPr>
            <w:r>
              <w:rPr>
                <w:rFonts w:ascii="宋体" w:hAnsi="宋体" w:cs="宋体" w:eastAsia="宋体" w:hint="default"/>
                <w:sz w:val="18"/>
                <w:szCs w:val="18"/>
              </w:rPr>
              <w:t>北京中关村 海外科技园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672,215.00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创新能力建 设专项资金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国家知识产 权局专利局 北京代办处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337,050.00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322,518.00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基地建设项 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北京知识产 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70,754.71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66,037.74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北京中关村 企业信用促 进会补贴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北京中关村 企业信用促 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中关村技术 创新能力建 设商标资金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中国技术交 易所有限公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区社会保险 基金管理中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195,979.34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187,922.59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智能网络身 份认证系统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北京市发展 和改革委员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135" w:lineRule="exact"/>
              <w:ind w:left="-7" w:right="-51"/>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2"/>
                <w:sz w:val="13"/>
                <w:szCs w:val="13"/>
              </w:rPr>
              <w:pict>
                <v:group style="width:52.7pt;height:6.8pt;mso-position-horizontal-relative:char;mso-position-vertical-relative:line" coordorigin="0,0" coordsize="1054,136">
                  <v:group style="position:absolute;left:0;top:0;width:1054;height:136" coordorigin="0,0" coordsize="1054,136">
                    <v:shape style="position:absolute;left:0;top:0;width:1054;height:136" coordorigin="0,0" coordsize="1054,136" path="m0,136l1054,136,1054,0,0,0,0,136xe" filled="true" fillcolor="#ffffff" stroked="false">
                      <v:path arrowok="t"/>
                      <v:fill type="solid"/>
                    </v:shape>
                  </v:group>
                </v:group>
              </w:pict>
            </w:r>
            <w:r>
              <w:rPr>
                <w:rFonts w:ascii="Times New Roman" w:hAnsi="Times New Roman" w:cs="Times New Roman" w:eastAsia="Times New Roman" w:hint="default"/>
                <w:position w:val="-2"/>
                <w:sz w:val="13"/>
                <w:szCs w:val="13"/>
              </w:rPr>
            </w:r>
          </w:p>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工程实验室 项目补助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116"/>
              <w:jc w:val="both"/>
              <w:rPr>
                <w:rFonts w:ascii="宋体" w:hAnsi="宋体" w:cs="宋体" w:eastAsia="宋体" w:hint="default"/>
                <w:sz w:val="18"/>
                <w:szCs w:val="18"/>
              </w:rPr>
            </w:pPr>
            <w:r>
              <w:rPr>
                <w:rFonts w:ascii="宋体" w:hAnsi="宋体" w:cs="宋体" w:eastAsia="宋体" w:hint="default"/>
                <w:sz w:val="18"/>
                <w:szCs w:val="18"/>
              </w:rPr>
              <w:t>双界面多用 途安全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机项目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686,366.64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686,366.64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海淀区企业 专利商用化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园海淀园管 理委员会信 用报告补贴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SM2</w:t>
            </w:r>
            <w:r>
              <w:rPr>
                <w:rFonts w:ascii="宋体" w:hAnsi="宋体" w:cs="宋体" w:eastAsia="宋体" w:hint="default"/>
                <w:sz w:val="18"/>
                <w:szCs w:val="18"/>
              </w:rPr>
              <w:t>、</w:t>
            </w:r>
            <w:r>
              <w:rPr>
                <w:rFonts w:ascii="Times New Roman" w:hAnsi="Times New Roman" w:cs="Times New Roman" w:eastAsia="Times New Roman" w:hint="default"/>
                <w:sz w:val="18"/>
                <w:szCs w:val="18"/>
              </w:rPr>
              <w:t>SM4</w:t>
            </w:r>
          </w:p>
          <w:p>
            <w:pPr>
              <w:pStyle w:val="TableParagraph"/>
              <w:spacing w:line="319" w:lineRule="auto" w:before="63"/>
              <w:ind w:left="22" w:right="131"/>
              <w:jc w:val="left"/>
              <w:rPr>
                <w:rFonts w:ascii="宋体" w:hAnsi="宋体" w:cs="宋体" w:eastAsia="宋体" w:hint="default"/>
                <w:sz w:val="18"/>
                <w:szCs w:val="18"/>
              </w:rPr>
            </w:pPr>
            <w:r>
              <w:rPr>
                <w:rFonts w:ascii="宋体" w:hAnsi="宋体" w:cs="宋体" w:eastAsia="宋体" w:hint="default"/>
                <w:sz w:val="18"/>
                <w:szCs w:val="18"/>
              </w:rPr>
              <w:t>专项基金补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1,483,851.84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1,483,851.84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中关村知识 产权领军企 业培育专项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科技型中小 企业技术创 新基金无偿 资助项目款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中关村国家 自主创新示 范区集成电 路设计产业 发展支持资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北京半导体 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知识产权管 理体系贯标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52,000.00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海淀区专利 奖配套奖励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工业和软件 信息服务业 平稳发展奖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6" w:right="0"/>
              <w:jc w:val="left"/>
              <w:rPr>
                <w:rFonts w:ascii="Times New Roman" w:hAnsi="Times New Roman" w:cs="Times New Roman" w:eastAsia="Times New Roman" w:hint="default"/>
                <w:sz w:val="18"/>
                <w:szCs w:val="18"/>
              </w:rPr>
            </w:pPr>
            <w:r>
              <w:rPr>
                <w:rFonts w:ascii="Times New Roman"/>
                <w:sz w:val="18"/>
              </w:rPr>
              <w:t>110,000.00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812"/>
        <w:jc w:val="left"/>
        <w:rPr>
          <w:b w:val="0"/>
          <w:bCs w:val="0"/>
        </w:rPr>
      </w:pPr>
      <w:bookmarkStart w:name="41、营业外支出" w:id="285"/>
      <w:bookmarkEnd w:id="285"/>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134,918.12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12,732.58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134,918.12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136,918.12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14,124.89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136,918.12</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2、所得税费用" w:id="286"/>
      <w:bookmarkEnd w:id="286"/>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所得税费用表" w:id="287"/>
      <w:bookmarkEnd w:id="28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21,203,507.77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27,542,740.06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-1,940,282.67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-6,168,493.99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19,263,225.10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21,374,246.07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会计利润与所得税费用调整过程" w:id="288"/>
      <w:bookmarkEnd w:id="28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153,310,655.28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22,996,598.29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305,150.89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747,665.60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-1,445,836.07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4,449,691.96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269,090.65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-8,059,136.22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以前年度已确认递延所得税的可抵扣暂时性差异和可抵扣亏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747,665.60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19,263,225.10</w:t>
            </w:r>
          </w:p>
        </w:tc>
      </w:tr>
    </w:tbl>
    <w:p>
      <w:pPr>
        <w:spacing w:line="240" w:lineRule="auto" w:before="3"/>
        <w:rPr>
          <w:rFonts w:ascii="宋体" w:hAnsi="宋体" w:cs="宋体" w:eastAsia="宋体" w:hint="default"/>
          <w:sz w:val="19"/>
          <w:szCs w:val="19"/>
        </w:rPr>
      </w:pPr>
    </w:p>
    <w:p>
      <w:pPr>
        <w:spacing w:line="547" w:lineRule="auto" w:before="35"/>
        <w:ind w:left="154" w:right="8855" w:firstLine="0"/>
        <w:jc w:val="left"/>
        <w:rPr>
          <w:rFonts w:ascii="宋体" w:hAnsi="宋体" w:cs="宋体" w:eastAsia="宋体" w:hint="default"/>
          <w:sz w:val="21"/>
          <w:szCs w:val="21"/>
        </w:rPr>
      </w:pPr>
      <w:bookmarkStart w:name="43、其他综合收益" w:id="289"/>
      <w:bookmarkEnd w:id="289"/>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 </w:t>
      </w:r>
      <w:bookmarkStart w:name="44、现金流量表项目" w:id="290"/>
      <w:bookmarkEnd w:id="290"/>
      <w:r>
        <w:rPr>
          <w:rFonts w:ascii="宋体" w:hAnsi="宋体" w:cs="宋体" w:eastAsia="宋体" w:hint="default"/>
          <w:sz w:val="18"/>
          <w:szCs w:val="18"/>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right="812"/>
        <w:jc w:val="left"/>
        <w:rPr>
          <w:b w:val="0"/>
          <w:bCs w:val="0"/>
        </w:rPr>
      </w:pPr>
      <w:bookmarkStart w:name="（1）收到的其他与经营活动有关的现金" w:id="291"/>
      <w:bookmarkEnd w:id="29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2,285,979.49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3,765,832.71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5,031,587.60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6,482,226.33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4,764,705.52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6,296,865.50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4,014,853.66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1,590,867.03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16,097,126.27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18,135,791.57</w:t>
            </w:r>
          </w:p>
        </w:tc>
      </w:tr>
    </w:tbl>
    <w:p>
      <w:pPr>
        <w:spacing w:line="240" w:lineRule="auto" w:before="3"/>
        <w:rPr>
          <w:rFonts w:ascii="宋体" w:hAnsi="宋体" w:cs="宋体" w:eastAsia="宋体" w:hint="default"/>
          <w:sz w:val="19"/>
          <w:szCs w:val="19"/>
        </w:rPr>
      </w:pPr>
    </w:p>
    <w:p>
      <w:pPr>
        <w:pStyle w:val="Heading3"/>
        <w:spacing w:line="240" w:lineRule="auto" w:before="35"/>
        <w:ind w:right="812"/>
        <w:jc w:val="left"/>
        <w:rPr>
          <w:b w:val="0"/>
          <w:bCs w:val="0"/>
        </w:rPr>
      </w:pPr>
      <w:bookmarkStart w:name="（2）支付的其他与经营活动有关的现金" w:id="292"/>
      <w:bookmarkEnd w:id="29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22,391,297.84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21,786,588.54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14,148,235.89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18,631,475.36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34,161,551.99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30,272,050.88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8,501,811.10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11,789,800.49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12,622,960.21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12,874,126.18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6,982,429.10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7,108,797.34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5,316,473.29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3,525,309.67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4,239,201.36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4,576,303.60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6,045,489.21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3,906,016.95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1,444,188.95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660,702.87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1,603,102.06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701,504.80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1,408,683.96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628,314.53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7,372,341.28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6,244,448.08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126,237,766.24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122,705,439.29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r>
        <w:rPr/>
        <w:pict>
          <v:group style="position:absolute;margin-left:223.339996pt;margin-top:666.909973pt;width:151.25pt;height:40.9pt;mso-position-horizontal-relative:page;mso-position-vertical-relative:page;z-index:-1079800" coordorigin="4467,13338" coordsize="3025,818">
            <v:group style="position:absolute;left:4478;top:13350;width:2;height:393" coordorigin="4478,13350" coordsize="2,393">
              <v:shape style="position:absolute;left:4478;top:13350;width:2;height:393" coordorigin="4478,13350" coordsize="0,393" path="m4478,13350l4478,13742e" filled="false" stroked="true" strokeweight="1.140pt" strokecolor="#ffffff">
                <v:path arrowok="t"/>
              </v:shape>
            </v:group>
            <v:group style="position:absolute;left:4490;top:13350;width:3002;height:393" coordorigin="4490,13350" coordsize="3002,393">
              <v:shape style="position:absolute;left:4490;top:13350;width:3002;height:393" coordorigin="4490,13350" coordsize="3002,393" path="m4490,13742l7491,13742,7491,13350,4490,13350,4490,13742xe" filled="true" fillcolor="#ffffff" stroked="false">
                <v:path arrowok="t"/>
                <v:fill type="solid"/>
              </v:shape>
            </v:group>
            <v:group style="position:absolute;left:4478;top:13752;width:2;height:393" coordorigin="4478,13752" coordsize="2,393">
              <v:shape style="position:absolute;left:4478;top:13752;width:2;height:393" coordorigin="4478,13752" coordsize="0,393" path="m4478,13752l4478,14144e" filled="false" stroked="true" strokeweight="1.140pt" strokecolor="#ffffff">
                <v:path arrowok="t"/>
              </v:shape>
            </v:group>
            <v:group style="position:absolute;left:4490;top:13752;width:3002;height:393" coordorigin="4490,13752" coordsize="3002,393">
              <v:shape style="position:absolute;left:4490;top:13752;width:3002;height:393" coordorigin="4490,13752" coordsize="3002,393" path="m4490,14144l7491,14144,7491,13752,4490,13752,4490,14144xe" filled="true" fillcolor="#ffffff" stroked="false">
                <v:path arrowok="t"/>
                <v:fill type="solid"/>
              </v:shape>
            </v:group>
            <w10:wrap type="none"/>
          </v:group>
        </w:pict>
      </w:r>
    </w:p>
    <w:p>
      <w:pPr>
        <w:pStyle w:val="Heading3"/>
        <w:spacing w:line="240" w:lineRule="auto" w:before="35"/>
        <w:ind w:right="812"/>
        <w:jc w:val="left"/>
        <w:rPr>
          <w:b w:val="0"/>
          <w:bCs w:val="0"/>
        </w:rPr>
      </w:pPr>
      <w:bookmarkStart w:name="（3）支付的其他与投资活动有关的现金" w:id="293"/>
      <w:bookmarkEnd w:id="293"/>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丧失控制权日子公司持有的现金及现金 等价物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1,809,011.43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1,809,011.43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支付的其他与筹资活动有关的现金" w:id="294"/>
      <w:bookmarkEnd w:id="294"/>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证券登记费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118,035.95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5、现金流量表补充资料" w:id="295"/>
      <w:bookmarkEnd w:id="295"/>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现金流量表补充资料" w:id="296"/>
      <w:bookmarkEnd w:id="2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134,047,430.18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104,147,487.20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13,421,551.80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14,982,475.68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11,945,315.37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14,057,197.00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3,266,021.40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53,604,369.69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1,950,330.17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2,795,057.23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43,693.49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134,918.12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12,732.58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-1,084,164.99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2,779,515.94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-25,055,787.54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-28,195,659.71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-972,925.28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1,432,597.04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-967,357.38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-8,575,544.66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-47,662,588.66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-30,999,414.57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-33,156,033.45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-6,331,474.18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-37,872,630.73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-16,772,478.50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-9,883,339.14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8,154,433.36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102,936,860.74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651,901,404.12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577,667,210.39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577,667,210.39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802,274,632.83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74,234,193.73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-224,607,422.44</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本期支付的取得子公司的现金净额" w:id="297"/>
      <w:bookmarkEnd w:id="2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31,972,660.00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其中：北京宏思电子技术有限责任公司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18,972,660.00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飞天万谷智能科技有限公司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31,972,660.00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现金和现金等价物的构成" w:id="298"/>
      <w:bookmarkEnd w:id="298"/>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651,901,404.12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577,667,210.39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115,931.59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3,611,312.74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651,785,472.53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574,055,897.65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651,901,404.12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577,667,210.39</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6、所有权或使用权受到限制的资产" w:id="299"/>
      <w:bookmarkEnd w:id="299"/>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8" w:right="0"/>
              <w:jc w:val="left"/>
              <w:rPr>
                <w:rFonts w:ascii="Times New Roman" w:hAnsi="Times New Roman" w:cs="Times New Roman" w:eastAsia="Times New Roman" w:hint="default"/>
                <w:sz w:val="18"/>
                <w:szCs w:val="18"/>
              </w:rPr>
            </w:pPr>
            <w:r>
              <w:rPr>
                <w:rFonts w:ascii="Times New Roman"/>
                <w:sz w:val="18"/>
              </w:rPr>
              <w:t>10,637,972.14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10,637,972.14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7、外币货币性项目" w:id="300"/>
      <w:bookmarkEnd w:id="300"/>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外币货币性项目" w:id="301"/>
      <w:bookmarkEnd w:id="3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84,814,904.18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12,335,262.79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84,659,375.58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4,910.53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171,899.19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150,618.07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25,666,243.25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3,738,747.69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25,659,773.15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6,470.10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812"/>
        <w:jc w:val="left"/>
        <w:rPr>
          <w:b w:val="0"/>
          <w:bCs w:val="0"/>
        </w:rPr>
      </w:pPr>
      <w:bookmarkStart w:name="（2）境外经营实体说明，包括对于重要的境外经营实体，应披露其境外主要经营地、记账" w:id="302"/>
      <w:bookmarkEnd w:id="3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415" w:lineRule="auto" w:before="102"/>
        <w:ind w:left="514" w:right="3512"/>
        <w:jc w:val="left"/>
      </w:pPr>
      <w:r>
        <w:rPr/>
        <w:t>本公司全资子公司</w:t>
      </w:r>
      <w:r>
        <w:rPr>
          <w:rFonts w:ascii="Times New Roman" w:hAnsi="Times New Roman" w:cs="Times New Roman" w:eastAsia="Times New Roman" w:hint="default"/>
        </w:rPr>
        <w:t>FEITIAN technologies</w:t>
      </w:r>
      <w:r>
        <w:rPr>
          <w:rFonts w:ascii="Times New Roman" w:hAnsi="Times New Roman" w:cs="Times New Roman" w:eastAsia="Times New Roman" w:hint="default"/>
          <w:spacing w:val="-5"/>
        </w:rPr>
        <w:t> </w:t>
      </w:r>
      <w:r>
        <w:rPr>
          <w:rFonts w:ascii="Times New Roman" w:hAnsi="Times New Roman" w:cs="Times New Roman" w:eastAsia="Times New Roman" w:hint="default"/>
        </w:rPr>
        <w:t>US,Inc</w:t>
      </w:r>
      <w:r>
        <w:rPr/>
        <w:t>主要经营地为美国，记账本位币为美元。 本公司全资子公司飞天香港有限公司主要经营地为香港，记账本位币为美元。</w:t>
      </w:r>
    </w:p>
    <w:p>
      <w:pPr>
        <w:spacing w:line="240" w:lineRule="auto" w:before="11"/>
        <w:rPr>
          <w:rFonts w:ascii="宋体" w:hAnsi="宋体" w:cs="宋体" w:eastAsia="宋体" w:hint="default"/>
          <w:sz w:val="16"/>
          <w:szCs w:val="16"/>
        </w:rPr>
      </w:pPr>
    </w:p>
    <w:p>
      <w:pPr>
        <w:pStyle w:val="Heading3"/>
        <w:spacing w:line="240" w:lineRule="auto"/>
        <w:ind w:right="812"/>
        <w:jc w:val="left"/>
        <w:rPr>
          <w:b w:val="0"/>
          <w:bCs w:val="0"/>
        </w:rPr>
      </w:pPr>
      <w:bookmarkStart w:name="48、政府补助" w:id="303"/>
      <w:bookmarkEnd w:id="303"/>
      <w:r>
        <w:rPr>
          <w:b w:val="0"/>
          <w:bCs w:val="0"/>
        </w:rPr>
      </w:r>
      <w:r>
        <w:rPr>
          <w:rFonts w:ascii="Times New Roman" w:hAnsi="Times New Roman" w:cs="Times New Roman" w:eastAsia="Times New Roman" w:hint="default"/>
        </w:rPr>
        <w:t>48</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政府补助基本情况" w:id="304"/>
      <w:bookmarkEnd w:id="30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外贸稳增长资金款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1,531,433.00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1,531,433.00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国家发改委</w:t>
            </w:r>
            <w:r>
              <w:rPr>
                <w:rFonts w:ascii="宋体" w:hAnsi="宋体" w:cs="宋体" w:eastAsia="宋体" w:hint="default"/>
                <w:spacing w:val="-46"/>
                <w:sz w:val="18"/>
                <w:szCs w:val="18"/>
              </w:rPr>
              <w:t> </w:t>
            </w:r>
            <w:r>
              <w:rPr>
                <w:rFonts w:ascii="Times New Roman" w:hAnsi="Times New Roman" w:cs="Times New Roman" w:eastAsia="Times New Roman" w:hint="default"/>
                <w:spacing w:val="-11"/>
                <w:w w:val="99"/>
                <w:sz w:val="18"/>
                <w:szCs w:val="18"/>
              </w:rPr>
              <w:t>SM2</w:t>
            </w:r>
            <w:r>
              <w:rPr>
                <w:rFonts w:ascii="宋体" w:hAnsi="宋体" w:cs="宋体" w:eastAsia="宋体" w:hint="default"/>
                <w:spacing w:val="-11"/>
                <w:w w:val="99"/>
                <w:sz w:val="18"/>
                <w:szCs w:val="18"/>
              </w:rPr>
              <w:t>、</w:t>
            </w:r>
            <w:r>
              <w:rPr>
                <w:rFonts w:ascii="Times New Roman" w:hAnsi="Times New Roman" w:cs="Times New Roman" w:eastAsia="Times New Roman" w:hint="default"/>
                <w:spacing w:val="-11"/>
                <w:w w:val="99"/>
                <w:sz w:val="18"/>
                <w:szCs w:val="18"/>
              </w:rPr>
              <w:t>SM4</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专项基 金补贴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6,589,612.79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1,483,851.84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智能网络身份认证系统工程 实验室项目补助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创新能力建设专项资金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双界面多用途安全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机项 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686,366.64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科技型中小企业技术创新基 金无偿资助项目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中关村国家自主创新示范区 集成电路设计企业及相关单 位支持资金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337,050.00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中关村知识产权领军企业培 育专项经费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海淀区专利奖配套奖励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中关村技术创新能力建设商 标资金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195,979.34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195,979.34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外贸稳增长资金款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157,791.00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157,791.00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工业和软件信息服务业平稳 发展奖励资金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基地建设项目款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70,754.71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知识产权管理体系贯标补贴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中关村科技园海淀园管理委 员会信用报告补贴款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31,079,375.99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31,079,375.99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13,879.55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53,860,576.38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39,613,182.07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政府补助退回情况" w:id="305"/>
      <w:bookmarkEnd w:id="30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812"/>
        <w:jc w:val="left"/>
        <w:rPr>
          <w:b w:val="0"/>
          <w:bCs w:val="0"/>
        </w:rPr>
      </w:pPr>
      <w:bookmarkStart w:name="八、在其他主体中的权益" w:id="306"/>
      <w:bookmarkEnd w:id="306"/>
      <w:r>
        <w:rPr>
          <w:b w:val="0"/>
          <w:bCs w:val="0"/>
        </w:rPr>
      </w: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在子公司中的权益" w:id="307"/>
      <w:bookmarkEnd w:id="30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企业集团的构成" w:id="308"/>
      <w:bookmarkEnd w:id="3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生产销售智能卡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产业并购整合平 台、股权投资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电子产品销售、 信息电子技术服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2" w:lineRule="auto" w:before="104"/>
              <w:ind w:left="22" w:right="427"/>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US,Inc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飞天香港有限公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2）重要的非全资子公司" w:id="309"/>
      <w:bookmarkEnd w:id="3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上海温鼎投资中心（有 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51,838.74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北京宏思电子技术有限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1,280,399.95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10,765,869.79</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重要非全资子公司的主要财务信息" w:id="310"/>
      <w:bookmarkEnd w:id="3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289,559.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909,091.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1,198,65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61,643.8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61,643.8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4,627.53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5,000,00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5,004,62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78,356.1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78,356.1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鼎投资 </w:t>
            </w:r>
            <w:r>
              <w:rPr>
                <w:rFonts w:ascii="宋体" w:hAnsi="宋体" w:cs="宋体" w:eastAsia="宋体" w:hint="default"/>
                <w:spacing w:val="-10"/>
                <w:sz w:val="18"/>
                <w:szCs w:val="18"/>
              </w:rPr>
              <w:t>中心（有</w:t>
            </w:r>
            <w:r>
              <w:rPr>
                <w:rFonts w:ascii="宋体" w:hAnsi="宋体" w:cs="宋体" w:eastAsia="宋体" w:hint="default"/>
                <w:sz w:val="18"/>
                <w:szCs w:val="18"/>
              </w:rPr>
              <w:t> 限合伙）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7.53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北京宏 思电子 技术有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112,976,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568.68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31,108,6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144,085,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11,490,7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6,086,04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17,576,7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91,787,4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36,870,3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128,657,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8,614,15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8,581,02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17,195,1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78.17</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上海温鼎投 </w:t>
            </w:r>
            <w:r>
              <w:rPr>
                <w:rFonts w:ascii="宋体" w:hAnsi="宋体" w:cs="宋体" w:eastAsia="宋体" w:hint="default"/>
                <w:spacing w:val="-13"/>
                <w:sz w:val="18"/>
                <w:szCs w:val="18"/>
              </w:rPr>
              <w:t>资中心（有限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-3,789,264.72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-3,789,264.72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-169,613.05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-119,153.25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-119,153.25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-119,153.25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北京宏思电 子技术有限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101,241,709.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15,045,827.8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15,045,827.8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16,139,148.9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81,284,039.4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5,461,161.66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5,461,161.66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1,756,371.15</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在子公司的所有者权益份额发生变化且仍控制子公司的交易" w:id="311"/>
      <w:bookmarkEnd w:id="31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在子公司所有者权益份额发生变化的情况说明" w:id="312"/>
      <w:bookmarkEnd w:id="31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10" w:firstLine="217"/>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日本公司收购飞天万谷少数股东</w:t>
      </w:r>
      <w:r>
        <w:rPr>
          <w:rFonts w:ascii="Times New Roman" w:hAnsi="Times New Roman" w:cs="Times New Roman" w:eastAsia="Times New Roman" w:hint="default"/>
          <w:spacing w:val="-1"/>
        </w:rPr>
        <w:t>40.00%</w:t>
      </w:r>
      <w:r>
        <w:rPr>
          <w:spacing w:val="-1"/>
        </w:rPr>
        <w:t>股权，支付对价</w:t>
      </w:r>
      <w:r>
        <w:rPr>
          <w:rFonts w:ascii="Times New Roman" w:hAnsi="Times New Roman" w:cs="Times New Roman" w:eastAsia="Times New Roman" w:hint="default"/>
          <w:spacing w:val="-1"/>
        </w:rPr>
        <w:t>14,500,000.00</w:t>
      </w:r>
      <w:r>
        <w:rPr>
          <w:spacing w:val="-1"/>
        </w:rPr>
        <w:t>元，对飞天万谷</w:t>
      </w:r>
      <w:r>
        <w:rPr>
          <w:rFonts w:ascii="Times New Roman" w:hAnsi="Times New Roman" w:cs="Times New Roman" w:eastAsia="Times New Roman" w:hint="default"/>
          <w:spacing w:val="-1"/>
        </w:rPr>
        <w:t>100.00%</w:t>
      </w:r>
      <w:r>
        <w:rPr>
          <w:spacing w:val="-1"/>
        </w:rPr>
        <w:t>控股。合并日</w:t>
      </w:r>
      <w:r>
        <w:rPr/>
        <w:t> 飞天万谷账面净资产为</w:t>
      </w:r>
      <w:r>
        <w:rPr>
          <w:rFonts w:ascii="Times New Roman" w:hAnsi="Times New Roman" w:cs="Times New Roman" w:eastAsia="Times New Roman" w:hint="default"/>
        </w:rPr>
        <w:t>-8,679,188.74</w:t>
      </w:r>
      <w:r>
        <w:rPr/>
        <w:t>元，该项投资合并层面冲减资本公积</w:t>
      </w:r>
      <w:r>
        <w:rPr>
          <w:rFonts w:ascii="Times New Roman" w:hAnsi="Times New Roman" w:cs="Times New Roman" w:eastAsia="Times New Roman" w:hint="default"/>
        </w:rPr>
        <w:t>17,971,675.50</w:t>
      </w:r>
      <w:r>
        <w:rPr/>
        <w:t>元。</w:t>
      </w:r>
    </w:p>
    <w:p>
      <w:pPr>
        <w:spacing w:line="240" w:lineRule="auto" w:before="1"/>
        <w:rPr>
          <w:rFonts w:ascii="宋体" w:hAnsi="宋体" w:cs="宋体" w:eastAsia="宋体" w:hint="default"/>
          <w:sz w:val="22"/>
          <w:szCs w:val="22"/>
        </w:rPr>
      </w:pPr>
    </w:p>
    <w:p>
      <w:pPr>
        <w:pStyle w:val="Heading3"/>
        <w:spacing w:line="240" w:lineRule="auto"/>
        <w:ind w:right="812"/>
        <w:jc w:val="left"/>
        <w:rPr>
          <w:b w:val="0"/>
          <w:bCs w:val="0"/>
        </w:rPr>
      </w:pPr>
      <w:bookmarkStart w:name="（2）交易对于少数股东权益及归属于母公司所有者权益的影响" w:id="313"/>
      <w:bookmarkEnd w:id="31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-3,471,675.50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17,971,675.50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-17,971,675.50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3、在合营安排或联营企业中的权益" w:id="314"/>
      <w:bookmarkEnd w:id="31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重要的合营企业或联营企业" w:id="315"/>
      <w:bookmarkEnd w:id="31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
              <w:jc w:val="both"/>
              <w:rPr>
                <w:rFonts w:ascii="Times New Roman" w:hAnsi="Times New Roman" w:cs="Times New Roman" w:eastAsia="Times New Roman" w:hint="default"/>
                <w:sz w:val="18"/>
                <w:szCs w:val="18"/>
              </w:rPr>
            </w:pPr>
            <w:r>
              <w:rPr>
                <w:rFonts w:ascii="Times New Roman"/>
                <w:sz w:val="18"/>
              </w:rPr>
              <w:t>HYPERSECUIN</w:t>
            </w:r>
            <w:r>
              <w:rPr>
                <w:rFonts w:ascii="Times New Roman"/>
                <w:w w:val="99"/>
                <w:sz w:val="18"/>
              </w:rPr>
              <w:t> </w:t>
            </w:r>
            <w:r>
              <w:rPr>
                <w:rFonts w:ascii="Times New Roman"/>
                <w:spacing w:val="-2"/>
                <w:sz w:val="18"/>
              </w:rPr>
              <w:t>FORMATIONSY</w:t>
            </w:r>
            <w:r>
              <w:rPr>
                <w:rFonts w:ascii="Times New Roman"/>
                <w:w w:val="99"/>
                <w:sz w:val="18"/>
              </w:rPr>
              <w:t> </w:t>
            </w:r>
            <w:r>
              <w:rPr>
                <w:rFonts w:ascii="Times New Roman"/>
                <w:sz w:val="18"/>
              </w:rPr>
              <w:t>STEMS,INC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生产销售智能身 份认证产品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深圳市瑞福达液 晶显示技术股份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不适用</w:t>
      </w:r>
    </w:p>
    <w:p>
      <w:pPr>
        <w:pStyle w:val="BodyText"/>
        <w:spacing w:line="338" w:lineRule="auto" w:before="29"/>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不适用</w:t>
      </w:r>
    </w:p>
    <w:p>
      <w:pPr>
        <w:spacing w:line="240" w:lineRule="auto" w:before="4"/>
        <w:rPr>
          <w:rFonts w:ascii="宋体" w:hAnsi="宋体" w:cs="宋体" w:eastAsia="宋体" w:hint="default"/>
          <w:sz w:val="21"/>
          <w:szCs w:val="21"/>
        </w:rPr>
      </w:pPr>
    </w:p>
    <w:p>
      <w:pPr>
        <w:pStyle w:val="Heading3"/>
        <w:spacing w:line="240" w:lineRule="auto"/>
        <w:ind w:right="812"/>
        <w:jc w:val="left"/>
        <w:rPr>
          <w:b w:val="0"/>
          <w:bCs w:val="0"/>
        </w:rPr>
      </w:pPr>
      <w:bookmarkStart w:name="（2）重要联营企业的主要财务信息" w:id="316"/>
      <w:bookmarkEnd w:id="316"/>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106,340,714.07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6,934,151.07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181,860,634.23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46,516.85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288,201,348.30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6,980,667.92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85,655,879.87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250,924.39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36,651,951.82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122,307,831.69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250,924.39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165,893,516.61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6,729,743.53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45,113,905.24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2,691,897.41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2,150,186.45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47,264,091.69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4,842,083.86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230,156,289.60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34,349,639.65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9,055,385.06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730,935.00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-661,761.07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461,130.02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8,393,623.99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1,192,065.02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812"/>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812"/>
        <w:jc w:val="left"/>
        <w:rPr>
          <w:b w:val="0"/>
          <w:bCs w:val="0"/>
        </w:rPr>
      </w:pPr>
      <w:bookmarkStart w:name="九、与金融工具相关的风险" w:id="317"/>
      <w:bookmarkEnd w:id="317"/>
      <w:r>
        <w:rPr>
          <w:b w:val="0"/>
          <w:bCs w:val="0"/>
        </w:rPr>
      </w:r>
      <w:r>
        <w:rPr/>
        <w:t>九、与金融工具相关的风险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812" w:firstLine="360"/>
        <w:jc w:val="left"/>
      </w:pPr>
      <w:r>
        <w:rPr>
          <w:spacing w:val="-2"/>
        </w:rPr>
        <w:t>本公司的主要金融工具包括可供出售金融资产、应收票据及应收账款、应付账款等。这些金融工具的主要目的在于为本</w:t>
      </w:r>
      <w:r>
        <w:rPr/>
        <w:t> 公司的运营融资。本公司具有多种因经营而直接产生的其他金融资产和负债。</w:t>
      </w:r>
    </w:p>
    <w:p>
      <w:pPr>
        <w:pStyle w:val="BodyText"/>
        <w:spacing w:line="240" w:lineRule="auto" w:before="139"/>
        <w:ind w:left="514" w:right="812"/>
        <w:jc w:val="left"/>
      </w:pPr>
      <w:r>
        <w:rPr/>
        <w:t>本公司的金融工具导致的主要风险是信用风险、流动风险及市场风险。</w:t>
      </w:r>
    </w:p>
    <w:p>
      <w:pPr>
        <w:spacing w:line="240" w:lineRule="auto" w:before="2"/>
        <w:rPr>
          <w:rFonts w:ascii="宋体" w:hAnsi="宋体" w:cs="宋体" w:eastAsia="宋体" w:hint="default"/>
          <w:sz w:val="20"/>
          <w:szCs w:val="20"/>
        </w:rPr>
      </w:pPr>
    </w:p>
    <w:p>
      <w:pPr>
        <w:pStyle w:val="BodyText"/>
        <w:spacing w:line="525" w:lineRule="auto"/>
        <w:ind w:left="514" w:right="6432"/>
        <w:jc w:val="left"/>
      </w:pPr>
      <w:bookmarkStart w:name="（一）金融工具分类" w:id="318"/>
      <w:bookmarkEnd w:id="318"/>
      <w:r>
        <w:rPr/>
      </w:r>
      <w:r>
        <w:rPr/>
        <w:t>（一）金融工具分类 </w:t>
      </w:r>
      <w:r>
        <w:rPr>
          <w:rFonts w:ascii="宋体" w:hAnsi="宋体" w:cs="宋体" w:eastAsia="宋体" w:hint="default"/>
        </w:rPr>
        <w:t>1.</w:t>
      </w:r>
      <w:r>
        <w:rPr/>
        <w:t>资产负债表日的各类金融资产的账面价值如下：</w:t>
      </w:r>
    </w:p>
    <w:p>
      <w:pPr>
        <w:spacing w:line="240" w:lineRule="auto" w:before="5"/>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1369"/>
        <w:gridCol w:w="3312"/>
        <w:gridCol w:w="1042"/>
        <w:gridCol w:w="1293"/>
        <w:gridCol w:w="1409"/>
        <w:gridCol w:w="1216"/>
      </w:tblGrid>
      <w:tr>
        <w:trPr>
          <w:trHeight w:val="290" w:hRule="exact"/>
        </w:trPr>
        <w:tc>
          <w:tcPr>
            <w:tcW w:w="9640"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35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7"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3312" w:type="dxa"/>
            <w:vMerge w:val="restart"/>
            <w:tcBorders>
              <w:top w:val="nil" w:sz="6" w:space="0" w:color="auto"/>
              <w:left w:val="nil" w:sz="6" w:space="0" w:color="auto"/>
              <w:right w:val="nil" w:sz="6" w:space="0" w:color="auto"/>
            </w:tcBorders>
          </w:tcPr>
          <w:p>
            <w:pPr>
              <w:pStyle w:val="TableParagraph"/>
              <w:spacing w:line="367" w:lineRule="auto" w:before="94"/>
              <w:ind w:left="1274" w:right="49" w:hanging="1264"/>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以公允价值计量且其变动计入当期损益的</w:t>
            </w:r>
            <w:r>
              <w:rPr>
                <w:rFonts w:ascii="宋体" w:hAnsi="宋体" w:cs="宋体" w:eastAsia="宋体" w:hint="default"/>
                <w:b/>
                <w:bCs/>
                <w:spacing w:val="72"/>
                <w:w w:val="95"/>
                <w:sz w:val="18"/>
                <w:szCs w:val="18"/>
              </w:rPr>
              <w:t> </w:t>
            </w:r>
            <w:r>
              <w:rPr>
                <w:rFonts w:ascii="宋体" w:hAnsi="宋体" w:cs="宋体" w:eastAsia="宋体" w:hint="default"/>
                <w:b/>
                <w:bCs/>
                <w:spacing w:val="72"/>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1042" w:type="dxa"/>
            <w:vMerge w:val="restart"/>
            <w:tcBorders>
              <w:top w:val="nil" w:sz="6" w:space="0" w:color="auto"/>
              <w:left w:val="nil" w:sz="6" w:space="0" w:color="auto"/>
              <w:right w:val="nil" w:sz="6" w:space="0" w:color="auto"/>
            </w:tcBorders>
          </w:tcPr>
          <w:p>
            <w:pPr>
              <w:pStyle w:val="TableParagraph"/>
              <w:spacing w:line="367" w:lineRule="auto" w:before="94"/>
              <w:ind w:left="322" w:right="84" w:hanging="272"/>
              <w:jc w:val="left"/>
              <w:rPr>
                <w:rFonts w:ascii="宋体" w:hAnsi="宋体" w:cs="宋体" w:eastAsia="宋体" w:hint="default"/>
                <w:sz w:val="18"/>
                <w:szCs w:val="18"/>
              </w:rPr>
            </w:pPr>
            <w:r>
              <w:rPr>
                <w:rFonts w:ascii="宋体" w:hAnsi="宋体" w:cs="宋体" w:eastAsia="宋体" w:hint="default"/>
                <w:b/>
                <w:bCs/>
                <w:sz w:val="18"/>
                <w:szCs w:val="18"/>
              </w:rPr>
              <w:t>持有至到期</w:t>
            </w:r>
            <w:r>
              <w:rPr>
                <w:rFonts w:ascii="宋体" w:hAnsi="宋体" w:cs="宋体" w:eastAsia="宋体" w:hint="default"/>
                <w:b/>
                <w:bCs/>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293" w:type="dxa"/>
            <w:vMerge w:val="restart"/>
            <w:tcBorders>
              <w:top w:val="nil" w:sz="6" w:space="0" w:color="auto"/>
              <w:left w:val="nil" w:sz="6" w:space="0" w:color="auto"/>
              <w:right w:val="nil" w:sz="6" w:space="0" w:color="auto"/>
            </w:tcBorders>
          </w:tcPr>
          <w:p>
            <w:pPr>
              <w:pStyle w:val="TableParagraph"/>
              <w:spacing w:line="367" w:lineRule="auto" w:before="94"/>
              <w:ind w:left="537" w:right="120" w:hanging="452"/>
              <w:jc w:val="left"/>
              <w:rPr>
                <w:rFonts w:ascii="宋体" w:hAnsi="宋体" w:cs="宋体" w:eastAsia="宋体" w:hint="default"/>
                <w:sz w:val="18"/>
                <w:szCs w:val="18"/>
              </w:rPr>
            </w:pPr>
            <w:r>
              <w:rPr>
                <w:rFonts w:ascii="宋体" w:hAnsi="宋体" w:cs="宋体" w:eastAsia="宋体" w:hint="default"/>
                <w:b/>
                <w:bCs/>
                <w:sz w:val="18"/>
                <w:szCs w:val="18"/>
              </w:rPr>
              <w:t>贷款和应收款</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409" w:type="dxa"/>
            <w:vMerge w:val="restart"/>
            <w:tcBorders>
              <w:top w:val="nil" w:sz="6" w:space="0" w:color="auto"/>
              <w:left w:val="nil" w:sz="6" w:space="0" w:color="auto"/>
              <w:right w:val="nil" w:sz="6" w:space="0" w:color="auto"/>
            </w:tcBorders>
          </w:tcPr>
          <w:p>
            <w:pPr>
              <w:pStyle w:val="TableParagraph"/>
              <w:spacing w:line="367" w:lineRule="auto" w:before="94"/>
              <w:ind w:left="574" w:right="111" w:hanging="543"/>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216" w:type="dxa"/>
            <w:tcBorders>
              <w:top w:val="nil" w:sz="6" w:space="0" w:color="auto"/>
              <w:left w:val="nil" w:sz="6" w:space="0" w:color="auto"/>
              <w:bottom w:val="nil" w:sz="6" w:space="0" w:color="auto"/>
              <w:right w:val="nil" w:sz="6" w:space="0" w:color="auto"/>
            </w:tcBorders>
          </w:tcPr>
          <w:p>
            <w:pPr/>
          </w:p>
        </w:tc>
      </w:tr>
      <w:tr>
        <w:trPr>
          <w:trHeight w:val="472" w:hRule="exact"/>
        </w:trPr>
        <w:tc>
          <w:tcPr>
            <w:tcW w:w="1369" w:type="dxa"/>
            <w:tcBorders>
              <w:top w:val="nil" w:sz="6" w:space="0" w:color="auto"/>
              <w:left w:val="nil" w:sz="6" w:space="0" w:color="auto"/>
              <w:bottom w:val="single" w:sz="4" w:space="0" w:color="000000"/>
              <w:right w:val="nil" w:sz="6" w:space="0" w:color="auto"/>
            </w:tcBorders>
          </w:tcPr>
          <w:p>
            <w:pPr/>
          </w:p>
        </w:tc>
        <w:tc>
          <w:tcPr>
            <w:tcW w:w="3312" w:type="dxa"/>
            <w:vMerge/>
            <w:tcBorders>
              <w:left w:val="nil" w:sz="6" w:space="0" w:color="auto"/>
              <w:bottom w:val="single" w:sz="4" w:space="0" w:color="000000"/>
              <w:right w:val="nil" w:sz="6" w:space="0" w:color="auto"/>
            </w:tcBorders>
          </w:tcPr>
          <w:p>
            <w:pPr/>
          </w:p>
        </w:tc>
        <w:tc>
          <w:tcPr>
            <w:tcW w:w="1042" w:type="dxa"/>
            <w:vMerge/>
            <w:tcBorders>
              <w:left w:val="nil" w:sz="6" w:space="0" w:color="auto"/>
              <w:bottom w:val="single" w:sz="4" w:space="0" w:color="000000"/>
              <w:right w:val="nil" w:sz="6" w:space="0" w:color="auto"/>
            </w:tcBorders>
          </w:tcPr>
          <w:p>
            <w:pPr/>
          </w:p>
        </w:tc>
        <w:tc>
          <w:tcPr>
            <w:tcW w:w="1293" w:type="dxa"/>
            <w:vMerge/>
            <w:tcBorders>
              <w:left w:val="nil" w:sz="6" w:space="0" w:color="auto"/>
              <w:bottom w:val="single" w:sz="4" w:space="0" w:color="000000"/>
              <w:right w:val="nil" w:sz="6" w:space="0" w:color="auto"/>
            </w:tcBorders>
          </w:tcPr>
          <w:p>
            <w:pPr/>
          </w:p>
        </w:tc>
        <w:tc>
          <w:tcPr>
            <w:tcW w:w="1409" w:type="dxa"/>
            <w:vMerge/>
            <w:tcBorders>
              <w:left w:val="nil" w:sz="6" w:space="0" w:color="auto"/>
              <w:bottom w:val="single" w:sz="4" w:space="0" w:color="000000"/>
              <w:right w:val="nil" w:sz="6" w:space="0" w:color="auto"/>
            </w:tcBorders>
          </w:tcPr>
          <w:p>
            <w:pPr/>
          </w:p>
        </w:tc>
        <w:tc>
          <w:tcPr>
            <w:tcW w:w="1216" w:type="dxa"/>
            <w:tcBorders>
              <w:top w:val="nil" w:sz="6" w:space="0" w:color="auto"/>
              <w:left w:val="nil" w:sz="6" w:space="0" w:color="auto"/>
              <w:bottom w:val="single" w:sz="4" w:space="0" w:color="000000"/>
              <w:right w:val="nil" w:sz="6" w:space="0" w:color="auto"/>
            </w:tcBorders>
          </w:tcPr>
          <w:p>
            <w:pPr>
              <w:pStyle w:val="TableParagraph"/>
              <w:spacing w:line="200" w:lineRule="exact"/>
              <w:ind w:right="4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8" w:hRule="exact"/>
        </w:trPr>
        <w:tc>
          <w:tcPr>
            <w:tcW w:w="136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
        </w:tc>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0"/>
              <w:jc w:val="right"/>
              <w:rPr>
                <w:rFonts w:ascii="宋体" w:hAnsi="宋体" w:cs="宋体" w:eastAsia="宋体" w:hint="default"/>
                <w:sz w:val="18"/>
                <w:szCs w:val="18"/>
              </w:rPr>
            </w:pPr>
            <w:r>
              <w:rPr>
                <w:rFonts w:ascii="宋体"/>
                <w:sz w:val="18"/>
              </w:rPr>
              <w:t>662,539,376.26</w:t>
            </w:r>
          </w:p>
        </w:tc>
        <w:tc>
          <w:tcPr>
            <w:tcW w:w="1409" w:type="dxa"/>
            <w:tcBorders>
              <w:top w:val="single" w:sz="4" w:space="0" w:color="000000"/>
              <w:left w:val="nil" w:sz="6" w:space="0" w:color="auto"/>
              <w:bottom w:val="nil" w:sz="6" w:space="0" w:color="auto"/>
              <w:right w:val="nil" w:sz="6" w:space="0" w:color="auto"/>
            </w:tcBorders>
          </w:tcPr>
          <w:p>
            <w:pP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5" w:right="0"/>
              <w:jc w:val="center"/>
              <w:rPr>
                <w:rFonts w:ascii="宋体" w:hAnsi="宋体" w:cs="宋体" w:eastAsia="宋体" w:hint="default"/>
                <w:sz w:val="18"/>
                <w:szCs w:val="18"/>
              </w:rPr>
            </w:pPr>
            <w:r>
              <w:rPr>
                <w:rFonts w:ascii="宋体"/>
                <w:sz w:val="18"/>
              </w:rPr>
              <w:t>662,539,376.26</w:t>
            </w:r>
          </w:p>
        </w:tc>
      </w:tr>
      <w:tr>
        <w:trPr>
          <w:trHeight w:val="80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367" w:lineRule="auto" w:before="74"/>
              <w:ind w:right="8"/>
              <w:jc w:val="left"/>
              <w:rPr>
                <w:rFonts w:ascii="宋体" w:hAnsi="宋体" w:cs="宋体" w:eastAsia="宋体" w:hint="default"/>
                <w:sz w:val="18"/>
                <w:szCs w:val="18"/>
              </w:rPr>
            </w:pPr>
            <w:r>
              <w:rPr>
                <w:rFonts w:ascii="宋体" w:hAnsi="宋体" w:cs="宋体" w:eastAsia="宋体" w:hint="default"/>
                <w:spacing w:val="13"/>
                <w:sz w:val="18"/>
                <w:szCs w:val="18"/>
              </w:rPr>
              <w:t>应收票据及应收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账款</w:t>
            </w:r>
          </w:p>
        </w:tc>
        <w:tc>
          <w:tcPr>
            <w:tcW w:w="331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8"/>
                <w:szCs w:val="18"/>
              </w:rPr>
            </w:pPr>
            <w:r>
              <w:rPr>
                <w:rFonts w:ascii="宋体"/>
                <w:sz w:val="18"/>
              </w:rPr>
              <w:t>98,557,673.23</w:t>
            </w:r>
          </w:p>
        </w:tc>
        <w:tc>
          <w:tcPr>
            <w:tcW w:w="1409"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5" w:right="0"/>
              <w:jc w:val="center"/>
              <w:rPr>
                <w:rFonts w:ascii="宋体" w:hAnsi="宋体" w:cs="宋体" w:eastAsia="宋体" w:hint="default"/>
                <w:sz w:val="18"/>
                <w:szCs w:val="18"/>
              </w:rPr>
            </w:pPr>
            <w:r>
              <w:rPr>
                <w:rFonts w:ascii="宋体"/>
                <w:sz w:val="18"/>
              </w:rPr>
              <w:t>98,557,673.23</w:t>
            </w:r>
          </w:p>
        </w:tc>
      </w:tr>
      <w:tr>
        <w:trPr>
          <w:trHeight w:val="44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8"/>
                <w:szCs w:val="18"/>
              </w:rPr>
            </w:pPr>
            <w:r>
              <w:rPr>
                <w:rFonts w:ascii="宋体"/>
                <w:sz w:val="18"/>
              </w:rPr>
              <w:t>8,836,478.76</w:t>
            </w:r>
          </w:p>
        </w:tc>
        <w:tc>
          <w:tcPr>
            <w:tcW w:w="1409"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5" w:right="0"/>
              <w:jc w:val="center"/>
              <w:rPr>
                <w:rFonts w:ascii="宋体" w:hAnsi="宋体" w:cs="宋体" w:eastAsia="宋体" w:hint="default"/>
                <w:sz w:val="18"/>
                <w:szCs w:val="18"/>
              </w:rPr>
            </w:pPr>
            <w:r>
              <w:rPr>
                <w:rFonts w:ascii="宋体"/>
                <w:sz w:val="18"/>
              </w:rPr>
              <w:t>8,836,478.76</w:t>
            </w:r>
          </w:p>
        </w:tc>
      </w:tr>
      <w:tr>
        <w:trPr>
          <w:trHeight w:val="80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367" w:lineRule="auto" w:before="74"/>
              <w:ind w:right="8"/>
              <w:jc w:val="left"/>
              <w:rPr>
                <w:rFonts w:ascii="宋体" w:hAnsi="宋体" w:cs="宋体" w:eastAsia="宋体" w:hint="default"/>
                <w:sz w:val="18"/>
                <w:szCs w:val="18"/>
              </w:rPr>
            </w:pPr>
            <w:r>
              <w:rPr>
                <w:rFonts w:ascii="宋体" w:hAnsi="宋体" w:cs="宋体" w:eastAsia="宋体" w:hint="default"/>
                <w:spacing w:val="13"/>
                <w:sz w:val="18"/>
                <w:szCs w:val="18"/>
              </w:rPr>
              <w:t>可供出售金融资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331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3" w:right="0"/>
              <w:jc w:val="left"/>
              <w:rPr>
                <w:rFonts w:ascii="宋体" w:hAnsi="宋体" w:cs="宋体" w:eastAsia="宋体" w:hint="default"/>
                <w:sz w:val="18"/>
                <w:szCs w:val="18"/>
              </w:rPr>
            </w:pPr>
            <w:r>
              <w:rPr>
                <w:rFonts w:ascii="宋体"/>
                <w:sz w:val="18"/>
              </w:rPr>
              <w:t>20,909,091.00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5" w:right="0"/>
              <w:jc w:val="center"/>
              <w:rPr>
                <w:rFonts w:ascii="宋体" w:hAnsi="宋体" w:cs="宋体" w:eastAsia="宋体" w:hint="default"/>
                <w:sz w:val="18"/>
                <w:szCs w:val="18"/>
              </w:rPr>
            </w:pPr>
            <w:r>
              <w:rPr>
                <w:rFonts w:ascii="宋体"/>
                <w:sz w:val="18"/>
              </w:rPr>
              <w:t>20,909,091.00</w:t>
            </w:r>
          </w:p>
        </w:tc>
      </w:tr>
      <w:tr>
        <w:trPr>
          <w:trHeight w:val="310" w:hRule="exact"/>
        </w:trPr>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8"/>
                <w:szCs w:val="18"/>
              </w:rPr>
            </w:pPr>
            <w:r>
              <w:rPr>
                <w:rFonts w:ascii="宋体"/>
                <w:sz w:val="18"/>
              </w:rPr>
              <w:t>541,000,000.00</w:t>
            </w:r>
          </w:p>
        </w:tc>
        <w:tc>
          <w:tcPr>
            <w:tcW w:w="1409"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5" w:right="0"/>
              <w:jc w:val="center"/>
              <w:rPr>
                <w:rFonts w:ascii="宋体" w:hAnsi="宋体" w:cs="宋体" w:eastAsia="宋体" w:hint="default"/>
                <w:sz w:val="18"/>
                <w:szCs w:val="18"/>
              </w:rPr>
            </w:pPr>
            <w:r>
              <w:rPr>
                <w:rFonts w:ascii="宋体"/>
                <w:sz w:val="18"/>
              </w:rPr>
              <w:t>541,000,000.00</w:t>
            </w:r>
          </w:p>
        </w:tc>
      </w:tr>
    </w:tbl>
    <w:p>
      <w:pPr>
        <w:spacing w:line="240" w:lineRule="auto" w:before="3"/>
        <w:rPr>
          <w:rFonts w:ascii="宋体" w:hAnsi="宋体" w:cs="宋体" w:eastAsia="宋体" w:hint="default"/>
          <w:sz w:val="12"/>
          <w:szCs w:val="12"/>
        </w:rPr>
      </w:pPr>
    </w:p>
    <w:p>
      <w:pPr>
        <w:pStyle w:val="BodyText"/>
        <w:spacing w:line="240" w:lineRule="auto" w:before="44"/>
        <w:ind w:left="514" w:right="812"/>
        <w:jc w:val="left"/>
      </w:pPr>
      <w:r>
        <w:rPr/>
        <w:t>续上表：</w:t>
      </w:r>
    </w:p>
    <w:p>
      <w:pPr>
        <w:spacing w:line="240" w:lineRule="auto" w:before="9"/>
        <w:rPr>
          <w:rFonts w:ascii="宋体" w:hAnsi="宋体" w:cs="宋体" w:eastAsia="宋体"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1374"/>
        <w:gridCol w:w="3317"/>
        <w:gridCol w:w="1045"/>
        <w:gridCol w:w="1290"/>
        <w:gridCol w:w="1547"/>
        <w:gridCol w:w="1066"/>
      </w:tblGrid>
      <w:tr>
        <w:trPr>
          <w:trHeight w:val="290" w:hRule="exact"/>
        </w:trPr>
        <w:tc>
          <w:tcPr>
            <w:tcW w:w="9640"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36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9"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3317" w:type="dxa"/>
            <w:vMerge w:val="restart"/>
            <w:tcBorders>
              <w:top w:val="nil" w:sz="6" w:space="0" w:color="auto"/>
              <w:left w:val="nil" w:sz="6" w:space="0" w:color="auto"/>
              <w:right w:val="nil" w:sz="6" w:space="0" w:color="auto"/>
            </w:tcBorders>
          </w:tcPr>
          <w:p>
            <w:pPr>
              <w:pStyle w:val="TableParagraph"/>
              <w:spacing w:line="367" w:lineRule="auto" w:before="95"/>
              <w:ind w:left="1276" w:right="52" w:hanging="1264"/>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以公允价值计量且其变动计入当期损益的</w:t>
            </w:r>
            <w:r>
              <w:rPr>
                <w:rFonts w:ascii="宋体" w:hAnsi="宋体" w:cs="宋体" w:eastAsia="宋体" w:hint="default"/>
                <w:b/>
                <w:bCs/>
                <w:spacing w:val="72"/>
                <w:w w:val="95"/>
                <w:sz w:val="18"/>
                <w:szCs w:val="18"/>
              </w:rPr>
              <w:t> </w:t>
            </w:r>
            <w:r>
              <w:rPr>
                <w:rFonts w:ascii="宋体" w:hAnsi="宋体" w:cs="宋体" w:eastAsia="宋体" w:hint="default"/>
                <w:b/>
                <w:bCs/>
                <w:spacing w:val="72"/>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1045" w:type="dxa"/>
            <w:vMerge w:val="restart"/>
            <w:tcBorders>
              <w:top w:val="nil" w:sz="6" w:space="0" w:color="auto"/>
              <w:left w:val="nil" w:sz="6" w:space="0" w:color="auto"/>
              <w:right w:val="nil" w:sz="6" w:space="0" w:color="auto"/>
            </w:tcBorders>
          </w:tcPr>
          <w:p>
            <w:pPr>
              <w:pStyle w:val="TableParagraph"/>
              <w:spacing w:line="367" w:lineRule="auto" w:before="95"/>
              <w:ind w:left="325" w:right="85" w:hanging="272"/>
              <w:jc w:val="left"/>
              <w:rPr>
                <w:rFonts w:ascii="宋体" w:hAnsi="宋体" w:cs="宋体" w:eastAsia="宋体" w:hint="default"/>
                <w:sz w:val="18"/>
                <w:szCs w:val="18"/>
              </w:rPr>
            </w:pPr>
            <w:r>
              <w:rPr>
                <w:rFonts w:ascii="宋体" w:hAnsi="宋体" w:cs="宋体" w:eastAsia="宋体" w:hint="default"/>
                <w:b/>
                <w:bCs/>
                <w:sz w:val="18"/>
                <w:szCs w:val="18"/>
              </w:rPr>
              <w:t>持有至到期</w:t>
            </w:r>
            <w:r>
              <w:rPr>
                <w:rFonts w:ascii="宋体" w:hAnsi="宋体" w:cs="宋体" w:eastAsia="宋体" w:hint="default"/>
                <w:b/>
                <w:bCs/>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290" w:type="dxa"/>
            <w:vMerge w:val="restart"/>
            <w:tcBorders>
              <w:top w:val="nil" w:sz="6" w:space="0" w:color="auto"/>
              <w:left w:val="nil" w:sz="6" w:space="0" w:color="auto"/>
              <w:right w:val="nil" w:sz="6" w:space="0" w:color="auto"/>
            </w:tcBorders>
          </w:tcPr>
          <w:p>
            <w:pPr>
              <w:pStyle w:val="TableParagraph"/>
              <w:spacing w:line="367" w:lineRule="auto" w:before="95"/>
              <w:ind w:left="538" w:right="117" w:hanging="452"/>
              <w:jc w:val="left"/>
              <w:rPr>
                <w:rFonts w:ascii="宋体" w:hAnsi="宋体" w:cs="宋体" w:eastAsia="宋体" w:hint="default"/>
                <w:sz w:val="18"/>
                <w:szCs w:val="18"/>
              </w:rPr>
            </w:pPr>
            <w:r>
              <w:rPr>
                <w:rFonts w:ascii="宋体" w:hAnsi="宋体" w:cs="宋体" w:eastAsia="宋体" w:hint="default"/>
                <w:b/>
                <w:bCs/>
                <w:sz w:val="18"/>
                <w:szCs w:val="18"/>
              </w:rPr>
              <w:t>贷款和应收款</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547" w:type="dxa"/>
            <w:vMerge w:val="restart"/>
            <w:tcBorders>
              <w:top w:val="nil" w:sz="6" w:space="0" w:color="auto"/>
              <w:left w:val="nil" w:sz="6" w:space="0" w:color="auto"/>
              <w:right w:val="nil" w:sz="6" w:space="0" w:color="auto"/>
            </w:tcBorders>
          </w:tcPr>
          <w:p>
            <w:pPr>
              <w:pStyle w:val="TableParagraph"/>
              <w:spacing w:line="367" w:lineRule="auto" w:before="95"/>
              <w:ind w:left="571" w:right="252" w:hanging="543"/>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066" w:type="dxa"/>
            <w:tcBorders>
              <w:top w:val="nil" w:sz="6" w:space="0" w:color="auto"/>
              <w:left w:val="nil" w:sz="6" w:space="0" w:color="auto"/>
              <w:bottom w:val="nil" w:sz="6" w:space="0" w:color="auto"/>
              <w:right w:val="nil" w:sz="6" w:space="0" w:color="auto"/>
            </w:tcBorders>
          </w:tcPr>
          <w:p>
            <w:pPr/>
          </w:p>
        </w:tc>
      </w:tr>
      <w:tr>
        <w:trPr>
          <w:trHeight w:val="472" w:hRule="exact"/>
        </w:trPr>
        <w:tc>
          <w:tcPr>
            <w:tcW w:w="1374" w:type="dxa"/>
            <w:tcBorders>
              <w:top w:val="nil" w:sz="6" w:space="0" w:color="auto"/>
              <w:left w:val="nil" w:sz="6" w:space="0" w:color="auto"/>
              <w:bottom w:val="single" w:sz="4" w:space="0" w:color="000000"/>
              <w:right w:val="nil" w:sz="6" w:space="0" w:color="auto"/>
            </w:tcBorders>
          </w:tcPr>
          <w:p>
            <w:pPr/>
          </w:p>
        </w:tc>
        <w:tc>
          <w:tcPr>
            <w:tcW w:w="3317" w:type="dxa"/>
            <w:vMerge/>
            <w:tcBorders>
              <w:left w:val="nil" w:sz="6" w:space="0" w:color="auto"/>
              <w:bottom w:val="single" w:sz="4" w:space="0" w:color="000000"/>
              <w:right w:val="nil" w:sz="6" w:space="0" w:color="auto"/>
            </w:tcBorders>
          </w:tcPr>
          <w:p>
            <w:pPr/>
          </w:p>
        </w:tc>
        <w:tc>
          <w:tcPr>
            <w:tcW w:w="1045" w:type="dxa"/>
            <w:vMerge/>
            <w:tcBorders>
              <w:left w:val="nil" w:sz="6" w:space="0" w:color="auto"/>
              <w:bottom w:val="single" w:sz="4" w:space="0" w:color="000000"/>
              <w:right w:val="nil" w:sz="6" w:space="0" w:color="auto"/>
            </w:tcBorders>
          </w:tcPr>
          <w:p>
            <w:pPr/>
          </w:p>
        </w:tc>
        <w:tc>
          <w:tcPr>
            <w:tcW w:w="1290" w:type="dxa"/>
            <w:vMerge/>
            <w:tcBorders>
              <w:left w:val="nil" w:sz="6" w:space="0" w:color="auto"/>
              <w:bottom w:val="single" w:sz="4" w:space="0" w:color="000000"/>
              <w:right w:val="nil" w:sz="6" w:space="0" w:color="auto"/>
            </w:tcBorders>
          </w:tcPr>
          <w:p>
            <w:pPr/>
          </w:p>
        </w:tc>
        <w:tc>
          <w:tcPr>
            <w:tcW w:w="1547" w:type="dxa"/>
            <w:vMerge/>
            <w:tcBorders>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201"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9" w:hRule="exact"/>
        </w:trPr>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6"/>
              <w:jc w:val="center"/>
              <w:rPr>
                <w:rFonts w:ascii="宋体" w:hAnsi="宋体" w:cs="宋体" w:eastAsia="宋体" w:hint="default"/>
                <w:sz w:val="18"/>
                <w:szCs w:val="18"/>
              </w:rPr>
            </w:pPr>
            <w:r>
              <w:rPr>
                <w:rFonts w:ascii="宋体"/>
                <w:sz w:val="18"/>
              </w:rPr>
              <w:t>588,138,656.27</w:t>
            </w:r>
          </w:p>
        </w:tc>
        <w:tc>
          <w:tcPr>
            <w:tcW w:w="261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18"/>
              <w:ind w:left="1353" w:right="0"/>
              <w:jc w:val="left"/>
              <w:rPr>
                <w:rFonts w:ascii="宋体" w:hAnsi="宋体" w:cs="宋体" w:eastAsia="宋体" w:hint="default"/>
                <w:sz w:val="18"/>
                <w:szCs w:val="18"/>
              </w:rPr>
            </w:pPr>
            <w:r>
              <w:rPr>
                <w:rFonts w:ascii="宋体"/>
                <w:sz w:val="18"/>
              </w:rPr>
              <w:t>588,138,656.27</w:t>
            </w:r>
          </w:p>
        </w:tc>
      </w:tr>
      <w:tr>
        <w:trPr>
          <w:trHeight w:val="31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pacing w:val="13"/>
                <w:sz w:val="18"/>
                <w:szCs w:val="18"/>
              </w:rPr>
              <w:t>应收票据及应收</w:t>
            </w:r>
          </w:p>
        </w:tc>
        <w:tc>
          <w:tcPr>
            <w:tcW w:w="331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center"/>
              <w:rPr>
                <w:rFonts w:ascii="宋体" w:hAnsi="宋体" w:cs="宋体" w:eastAsia="宋体" w:hint="default"/>
                <w:sz w:val="18"/>
                <w:szCs w:val="18"/>
              </w:rPr>
            </w:pPr>
            <w:r>
              <w:rPr>
                <w:rFonts w:ascii="宋体"/>
                <w:sz w:val="18"/>
              </w:rPr>
              <w:t>69,874,484.41</w:t>
            </w:r>
          </w:p>
        </w:tc>
        <w:tc>
          <w:tcPr>
            <w:tcW w:w="2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443" w:right="0"/>
              <w:jc w:val="left"/>
              <w:rPr>
                <w:rFonts w:ascii="宋体" w:hAnsi="宋体" w:cs="宋体" w:eastAsia="宋体" w:hint="default"/>
                <w:sz w:val="18"/>
                <w:szCs w:val="18"/>
              </w:rPr>
            </w:pPr>
            <w:r>
              <w:rPr>
                <w:rFonts w:ascii="宋体"/>
                <w:sz w:val="18"/>
              </w:rPr>
              <w:t>69,874,484.41</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73" w:type="dxa"/>
        <w:tblLayout w:type="fixed"/>
        <w:tblCellMar>
          <w:top w:w="0" w:type="dxa"/>
          <w:left w:w="0" w:type="dxa"/>
          <w:bottom w:w="0" w:type="dxa"/>
          <w:right w:w="0" w:type="dxa"/>
        </w:tblCellMar>
        <w:tblLook w:val="01E0"/>
      </w:tblPr>
      <w:tblGrid>
        <w:gridCol w:w="1374"/>
        <w:gridCol w:w="3317"/>
        <w:gridCol w:w="1045"/>
        <w:gridCol w:w="1290"/>
        <w:gridCol w:w="1443"/>
        <w:gridCol w:w="1170"/>
      </w:tblGrid>
      <w:tr>
        <w:trPr>
          <w:trHeight w:val="290" w:hRule="exact"/>
        </w:trPr>
        <w:tc>
          <w:tcPr>
            <w:tcW w:w="9640"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360"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9"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3317" w:type="dxa"/>
            <w:vMerge w:val="restart"/>
            <w:tcBorders>
              <w:top w:val="nil" w:sz="6" w:space="0" w:color="auto"/>
              <w:left w:val="nil" w:sz="6" w:space="0" w:color="auto"/>
              <w:right w:val="nil" w:sz="6" w:space="0" w:color="auto"/>
            </w:tcBorders>
          </w:tcPr>
          <w:p>
            <w:pPr>
              <w:pStyle w:val="TableParagraph"/>
              <w:spacing w:line="367" w:lineRule="auto" w:before="95"/>
              <w:ind w:left="1276" w:right="52" w:hanging="1264"/>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以公允价值计量且其变动计入当期损益的</w:t>
            </w:r>
            <w:r>
              <w:rPr>
                <w:rFonts w:ascii="宋体" w:hAnsi="宋体" w:cs="宋体" w:eastAsia="宋体" w:hint="default"/>
                <w:b/>
                <w:bCs/>
                <w:spacing w:val="72"/>
                <w:w w:val="95"/>
                <w:sz w:val="18"/>
                <w:szCs w:val="18"/>
              </w:rPr>
              <w:t> </w:t>
            </w:r>
            <w:r>
              <w:rPr>
                <w:rFonts w:ascii="宋体" w:hAnsi="宋体" w:cs="宋体" w:eastAsia="宋体" w:hint="default"/>
                <w:b/>
                <w:bCs/>
                <w:spacing w:val="72"/>
                <w:w w:val="95"/>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1045" w:type="dxa"/>
            <w:vMerge w:val="restart"/>
            <w:tcBorders>
              <w:top w:val="nil" w:sz="6" w:space="0" w:color="auto"/>
              <w:left w:val="nil" w:sz="6" w:space="0" w:color="auto"/>
              <w:right w:val="nil" w:sz="6" w:space="0" w:color="auto"/>
            </w:tcBorders>
          </w:tcPr>
          <w:p>
            <w:pPr>
              <w:pStyle w:val="TableParagraph"/>
              <w:spacing w:line="367" w:lineRule="auto" w:before="95"/>
              <w:ind w:left="325" w:right="85" w:hanging="272"/>
              <w:jc w:val="left"/>
              <w:rPr>
                <w:rFonts w:ascii="宋体" w:hAnsi="宋体" w:cs="宋体" w:eastAsia="宋体" w:hint="default"/>
                <w:sz w:val="18"/>
                <w:szCs w:val="18"/>
              </w:rPr>
            </w:pPr>
            <w:r>
              <w:rPr>
                <w:rFonts w:ascii="宋体" w:hAnsi="宋体" w:cs="宋体" w:eastAsia="宋体" w:hint="default"/>
                <w:b/>
                <w:bCs/>
                <w:sz w:val="18"/>
                <w:szCs w:val="18"/>
              </w:rPr>
              <w:t>持有至到期</w:t>
            </w:r>
            <w:r>
              <w:rPr>
                <w:rFonts w:ascii="宋体" w:hAnsi="宋体" w:cs="宋体" w:eastAsia="宋体" w:hint="default"/>
                <w:b/>
                <w:bCs/>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290" w:type="dxa"/>
            <w:vMerge w:val="restart"/>
            <w:tcBorders>
              <w:top w:val="nil" w:sz="6" w:space="0" w:color="auto"/>
              <w:left w:val="nil" w:sz="6" w:space="0" w:color="auto"/>
              <w:right w:val="nil" w:sz="6" w:space="0" w:color="auto"/>
            </w:tcBorders>
          </w:tcPr>
          <w:p>
            <w:pPr>
              <w:pStyle w:val="TableParagraph"/>
              <w:spacing w:line="367" w:lineRule="auto" w:before="95"/>
              <w:ind w:left="538" w:right="117" w:hanging="452"/>
              <w:jc w:val="left"/>
              <w:rPr>
                <w:rFonts w:ascii="宋体" w:hAnsi="宋体" w:cs="宋体" w:eastAsia="宋体" w:hint="default"/>
                <w:sz w:val="18"/>
                <w:szCs w:val="18"/>
              </w:rPr>
            </w:pPr>
            <w:r>
              <w:rPr>
                <w:rFonts w:ascii="宋体" w:hAnsi="宋体" w:cs="宋体" w:eastAsia="宋体" w:hint="default"/>
                <w:b/>
                <w:bCs/>
                <w:sz w:val="18"/>
                <w:szCs w:val="18"/>
              </w:rPr>
              <w:t>贷款和应收款</w:t>
            </w:r>
            <w:r>
              <w:rPr>
                <w:rFonts w:ascii="宋体" w:hAnsi="宋体" w:cs="宋体" w:eastAsia="宋体" w:hint="default"/>
                <w:b/>
                <w:bCs/>
                <w:w w:val="99"/>
                <w:sz w:val="18"/>
                <w:szCs w:val="18"/>
              </w:rPr>
              <w:t> </w:t>
            </w:r>
            <w:r>
              <w:rPr>
                <w:rFonts w:ascii="宋体" w:hAnsi="宋体" w:cs="宋体" w:eastAsia="宋体" w:hint="default"/>
                <w:b/>
                <w:bCs/>
                <w:sz w:val="18"/>
                <w:szCs w:val="18"/>
              </w:rPr>
              <w:t>项</w:t>
            </w:r>
            <w:r>
              <w:rPr>
                <w:rFonts w:ascii="宋体" w:hAnsi="宋体" w:cs="宋体" w:eastAsia="宋体" w:hint="default"/>
                <w:sz w:val="18"/>
                <w:szCs w:val="18"/>
              </w:rPr>
            </w:r>
          </w:p>
        </w:tc>
        <w:tc>
          <w:tcPr>
            <w:tcW w:w="1443" w:type="dxa"/>
            <w:vMerge w:val="restart"/>
            <w:tcBorders>
              <w:top w:val="nil" w:sz="6" w:space="0" w:color="auto"/>
              <w:left w:val="nil" w:sz="6" w:space="0" w:color="auto"/>
              <w:right w:val="nil" w:sz="6" w:space="0" w:color="auto"/>
            </w:tcBorders>
          </w:tcPr>
          <w:p>
            <w:pPr>
              <w:pStyle w:val="TableParagraph"/>
              <w:spacing w:line="367" w:lineRule="auto" w:before="95"/>
              <w:ind w:left="571" w:right="148" w:hanging="543"/>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170" w:type="dxa"/>
            <w:tcBorders>
              <w:top w:val="nil" w:sz="6" w:space="0" w:color="auto"/>
              <w:left w:val="nil" w:sz="6" w:space="0" w:color="auto"/>
              <w:bottom w:val="nil" w:sz="6" w:space="0" w:color="auto"/>
              <w:right w:val="nil" w:sz="6" w:space="0" w:color="auto"/>
            </w:tcBorders>
          </w:tcPr>
          <w:p>
            <w:pPr/>
          </w:p>
        </w:tc>
      </w:tr>
      <w:tr>
        <w:trPr>
          <w:trHeight w:val="471" w:hRule="exact"/>
        </w:trPr>
        <w:tc>
          <w:tcPr>
            <w:tcW w:w="1374" w:type="dxa"/>
            <w:tcBorders>
              <w:top w:val="nil" w:sz="6" w:space="0" w:color="auto"/>
              <w:left w:val="nil" w:sz="6" w:space="0" w:color="auto"/>
              <w:bottom w:val="single" w:sz="4" w:space="0" w:color="000000"/>
              <w:right w:val="nil" w:sz="6" w:space="0" w:color="auto"/>
            </w:tcBorders>
          </w:tcPr>
          <w:p>
            <w:pPr/>
          </w:p>
        </w:tc>
        <w:tc>
          <w:tcPr>
            <w:tcW w:w="3317" w:type="dxa"/>
            <w:vMerge/>
            <w:tcBorders>
              <w:left w:val="nil" w:sz="6" w:space="0" w:color="auto"/>
              <w:bottom w:val="single" w:sz="4" w:space="0" w:color="000000"/>
              <w:right w:val="nil" w:sz="6" w:space="0" w:color="auto"/>
            </w:tcBorders>
          </w:tcPr>
          <w:p>
            <w:pPr/>
          </w:p>
        </w:tc>
        <w:tc>
          <w:tcPr>
            <w:tcW w:w="1045" w:type="dxa"/>
            <w:vMerge/>
            <w:tcBorders>
              <w:left w:val="nil" w:sz="6" w:space="0" w:color="auto"/>
              <w:bottom w:val="single" w:sz="4" w:space="0" w:color="000000"/>
              <w:right w:val="nil" w:sz="6" w:space="0" w:color="auto"/>
            </w:tcBorders>
          </w:tcPr>
          <w:p>
            <w:pPr/>
          </w:p>
        </w:tc>
        <w:tc>
          <w:tcPr>
            <w:tcW w:w="1290" w:type="dxa"/>
            <w:vMerge/>
            <w:tcBorders>
              <w:left w:val="nil" w:sz="6" w:space="0" w:color="auto"/>
              <w:bottom w:val="single" w:sz="4" w:space="0" w:color="000000"/>
              <w:right w:val="nil" w:sz="6" w:space="0" w:color="auto"/>
            </w:tcBorders>
          </w:tcPr>
          <w:p>
            <w:pPr/>
          </w:p>
        </w:tc>
        <w:tc>
          <w:tcPr>
            <w:tcW w:w="1443" w:type="dxa"/>
            <w:vMerge/>
            <w:tcBorders>
              <w:left w:val="nil" w:sz="6" w:space="0" w:color="auto"/>
              <w:bottom w:val="single" w:sz="4" w:space="0" w:color="000000"/>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200"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9" w:hRule="exact"/>
        </w:trPr>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3317" w:type="dxa"/>
            <w:tcBorders>
              <w:top w:val="single" w:sz="4" w:space="0" w:color="000000"/>
              <w:left w:val="nil" w:sz="6" w:space="0" w:color="auto"/>
              <w:bottom w:val="nil" w:sz="6" w:space="0" w:color="auto"/>
              <w:right w:val="nil" w:sz="6" w:space="0" w:color="auto"/>
            </w:tcBorders>
          </w:tcPr>
          <w:p>
            <w:pPr/>
          </w:p>
        </w:tc>
        <w:tc>
          <w:tcPr>
            <w:tcW w:w="1045" w:type="dxa"/>
            <w:tcBorders>
              <w:top w:val="single" w:sz="4" w:space="0" w:color="000000"/>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宋体" w:hAnsi="宋体" w:cs="宋体" w:eastAsia="宋体" w:hint="default"/>
                <w:sz w:val="18"/>
                <w:szCs w:val="18"/>
              </w:rPr>
            </w:pPr>
            <w:r>
              <w:rPr>
                <w:rFonts w:ascii="宋体"/>
                <w:sz w:val="18"/>
              </w:rPr>
              <w:t>9,199,518.23</w:t>
            </w:r>
          </w:p>
        </w:tc>
        <w:tc>
          <w:tcPr>
            <w:tcW w:w="1443"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9,199,518.23</w:t>
            </w:r>
          </w:p>
        </w:tc>
      </w:tr>
      <w:tr>
        <w:trPr>
          <w:trHeight w:val="80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367" w:lineRule="auto" w:before="74"/>
              <w:ind w:right="10"/>
              <w:jc w:val="left"/>
              <w:rPr>
                <w:rFonts w:ascii="宋体" w:hAnsi="宋体" w:cs="宋体" w:eastAsia="宋体" w:hint="default"/>
                <w:sz w:val="18"/>
                <w:szCs w:val="18"/>
              </w:rPr>
            </w:pPr>
            <w:r>
              <w:rPr>
                <w:rFonts w:ascii="宋体" w:hAnsi="宋体" w:cs="宋体" w:eastAsia="宋体" w:hint="default"/>
                <w:spacing w:val="13"/>
                <w:sz w:val="18"/>
                <w:szCs w:val="18"/>
              </w:rPr>
              <w:t>可供出售金融资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w:t>
            </w:r>
          </w:p>
        </w:tc>
        <w:tc>
          <w:tcPr>
            <w:tcW w:w="331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sz w:val="18"/>
              </w:rPr>
              <w:t>5,000,000.00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5,000,000.00</w:t>
            </w:r>
          </w:p>
        </w:tc>
      </w:tr>
      <w:tr>
        <w:trPr>
          <w:trHeight w:val="31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宋体" w:hAnsi="宋体" w:cs="宋体" w:eastAsia="宋体" w:hint="default"/>
                <w:sz w:val="18"/>
                <w:szCs w:val="18"/>
              </w:rPr>
            </w:pPr>
            <w:r>
              <w:rPr>
                <w:rFonts w:ascii="宋体"/>
                <w:sz w:val="18"/>
              </w:rPr>
              <w:t>690,000,000.00</w:t>
            </w:r>
          </w:p>
        </w:tc>
        <w:tc>
          <w:tcPr>
            <w:tcW w:w="26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353" w:right="0"/>
              <w:jc w:val="left"/>
              <w:rPr>
                <w:rFonts w:ascii="宋体" w:hAnsi="宋体" w:cs="宋体" w:eastAsia="宋体" w:hint="default"/>
                <w:sz w:val="18"/>
                <w:szCs w:val="18"/>
              </w:rPr>
            </w:pPr>
            <w:r>
              <w:rPr>
                <w:rFonts w:ascii="宋体"/>
                <w:sz w:val="18"/>
              </w:rPr>
              <w:t>690,000,000.00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34" w:right="0"/>
        <w:jc w:val="left"/>
      </w:pPr>
      <w:r>
        <w:rPr>
          <w:rFonts w:ascii="宋体" w:hAnsi="宋体" w:cs="宋体" w:eastAsia="宋体" w:hint="default"/>
        </w:rPr>
        <w:t>2.</w:t>
      </w:r>
      <w:r>
        <w:rPr/>
        <w:t>资产负债表日的各类金融负债的账面价值如下：</w:t>
      </w:r>
    </w:p>
    <w:p>
      <w:pPr>
        <w:spacing w:line="240" w:lineRule="auto" w:before="9"/>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298"/>
        <w:gridCol w:w="3102"/>
        <w:gridCol w:w="1891"/>
        <w:gridCol w:w="1488"/>
      </w:tblGrid>
      <w:tr>
        <w:trPr>
          <w:trHeight w:val="290" w:hRule="exact"/>
        </w:trPr>
        <w:tc>
          <w:tcPr>
            <w:tcW w:w="3298" w:type="dxa"/>
            <w:tcBorders>
              <w:top w:val="nil" w:sz="6" w:space="0" w:color="auto"/>
              <w:left w:val="nil" w:sz="6" w:space="0" w:color="auto"/>
              <w:bottom w:val="nil" w:sz="6" w:space="0" w:color="auto"/>
              <w:right w:val="nil" w:sz="6" w:space="0" w:color="auto"/>
            </w:tcBorders>
          </w:tcPr>
          <w:p>
            <w:pPr/>
          </w:p>
        </w:tc>
        <w:tc>
          <w:tcPr>
            <w:tcW w:w="3102"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891"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3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9"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102" w:type="dxa"/>
            <w:vMerge w:val="restart"/>
            <w:tcBorders>
              <w:top w:val="nil" w:sz="6" w:space="0" w:color="auto"/>
              <w:left w:val="nil" w:sz="6" w:space="0" w:color="auto"/>
              <w:right w:val="nil" w:sz="6" w:space="0" w:color="auto"/>
            </w:tcBorders>
          </w:tcPr>
          <w:p>
            <w:pPr>
              <w:pStyle w:val="TableParagraph"/>
              <w:spacing w:line="367" w:lineRule="auto" w:before="94"/>
              <w:ind w:left="934" w:right="178"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891"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r>
      <w:tr>
        <w:trPr>
          <w:trHeight w:val="472" w:hRule="exact"/>
        </w:trPr>
        <w:tc>
          <w:tcPr>
            <w:tcW w:w="3298" w:type="dxa"/>
            <w:tcBorders>
              <w:top w:val="nil" w:sz="6" w:space="0" w:color="auto"/>
              <w:left w:val="nil" w:sz="6" w:space="0" w:color="auto"/>
              <w:bottom w:val="single" w:sz="4" w:space="0" w:color="000000"/>
              <w:right w:val="nil" w:sz="6" w:space="0" w:color="auto"/>
            </w:tcBorders>
          </w:tcPr>
          <w:p>
            <w:pPr/>
          </w:p>
        </w:tc>
        <w:tc>
          <w:tcPr>
            <w:tcW w:w="3102" w:type="dxa"/>
            <w:vMerge/>
            <w:tcBorders>
              <w:left w:val="nil" w:sz="6" w:space="0" w:color="auto"/>
              <w:bottom w:val="single" w:sz="4" w:space="0" w:color="000000"/>
              <w:right w:val="nil" w:sz="6" w:space="0" w:color="auto"/>
            </w:tcBorders>
          </w:tcPr>
          <w:p>
            <w:pPr/>
          </w:p>
        </w:tc>
        <w:tc>
          <w:tcPr>
            <w:tcW w:w="1891" w:type="dxa"/>
            <w:tcBorders>
              <w:top w:val="nil" w:sz="6" w:space="0" w:color="auto"/>
              <w:left w:val="nil" w:sz="6" w:space="0" w:color="auto"/>
              <w:bottom w:val="single" w:sz="4" w:space="0" w:color="000000"/>
              <w:right w:val="nil" w:sz="6" w:space="0" w:color="auto"/>
            </w:tcBorders>
          </w:tcPr>
          <w:p>
            <w:pPr>
              <w:pStyle w:val="TableParagraph"/>
              <w:spacing w:line="200"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200" w:lineRule="exact"/>
              <w:ind w:left="4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8" w:hRule="exact"/>
        </w:trPr>
        <w:tc>
          <w:tcPr>
            <w:tcW w:w="329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102" w:type="dxa"/>
            <w:tcBorders>
              <w:top w:val="single" w:sz="4" w:space="0" w:color="000000"/>
              <w:left w:val="nil" w:sz="6" w:space="0" w:color="auto"/>
              <w:bottom w:val="nil" w:sz="6" w:space="0" w:color="auto"/>
              <w:right w:val="nil" w:sz="6" w:space="0" w:color="auto"/>
            </w:tcBorders>
          </w:tcPr>
          <w:p>
            <w:pP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15"/>
              <w:jc w:val="right"/>
              <w:rPr>
                <w:rFonts w:ascii="宋体" w:hAnsi="宋体" w:cs="宋体" w:eastAsia="宋体" w:hint="default"/>
                <w:sz w:val="18"/>
                <w:szCs w:val="18"/>
              </w:rPr>
            </w:pPr>
            <w:r>
              <w:rPr>
                <w:rFonts w:ascii="宋体"/>
                <w:sz w:val="18"/>
              </w:rPr>
              <w:t>82,563,306.90</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right"/>
              <w:rPr>
                <w:rFonts w:ascii="宋体" w:hAnsi="宋体" w:cs="宋体" w:eastAsia="宋体" w:hint="default"/>
                <w:sz w:val="18"/>
                <w:szCs w:val="18"/>
              </w:rPr>
            </w:pPr>
            <w:r>
              <w:rPr>
                <w:rFonts w:ascii="宋体"/>
                <w:sz w:val="18"/>
              </w:rPr>
              <w:t>82,563,306.90</w:t>
            </w:r>
          </w:p>
        </w:tc>
      </w:tr>
      <w:tr>
        <w:trPr>
          <w:trHeight w:val="44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02"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5"/>
              <w:jc w:val="right"/>
              <w:rPr>
                <w:rFonts w:ascii="宋体" w:hAnsi="宋体" w:cs="宋体" w:eastAsia="宋体" w:hint="default"/>
                <w:sz w:val="18"/>
                <w:szCs w:val="18"/>
              </w:rPr>
            </w:pPr>
            <w:r>
              <w:rPr>
                <w:rFonts w:ascii="宋体"/>
                <w:sz w:val="18"/>
              </w:rPr>
              <w:t>6,094,845.83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6,094,845.83</w:t>
            </w:r>
          </w:p>
        </w:tc>
      </w:tr>
      <w:tr>
        <w:trPr>
          <w:trHeight w:val="3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02"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5"/>
              <w:jc w:val="right"/>
              <w:rPr>
                <w:rFonts w:ascii="宋体" w:hAnsi="宋体" w:cs="宋体" w:eastAsia="宋体" w:hint="default"/>
                <w:sz w:val="18"/>
                <w:szCs w:val="18"/>
              </w:rPr>
            </w:pPr>
            <w:r>
              <w:rPr>
                <w:rFonts w:ascii="宋体"/>
                <w:sz w:val="18"/>
              </w:rPr>
              <w:t>80,514,840.00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80,514,840.00</w:t>
            </w:r>
          </w:p>
        </w:tc>
      </w:tr>
    </w:tbl>
    <w:p>
      <w:pPr>
        <w:spacing w:line="240" w:lineRule="auto" w:before="4"/>
        <w:rPr>
          <w:rFonts w:ascii="宋体" w:hAnsi="宋体" w:cs="宋体" w:eastAsia="宋体" w:hint="default"/>
          <w:sz w:val="12"/>
          <w:szCs w:val="12"/>
        </w:rPr>
      </w:pPr>
    </w:p>
    <w:p>
      <w:pPr>
        <w:pStyle w:val="BodyText"/>
        <w:spacing w:line="240" w:lineRule="auto" w:before="44"/>
        <w:ind w:left="534" w:right="0"/>
        <w:jc w:val="left"/>
      </w:pPr>
      <w:r>
        <w:rPr/>
        <w:t>续上表：</w:t>
      </w:r>
    </w:p>
    <w:p>
      <w:pPr>
        <w:spacing w:line="240" w:lineRule="auto" w:before="9"/>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3298"/>
        <w:gridCol w:w="3102"/>
        <w:gridCol w:w="1846"/>
        <w:gridCol w:w="1533"/>
      </w:tblGrid>
      <w:tr>
        <w:trPr>
          <w:trHeight w:val="290" w:hRule="exact"/>
        </w:trPr>
        <w:tc>
          <w:tcPr>
            <w:tcW w:w="3298" w:type="dxa"/>
            <w:tcBorders>
              <w:top w:val="nil" w:sz="6" w:space="0" w:color="auto"/>
              <w:left w:val="nil" w:sz="6" w:space="0" w:color="auto"/>
              <w:bottom w:val="nil" w:sz="6" w:space="0" w:color="auto"/>
              <w:right w:val="nil" w:sz="6" w:space="0" w:color="auto"/>
            </w:tcBorders>
          </w:tcPr>
          <w:p>
            <w:pPr/>
          </w:p>
        </w:tc>
        <w:tc>
          <w:tcPr>
            <w:tcW w:w="3102" w:type="dxa"/>
            <w:tcBorders>
              <w:top w:val="nil" w:sz="6" w:space="0" w:color="auto"/>
              <w:left w:val="nil" w:sz="6" w:space="0" w:color="auto"/>
              <w:bottom w:val="nil" w:sz="6" w:space="0" w:color="auto"/>
              <w:right w:val="nil" w:sz="6" w:space="0" w:color="auto"/>
            </w:tcBorders>
          </w:tcPr>
          <w:p>
            <w:pPr>
              <w:pStyle w:val="TableParagraph"/>
              <w:spacing w:line="180" w:lineRule="exact"/>
              <w:ind w:right="49"/>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846"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3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9"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102" w:type="dxa"/>
            <w:vMerge w:val="restart"/>
            <w:tcBorders>
              <w:top w:val="nil" w:sz="6" w:space="0" w:color="auto"/>
              <w:left w:val="nil" w:sz="6" w:space="0" w:color="auto"/>
              <w:right w:val="nil" w:sz="6" w:space="0" w:color="auto"/>
            </w:tcBorders>
          </w:tcPr>
          <w:p>
            <w:pPr>
              <w:pStyle w:val="TableParagraph"/>
              <w:spacing w:line="367" w:lineRule="auto" w:before="94"/>
              <w:ind w:left="934" w:right="178"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846"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472" w:hRule="exact"/>
        </w:trPr>
        <w:tc>
          <w:tcPr>
            <w:tcW w:w="3298" w:type="dxa"/>
            <w:tcBorders>
              <w:top w:val="nil" w:sz="6" w:space="0" w:color="auto"/>
              <w:left w:val="nil" w:sz="6" w:space="0" w:color="auto"/>
              <w:bottom w:val="single" w:sz="4" w:space="0" w:color="000000"/>
              <w:right w:val="nil" w:sz="6" w:space="0" w:color="auto"/>
            </w:tcBorders>
          </w:tcPr>
          <w:p>
            <w:pPr/>
          </w:p>
        </w:tc>
        <w:tc>
          <w:tcPr>
            <w:tcW w:w="3102" w:type="dxa"/>
            <w:vMerge/>
            <w:tcBorders>
              <w:left w:val="nil" w:sz="6" w:space="0" w:color="auto"/>
              <w:bottom w:val="single" w:sz="4" w:space="0" w:color="000000"/>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200"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00"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8" w:hRule="exact"/>
        </w:trPr>
        <w:tc>
          <w:tcPr>
            <w:tcW w:w="329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102"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70"/>
              <w:jc w:val="right"/>
              <w:rPr>
                <w:rFonts w:ascii="宋体" w:hAnsi="宋体" w:cs="宋体" w:eastAsia="宋体" w:hint="default"/>
                <w:sz w:val="18"/>
                <w:szCs w:val="18"/>
              </w:rPr>
            </w:pPr>
            <w:r>
              <w:rPr>
                <w:rFonts w:ascii="宋体"/>
                <w:sz w:val="18"/>
              </w:rPr>
              <w:t>100,004,878.46</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right"/>
              <w:rPr>
                <w:rFonts w:ascii="宋体" w:hAnsi="宋体" w:cs="宋体" w:eastAsia="宋体" w:hint="default"/>
                <w:sz w:val="18"/>
                <w:szCs w:val="18"/>
              </w:rPr>
            </w:pPr>
            <w:r>
              <w:rPr>
                <w:rFonts w:ascii="宋体"/>
                <w:sz w:val="18"/>
              </w:rPr>
              <w:t>100,004,878.46</w:t>
            </w:r>
          </w:p>
        </w:tc>
      </w:tr>
      <w:tr>
        <w:trPr>
          <w:trHeight w:val="44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0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0"/>
              <w:jc w:val="right"/>
              <w:rPr>
                <w:rFonts w:ascii="宋体" w:hAnsi="宋体" w:cs="宋体" w:eastAsia="宋体" w:hint="default"/>
                <w:sz w:val="18"/>
                <w:szCs w:val="18"/>
              </w:rPr>
            </w:pPr>
            <w:r>
              <w:rPr>
                <w:rFonts w:ascii="宋体"/>
                <w:sz w:val="18"/>
              </w:rPr>
              <w:t>3,247,514.57</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3,247,514.57</w:t>
            </w:r>
          </w:p>
        </w:tc>
      </w:tr>
      <w:tr>
        <w:trPr>
          <w:trHeight w:val="310" w:hRule="exact"/>
        </w:trPr>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0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0"/>
              <w:jc w:val="right"/>
              <w:rPr>
                <w:rFonts w:ascii="宋体" w:hAnsi="宋体" w:cs="宋体" w:eastAsia="宋体" w:hint="default"/>
                <w:sz w:val="18"/>
                <w:szCs w:val="18"/>
              </w:rPr>
            </w:pPr>
            <w:r>
              <w:rPr>
                <w:rFonts w:ascii="宋体"/>
                <w:sz w:val="18"/>
              </w:rPr>
              <w:t>19,897,500.00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19,897,500.00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34" w:right="0"/>
        <w:jc w:val="left"/>
      </w:pPr>
      <w:bookmarkStart w:name="（二）信用风险" w:id="319"/>
      <w:bookmarkEnd w:id="319"/>
      <w:r>
        <w:rPr/>
      </w:r>
      <w:r>
        <w:rPr/>
        <w:t>（二）信用风险</w:t>
      </w:r>
    </w:p>
    <w:p>
      <w:pPr>
        <w:spacing w:line="240" w:lineRule="auto" w:before="6"/>
        <w:rPr>
          <w:rFonts w:ascii="宋体" w:hAnsi="宋体" w:cs="宋体" w:eastAsia="宋体" w:hint="default"/>
          <w:sz w:val="21"/>
          <w:szCs w:val="21"/>
        </w:rPr>
      </w:pPr>
    </w:p>
    <w:p>
      <w:pPr>
        <w:pStyle w:val="BodyText"/>
        <w:spacing w:line="367" w:lineRule="auto"/>
        <w:ind w:left="174" w:right="1130" w:firstLine="360"/>
        <w:jc w:val="both"/>
      </w:pPr>
      <w:r>
        <w:rPr/>
        <w:t>信用风险指金融工具的一方不履行义务，造成另一方发生财务损失的风险，截至</w:t>
      </w:r>
      <w:r>
        <w:rPr>
          <w:spacing w:val="-45"/>
        </w:rPr>
        <w:t> </w:t>
      </w:r>
      <w:r>
        <w:rPr>
          <w:rFonts w:ascii="宋体" w:hAnsi="宋体" w:cs="宋体" w:eastAsia="宋体" w:hint="default"/>
        </w:rPr>
        <w:t>2018</w:t>
      </w:r>
      <w:r>
        <w:rPr>
          <w:rFonts w:ascii="宋体" w:hAnsi="宋体" w:cs="宋体" w:eastAsia="宋体" w:hint="default"/>
          <w:spacing w:val="-44"/>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日，可能引起本公司 财务损失的最大信用风险敞口主要来自于合同另一方未能履行义务而导致本公司金融资产产生的损失。</w:t>
      </w:r>
    </w:p>
    <w:p>
      <w:pPr>
        <w:spacing w:line="240" w:lineRule="auto" w:before="2"/>
        <w:rPr>
          <w:rFonts w:ascii="宋体" w:hAnsi="宋体" w:cs="宋体" w:eastAsia="宋体" w:hint="default"/>
          <w:sz w:val="14"/>
          <w:szCs w:val="14"/>
        </w:rPr>
      </w:pPr>
    </w:p>
    <w:p>
      <w:pPr>
        <w:pStyle w:val="BodyText"/>
        <w:spacing w:line="367" w:lineRule="auto"/>
        <w:ind w:left="174" w:right="1133" w:firstLine="360"/>
        <w:jc w:val="both"/>
      </w:pPr>
      <w:r>
        <w:rPr>
          <w:spacing w:val="-2"/>
        </w:rPr>
        <w:t>本公司的交易对象，多为信誉良好的银行、大型公司，同时为降低信用风险，本公司建立了信用审批机制，对所有客户</w:t>
      </w:r>
      <w:r>
        <w:rPr/>
        <w:t> </w:t>
      </w:r>
      <w:r>
        <w:rPr>
          <w:spacing w:val="-2"/>
        </w:rPr>
        <w:t>进行信用评级。此外，本公司于每个资产负债表日对应收款项的回收情况进行审核，以确保就无法回收的款项计提充分的坏</w:t>
      </w:r>
      <w:r>
        <w:rPr>
          <w:spacing w:val="-66"/>
        </w:rPr>
        <w:t> </w:t>
      </w:r>
      <w:r>
        <w:rPr>
          <w:spacing w:val="-66"/>
        </w:rPr>
      </w:r>
      <w:r>
        <w:rPr/>
        <w:t>账准备。因此，本公司管理层认为本公司所承担的信用风险已经大为降低。</w:t>
      </w:r>
    </w:p>
    <w:p>
      <w:pPr>
        <w:spacing w:line="240" w:lineRule="auto" w:before="2"/>
        <w:rPr>
          <w:rFonts w:ascii="宋体" w:hAnsi="宋体" w:cs="宋体" w:eastAsia="宋体" w:hint="default"/>
          <w:sz w:val="14"/>
          <w:szCs w:val="14"/>
        </w:rPr>
      </w:pPr>
    </w:p>
    <w:p>
      <w:pPr>
        <w:pStyle w:val="BodyText"/>
        <w:spacing w:line="240" w:lineRule="auto"/>
        <w:ind w:left="534" w:right="0"/>
        <w:jc w:val="left"/>
      </w:pPr>
      <w:r>
        <w:rPr/>
        <w:t>本公司的流动资金存放在信用评级较高的银行，故流动资金的信用风险较低。</w:t>
      </w:r>
    </w:p>
    <w:p>
      <w:pPr>
        <w:spacing w:after="0" w:line="240" w:lineRule="auto"/>
        <w:jc w:val="left"/>
        <w:sectPr>
          <w:pgSz w:w="11910" w:h="16840"/>
          <w:pgMar w:header="877" w:footer="979" w:top="1100" w:bottom="1160" w:left="960" w:right="0"/>
        </w:sectPr>
      </w:pPr>
    </w:p>
    <w:p>
      <w:pPr>
        <w:spacing w:line="240" w:lineRule="auto" w:before="0"/>
        <w:rPr>
          <w:rFonts w:ascii="宋体" w:hAnsi="宋体" w:cs="宋体" w:eastAsia="宋体" w:hint="default"/>
          <w:sz w:val="27"/>
          <w:szCs w:val="27"/>
        </w:rPr>
      </w:pPr>
    </w:p>
    <w:p>
      <w:pPr>
        <w:pStyle w:val="BodyText"/>
        <w:spacing w:line="240" w:lineRule="auto" w:before="44"/>
        <w:ind w:left="514" w:right="812"/>
        <w:jc w:val="left"/>
      </w:pPr>
      <w:bookmarkStart w:name="（三）流动风险" w:id="320"/>
      <w:bookmarkEnd w:id="320"/>
      <w:r>
        <w:rPr/>
      </w:r>
      <w:r>
        <w:rPr/>
        <w:t>（三）流动风险</w:t>
      </w:r>
    </w:p>
    <w:p>
      <w:pPr>
        <w:spacing w:line="240" w:lineRule="auto" w:before="6"/>
        <w:rPr>
          <w:rFonts w:ascii="宋体" w:hAnsi="宋体" w:cs="宋体" w:eastAsia="宋体" w:hint="default"/>
          <w:sz w:val="21"/>
          <w:szCs w:val="21"/>
        </w:rPr>
      </w:pPr>
    </w:p>
    <w:p>
      <w:pPr>
        <w:pStyle w:val="BodyText"/>
        <w:spacing w:line="367" w:lineRule="auto"/>
        <w:ind w:right="812" w:firstLine="360"/>
        <w:jc w:val="left"/>
      </w:pPr>
      <w:r>
        <w:rPr>
          <w:spacing w:val="-2"/>
        </w:rPr>
        <w:t>流动风险是指企业在履行以交付现金或其他金融资产的方式结算的义务时发生资金短缺的风险。管理流动风险时，本公</w:t>
      </w:r>
      <w:r>
        <w:rPr/>
        <w:t> 司保持管理层认为充分的现金及现金等价物并对其进行监控，以满足本公司经营需要，并降低现金流量波动的影响。</w:t>
      </w:r>
    </w:p>
    <w:p>
      <w:pPr>
        <w:spacing w:line="240" w:lineRule="auto" w:before="2"/>
        <w:rPr>
          <w:rFonts w:ascii="宋体" w:hAnsi="宋体" w:cs="宋体" w:eastAsia="宋体" w:hint="default"/>
          <w:sz w:val="14"/>
          <w:szCs w:val="14"/>
        </w:rPr>
      </w:pPr>
    </w:p>
    <w:p>
      <w:pPr>
        <w:pStyle w:val="BodyText"/>
        <w:spacing w:line="240" w:lineRule="auto"/>
        <w:ind w:left="514" w:right="812"/>
        <w:jc w:val="left"/>
      </w:pPr>
      <w:bookmarkStart w:name="（四）市场风险" w:id="321"/>
      <w:bookmarkEnd w:id="321"/>
      <w:r>
        <w:rPr/>
      </w:r>
      <w:r>
        <w:rPr/>
        <w:t>（四）市场风险</w:t>
      </w:r>
    </w:p>
    <w:p>
      <w:pPr>
        <w:spacing w:line="240" w:lineRule="auto" w:before="6"/>
        <w:rPr>
          <w:rFonts w:ascii="宋体" w:hAnsi="宋体" w:cs="宋体" w:eastAsia="宋体" w:hint="default"/>
          <w:sz w:val="21"/>
          <w:szCs w:val="21"/>
        </w:rPr>
      </w:pPr>
    </w:p>
    <w:p>
      <w:pPr>
        <w:pStyle w:val="BodyText"/>
        <w:spacing w:line="367" w:lineRule="auto"/>
        <w:ind w:right="1032" w:firstLine="360"/>
        <w:jc w:val="left"/>
      </w:pPr>
      <w:r>
        <w:rPr/>
        <w:t>市场风险，是指金融工具的公允价值或未来现金流量因市场价格变动而发生波动的风险。市场风险主要包括利率风险、 外汇风险。</w:t>
      </w:r>
    </w:p>
    <w:p>
      <w:pPr>
        <w:spacing w:line="240" w:lineRule="auto" w:before="2"/>
        <w:rPr>
          <w:rFonts w:ascii="宋体" w:hAnsi="宋体" w:cs="宋体" w:eastAsia="宋体" w:hint="default"/>
          <w:sz w:val="14"/>
          <w:szCs w:val="14"/>
        </w:rPr>
      </w:pPr>
    </w:p>
    <w:p>
      <w:pPr>
        <w:pStyle w:val="BodyText"/>
        <w:spacing w:line="525" w:lineRule="auto"/>
        <w:ind w:left="514" w:right="3912"/>
        <w:jc w:val="left"/>
      </w:pPr>
      <w:r>
        <w:rPr>
          <w:rFonts w:ascii="宋体" w:hAnsi="宋体" w:cs="宋体" w:eastAsia="宋体" w:hint="default"/>
        </w:rPr>
        <w:t>1.</w:t>
      </w:r>
      <w:r>
        <w:rPr/>
        <w:t>利率风险 截至报告期末，本公司无银行借款及其他浮动利率金融工具，暂不存在利率风险。 </w:t>
      </w:r>
      <w:r>
        <w:rPr>
          <w:rFonts w:ascii="宋体" w:hAnsi="宋体" w:cs="宋体" w:eastAsia="宋体" w:hint="default"/>
        </w:rPr>
        <w:t>2.</w:t>
      </w:r>
      <w:r>
        <w:rPr/>
        <w:t>汇率风险</w:t>
      </w:r>
    </w:p>
    <w:p>
      <w:pPr>
        <w:pStyle w:val="BodyText"/>
        <w:spacing w:line="367" w:lineRule="auto" w:before="66"/>
        <w:ind w:right="1113" w:firstLine="360"/>
        <w:jc w:val="left"/>
      </w:pPr>
      <w:r>
        <w:rPr>
          <w:spacing w:val="-3"/>
        </w:rPr>
        <w:t>截至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日，本公司外币资产及负债余额详见本节七、（四十七）“外币货币性项目”</w:t>
      </w:r>
      <w:r>
        <w:rPr>
          <w:rFonts w:ascii="宋体" w:hAnsi="宋体" w:cs="宋体" w:eastAsia="宋体" w:hint="default"/>
          <w:spacing w:val="-3"/>
        </w:rPr>
        <w:t>,</w:t>
      </w:r>
      <w:r>
        <w:rPr>
          <w:spacing w:val="-3"/>
        </w:rPr>
        <w:t>外币货币性项目产生的</w:t>
      </w:r>
      <w:r>
        <w:rPr/>
        <w:t> 外汇风险可能对本公司的经营业绩产生影响。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510" w:lineRule="atLeast"/>
        <w:ind w:left="514" w:right="812"/>
        <w:jc w:val="left"/>
      </w:pPr>
      <w:bookmarkStart w:name="（五）资本管理" w:id="322"/>
      <w:bookmarkEnd w:id="322"/>
      <w:r>
        <w:rPr/>
      </w:r>
      <w:r>
        <w:rPr/>
        <w:t>（五）资本管理 </w:t>
      </w:r>
      <w:r>
        <w:rPr>
          <w:spacing w:val="-2"/>
        </w:rPr>
        <w:t>本公司资本管理政策的目标是为了保障本公司能够持续经营，从而为股东提供回报，并使其他利益相关者获益，同时维</w:t>
      </w:r>
    </w:p>
    <w:p>
      <w:pPr>
        <w:pStyle w:val="BodyText"/>
        <w:spacing w:line="367" w:lineRule="auto" w:before="124"/>
        <w:ind w:right="812"/>
        <w:jc w:val="left"/>
      </w:pPr>
      <w:r>
        <w:rPr>
          <w:spacing w:val="-4"/>
        </w:rPr>
        <w:t>持最佳的资本结构以降低资本成本，为了维持或调整资本结构，本公司可能会调整支付给股东的股利金额、向股东返还资本、</w:t>
      </w:r>
      <w:r>
        <w:rPr>
          <w:spacing w:val="-44"/>
        </w:rPr>
        <w:t> </w:t>
      </w:r>
      <w:r>
        <w:rPr>
          <w:spacing w:val="-44"/>
        </w:rPr>
      </w:r>
      <w:r>
        <w:rPr/>
        <w:t>发行新股或出售资产以降低债务。本公司以资产负债率（即总负债除以总资产）为基础对资本结构进行监控。于</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1"/>
        </w:rPr>
        <w:t> </w:t>
      </w:r>
      <w:r>
        <w:rPr/>
        <w:t>月</w:t>
      </w:r>
      <w:r>
        <w:rPr>
          <w:rFonts w:ascii="宋体" w:hAnsi="宋体" w:cs="宋体" w:eastAsia="宋体" w:hint="default"/>
        </w:rPr>
        <w:t>31</w:t>
      </w:r>
      <w:r>
        <w:rPr/>
        <w:t>日，本公司的资产负债率为</w:t>
      </w:r>
      <w:r>
        <w:rPr>
          <w:rFonts w:ascii="宋体" w:hAnsi="宋体" w:cs="宋体" w:eastAsia="宋体" w:hint="default"/>
        </w:rPr>
        <w:t>12.46%</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日资产负债率为</w:t>
      </w:r>
      <w:r>
        <w:rPr>
          <w:rFonts w:ascii="宋体" w:hAnsi="宋体" w:cs="宋体" w:eastAsia="宋体" w:hint="default"/>
        </w:rPr>
        <w:t>15.70%</w:t>
      </w:r>
      <w:r>
        <w:rPr/>
        <w:t>。</w:t>
      </w:r>
    </w:p>
    <w:p>
      <w:pPr>
        <w:spacing w:line="240" w:lineRule="auto" w:before="5"/>
        <w:rPr>
          <w:rFonts w:ascii="宋体" w:hAnsi="宋体" w:cs="宋体" w:eastAsia="宋体" w:hint="default"/>
          <w:sz w:val="21"/>
          <w:szCs w:val="21"/>
        </w:rPr>
      </w:pPr>
    </w:p>
    <w:tbl>
      <w:tblPr>
        <w:tblW w:w="0" w:type="auto"/>
        <w:jc w:val="left"/>
        <w:tblInd w:w="794" w:type="dxa"/>
        <w:tblLayout w:type="fixed"/>
        <w:tblCellMar>
          <w:top w:w="0" w:type="dxa"/>
          <w:left w:w="0" w:type="dxa"/>
          <w:bottom w:w="0" w:type="dxa"/>
          <w:right w:w="0" w:type="dxa"/>
        </w:tblCellMar>
        <w:tblLook w:val="01E0"/>
      </w:tblPr>
      <w:tblGrid>
        <w:gridCol w:w="3350"/>
        <w:gridCol w:w="2874"/>
        <w:gridCol w:w="2134"/>
      </w:tblGrid>
      <w:tr>
        <w:trPr>
          <w:trHeight w:val="272" w:hRule="exact"/>
        </w:trPr>
        <w:tc>
          <w:tcPr>
            <w:tcW w:w="3350" w:type="dxa"/>
            <w:tcBorders>
              <w:top w:val="nil" w:sz="6" w:space="0" w:color="auto"/>
              <w:left w:val="nil" w:sz="6" w:space="0" w:color="auto"/>
              <w:bottom w:val="single" w:sz="4" w:space="0" w:color="000000"/>
              <w:right w:val="nil" w:sz="6" w:space="0" w:color="auto"/>
            </w:tcBorders>
          </w:tcPr>
          <w:p>
            <w:pPr>
              <w:pStyle w:val="TableParagraph"/>
              <w:spacing w:line="180" w:lineRule="exact"/>
              <w:ind w:left="65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74" w:type="dxa"/>
            <w:tcBorders>
              <w:top w:val="nil" w:sz="6" w:space="0" w:color="auto"/>
              <w:left w:val="nil" w:sz="6" w:space="0" w:color="auto"/>
              <w:bottom w:val="single" w:sz="4" w:space="0" w:color="000000"/>
              <w:right w:val="nil" w:sz="6" w:space="0" w:color="auto"/>
            </w:tcBorders>
          </w:tcPr>
          <w:p>
            <w:pPr>
              <w:pStyle w:val="TableParagraph"/>
              <w:spacing w:line="180" w:lineRule="exact"/>
              <w:ind w:right="346"/>
              <w:jc w:val="right"/>
              <w:rPr>
                <w:rFonts w:ascii="宋体" w:hAnsi="宋体" w:cs="宋体" w:eastAsia="宋体" w:hint="default"/>
                <w:sz w:val="18"/>
                <w:szCs w:val="18"/>
              </w:rPr>
            </w:pPr>
            <w:r>
              <w:rPr>
                <w:rFonts w:ascii="宋体" w:hAnsi="宋体" w:cs="宋体" w:eastAsia="宋体" w:hint="default"/>
                <w:b/>
                <w:bCs/>
                <w:w w:val="95"/>
                <w:sz w:val="18"/>
                <w:szCs w:val="18"/>
              </w:rPr>
              <w:t>期末余额或期末比率</w:t>
            </w:r>
            <w:r>
              <w:rPr>
                <w:rFonts w:ascii="宋体" w:hAnsi="宋体" w:cs="宋体" w:eastAsia="宋体" w:hint="default"/>
                <w:sz w:val="18"/>
                <w:szCs w:val="18"/>
              </w:rPr>
            </w:r>
          </w:p>
        </w:tc>
        <w:tc>
          <w:tcPr>
            <w:tcW w:w="2134" w:type="dxa"/>
            <w:tcBorders>
              <w:top w:val="nil" w:sz="6" w:space="0" w:color="auto"/>
              <w:left w:val="nil" w:sz="6" w:space="0" w:color="auto"/>
              <w:bottom w:val="single" w:sz="4" w:space="0" w:color="000000"/>
              <w:right w:val="nil" w:sz="6" w:space="0" w:color="auto"/>
            </w:tcBorders>
          </w:tcPr>
          <w:p>
            <w:pPr>
              <w:pStyle w:val="TableParagraph"/>
              <w:spacing w:line="180" w:lineRule="exact"/>
              <w:ind w:left="204" w:right="0"/>
              <w:jc w:val="left"/>
              <w:rPr>
                <w:rFonts w:ascii="宋体" w:hAnsi="宋体" w:cs="宋体" w:eastAsia="宋体" w:hint="default"/>
                <w:sz w:val="18"/>
                <w:szCs w:val="18"/>
              </w:rPr>
            </w:pPr>
            <w:r>
              <w:rPr>
                <w:rFonts w:ascii="宋体" w:hAnsi="宋体" w:cs="宋体" w:eastAsia="宋体" w:hint="default"/>
                <w:b/>
                <w:bCs/>
                <w:sz w:val="18"/>
                <w:szCs w:val="18"/>
              </w:rPr>
              <w:t>期初余额或期初比率</w:t>
            </w:r>
            <w:r>
              <w:rPr>
                <w:rFonts w:ascii="宋体" w:hAnsi="宋体" w:cs="宋体" w:eastAsia="宋体" w:hint="default"/>
                <w:sz w:val="18"/>
                <w:szCs w:val="18"/>
              </w:rPr>
            </w:r>
          </w:p>
        </w:tc>
      </w:tr>
      <w:tr>
        <w:trPr>
          <w:trHeight w:val="488" w:hRule="exact"/>
        </w:trPr>
        <w:tc>
          <w:tcPr>
            <w:tcW w:w="33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648"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8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02"/>
              <w:jc w:val="right"/>
              <w:rPr>
                <w:rFonts w:ascii="宋体" w:hAnsi="宋体" w:cs="宋体" w:eastAsia="宋体" w:hint="default"/>
                <w:sz w:val="18"/>
                <w:szCs w:val="18"/>
              </w:rPr>
            </w:pPr>
            <w:r>
              <w:rPr>
                <w:rFonts w:ascii="宋体"/>
                <w:sz w:val="18"/>
              </w:rPr>
              <w:t>2,012,625,462.11</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1,969,544,745.54</w:t>
            </w:r>
          </w:p>
        </w:tc>
      </w:tr>
      <w:tr>
        <w:trPr>
          <w:trHeight w:val="440"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center"/>
              <w:rPr>
                <w:rFonts w:ascii="宋体" w:hAnsi="宋体" w:cs="宋体" w:eastAsia="宋体" w:hint="default"/>
                <w:sz w:val="18"/>
                <w:szCs w:val="18"/>
              </w:rPr>
            </w:pPr>
            <w:r>
              <w:rPr>
                <w:rFonts w:ascii="宋体" w:hAnsi="宋体" w:cs="宋体" w:eastAsia="宋体" w:hint="default"/>
                <w:sz w:val="18"/>
                <w:szCs w:val="18"/>
              </w:rPr>
              <w:t>总负债</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2"/>
              <w:jc w:val="right"/>
              <w:rPr>
                <w:rFonts w:ascii="宋体" w:hAnsi="宋体" w:cs="宋体" w:eastAsia="宋体" w:hint="default"/>
                <w:sz w:val="18"/>
                <w:szCs w:val="18"/>
              </w:rPr>
            </w:pPr>
            <w:r>
              <w:rPr>
                <w:rFonts w:ascii="宋体"/>
                <w:sz w:val="18"/>
              </w:rPr>
              <w:t>250,763,144.83</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309,263,728.25</w:t>
            </w:r>
          </w:p>
        </w:tc>
      </w:tr>
      <w:tr>
        <w:trPr>
          <w:trHeight w:val="310"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8"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2"/>
              <w:jc w:val="right"/>
              <w:rPr>
                <w:rFonts w:ascii="宋体" w:hAnsi="宋体" w:cs="宋体" w:eastAsia="宋体" w:hint="default"/>
                <w:sz w:val="18"/>
                <w:szCs w:val="18"/>
              </w:rPr>
            </w:pPr>
            <w:r>
              <w:rPr>
                <w:rFonts w:ascii="宋体"/>
                <w:sz w:val="18"/>
              </w:rPr>
              <w:t>12.46%</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15.70%</w:t>
            </w:r>
          </w:p>
        </w:tc>
      </w:tr>
    </w:tbl>
    <w:p>
      <w:pPr>
        <w:spacing w:line="240" w:lineRule="auto" w:before="11"/>
        <w:rPr>
          <w:rFonts w:ascii="宋体" w:hAnsi="宋体" w:cs="宋体" w:eastAsia="宋体" w:hint="default"/>
          <w:sz w:val="24"/>
          <w:szCs w:val="24"/>
        </w:rPr>
      </w:pPr>
    </w:p>
    <w:p>
      <w:pPr>
        <w:pStyle w:val="Heading2"/>
        <w:spacing w:line="240" w:lineRule="auto" w:before="26"/>
        <w:ind w:right="812"/>
        <w:jc w:val="left"/>
        <w:rPr>
          <w:b w:val="0"/>
          <w:bCs w:val="0"/>
        </w:rPr>
      </w:pPr>
      <w:bookmarkStart w:name="十、关联方及关联交易" w:id="323"/>
      <w:bookmarkEnd w:id="323"/>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本企业的母公司情况" w:id="324"/>
      <w:bookmarkEnd w:id="32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5877" w:hanging="360"/>
        <w:jc w:val="left"/>
      </w:pPr>
      <w:r>
        <w:rPr/>
        <w:t>本企业的母公司情况的说明 本公司的实际控制人是自然人黄煜，持股比例为</w:t>
      </w:r>
      <w:r>
        <w:rPr>
          <w:rFonts w:ascii="Times New Roman" w:hAnsi="Times New Roman" w:cs="Times New Roman" w:eastAsia="Times New Roman" w:hint="default"/>
        </w:rPr>
        <w:t>31.90%</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right="812"/>
        <w:jc w:val="left"/>
      </w:pPr>
      <w:r>
        <w:rPr/>
        <w:t>本企业最终控制方是黄煜。</w:t>
      </w:r>
    </w:p>
    <w:p>
      <w:pPr>
        <w:spacing w:line="240" w:lineRule="auto" w:before="11"/>
        <w:rPr>
          <w:rFonts w:ascii="宋体" w:hAnsi="宋体" w:cs="宋体" w:eastAsia="宋体" w:hint="default"/>
          <w:sz w:val="26"/>
          <w:szCs w:val="26"/>
        </w:rPr>
      </w:pPr>
    </w:p>
    <w:p>
      <w:pPr>
        <w:pStyle w:val="Heading3"/>
        <w:spacing w:line="240" w:lineRule="auto"/>
        <w:ind w:right="812"/>
        <w:jc w:val="left"/>
        <w:rPr>
          <w:b w:val="0"/>
          <w:bCs w:val="0"/>
        </w:rPr>
      </w:pPr>
      <w:bookmarkStart w:name="2、本企业的子公司情况" w:id="325"/>
      <w:bookmarkEnd w:id="32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t>本企业子公司的情况详见附注八</w:t>
      </w:r>
      <w:r>
        <w:rPr>
          <w:spacing w:val="-90"/>
        </w:rPr>
        <w:t>、</w:t>
      </w:r>
      <w:r>
        <w:rPr/>
        <w:t>（一）</w:t>
      </w:r>
      <w:r>
        <w:rPr>
          <w:rFonts w:ascii="Times New Roman" w:hAnsi="Times New Roman" w:cs="Times New Roman" w:eastAsia="Times New Roman" w:hint="default"/>
          <w:w w:val="100"/>
        </w:rPr>
        <w:t>“</w:t>
      </w:r>
      <w:r>
        <w:rPr/>
        <w:t>在子公司中的权益</w:t>
      </w:r>
      <w:r>
        <w:rPr>
          <w:rFonts w:ascii="Times New Roman" w:hAnsi="Times New Roman" w:cs="Times New Roman" w:eastAsia="Times New Roman" w:hint="default"/>
          <w:w w:val="100"/>
        </w:rPr>
        <w:t>”</w:t>
      </w:r>
      <w:r>
        <w:rPr/>
        <w:t>。</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812"/>
        <w:jc w:val="left"/>
        <w:rPr>
          <w:b w:val="0"/>
          <w:bCs w:val="0"/>
        </w:rPr>
      </w:pPr>
      <w:bookmarkStart w:name="3、本企业合营和联营企业情况" w:id="326"/>
      <w:bookmarkEnd w:id="32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2"/>
        <w:jc w:val="left"/>
      </w:pPr>
      <w:r>
        <w:rPr>
          <w:spacing w:val="-3"/>
          <w:w w:val="100"/>
        </w:rPr>
        <w:t>本企业重要的合营或联营企业详见附注八、（三）</w:t>
      </w:r>
      <w:r>
        <w:rPr>
          <w:rFonts w:ascii="Times New Roman" w:hAnsi="Times New Roman" w:cs="Times New Roman" w:eastAsia="Times New Roman" w:hint="default"/>
          <w:spacing w:val="-3"/>
          <w:w w:val="100"/>
        </w:rPr>
        <w:t>“</w:t>
      </w:r>
      <w:r>
        <w:rPr>
          <w:spacing w:val="-3"/>
          <w:w w:val="100"/>
        </w:rPr>
        <w:t>在合营安排或联营企业中的权益</w:t>
      </w:r>
      <w:r>
        <w:rPr>
          <w:rFonts w:ascii="Times New Roman" w:hAnsi="Times New Roman" w:cs="Times New Roman" w:eastAsia="Times New Roman" w:hint="default"/>
          <w:spacing w:val="-3"/>
          <w:w w:val="100"/>
        </w:rPr>
        <w:t>”</w:t>
      </w:r>
      <w:r>
        <w:rPr>
          <w:spacing w:val="-3"/>
          <w:w w:val="100"/>
        </w:rPr>
        <w:t>。</w:t>
      </w:r>
      <w:r>
        <w:rPr>
          <w:spacing w:val="-64"/>
          <w:w w:val="100"/>
        </w:rPr>
        <w:t> </w:t>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1"/>
          <w:szCs w:val="21"/>
        </w:rPr>
      </w:pPr>
    </w:p>
    <w:p>
      <w:pPr>
        <w:pStyle w:val="Heading3"/>
        <w:spacing w:line="240" w:lineRule="auto"/>
        <w:ind w:right="812"/>
        <w:jc w:val="left"/>
        <w:rPr>
          <w:b w:val="0"/>
          <w:bCs w:val="0"/>
        </w:rPr>
      </w:pPr>
      <w:bookmarkStart w:name="4、其他关联方情况" w:id="327"/>
      <w:bookmarkEnd w:id="32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韩雪峰（已离职）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叶路（已离职）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潘利华（已离职）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监事会主席、人力资源总监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张英魁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职工监事、读卡器部经理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孙晓东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监事、销售经理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于华章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郑相启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黄建良（已离职）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柴春峰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郁群慧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朱宝祥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董事会秘书、市场总监</w:t>
            </w:r>
          </w:p>
        </w:tc>
      </w:tr>
    </w:tbl>
    <w:p>
      <w:pPr>
        <w:pStyle w:val="BodyText"/>
        <w:spacing w:line="240" w:lineRule="auto" w:before="51"/>
        <w:ind w:right="81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812"/>
        <w:jc w:val="left"/>
        <w:rPr>
          <w:b w:val="0"/>
          <w:bCs w:val="0"/>
        </w:rPr>
      </w:pPr>
      <w:bookmarkStart w:name="5、关联交易情况" w:id="328"/>
      <w:bookmarkEnd w:id="32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812"/>
        <w:jc w:val="left"/>
        <w:rPr>
          <w:b w:val="0"/>
          <w:bCs w:val="0"/>
        </w:rPr>
      </w:pPr>
      <w:bookmarkStart w:name="（1）购销商品、提供和接受劳务的关联交易" w:id="329"/>
      <w:bookmarkEnd w:id="32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542"/>
        <w:gridCol w:w="1454"/>
        <w:gridCol w:w="1455"/>
        <w:gridCol w:w="1706"/>
        <w:gridCol w:w="1708"/>
        <w:gridCol w:w="1706"/>
      </w:tblGrid>
      <w:tr>
        <w:trPr>
          <w:trHeight w:val="1026"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深圳市瑞福达液晶 显示技术股份有限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16,278,078.85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81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5"/>
              <w:jc w:val="left"/>
              <w:rPr>
                <w:rFonts w:ascii="Times New Roman" w:hAnsi="Times New Roman" w:cs="Times New Roman" w:eastAsia="Times New Roman" w:hint="default"/>
                <w:sz w:val="18"/>
                <w:szCs w:val="18"/>
              </w:rPr>
            </w:pPr>
            <w:r>
              <w:rPr>
                <w:rFonts w:ascii="Times New Roman"/>
                <w:spacing w:val="-2"/>
                <w:sz w:val="18"/>
              </w:rPr>
              <w:t>HYPERSECUINFORMATION</w:t>
            </w:r>
            <w:r>
              <w:rPr>
                <w:rFonts w:ascii="Times New Roman"/>
                <w:spacing w:val="-29"/>
                <w:sz w:val="18"/>
              </w:rPr>
              <w:t> </w:t>
            </w:r>
            <w:r>
              <w:rPr>
                <w:rFonts w:ascii="Times New Roman"/>
                <w:spacing w:val="-29"/>
                <w:sz w:val="18"/>
              </w:rPr>
            </w:r>
            <w:r>
              <w:rPr>
                <w:rFonts w:ascii="Times New Roman"/>
                <w:sz w:val="18"/>
              </w:rPr>
              <w:t>SYSTEMS,INC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91" w:right="0"/>
              <w:jc w:val="left"/>
              <w:rPr>
                <w:rFonts w:ascii="Times New Roman" w:hAnsi="Times New Roman" w:cs="Times New Roman" w:eastAsia="Times New Roman" w:hint="default"/>
                <w:sz w:val="18"/>
                <w:szCs w:val="18"/>
              </w:rPr>
            </w:pPr>
            <w:r>
              <w:rPr>
                <w:rFonts w:ascii="Times New Roman"/>
                <w:sz w:val="18"/>
              </w:rPr>
              <w:t>17,787,009.21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5" w:right="0"/>
              <w:jc w:val="left"/>
              <w:rPr>
                <w:rFonts w:ascii="Times New Roman" w:hAnsi="Times New Roman" w:cs="Times New Roman" w:eastAsia="Times New Roman" w:hint="default"/>
                <w:sz w:val="18"/>
                <w:szCs w:val="18"/>
              </w:rPr>
            </w:pPr>
            <w:r>
              <w:rPr>
                <w:rFonts w:ascii="Times New Roman"/>
                <w:sz w:val="18"/>
              </w:rPr>
              <w:t>24,444,750.27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关键管理人员报酬" w:id="330"/>
      <w:bookmarkEnd w:id="330"/>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7,943,300.00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6、关联方应收应付款项" w:id="331"/>
      <w:bookmarkEnd w:id="33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应收项目" w:id="332"/>
      <w:bookmarkEnd w:id="33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
              <w:jc w:val="left"/>
              <w:rPr>
                <w:rFonts w:ascii="Times New Roman" w:hAnsi="Times New Roman" w:cs="Times New Roman" w:eastAsia="Times New Roman" w:hint="default"/>
                <w:sz w:val="18"/>
                <w:szCs w:val="18"/>
              </w:rPr>
            </w:pPr>
            <w:r>
              <w:rPr>
                <w:rFonts w:ascii="Times New Roman"/>
                <w:sz w:val="18"/>
              </w:rPr>
              <w:t>HYPERSECUINFO</w:t>
            </w:r>
            <w:r>
              <w:rPr>
                <w:rFonts w:ascii="Times New Roman"/>
                <w:w w:val="99"/>
                <w:sz w:val="18"/>
              </w:rPr>
              <w:t> </w:t>
            </w:r>
            <w:r>
              <w:rPr>
                <w:rFonts w:ascii="Times New Roman"/>
                <w:spacing w:val="-2"/>
                <w:sz w:val="18"/>
              </w:rPr>
              <w:t>RMATIONSYSTEM</w:t>
            </w:r>
            <w:r>
              <w:rPr>
                <w:rFonts w:ascii="Times New Roman"/>
                <w:spacing w:val="-43"/>
                <w:sz w:val="18"/>
              </w:rPr>
              <w:t> </w:t>
            </w:r>
            <w:r>
              <w:rPr>
                <w:rFonts w:ascii="Times New Roman"/>
                <w:spacing w:val="-43"/>
                <w:sz w:val="18"/>
              </w:rPr>
            </w:r>
            <w:r>
              <w:rPr>
                <w:rFonts w:ascii="Times New Roman"/>
                <w:sz w:val="18"/>
              </w:rPr>
              <w:t>S,INC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95,710.07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4,785.50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69,262.52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3,463.13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应付项目" w:id="333"/>
      <w:bookmarkEnd w:id="33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深圳市瑞福达液晶显示技术 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1,743,980.00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7、关联方承诺" w:id="334"/>
      <w:bookmarkEnd w:id="33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日，本公司无需要披露的关联方承诺事项。</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spacing w:line="487" w:lineRule="auto" w:before="35"/>
        <w:ind w:left="154" w:right="7872" w:firstLine="0"/>
        <w:jc w:val="left"/>
        <w:rPr>
          <w:rFonts w:ascii="宋体" w:hAnsi="宋体" w:cs="宋体" w:eastAsia="宋体" w:hint="default"/>
          <w:sz w:val="21"/>
          <w:szCs w:val="21"/>
        </w:rPr>
      </w:pPr>
      <w:bookmarkStart w:name="8、其他" w:id="335"/>
      <w:bookmarkEnd w:id="33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一、承诺及或有事项" w:id="336"/>
      <w:bookmarkEnd w:id="3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十一、承诺及或有事项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337"/>
      <w:bookmarkEnd w:id="33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574" w:right="4392" w:hanging="420"/>
        <w:jc w:val="left"/>
      </w:pPr>
      <w:r>
        <w:rPr/>
        <w:t>资产负债表日存在的重要承诺 至资产负债表日止，本公司对外签订的不可撤销的经营租赁合约情况如下：</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5403"/>
        <w:gridCol w:w="1129"/>
        <w:gridCol w:w="956"/>
        <w:gridCol w:w="1127"/>
        <w:gridCol w:w="1044"/>
      </w:tblGrid>
      <w:tr>
        <w:trPr>
          <w:trHeight w:val="347" w:hRule="exact"/>
        </w:trPr>
        <w:tc>
          <w:tcPr>
            <w:tcW w:w="5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20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7" w:hRule="exact"/>
        </w:trPr>
        <w:tc>
          <w:tcPr>
            <w:tcW w:w="5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0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21" w:right="0"/>
              <w:jc w:val="left"/>
              <w:rPr>
                <w:rFonts w:ascii="Times New Roman" w:hAnsi="Times New Roman" w:cs="Times New Roman" w:eastAsia="Times New Roman" w:hint="default"/>
                <w:sz w:val="18"/>
                <w:szCs w:val="18"/>
              </w:rPr>
            </w:pPr>
            <w:r>
              <w:rPr>
                <w:rFonts w:ascii="Times New Roman"/>
                <w:sz w:val="18"/>
              </w:rPr>
              <w:t>7,678,294.57</w:t>
            </w:r>
          </w:p>
        </w:tc>
        <w:tc>
          <w:tcPr>
            <w:tcW w:w="21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15,065,981.07</w:t>
            </w:r>
          </w:p>
        </w:tc>
      </w:tr>
      <w:tr>
        <w:trPr>
          <w:trHeight w:val="347" w:hRule="exact"/>
        </w:trPr>
        <w:tc>
          <w:tcPr>
            <w:tcW w:w="5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0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21" w:right="0"/>
              <w:jc w:val="left"/>
              <w:rPr>
                <w:rFonts w:ascii="Times New Roman" w:hAnsi="Times New Roman" w:cs="Times New Roman" w:eastAsia="Times New Roman" w:hint="default"/>
                <w:sz w:val="18"/>
                <w:szCs w:val="18"/>
              </w:rPr>
            </w:pPr>
            <w:r>
              <w:rPr>
                <w:rFonts w:ascii="Times New Roman"/>
                <w:sz w:val="18"/>
              </w:rPr>
              <w:t>1,902,159.42</w:t>
            </w:r>
          </w:p>
        </w:tc>
        <w:tc>
          <w:tcPr>
            <w:tcW w:w="21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09" w:right="0"/>
              <w:jc w:val="left"/>
              <w:rPr>
                <w:rFonts w:ascii="Times New Roman" w:hAnsi="Times New Roman" w:cs="Times New Roman" w:eastAsia="Times New Roman" w:hint="default"/>
                <w:sz w:val="18"/>
                <w:szCs w:val="18"/>
              </w:rPr>
            </w:pPr>
            <w:r>
              <w:rPr>
                <w:rFonts w:ascii="Times New Roman"/>
                <w:sz w:val="18"/>
              </w:rPr>
              <w:t>6,724,041.42</w:t>
            </w:r>
          </w:p>
        </w:tc>
      </w:tr>
      <w:tr>
        <w:trPr>
          <w:trHeight w:val="347" w:hRule="exact"/>
        </w:trPr>
        <w:tc>
          <w:tcPr>
            <w:tcW w:w="5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20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56" w:right="0"/>
              <w:jc w:val="left"/>
              <w:rPr>
                <w:rFonts w:ascii="Times New Roman" w:hAnsi="Times New Roman" w:cs="Times New Roman" w:eastAsia="Times New Roman" w:hint="default"/>
                <w:sz w:val="18"/>
                <w:szCs w:val="18"/>
              </w:rPr>
            </w:pPr>
            <w:r>
              <w:rPr>
                <w:rFonts w:ascii="Times New Roman"/>
                <w:sz w:val="18"/>
              </w:rPr>
              <w:t>372,713.86</w:t>
            </w:r>
          </w:p>
        </w:tc>
        <w:tc>
          <w:tcPr>
            <w:tcW w:w="21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09" w:right="0"/>
              <w:jc w:val="left"/>
              <w:rPr>
                <w:rFonts w:ascii="Times New Roman" w:hAnsi="Times New Roman" w:cs="Times New Roman" w:eastAsia="Times New Roman" w:hint="default"/>
                <w:sz w:val="18"/>
                <w:szCs w:val="18"/>
              </w:rPr>
            </w:pPr>
            <w:r>
              <w:rPr>
                <w:rFonts w:ascii="Times New Roman"/>
                <w:sz w:val="18"/>
              </w:rPr>
              <w:t>1,439,207.15</w:t>
            </w:r>
          </w:p>
        </w:tc>
      </w:tr>
      <w:tr>
        <w:trPr>
          <w:trHeight w:val="304" w:hRule="exact"/>
        </w:trPr>
        <w:tc>
          <w:tcPr>
            <w:tcW w:w="5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129" w:type="dxa"/>
            <w:tcBorders>
              <w:top w:val="single" w:sz="6" w:space="0" w:color="000000"/>
              <w:left w:val="single" w:sz="6" w:space="0" w:color="000000"/>
              <w:bottom w:val="single" w:sz="6" w:space="0" w:color="000000"/>
              <w:right w:val="nil" w:sz="6" w:space="0" w:color="auto"/>
            </w:tcBorders>
          </w:tcPr>
          <w:p>
            <w:pPr/>
          </w:p>
        </w:tc>
        <w:tc>
          <w:tcPr>
            <w:tcW w:w="956"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9,953,167.85</w:t>
            </w:r>
          </w:p>
        </w:tc>
        <w:tc>
          <w:tcPr>
            <w:tcW w:w="1127" w:type="dxa"/>
            <w:tcBorders>
              <w:top w:val="single" w:sz="6" w:space="0" w:color="000000"/>
              <w:left w:val="single" w:sz="6" w:space="0" w:color="000000"/>
              <w:bottom w:val="single" w:sz="6" w:space="0" w:color="000000"/>
              <w:right w:val="nil" w:sz="6" w:space="0" w:color="auto"/>
            </w:tcBorders>
          </w:tcPr>
          <w:p>
            <w:pPr/>
          </w:p>
        </w:tc>
        <w:tc>
          <w:tcPr>
            <w:tcW w:w="104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23,229,229.64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5"/>
        <w:ind w:right="812"/>
        <w:jc w:val="left"/>
        <w:rPr>
          <w:b w:val="0"/>
          <w:bCs w:val="0"/>
        </w:rPr>
      </w:pPr>
      <w:bookmarkStart w:name="2、或有事项" w:id="338"/>
      <w:bookmarkEnd w:id="33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资产负债表日存在的重要或有事项" w:id="339"/>
      <w:bookmarkEnd w:id="33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日，本公司无需要披露的或有事项。</w:t>
      </w:r>
    </w:p>
    <w:p>
      <w:pPr>
        <w:spacing w:line="240" w:lineRule="auto" w:before="12"/>
        <w:rPr>
          <w:rFonts w:ascii="宋体" w:hAnsi="宋体" w:cs="宋体" w:eastAsia="宋体" w:hint="default"/>
          <w:sz w:val="25"/>
          <w:szCs w:val="25"/>
        </w:rPr>
      </w:pPr>
    </w:p>
    <w:p>
      <w:pPr>
        <w:pStyle w:val="Heading3"/>
        <w:spacing w:line="240" w:lineRule="auto"/>
        <w:ind w:right="812"/>
        <w:jc w:val="left"/>
        <w:rPr>
          <w:b w:val="0"/>
          <w:bCs w:val="0"/>
        </w:rPr>
      </w:pPr>
      <w:bookmarkStart w:name="（2）公司没有需要披露的重要或有事项，也应予以说明" w:id="340"/>
      <w:bookmarkEnd w:id="34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812"/>
        <w:jc w:val="left"/>
        <w:rPr>
          <w:b w:val="0"/>
          <w:bCs w:val="0"/>
        </w:rPr>
      </w:pPr>
      <w:bookmarkStart w:name="十二、资产负债表日后事项" w:id="341"/>
      <w:bookmarkEnd w:id="341"/>
      <w:r>
        <w:rPr>
          <w:b w:val="0"/>
          <w:bCs w:val="0"/>
        </w:rPr>
      </w:r>
      <w:r>
        <w:rPr/>
        <w:t>十二、资产负债表日后事项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812"/>
        <w:jc w:val="left"/>
        <w:rPr>
          <w:b w:val="0"/>
          <w:bCs w:val="0"/>
        </w:rPr>
      </w:pPr>
      <w:bookmarkStart w:name="1、其他资产负债表日后事项说明" w:id="342"/>
      <w:bookmarkEnd w:id="342"/>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812"/>
        <w:jc w:val="left"/>
      </w:pPr>
      <w:r>
        <w:rPr/>
        <w:t>（一）公司之子公司飞天万谷于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07</w:t>
      </w:r>
      <w:r>
        <w:rPr/>
        <w:t>日完成了工商注销。</w:t>
      </w:r>
    </w:p>
    <w:p>
      <w:pPr>
        <w:spacing w:line="240" w:lineRule="auto" w:before="2"/>
        <w:rPr>
          <w:rFonts w:ascii="宋体" w:hAnsi="宋体" w:cs="宋体" w:eastAsia="宋体" w:hint="default"/>
          <w:sz w:val="23"/>
          <w:szCs w:val="23"/>
        </w:rPr>
      </w:pPr>
    </w:p>
    <w:p>
      <w:pPr>
        <w:pStyle w:val="BodyText"/>
        <w:spacing w:line="300" w:lineRule="auto"/>
        <w:ind w:right="812" w:firstLine="360"/>
        <w:jc w:val="left"/>
      </w:pPr>
      <w:r>
        <w:rPr>
          <w:spacing w:val="-2"/>
        </w:rPr>
        <w:t>（二）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日公司召开的第三届董事会第二十次会议审议通过了《关于公司香港全资子公司对外投资的议案》，</w:t>
      </w:r>
      <w:r>
        <w:rPr/>
        <w:t> 同意飞天香港有限公司以不超过</w:t>
      </w:r>
      <w:r>
        <w:rPr>
          <w:rFonts w:ascii="Times New Roman" w:hAnsi="Times New Roman" w:cs="Times New Roman" w:eastAsia="Times New Roman" w:hint="default"/>
        </w:rPr>
        <w:t>1,345.00</w:t>
      </w:r>
      <w:r>
        <w:rPr/>
        <w:t>万元人民币的自有资金买入马来西亚</w:t>
      </w:r>
      <w:r>
        <w:rPr>
          <w:rFonts w:ascii="Times New Roman" w:hAnsi="Times New Roman" w:cs="Times New Roman" w:eastAsia="Times New Roman" w:hint="default"/>
        </w:rPr>
        <w:t>SECUREMETRICBERHAD</w:t>
      </w:r>
      <w:r>
        <w:rPr/>
        <w:t>公司（实科科技有</w:t>
      </w:r>
      <w:r>
        <w:rPr>
          <w:spacing w:val="-43"/>
        </w:rPr>
        <w:t> </w:t>
      </w:r>
      <w:r>
        <w:rPr>
          <w:spacing w:val="-43"/>
        </w:rPr>
      </w:r>
      <w:r>
        <w:rPr>
          <w:spacing w:val="5"/>
        </w:rPr>
        <w:t>限公司）不超过</w:t>
      </w:r>
      <w:r>
        <w:rPr>
          <w:rFonts w:ascii="Times New Roman" w:hAnsi="Times New Roman" w:cs="Times New Roman" w:eastAsia="Times New Roman" w:hint="default"/>
          <w:spacing w:val="5"/>
        </w:rPr>
        <w:t>2,000.00</w:t>
      </w:r>
      <w:r>
        <w:rPr>
          <w:spacing w:val="5"/>
        </w:rPr>
        <w:t>万股的普通股股份，</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8</w:t>
      </w:r>
      <w:r>
        <w:rPr>
          <w:spacing w:val="5"/>
        </w:rPr>
        <w:t>日，飞天香港有限公司购买了 </w:t>
      </w:r>
      <w:r>
        <w:rPr>
          <w:rFonts w:ascii="Times New Roman" w:hAnsi="Times New Roman" w:cs="Times New Roman" w:eastAsia="Times New Roman" w:hint="default"/>
        </w:rPr>
        <w:t>SECUREMETRIC</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2"/>
        </w:rPr>
        <w:t>BERHAD</w:t>
      </w:r>
      <w:r>
        <w:rPr>
          <w:spacing w:val="2"/>
        </w:rPr>
        <w:t>公司</w:t>
      </w:r>
      <w:r>
        <w:rPr>
          <w:spacing w:val="7"/>
        </w:rPr>
        <w:t> </w:t>
      </w:r>
      <w:r>
        <w:rPr>
          <w:rFonts w:ascii="Times New Roman" w:hAnsi="Times New Roman" w:cs="Times New Roman" w:eastAsia="Times New Roman" w:hint="default"/>
        </w:rPr>
        <w:t>2,000.00</w:t>
      </w:r>
      <w:r>
        <w:rPr/>
        <w:t>万股普通股，持有其</w:t>
      </w:r>
      <w:r>
        <w:rPr>
          <w:rFonts w:ascii="Times New Roman" w:hAnsi="Times New Roman" w:cs="Times New Roman" w:eastAsia="Times New Roman" w:hint="default"/>
        </w:rPr>
        <w:t>8.21%</w:t>
      </w:r>
      <w:r>
        <w:rPr/>
        <w:t>的普通股股份。</w:t>
      </w:r>
    </w:p>
    <w:p>
      <w:pPr>
        <w:spacing w:line="240" w:lineRule="auto" w:before="4"/>
        <w:rPr>
          <w:rFonts w:ascii="宋体" w:hAnsi="宋体" w:cs="宋体" w:eastAsia="宋体" w:hint="default"/>
          <w:sz w:val="20"/>
          <w:szCs w:val="20"/>
        </w:rPr>
      </w:pPr>
    </w:p>
    <w:p>
      <w:pPr>
        <w:pStyle w:val="Heading2"/>
        <w:spacing w:line="240" w:lineRule="auto"/>
        <w:ind w:right="812"/>
        <w:jc w:val="left"/>
        <w:rPr>
          <w:b w:val="0"/>
          <w:bCs w:val="0"/>
        </w:rPr>
      </w:pPr>
      <w:bookmarkStart w:name="十三、母公司财务报表主要项目注释" w:id="343"/>
      <w:bookmarkEnd w:id="343"/>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应收票据及应收账款" w:id="344"/>
      <w:bookmarkEnd w:id="344"/>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430,470.00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50,954,052.29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36,871,244.93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51,384,522.29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36,871,244.93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应收票据" w:id="345"/>
      <w:bookmarkEnd w:id="34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430,470.00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430,470.00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应收账款" w:id="346"/>
      <w:bookmarkEnd w:id="34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53,754,9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33.93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2,800,88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50,954,05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38,877,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442.08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2,006,197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36,871,244.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1,274,99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1,274,99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1,274,9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1,274,994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55,029,9</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28.78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4,075,87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50,954,05</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40,152,</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436.93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3,281,192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36,871,244.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48,391,254.05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2,419,562.70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726,160.27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72,616.03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535,328.10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160,598.43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148,104.48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148,104.48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49,800,846.90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2,800,881.64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39"/>
        <w:ind w:left="514" w:right="812"/>
        <w:jc w:val="left"/>
      </w:pPr>
      <w:r>
        <w:rPr/>
        <w:t>组合中，采用个别认定法计提坏账准备的应收账款</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4383"/>
        <w:gridCol w:w="1842"/>
        <w:gridCol w:w="1842"/>
        <w:gridCol w:w="1837"/>
      </w:tblGrid>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应收子公司款项</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3,954,087.03</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3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3,954,087.03</w:t>
            </w:r>
            <w:r>
              <w:rPr>
                <w:rFonts w:ascii="Times New Roman"/>
                <w:sz w:val="18"/>
              </w:rPr>
            </w:r>
          </w:p>
        </w:tc>
        <w:tc>
          <w:tcPr>
            <w:tcW w:w="1842" w:type="dxa"/>
            <w:tcBorders>
              <w:top w:val="single" w:sz="6" w:space="0" w:color="000000"/>
              <w:left w:val="single" w:sz="6" w:space="0" w:color="000000"/>
              <w:bottom w:val="single" w:sz="6" w:space="0" w:color="000000"/>
              <w:right w:val="single" w:sz="6" w:space="0" w:color="000000"/>
            </w:tcBorders>
          </w:tcPr>
          <w:p>
            <w:pPr/>
          </w:p>
        </w:tc>
        <w:tc>
          <w:tcPr>
            <w:tcW w:w="183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right="812"/>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812"/>
        <w:jc w:val="left"/>
      </w:pPr>
      <w:r>
        <w:rPr/>
        <w:t>本期计提坏账准备金额</w:t>
      </w:r>
      <w:r>
        <w:rPr>
          <w:spacing w:val="-46"/>
        </w:rPr>
        <w:t> </w:t>
      </w:r>
      <w:r>
        <w:rPr>
          <w:rFonts w:ascii="Times New Roman" w:hAnsi="Times New Roman" w:cs="Times New Roman" w:eastAsia="Times New Roman" w:hint="default"/>
        </w:rPr>
        <w:t>794,684.49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1,644.22</w:t>
      </w:r>
      <w:r>
        <w:rPr>
          <w:rFonts w:ascii="Times New Roman" w:hAnsi="Times New Roman" w:cs="Times New Roman" w:eastAsia="Times New Roman" w:hint="default"/>
          <w:spacing w:val="-1"/>
        </w:rPr>
        <w:t> </w:t>
      </w:r>
      <w:r>
        <w:rPr/>
        <w:t>元。</w:t>
      </w:r>
    </w:p>
    <w:p>
      <w:pPr>
        <w:pStyle w:val="BodyText"/>
        <w:spacing w:line="240" w:lineRule="auto" w:before="102"/>
        <w:ind w:right="812"/>
        <w:jc w:val="left"/>
      </w:pPr>
      <w:r>
        <w:rPr>
          <w:rFonts w:ascii="Times New Roman" w:hAnsi="Times New Roman" w:cs="Times New Roman" w:eastAsia="Times New Roman" w:hint="default"/>
        </w:rPr>
        <w:t>3)</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407"/>
        <w:gridCol w:w="344"/>
        <w:gridCol w:w="1044"/>
        <w:gridCol w:w="2422"/>
        <w:gridCol w:w="1078"/>
        <w:gridCol w:w="820"/>
      </w:tblGrid>
      <w:tr>
        <w:trPr>
          <w:trHeight w:val="347"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 w:right="0"/>
              <w:jc w:val="left"/>
              <w:rPr>
                <w:rFonts w:ascii="宋体" w:hAnsi="宋体" w:cs="宋体" w:eastAsia="宋体" w:hint="default"/>
                <w:sz w:val="18"/>
                <w:szCs w:val="18"/>
              </w:rPr>
            </w:pPr>
            <w:r>
              <w:rPr>
                <w:rFonts w:ascii="宋体" w:hAnsi="宋体" w:cs="宋体" w:eastAsia="宋体" w:hint="default"/>
                <w:b/>
                <w:bCs/>
                <w:sz w:val="18"/>
                <w:szCs w:val="18"/>
              </w:rPr>
              <w:t>占应收账款总额的比例（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660"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中国农业银行股份有限公司内蒙古自治区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分行</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4,766,250.00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7" w:right="0"/>
              <w:jc w:val="left"/>
              <w:rPr>
                <w:rFonts w:ascii="Times New Roman" w:hAnsi="Times New Roman" w:cs="Times New Roman" w:eastAsia="Times New Roman" w:hint="default"/>
                <w:sz w:val="18"/>
                <w:szCs w:val="18"/>
              </w:rPr>
            </w:pPr>
            <w:r>
              <w:rPr>
                <w:rFonts w:ascii="Times New Roman"/>
                <w:sz w:val="18"/>
              </w:rPr>
              <w:t>8.66</w:t>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Times New Roman"/>
                <w:sz w:val="18"/>
              </w:rPr>
              <w:t>238,312.50</w:t>
            </w:r>
          </w:p>
        </w:tc>
      </w:tr>
      <w:tr>
        <w:trPr>
          <w:trHeight w:val="347"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LC technologies Co.,</w:t>
            </w:r>
            <w:r>
              <w:rPr>
                <w:rFonts w:ascii="Times New Roman"/>
                <w:spacing w:val="-6"/>
                <w:sz w:val="18"/>
              </w:rPr>
              <w:t> </w:t>
            </w:r>
            <w:r>
              <w:rPr>
                <w:rFonts w:ascii="Times New Roman"/>
                <w:sz w:val="18"/>
              </w:rPr>
              <w:t>Ltd.</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26" w:right="0"/>
              <w:jc w:val="left"/>
              <w:rPr>
                <w:rFonts w:ascii="Times New Roman" w:hAnsi="Times New Roman" w:cs="Times New Roman" w:eastAsia="Times New Roman" w:hint="default"/>
                <w:sz w:val="18"/>
                <w:szCs w:val="18"/>
              </w:rPr>
            </w:pPr>
            <w:r>
              <w:rPr>
                <w:rFonts w:ascii="Times New Roman"/>
                <w:sz w:val="18"/>
              </w:rPr>
              <w:t>3,823,701.48</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47" w:right="0"/>
              <w:jc w:val="left"/>
              <w:rPr>
                <w:rFonts w:ascii="Times New Roman" w:hAnsi="Times New Roman" w:cs="Times New Roman" w:eastAsia="Times New Roman" w:hint="default"/>
                <w:sz w:val="18"/>
                <w:szCs w:val="18"/>
              </w:rPr>
            </w:pPr>
            <w:r>
              <w:rPr>
                <w:rFonts w:ascii="Times New Roman"/>
                <w:sz w:val="18"/>
              </w:rPr>
              <w:t>6.95</w:t>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70" w:right="0"/>
              <w:jc w:val="left"/>
              <w:rPr>
                <w:rFonts w:ascii="Times New Roman" w:hAnsi="Times New Roman" w:cs="Times New Roman" w:eastAsia="Times New Roman" w:hint="default"/>
                <w:sz w:val="18"/>
                <w:szCs w:val="18"/>
              </w:rPr>
            </w:pPr>
            <w:r>
              <w:rPr>
                <w:rFonts w:ascii="Times New Roman"/>
                <w:sz w:val="18"/>
              </w:rPr>
              <w:t>191,185.07</w:t>
            </w:r>
          </w:p>
        </w:tc>
      </w:tr>
      <w:tr>
        <w:trPr>
          <w:trHeight w:val="347"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Smart</w:t>
            </w:r>
            <w:r>
              <w:rPr>
                <w:rFonts w:ascii="Times New Roman"/>
                <w:spacing w:val="-3"/>
                <w:sz w:val="18"/>
              </w:rPr>
              <w:t> </w:t>
            </w:r>
            <w:r>
              <w:rPr>
                <w:rFonts w:ascii="Times New Roman"/>
                <w:sz w:val="18"/>
              </w:rPr>
              <w:t>Creative</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3,578,732.87</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7" w:right="0"/>
              <w:jc w:val="left"/>
              <w:rPr>
                <w:rFonts w:ascii="Times New Roman" w:hAnsi="Times New Roman" w:cs="Times New Roman" w:eastAsia="Times New Roman" w:hint="default"/>
                <w:sz w:val="18"/>
                <w:szCs w:val="18"/>
              </w:rPr>
            </w:pPr>
            <w:r>
              <w:rPr>
                <w:rFonts w:ascii="Times New Roman"/>
                <w:sz w:val="18"/>
              </w:rPr>
              <w:t>6.50</w:t>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Times New Roman"/>
                <w:sz w:val="18"/>
              </w:rPr>
              <w:t>178,936.64</w:t>
            </w:r>
          </w:p>
        </w:tc>
      </w:tr>
      <w:tr>
        <w:trPr>
          <w:trHeight w:val="347"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北京数字认证股份有限公司</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2,644,480.00</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7" w:right="0"/>
              <w:jc w:val="left"/>
              <w:rPr>
                <w:rFonts w:ascii="Times New Roman" w:hAnsi="Times New Roman" w:cs="Times New Roman" w:eastAsia="Times New Roman" w:hint="default"/>
                <w:sz w:val="18"/>
                <w:szCs w:val="18"/>
              </w:rPr>
            </w:pPr>
            <w:r>
              <w:rPr>
                <w:rFonts w:ascii="Times New Roman"/>
                <w:sz w:val="18"/>
              </w:rPr>
              <w:t>4.81</w:t>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Times New Roman"/>
                <w:sz w:val="18"/>
              </w:rPr>
              <w:t>132,224.00</w:t>
            </w:r>
          </w:p>
        </w:tc>
      </w:tr>
      <w:tr>
        <w:trPr>
          <w:trHeight w:val="347"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ENTRUST DATACARD</w:t>
            </w:r>
            <w:r>
              <w:rPr>
                <w:rFonts w:ascii="Times New Roman"/>
                <w:spacing w:val="-2"/>
                <w:sz w:val="18"/>
              </w:rPr>
              <w:t> </w:t>
            </w:r>
            <w:r>
              <w:rPr>
                <w:rFonts w:ascii="Times New Roman"/>
                <w:sz w:val="18"/>
              </w:rPr>
              <w:t>CANADA</w:t>
            </w:r>
          </w:p>
        </w:tc>
        <w:tc>
          <w:tcPr>
            <w:tcW w:w="1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2,450,419.77</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47" w:right="0"/>
              <w:jc w:val="left"/>
              <w:rPr>
                <w:rFonts w:ascii="Times New Roman" w:hAnsi="Times New Roman" w:cs="Times New Roman" w:eastAsia="Times New Roman" w:hint="default"/>
                <w:sz w:val="18"/>
                <w:szCs w:val="18"/>
              </w:rPr>
            </w:pPr>
            <w:r>
              <w:rPr>
                <w:rFonts w:ascii="Times New Roman"/>
                <w:sz w:val="18"/>
              </w:rPr>
              <w:t>4.45</w:t>
            </w:r>
          </w:p>
        </w:tc>
        <w:tc>
          <w:tcPr>
            <w:tcW w:w="18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Times New Roman"/>
                <w:sz w:val="18"/>
              </w:rPr>
              <w:t>122,520.99</w:t>
            </w:r>
          </w:p>
        </w:tc>
      </w:tr>
      <w:tr>
        <w:trPr>
          <w:trHeight w:val="304" w:hRule="exact"/>
        </w:trPr>
        <w:tc>
          <w:tcPr>
            <w:tcW w:w="3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44" w:type="dxa"/>
            <w:tcBorders>
              <w:top w:val="single" w:sz="6" w:space="0" w:color="000000"/>
              <w:left w:val="single" w:sz="6" w:space="0" w:color="000000"/>
              <w:bottom w:val="single" w:sz="6" w:space="0" w:color="000000"/>
              <w:right w:val="nil" w:sz="6" w:space="0" w:color="auto"/>
            </w:tcBorders>
          </w:tcPr>
          <w:p>
            <w:pPr/>
          </w:p>
        </w:tc>
        <w:tc>
          <w:tcPr>
            <w:tcW w:w="1044"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17,263,584.12</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5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31.37</w:t>
            </w:r>
            <w:r>
              <w:rPr>
                <w:rFonts w:ascii="Times New Roman"/>
                <w:sz w:val="18"/>
              </w:rPr>
            </w:r>
          </w:p>
        </w:tc>
        <w:tc>
          <w:tcPr>
            <w:tcW w:w="1078" w:type="dxa"/>
            <w:tcBorders>
              <w:top w:val="single" w:sz="6" w:space="0" w:color="000000"/>
              <w:left w:val="single" w:sz="6" w:space="0" w:color="000000"/>
              <w:bottom w:val="single" w:sz="6" w:space="0" w:color="000000"/>
              <w:right w:val="nil" w:sz="6" w:space="0" w:color="auto"/>
            </w:tcBorders>
          </w:tcPr>
          <w:p>
            <w:pPr/>
          </w:p>
        </w:tc>
        <w:tc>
          <w:tcPr>
            <w:tcW w:w="820" w:type="dxa"/>
            <w:tcBorders>
              <w:top w:val="single" w:sz="6" w:space="0" w:color="000000"/>
              <w:left w:val="nil" w:sz="6" w:space="0" w:color="auto"/>
              <w:bottom w:val="single" w:sz="40" w:space="0" w:color="000000"/>
              <w:right w:val="single" w:sz="6" w:space="0" w:color="000000"/>
            </w:tcBorders>
          </w:tcPr>
          <w:p>
            <w:pPr>
              <w:pStyle w:val="TableParagraph"/>
              <w:spacing w:line="240" w:lineRule="auto" w:before="61"/>
              <w:ind w:right="0"/>
              <w:jc w:val="left"/>
              <w:rPr>
                <w:rFonts w:ascii="Times New Roman" w:hAnsi="Times New Roman" w:cs="Times New Roman" w:eastAsia="Times New Roman" w:hint="default"/>
                <w:sz w:val="18"/>
                <w:szCs w:val="18"/>
              </w:rPr>
            </w:pPr>
            <w:r>
              <w:rPr>
                <w:rFonts w:ascii="Times New Roman"/>
                <w:sz w:val="18"/>
              </w:rPr>
              <w:t>863,179.20</w:t>
            </w:r>
          </w:p>
        </w:tc>
      </w:tr>
    </w:tbl>
    <w:p>
      <w:pPr>
        <w:spacing w:line="240" w:lineRule="auto" w:before="12"/>
        <w:rPr>
          <w:rFonts w:ascii="宋体" w:hAnsi="宋体" w:cs="宋体" w:eastAsia="宋体" w:hint="default"/>
          <w:sz w:val="15"/>
          <w:szCs w:val="15"/>
        </w:rPr>
      </w:pPr>
    </w:p>
    <w:p>
      <w:pPr>
        <w:pStyle w:val="Heading3"/>
        <w:spacing w:line="240" w:lineRule="auto" w:before="35"/>
        <w:ind w:right="812"/>
        <w:jc w:val="left"/>
        <w:rPr>
          <w:b w:val="0"/>
          <w:bCs w:val="0"/>
        </w:rPr>
      </w:pPr>
      <w:bookmarkStart w:name="2、其他应收款" w:id="347"/>
      <w:bookmarkEnd w:id="34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7,834,580.50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11,609,816.43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7,834,580.50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11,609,816.43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其他应收款" w:id="348"/>
      <w:bookmarkEnd w:id="34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12"/>
        <w:gridCol w:w="643"/>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17,610,5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9,776,00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3" w:right="0"/>
              <w:jc w:val="left"/>
              <w:rPr>
                <w:rFonts w:ascii="Times New Roman" w:hAnsi="Times New Roman" w:cs="Times New Roman" w:eastAsia="Times New Roman" w:hint="default"/>
                <w:sz w:val="18"/>
                <w:szCs w:val="18"/>
              </w:rPr>
            </w:pPr>
            <w:r>
              <w:rPr>
                <w:rFonts w:ascii="Times New Roman"/>
                <w:sz w:val="18"/>
              </w:rPr>
              <w:t>55.51%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7,834,580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19,178,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7,568,905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t>39.47%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11,609,816.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80.50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Times New Roman" w:hAnsi="Times New Roman" w:cs="Times New Roman" w:eastAsia="Times New Roman" w:hint="default"/>
                <w:sz w:val="18"/>
                <w:szCs w:val="18"/>
              </w:rPr>
            </w:pPr>
            <w:r>
              <w:rPr>
                <w:rFonts w:ascii="Times New Roman"/>
                <w:sz w:val="18"/>
              </w:rPr>
              <w:t>721.68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17,610,5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9,776,00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55.51%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7,834,580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19,178,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721.68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7,568,905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39.47%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11,609,816.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51"/>
        <w:ind w:right="812"/>
        <w:jc w:val="left"/>
      </w:pPr>
      <w:r>
        <w:rPr/>
        <w:t>期末单项金额重大并单项计提坏账准备的其他应收款：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797" w:type="dxa"/>
        <w:tblLayout w:type="fixed"/>
        <w:tblCellMar>
          <w:top w:w="0" w:type="dxa"/>
          <w:left w:w="0" w:type="dxa"/>
          <w:bottom w:w="0" w:type="dxa"/>
          <w:right w:w="0" w:type="dxa"/>
        </w:tblCellMar>
        <w:tblLook w:val="01E0"/>
      </w:tblPr>
      <w:tblGrid>
        <w:gridCol w:w="1513"/>
        <w:gridCol w:w="1845"/>
        <w:gridCol w:w="1843"/>
        <w:gridCol w:w="1840"/>
        <w:gridCol w:w="1790"/>
      </w:tblGrid>
      <w:tr>
        <w:trPr>
          <w:trHeight w:val="34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9"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8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4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9,776,000.00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9,776,000.00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100.00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6,828,554.10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1,006,026.40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17,610,580.50</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9,776,000.00</w:t>
            </w:r>
            <w:r>
              <w:rPr>
                <w:rFonts w:ascii="Times New Roman"/>
                <w:spacing w:val="-1"/>
                <w:sz w:val="18"/>
              </w:rPr>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10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2,207,094.75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3"/>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580" w:bottom="70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9,776,000.00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10,976,000.00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6,828,554.10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7,282,245.28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1,006,026.40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920,476.40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17,610,580.50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19,178,721.68</w:t>
            </w:r>
          </w:p>
        </w:tc>
      </w:tr>
    </w:tbl>
    <w:p>
      <w:pPr>
        <w:pStyle w:val="BodyText"/>
        <w:spacing w:line="240" w:lineRule="auto" w:before="51"/>
        <w:ind w:right="812"/>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飞天万谷智能科技有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2,968,000.00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6,808,000.00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年以内</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88,923.60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9,776,000.00</w:t>
            </w:r>
          </w:p>
        </w:tc>
      </w:tr>
      <w:tr>
        <w:trPr>
          <w:trHeight w:val="102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北京城建天麓房地产 开发有限公司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2,091,111.30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192,174.30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1,810,013.40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东莞市新太阳企业开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639,298.00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深圳市锦弘霖电子设 备有限公司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北京宝泽丰物业管理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房租保证金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415,283.08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84,470.70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41,144.70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283,067.68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13,521,692.38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9,776,000.00</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3、长期股权投资" w:id="349"/>
      <w:bookmarkEnd w:id="34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324,580,836.76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56,367,993.37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268,212,843.39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276,305,676.76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238,505,676.76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47,386,826.12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47,264,091.69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4,964,818.29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4,842,083.86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371,967,662.88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56,490,727.80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315,476,935.08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281,270,495.05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37,922,734.43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243,347,760.62</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1）对子公司投资" w:id="350"/>
      <w:bookmarkEnd w:id="35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北京坚石诚信科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30,538,326.76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30,538,326.76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飞天万谷智能科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上海温鼎投资中 心（有限合伙）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5,205,000.00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4,067,993.37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4,067,993.37</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北京宏思电子技 术有限责任公司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199,275,000.00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199,275,000.00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FEITIAN</w:t>
            </w:r>
          </w:p>
          <w:p>
            <w:pPr>
              <w:pStyle w:val="TableParagraph"/>
              <w:spacing w:line="362" w:lineRule="auto" w:before="104"/>
              <w:ind w:left="22" w:right="502"/>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US,Inc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3,487,350.00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2,049,660.00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5,537,010.00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飞天香港有限公</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31,725,500.00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31,725,500.00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276,305,676.76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48,275,160.00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324,580,836.76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18,567,993.37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56,367,993.37</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2）对联营、合营企业投资" w:id="351"/>
      <w:bookmarkEnd w:id="35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r>
              <w:rPr>
                <w:rFonts w:ascii="Times New Roman"/>
                <w:sz w:val="18"/>
              </w:rPr>
              <w:t>HYPERS</w:t>
            </w:r>
            <w:r>
              <w:rPr>
                <w:rFonts w:ascii="Times New Roman"/>
                <w:w w:val="99"/>
                <w:sz w:val="18"/>
              </w:rPr>
              <w:t> </w:t>
            </w:r>
            <w:r>
              <w:rPr>
                <w:rFonts w:ascii="Times New Roman"/>
                <w:sz w:val="18"/>
              </w:rPr>
              <w:t>ECUINF</w:t>
            </w:r>
            <w:r>
              <w:rPr>
                <w:rFonts w:ascii="Times New Roman"/>
                <w:w w:val="99"/>
                <w:sz w:val="18"/>
              </w:rPr>
              <w:t> </w:t>
            </w:r>
            <w:r>
              <w:rPr>
                <w:rFonts w:ascii="Times New Roman"/>
                <w:spacing w:val="-4"/>
                <w:sz w:val="18"/>
              </w:rPr>
              <w:t>ORMATI</w:t>
            </w:r>
            <w:r>
              <w:rPr>
                <w:rFonts w:ascii="Times New Roman"/>
                <w:w w:val="99"/>
                <w:sz w:val="18"/>
              </w:rPr>
              <w:t> </w:t>
            </w:r>
            <w:r>
              <w:rPr>
                <w:rFonts w:ascii="Times New Roman"/>
                <w:sz w:val="18"/>
              </w:rPr>
              <w:t>ONSYST</w:t>
            </w:r>
            <w:r>
              <w:rPr>
                <w:rFonts w:ascii="Times New Roman"/>
                <w:w w:val="99"/>
                <w:sz w:val="18"/>
              </w:rPr>
              <w:t> </w:t>
            </w:r>
            <w:r>
              <w:rPr>
                <w:rFonts w:ascii="Times New Roman"/>
                <w:sz w:val="18"/>
              </w:rPr>
              <w:t>EMS,INC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4,842,083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-469,964.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4,287,571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广州飞天 诚信云商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深圳市瑞 福达液晶 显示技术 股份有限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8,798.79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42,976,51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4,964,818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-461,165.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47,386,82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4,964,818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42,967,72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-461,165.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-84,547.7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47,386,82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122,734.4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9"/>
          <w:szCs w:val="19"/>
        </w:rPr>
      </w:pPr>
    </w:p>
    <w:p>
      <w:pPr>
        <w:pStyle w:val="Heading3"/>
        <w:spacing w:line="240" w:lineRule="auto" w:before="35"/>
        <w:ind w:right="812"/>
        <w:jc w:val="left"/>
        <w:rPr>
          <w:b w:val="0"/>
          <w:bCs w:val="0"/>
        </w:rPr>
      </w:pPr>
      <w:bookmarkStart w:name="4、营业收入和营业成本" w:id="352"/>
      <w:bookmarkEnd w:id="35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969,893,873.44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636,949,981.96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1,001,205,880.78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626,971,860.45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687,067.18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998,752.95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839,393.17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1,515,093.04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970,580,940.62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637,948,734.91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1,002,045,273.95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628,486,953.49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812"/>
        <w:jc w:val="left"/>
        <w:rPr>
          <w:b w:val="0"/>
          <w:bCs w:val="0"/>
        </w:rPr>
      </w:pPr>
      <w:bookmarkStart w:name="5、投资收益" w:id="353"/>
      <w:bookmarkEnd w:id="35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-461,165.55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-219,794.24</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2,219,342.47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22,838,312.64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23,590,848.59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-4,044,650.00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22,377,147.09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21,545,746.82</w:t>
            </w:r>
          </w:p>
        </w:tc>
      </w:tr>
    </w:tbl>
    <w:p>
      <w:pPr>
        <w:spacing w:line="240" w:lineRule="auto" w:before="2"/>
        <w:rPr>
          <w:rFonts w:ascii="宋体" w:hAnsi="宋体" w:cs="宋体" w:eastAsia="宋体" w:hint="default"/>
          <w:sz w:val="18"/>
          <w:szCs w:val="18"/>
        </w:rPr>
      </w:pPr>
    </w:p>
    <w:p>
      <w:pPr>
        <w:pStyle w:val="Heading2"/>
        <w:spacing w:line="240" w:lineRule="auto" w:before="26"/>
        <w:ind w:right="812"/>
        <w:jc w:val="left"/>
        <w:rPr>
          <w:b w:val="0"/>
          <w:bCs w:val="0"/>
        </w:rPr>
      </w:pPr>
      <w:bookmarkStart w:name="十四、补充资料" w:id="354"/>
      <w:bookmarkEnd w:id="354"/>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当期非经常性损益明细表" w:id="355"/>
      <w:bookmarkEnd w:id="35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-43,693.49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8,533,806.08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9,883,339.14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25,516,953.09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-136,918.12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银联标识产品企业资质不再续期对应的无 形资产余额一次性摊销完毕</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5,007,309.76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135,251.86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38,610,925.08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2"/>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812"/>
        <w:jc w:val="left"/>
        <w:rPr>
          <w:b w:val="0"/>
          <w:bCs w:val="0"/>
        </w:rPr>
      </w:pPr>
      <w:bookmarkStart w:name="2、净资产收益率及每股收益" w:id="356"/>
      <w:bookmarkEnd w:id="35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b/>
          <w:bCs/>
          <w:sz w:val="19"/>
          <w:szCs w:val="19"/>
        </w:rPr>
      </w:pPr>
    </w:p>
    <w:p>
      <w:pPr>
        <w:pStyle w:val="Heading3"/>
        <w:spacing w:line="240" w:lineRule="auto" w:before="35"/>
        <w:ind w:right="812"/>
        <w:jc w:val="left"/>
        <w:rPr>
          <w:b w:val="0"/>
          <w:bCs w:val="0"/>
        </w:rPr>
      </w:pPr>
      <w:bookmarkStart w:name="3、境内外会计准则下会计数据差异" w:id="357"/>
      <w:bookmarkEnd w:id="35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812"/>
        <w:jc w:val="left"/>
        <w:rPr>
          <w:b w:val="0"/>
          <w:bCs w:val="0"/>
        </w:rPr>
      </w:pPr>
      <w:bookmarkStart w:name="（1）同时按照国际会计准则与按中国会计准则披露的财务报告中净利润和净资产差异情况" w:id="358"/>
      <w:bookmarkEnd w:id="35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812"/>
        <w:jc w:val="left"/>
        <w:rPr>
          <w:b w:val="0"/>
          <w:bCs w:val="0"/>
        </w:rPr>
      </w:pPr>
      <w:bookmarkStart w:name="（2）同时按照境外会计准则与按中国会计准则披露的财务报告中净利润和净资产差异情况" w:id="359"/>
      <w:bookmarkEnd w:id="35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249"/>
        <w:jc w:val="center"/>
        <w:rPr>
          <w:b w:val="0"/>
          <w:bCs w:val="0"/>
        </w:rPr>
      </w:pPr>
      <w:bookmarkStart w:name="第十二节 备查文件目录" w:id="360"/>
      <w:bookmarkEnd w:id="360"/>
      <w:r>
        <w:rPr>
          <w:b w:val="0"/>
          <w:bCs w:val="0"/>
        </w:rPr>
      </w:r>
      <w:bookmarkStart w:name="_bookmark11" w:id="361"/>
      <w:bookmarkEnd w:id="361"/>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left="636" w:right="812"/>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2018</w:t>
      </w:r>
      <w:r>
        <w:rPr/>
        <w:t>年年度报告文本；</w:t>
      </w:r>
    </w:p>
    <w:p>
      <w:pPr>
        <w:pStyle w:val="BodyText"/>
        <w:spacing w:line="240" w:lineRule="auto" w:before="63"/>
        <w:ind w:left="636" w:right="812"/>
        <w:jc w:val="left"/>
      </w:pPr>
      <w:r>
        <w:rPr>
          <w:rFonts w:ascii="Times New Roman" w:hAnsi="Times New Roman" w:cs="Times New Roman" w:eastAsia="Times New Roman" w:hint="default"/>
        </w:rPr>
        <w:t>2</w:t>
      </w:r>
      <w:r>
        <w:rPr/>
        <w:t>、载有单位负责人、主管会计工作负责人、公司会计机构负责人（会计主管人员）签名并盖章的财务报表；</w:t>
      </w:r>
    </w:p>
    <w:p>
      <w:pPr>
        <w:pStyle w:val="BodyText"/>
        <w:spacing w:line="240" w:lineRule="auto" w:before="63"/>
        <w:ind w:left="636" w:right="812"/>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left="636" w:right="812"/>
        <w:jc w:val="left"/>
      </w:pPr>
      <w:r>
        <w:rPr>
          <w:rFonts w:ascii="Times New Roman" w:hAnsi="Times New Roman" w:cs="Times New Roman" w:eastAsia="Times New Roman" w:hint="default"/>
        </w:rPr>
        <w:t>4</w:t>
      </w:r>
      <w:r>
        <w:rPr/>
        <w:t>、报告期内在中国证监会指定网站上公开披露过的所有公司文件的正本及公告的原稿；</w:t>
      </w:r>
    </w:p>
    <w:p>
      <w:pPr>
        <w:pStyle w:val="BodyText"/>
        <w:spacing w:line="240" w:lineRule="auto" w:before="63"/>
        <w:ind w:left="636" w:right="812"/>
        <w:jc w:val="left"/>
      </w:pPr>
      <w:r>
        <w:rPr>
          <w:rFonts w:ascii="Times New Roman" w:hAnsi="Times New Roman" w:cs="Times New Roman" w:eastAsia="Times New Roman" w:hint="default"/>
        </w:rPr>
        <w:t>5</w:t>
      </w:r>
      <w:r>
        <w:rPr/>
        <w:t>、其他有关资料。</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88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808" type="#_x0000_t75" stroked="false">
          <v:imagedata r:id="rId1" o:title=""/>
        </v:shape>
      </w:pict>
    </w:r>
    <w:r>
      <w:rPr/>
      <w:pict>
        <v:shape style="position:absolute;margin-left:527.679993pt;margin-top:781.957947pt;width:13pt;height:11pt;mso-position-horizontal-relative:page;mso-position-vertical-relative:page;z-index:-1080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760" type="#_x0000_t75" stroked="false">
          <v:imagedata r:id="rId1" o:title=""/>
        </v:shape>
      </w:pict>
    </w:r>
    <w:r>
      <w:rPr/>
      <w:pict>
        <v:shape style="position:absolute;margin-left:524.179993pt;margin-top:781.957947pt;width:15.5pt;height:11pt;mso-position-horizontal-relative:page;mso-position-vertical-relative:page;z-index:-10807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80712" type="#_x0000_t75" stroked="false">
          <v:imagedata r:id="rId1" o:title=""/>
        </v:shape>
      </w:pict>
    </w:r>
    <w:r>
      <w:rPr/>
      <w:pict>
        <v:shape style="position:absolute;margin-left:523.179993pt;margin-top:781.957947pt;width:17.5pt;height:11pt;mso-position-horizontal-relative:page;mso-position-vertical-relative:page;z-index:-1080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8085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220001pt;margin-top:42.865608pt;width:195.5pt;height:11.5pt;mso-position-horizontal-relative:page;mso-position-vertical-relative:page;z-index:-1080832" type="#_x0000_t202" filled="false" stroked="false">
          <v:textbox inset="0,0,0,0">
            <w:txbxContent>
              <w:p>
                <w:pPr>
                  <w:pStyle w:val="BodyText"/>
                  <w:spacing w:line="214" w:lineRule="exact"/>
                  <w:ind w:left="20" w:right="0"/>
                  <w:jc w:val="left"/>
                </w:pPr>
                <w:r>
                  <w:rPr/>
                  <w:t>飞天诚信科技股份有限公司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327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i/>
      <w:sz w:val="19"/>
      <w:szCs w:val="19"/>
    </w:rPr>
  </w:style>
  <w:style w:styleId="Heading5" w:type="paragraph">
    <w:name w:val="Heading 5"/>
    <w:basedOn w:val="Normal"/>
    <w:uiPriority w:val="1"/>
    <w:qFormat/>
    <w:pPr>
      <w:ind w:left="63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ftsafe.com.cn/" TargetMode="External"/><Relationship Id="rId10" Type="http://schemas.openxmlformats.org/officeDocument/2006/relationships/hyperlink" Target="mailto:wubi@ftsafe.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image" Target="media/image3.png"/><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飞天诚信科技股份有限公司</dc:creator>
  <dc:title>飞天诚信科技股份有限公司2018年年度报告全文</dc:title>
  <dcterms:created xsi:type="dcterms:W3CDTF">2020-05-05T01:07:48Z</dcterms:created>
  <dcterms:modified xsi:type="dcterms:W3CDTF">2020-05-05T01:07:48Z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